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358775</wp:posOffset>
                </wp:positionH>
                <wp:positionV relativeFrom="page">
                  <wp:posOffset>516890</wp:posOffset>
                </wp:positionV>
                <wp:extent cx="682561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2522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25pt,40.7pt" to="565.7pt,40.7pt" o:allowincell="f" strokecolor="#000000" strokeweight="1.986pt">
                <w10:wrap anchorx="page" anchory="page"/>
              </v:line>
            </w:pict>
          </mc:Fallback>
        </mc:AlternateContent>
        <mc:AlternateContent>
          <mc:Choice Requires="wps">
            <w:drawing>
              <wp:anchor simplePos="0" relativeHeight="251657728" behindDoc="1" locked="0" layoutInCell="0" allowOverlap="1">
                <wp:simplePos x="0" y="0"/>
                <wp:positionH relativeFrom="page">
                  <wp:posOffset>358775</wp:posOffset>
                </wp:positionH>
                <wp:positionV relativeFrom="page">
                  <wp:posOffset>551180</wp:posOffset>
                </wp:positionV>
                <wp:extent cx="682561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25pt,43.4pt" to="565.7pt,43.4pt" o:allowincell="f" strokecolor="#000000" strokeweight="0.993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2734945</wp:posOffset>
                </wp:positionH>
                <wp:positionV relativeFrom="paragraph">
                  <wp:posOffset>95885</wp:posOffset>
                </wp:positionV>
                <wp:extent cx="13620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0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35pt,7.55pt" to="322.6pt,7.55pt" o:allowincell="f" strokecolor="#000000" strokeweight="0.4965pt"/>
            </w:pict>
          </mc:Fallback>
        </mc:AlternateConten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2734945</wp:posOffset>
                </wp:positionH>
                <wp:positionV relativeFrom="paragraph">
                  <wp:posOffset>25400</wp:posOffset>
                </wp:positionV>
                <wp:extent cx="13620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0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35pt,2pt" to="322.6pt,2pt" o:allowincell="f" strokecolor="#000000" strokeweight="0.4965pt"/>
            </w:pict>
          </mc:Fallback>
        </mc:AlternateConten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6" w:lineRule="exact"/>
        <w:rPr>
          <w:sz w:val="24"/>
          <w:szCs w:val="24"/>
          <w:color w:val="auto"/>
        </w:rPr>
      </w:pPr>
    </w:p>
    <w:p>
      <w:pPr>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b w:val="1"/>
          <w:bCs w:val="1"/>
          <w:color w:val="auto"/>
        </w:rPr>
        <w:t xml:space="preserve">  ANNUAL REPORT PURSUANT TO SECTION 13 OR 15(d) OF THE SECURITIES EXCHANGE ACT OF 1934</w:t>
      </w:r>
    </w:p>
    <w:p>
      <w:pPr>
        <w:spacing w:after="0" w:line="40" w:lineRule="exact"/>
        <w:rPr>
          <w:sz w:val="24"/>
          <w:szCs w:val="24"/>
          <w:color w:val="auto"/>
        </w:rPr>
      </w:pPr>
    </w:p>
    <w:p>
      <w:pPr>
        <w:ind w:left="3920"/>
        <w:spacing w:after="0"/>
        <w:rPr>
          <w:sz w:val="24"/>
          <w:szCs w:val="24"/>
          <w:color w:val="auto"/>
        </w:rPr>
      </w:pPr>
      <w:r>
        <w:rPr>
          <w:rFonts w:ascii="Times New Roman" w:cs="Times New Roman" w:eastAsia="Times New Roman" w:hAnsi="Times New Roman"/>
          <w:sz w:val="16"/>
          <w:szCs w:val="16"/>
          <w:b w:val="1"/>
          <w:bCs w:val="1"/>
          <w:color w:val="auto"/>
        </w:rPr>
        <w:t>For the fiscal year ended December 31, 2025</w:t>
      </w:r>
    </w:p>
    <w:p>
      <w:pPr>
        <w:spacing w:after="0" w:line="74" w:lineRule="exact"/>
        <w:rPr>
          <w:sz w:val="24"/>
          <w:szCs w:val="24"/>
          <w:color w:val="auto"/>
        </w:rPr>
      </w:pPr>
    </w:p>
    <w:p>
      <w:pPr>
        <w:ind w:left="5260"/>
        <w:spacing w:after="0"/>
        <w:rPr>
          <w:sz w:val="24"/>
          <w:szCs w:val="24"/>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b w:val="1"/>
          <w:bCs w:val="1"/>
          <w:color w:val="auto"/>
        </w:rPr>
        <w:t xml:space="preserve">  TRANSITION REPORT PURSUANT TO SECTION 13 OR 15(d) OF THE SECURITIES EXCHANGE ACT OF 1934</w:t>
      </w:r>
    </w:p>
    <w:p>
      <w:pPr>
        <w:spacing w:after="0" w:line="88"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4640" w:type="dxa"/>
            <w:vAlign w:val="bottom"/>
            <w:gridSpan w:val="2"/>
          </w:tcPr>
          <w:p>
            <w:pPr>
              <w:ind w:left="2640"/>
              <w:spacing w:after="0"/>
              <w:rPr>
                <w:sz w:val="20"/>
                <w:szCs w:val="20"/>
                <w:color w:val="auto"/>
              </w:rPr>
            </w:pPr>
            <w:r>
              <w:rPr>
                <w:rFonts w:ascii="Times New Roman" w:cs="Times New Roman" w:eastAsia="Times New Roman" w:hAnsi="Times New Roman"/>
                <w:sz w:val="16"/>
                <w:szCs w:val="16"/>
                <w:b w:val="1"/>
                <w:bCs w:val="1"/>
                <w:color w:val="auto"/>
                <w:w w:val="95"/>
              </w:rPr>
              <w:t>For the transition period from</w:t>
            </w:r>
          </w:p>
        </w:tc>
        <w:tc>
          <w:tcPr>
            <w:tcW w:w="82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40" w:type="dxa"/>
            <w:vAlign w:val="bottom"/>
            <w:tcBorders>
              <w:bottom w:val="single" w:sz="8" w:color="auto"/>
            </w:tcBorders>
          </w:tcPr>
          <w:p>
            <w:pPr>
              <w:spacing w:after="0"/>
              <w:rPr>
                <w:sz w:val="16"/>
                <w:szCs w:val="16"/>
                <w:color w:val="auto"/>
              </w:rPr>
            </w:pPr>
          </w:p>
        </w:tc>
        <w:tc>
          <w:tcPr>
            <w:tcW w:w="1840" w:type="dxa"/>
            <w:vAlign w:val="bottom"/>
          </w:tcPr>
          <w:p>
            <w:pPr>
              <w:spacing w:after="0"/>
              <w:rPr>
                <w:sz w:val="16"/>
                <w:szCs w:val="16"/>
                <w:color w:val="auto"/>
              </w:rPr>
            </w:pPr>
          </w:p>
        </w:tc>
      </w:tr>
      <w:tr>
        <w:trPr>
          <w:trHeight w:val="268"/>
        </w:trPr>
        <w:tc>
          <w:tcPr>
            <w:tcW w:w="8360" w:type="dxa"/>
            <w:vAlign w:val="bottom"/>
            <w:gridSpan w:val="7"/>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w w:val="96"/>
              </w:rPr>
              <w:t>Commission file number 001-43022</w:t>
            </w:r>
          </w:p>
        </w:tc>
      </w:tr>
      <w:tr>
        <w:trPr>
          <w:trHeight w:val="218"/>
        </w:trPr>
        <w:tc>
          <w:tcPr>
            <w:tcW w:w="3500" w:type="dxa"/>
            <w:vAlign w:val="bottom"/>
          </w:tcPr>
          <w:p>
            <w:pPr>
              <w:spacing w:after="0"/>
              <w:rPr>
                <w:sz w:val="18"/>
                <w:szCs w:val="18"/>
                <w:color w:val="auto"/>
              </w:rPr>
            </w:pPr>
          </w:p>
        </w:tc>
        <w:tc>
          <w:tcPr>
            <w:tcW w:w="196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64"/>
        </w:trPr>
        <w:tc>
          <w:tcPr>
            <w:tcW w:w="3500" w:type="dxa"/>
            <w:vAlign w:val="bottom"/>
          </w:tcPr>
          <w:p>
            <w:pPr>
              <w:spacing w:after="0"/>
              <w:rPr>
                <w:sz w:val="24"/>
                <w:szCs w:val="24"/>
                <w:color w:val="auto"/>
              </w:rPr>
            </w:pPr>
          </w:p>
        </w:tc>
        <w:tc>
          <w:tcPr>
            <w:tcW w:w="1960" w:type="dxa"/>
            <w:vAlign w:val="bottom"/>
            <w:gridSpan w:val="2"/>
          </w:tcPr>
          <w:p>
            <w:pPr>
              <w:jc w:val="center"/>
              <w:ind w:left="41"/>
              <w:spacing w:after="0" w:line="364" w:lineRule="exact"/>
              <w:rPr>
                <w:sz w:val="20"/>
                <w:szCs w:val="20"/>
                <w:color w:val="auto"/>
              </w:rPr>
            </w:pPr>
            <w:r>
              <w:rPr>
                <w:rFonts w:ascii="Times New Roman" w:cs="Times New Roman" w:eastAsia="Times New Roman" w:hAnsi="Times New Roman"/>
                <w:sz w:val="32"/>
                <w:szCs w:val="32"/>
                <w:b w:val="1"/>
                <w:bCs w:val="1"/>
                <w:color w:val="auto"/>
                <w:w w:val="97"/>
              </w:rPr>
              <w:t>Medline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0"/>
        </w:trPr>
        <w:tc>
          <w:tcPr>
            <w:tcW w:w="8360" w:type="dxa"/>
            <w:vAlign w:val="bottom"/>
            <w:gridSpan w:val="7"/>
          </w:tcPr>
          <w:p>
            <w:pPr>
              <w:jc w:val="center"/>
              <w:ind w:left="72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99"/>
        </w:trPr>
        <w:tc>
          <w:tcPr>
            <w:tcW w:w="3500" w:type="dxa"/>
            <w:vAlign w:val="bottom"/>
          </w:tcPr>
          <w:p>
            <w:pPr>
              <w:spacing w:after="0"/>
              <w:rPr>
                <w:sz w:val="8"/>
                <w:szCs w:val="8"/>
                <w:color w:val="auto"/>
              </w:rPr>
            </w:pPr>
          </w:p>
        </w:tc>
        <w:tc>
          <w:tcPr>
            <w:tcW w:w="19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700" w:type="dxa"/>
            <w:vAlign w:val="bottom"/>
            <w:gridSpan w:val="3"/>
          </w:tcPr>
          <w:p>
            <w:pPr>
              <w:spacing w:after="0"/>
              <w:rPr>
                <w:sz w:val="8"/>
                <w:szCs w:val="8"/>
                <w:color w:val="auto"/>
              </w:rPr>
            </w:pPr>
          </w:p>
        </w:tc>
      </w:tr>
      <w:tr>
        <w:trPr>
          <w:trHeight w:val="290"/>
        </w:trPr>
        <w:tc>
          <w:tcPr>
            <w:tcW w:w="546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900" w:type="dxa"/>
            <w:vAlign w:val="bottom"/>
            <w:gridSpan w:val="4"/>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33-1845288</w:t>
            </w:r>
          </w:p>
        </w:tc>
      </w:tr>
      <w:tr>
        <w:trPr>
          <w:trHeight w:val="210"/>
        </w:trPr>
        <w:tc>
          <w:tcPr>
            <w:tcW w:w="54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2"/>
          </w:tcPr>
          <w:p>
            <w:pPr>
              <w:jc w:val="center"/>
              <w:ind w:left="141"/>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8"/>
        </w:trPr>
        <w:tc>
          <w:tcPr>
            <w:tcW w:w="54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6"/>
              </w:rPr>
              <w:t>3 Lakes Drive</w:t>
            </w:r>
          </w:p>
        </w:tc>
        <w:tc>
          <w:tcPr>
            <w:tcW w:w="2900" w:type="dxa"/>
            <w:vAlign w:val="bottom"/>
            <w:gridSpan w:val="4"/>
          </w:tcPr>
          <w:p>
            <w:pPr>
              <w:jc w:val="right"/>
              <w:ind w:right="961"/>
              <w:spacing w:after="0"/>
              <w:rPr>
                <w:sz w:val="20"/>
                <w:szCs w:val="20"/>
                <w:color w:val="auto"/>
              </w:rPr>
            </w:pPr>
            <w:r>
              <w:rPr>
                <w:rFonts w:ascii="Times New Roman" w:cs="Times New Roman" w:eastAsia="Times New Roman" w:hAnsi="Times New Roman"/>
                <w:sz w:val="16"/>
                <w:szCs w:val="16"/>
                <w:b w:val="1"/>
                <w:bCs w:val="1"/>
                <w:color w:val="auto"/>
              </w:rPr>
              <w:t>60093</w:t>
            </w:r>
          </w:p>
        </w:tc>
      </w:tr>
      <w:tr>
        <w:trPr>
          <w:trHeight w:val="192"/>
        </w:trPr>
        <w:tc>
          <w:tcPr>
            <w:tcW w:w="546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6"/>
              </w:rPr>
              <w:t>Northfield, Illinois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tcPr>
          <w:p>
            <w:pPr>
              <w:jc w:val="center"/>
              <w:ind w:right="541"/>
              <w:spacing w:after="0"/>
              <w:rPr>
                <w:sz w:val="20"/>
                <w:szCs w:val="20"/>
                <w:color w:val="auto"/>
              </w:rPr>
            </w:pPr>
            <w:r>
              <w:rPr>
                <w:rFonts w:ascii="Times New Roman" w:cs="Times New Roman" w:eastAsia="Times New Roman" w:hAnsi="Times New Roman"/>
                <w:sz w:val="16"/>
                <w:szCs w:val="16"/>
                <w:color w:val="auto"/>
              </w:rPr>
              <w:t>(Zip Code)</w:t>
            </w:r>
          </w:p>
        </w:tc>
      </w:tr>
      <w:tr>
        <w:trPr>
          <w:trHeight w:val="171"/>
        </w:trPr>
        <w:tc>
          <w:tcPr>
            <w:tcW w:w="5460" w:type="dxa"/>
            <w:vAlign w:val="bottom"/>
            <w:gridSpan w:val="3"/>
          </w:tcPr>
          <w:p>
            <w:pPr>
              <w:jc w:val="center"/>
              <w:ind w:right="1400"/>
              <w:spacing w:after="0" w:line="171" w:lineRule="exact"/>
              <w:rPr>
                <w:sz w:val="20"/>
                <w:szCs w:val="20"/>
                <w:color w:val="auto"/>
              </w:rPr>
            </w:pPr>
            <w:r>
              <w:rPr>
                <w:rFonts w:ascii="Times New Roman" w:cs="Times New Roman" w:eastAsia="Times New Roman" w:hAnsi="Times New Roman"/>
                <w:sz w:val="16"/>
                <w:szCs w:val="16"/>
                <w:color w:val="auto"/>
              </w:rPr>
              <w:t>(Address of principal executive offices)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5"/>
        </w:trPr>
        <w:tc>
          <w:tcPr>
            <w:tcW w:w="5460" w:type="dxa"/>
            <w:vAlign w:val="bottom"/>
            <w:gridSpan w:val="3"/>
          </w:tcPr>
          <w:p>
            <w:pPr>
              <w:jc w:val="center"/>
              <w:ind w:left="3621"/>
              <w:spacing w:after="0" w:line="175" w:lineRule="exact"/>
              <w:rPr>
                <w:sz w:val="20"/>
                <w:szCs w:val="20"/>
                <w:color w:val="auto"/>
              </w:rPr>
            </w:pPr>
            <w:r>
              <w:rPr>
                <w:rFonts w:ascii="Times New Roman" w:cs="Times New Roman" w:eastAsia="Times New Roman" w:hAnsi="Times New Roman"/>
                <w:sz w:val="16"/>
                <w:szCs w:val="16"/>
                <w:b w:val="1"/>
                <w:bCs w:val="1"/>
                <w:color w:val="auto"/>
                <w:w w:val="97"/>
              </w:rPr>
              <w:t>(847) 949 5500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641"/>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Name of each exchange on which registered</w:t>
            </w:r>
          </w:p>
        </w:tc>
      </w:tr>
      <w:tr>
        <w:trPr>
          <w:trHeight w:val="201"/>
        </w:trPr>
        <w:tc>
          <w:tcPr>
            <w:tcW w:w="43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840" w:type="dxa"/>
            <w:vAlign w:val="bottom"/>
          </w:tcPr>
          <w:p>
            <w:pPr>
              <w:jc w:val="center"/>
              <w:ind w:right="641"/>
              <w:spacing w:after="0"/>
              <w:rPr>
                <w:sz w:val="20"/>
                <w:szCs w:val="20"/>
                <w:color w:val="auto"/>
              </w:rPr>
            </w:pPr>
            <w:r>
              <w:rPr>
                <w:rFonts w:ascii="Times New Roman" w:cs="Times New Roman" w:eastAsia="Times New Roman" w:hAnsi="Times New Roman"/>
                <w:sz w:val="16"/>
                <w:szCs w:val="16"/>
                <w:color w:val="auto"/>
              </w:rPr>
              <w:t>MDLN</w:t>
            </w:r>
          </w:p>
        </w:tc>
        <w:tc>
          <w:tcPr>
            <w:tcW w:w="6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70" w:lineRule="exact"/>
        <w:rPr>
          <w:sz w:val="24"/>
          <w:szCs w:val="24"/>
          <w:color w:val="auto"/>
        </w:rPr>
      </w:pPr>
    </w:p>
    <w:p>
      <w:pPr>
        <w:ind w:right="15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44"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44" w:lineRule="exact"/>
        <w:rPr>
          <w:sz w:val="24"/>
          <w:szCs w:val="24"/>
          <w:color w:val="auto"/>
        </w:rPr>
      </w:pPr>
    </w:p>
    <w:p>
      <w:pPr>
        <w:jc w:val="both"/>
        <w:ind w:right="520"/>
        <w:spacing w:after="0" w:line="1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44"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400" w:type="dxa"/>
        <w:tblCellMar>
          <w:top w:w="0" w:type="dxa"/>
          <w:left w:w="0" w:type="dxa"/>
          <w:bottom w:w="0" w:type="dxa"/>
          <w:right w:w="0" w:type="dxa"/>
        </w:tblCellMar>
      </w:tblP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2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4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2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tcPr>
          <w:p>
            <w:pPr>
              <w:ind w:left="200"/>
              <w:spacing w:after="0" w:line="186" w:lineRule="exact"/>
              <w:rPr>
                <w:sz w:val="20"/>
                <w:szCs w:val="20"/>
                <w:color w:val="auto"/>
              </w:rPr>
            </w:pPr>
            <w:r>
              <w:rPr>
                <w:rFonts w:ascii="Arial Unicode MS" w:cs="Arial Unicode MS" w:eastAsia="Arial Unicode MS" w:hAnsi="Arial Unicode MS"/>
                <w:sz w:val="16"/>
                <w:szCs w:val="16"/>
                <w:color w:val="auto"/>
              </w:rPr>
              <w:t>☒</w:t>
            </w:r>
          </w:p>
        </w:tc>
        <w:tc>
          <w:tcPr>
            <w:tcW w:w="34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20"/>
              <w:spacing w:after="0" w:line="186" w:lineRule="exact"/>
              <w:rPr>
                <w:sz w:val="20"/>
                <w:szCs w:val="20"/>
                <w:color w:val="auto"/>
              </w:rPr>
            </w:pPr>
            <w:r>
              <w:rPr>
                <w:rFonts w:ascii="Arial Unicode MS" w:cs="Arial Unicode MS" w:eastAsia="Arial Unicode MS" w:hAnsi="Arial Unicode MS"/>
                <w:sz w:val="16"/>
                <w:szCs w:val="16"/>
                <w:color w:val="auto"/>
              </w:rPr>
              <w:t>☐</w:t>
            </w:r>
          </w:p>
        </w:tc>
      </w:tr>
      <w:tr>
        <w:trPr>
          <w:trHeight w:val="210"/>
        </w:trPr>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20"/>
              <w:spacing w:after="0" w:line="186" w:lineRule="exact"/>
              <w:rPr>
                <w:sz w:val="20"/>
                <w:szCs w:val="20"/>
                <w:color w:val="auto"/>
              </w:rPr>
            </w:pPr>
            <w:r>
              <w:rPr>
                <w:rFonts w:ascii="Arial Unicode MS" w:cs="Arial Unicode MS" w:eastAsia="Arial Unicode MS" w:hAnsi="Arial Unicode MS"/>
                <w:sz w:val="16"/>
                <w:szCs w:val="16"/>
                <w:color w:val="auto"/>
              </w:rPr>
              <w:t>☐</w:t>
            </w:r>
          </w:p>
        </w:tc>
      </w:tr>
    </w:tbl>
    <w:p>
      <w:pPr>
        <w:spacing w:after="0" w:line="72"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44"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6"/>
          <w:szCs w:val="16"/>
          <w:color w:val="auto"/>
        </w:rPr>
        <w:t>☐</w:t>
      </w:r>
    </w:p>
    <w:p>
      <w:pPr>
        <w:spacing w:after="0" w:line="39" w:lineRule="exact"/>
        <w:rPr>
          <w:sz w:val="24"/>
          <w:szCs w:val="24"/>
          <w:color w:val="auto"/>
        </w:rPr>
      </w:pPr>
    </w:p>
    <w:p>
      <w:pPr>
        <w:spacing w:after="0" w:line="215" w:lineRule="exact"/>
        <w:tabs>
          <w:tab w:leader="none" w:pos="7020" w:val="left"/>
          <w:tab w:leader="none" w:pos="7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42" w:lineRule="exact"/>
        <w:rPr>
          <w:sz w:val="24"/>
          <w:szCs w:val="24"/>
          <w:color w:val="auto"/>
        </w:rPr>
      </w:pPr>
    </w:p>
    <w:p>
      <w:pPr>
        <w:ind w:right="20"/>
        <w:spacing w:after="0" w:line="224" w:lineRule="auto"/>
        <w:rPr>
          <w:sz w:val="20"/>
          <w:szCs w:val="20"/>
          <w:color w:val="auto"/>
        </w:rPr>
      </w:pPr>
      <w:r>
        <w:rPr>
          <w:rFonts w:ascii="Times New Roman" w:cs="Times New Roman" w:eastAsia="Times New Roman" w:hAnsi="Times New Roman"/>
          <w:sz w:val="16"/>
          <w:szCs w:val="16"/>
          <w:color w:val="auto"/>
        </w:rPr>
        <w:t>The aggregate market value of the Class A common stock held by non-affiliates of the registrant, based on the closing price of a share of Class A common stock on December 17, 2025, as reported by The Nasdaq Global Select Market on such date was approximately $13.0 billion. The registrant has elected to use December 17, 2025, which was the initial trading date of the registrant’s Class A common stock on The Nasdaq Global Select Market, as the calculation date because on June 30, 2025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45" w:lineRule="exact"/>
        <w:rPr>
          <w:sz w:val="24"/>
          <w:szCs w:val="24"/>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As of February 23, 2026, there were 811,647,534 shares of the registrant’s Class A common stock and 502,045,878 shares of the registrant’s Class B common stock outstanding.</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06" w:lineRule="exact"/>
        <w:rPr>
          <w:sz w:val="24"/>
          <w:szCs w:val="24"/>
          <w:color w:val="auto"/>
        </w:rPr>
      </w:pPr>
    </w:p>
    <w:p>
      <w:pPr>
        <w:jc w:val="both"/>
        <w:ind w:right="280"/>
        <w:spacing w:after="0" w:line="233"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related to its 2026 Annual Meeting of Stockholders to be filed with the U.S. Securities and Exchange Commission within 120 days after the end of the fiscal year ended December 31, 2025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33655</wp:posOffset>
                </wp:positionV>
                <wp:extent cx="682561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1261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65pt" to="537.7pt,2.65pt" o:allowincell="f" strokecolor="#000000" strokeweight="0.993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86995</wp:posOffset>
                </wp:positionV>
                <wp:extent cx="682561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5615" cy="4763"/>
                        </a:xfrm>
                        <a:prstGeom prst="line">
                          <a:avLst/>
                        </a:prstGeom>
                        <a:solidFill>
                          <a:srgbClr val="FFFFFF"/>
                        </a:solidFill>
                        <a:ln w="2522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85pt" to="537.7pt,6.85pt" o:allowincell="f" strokecolor="#000000" strokeweight="1.986pt"/>
            </w:pict>
          </mc:Fallback>
        </mc:AlternateContent>
      </w:r>
    </w:p>
    <w:p>
      <w:pPr>
        <w:sectPr>
          <w:pgSz w:w="11880" w:h="15480" w:orient="portrait"/>
          <w:cols w:equalWidth="0" w:num="1">
            <w:col w:w="10760"/>
          </w:cols>
          <w:pgMar w:left="560" w:top="871" w:right="560" w:bottom="38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380" w:type="dxa"/>
            <w:vAlign w:val="bottom"/>
            <w:gridSpan w:val="17"/>
          </w:tcPr>
          <w:p>
            <w:pPr>
              <w:ind w:left="60"/>
              <w:spacing w:after="0"/>
              <w:rPr>
                <w:sz w:val="20"/>
                <w:szCs w:val="20"/>
                <w:color w:val="auto"/>
              </w:rPr>
            </w:pPr>
            <w:r>
              <w:rPr>
                <w:rFonts w:ascii="Arial" w:cs="Arial" w:eastAsia="Arial" w:hAnsi="Arial"/>
                <w:sz w:val="20"/>
                <w:szCs w:val="20"/>
                <w:color w:val="auto"/>
              </w:rPr>
              <w:t>TABLE OF CONTENTS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3"/>
        </w:trPr>
        <w:tc>
          <w:tcPr>
            <w:tcW w:w="560" w:type="dxa"/>
            <w:vAlign w:val="bottom"/>
            <w:gridSpan w:val="2"/>
          </w:tcPr>
          <w:p>
            <w:pPr>
              <w:spacing w:after="0"/>
              <w:rPr>
                <w:sz w:val="20"/>
                <w:szCs w:val="20"/>
                <w:color w:val="auto"/>
              </w:rPr>
            </w:pPr>
            <w:r>
              <w:rPr>
                <w:rFonts w:ascii="Arial" w:cs="Arial" w:eastAsia="Arial" w:hAnsi="Arial"/>
                <w:sz w:val="18"/>
                <w:szCs w:val="18"/>
                <w:color w:val="auto"/>
              </w:rPr>
              <w:t>Item</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280"/>
        </w:trPr>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PART I</w:t>
            </w:r>
          </w:p>
        </w:tc>
        <w:tc>
          <w:tcPr>
            <w:tcW w:w="4160" w:type="dxa"/>
            <w:vAlign w:val="bottom"/>
            <w:gridSpan w:val="10"/>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6"/>
              </w:rPr>
              <w:t>Business</w:t>
            </w:r>
          </w:p>
        </w:tc>
        <w:tc>
          <w:tcPr>
            <w:tcW w:w="7800" w:type="dxa"/>
            <w:vAlign w:val="bottom"/>
            <w:gridSpan w:val="29"/>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1A.</w:t>
            </w:r>
          </w:p>
        </w:tc>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1"/>
              </w:rPr>
              <w:t>Risk Factors</w:t>
            </w:r>
          </w:p>
        </w:tc>
        <w:tc>
          <w:tcPr>
            <w:tcW w:w="7540" w:type="dxa"/>
            <w:vAlign w:val="bottom"/>
            <w:gridSpan w:val="2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1B.</w:t>
            </w:r>
          </w:p>
        </w:tc>
        <w:tc>
          <w:tcPr>
            <w:tcW w:w="8380" w:type="dxa"/>
            <w:vAlign w:val="bottom"/>
            <w:gridSpan w:val="30"/>
          </w:tcPr>
          <w:p>
            <w:pPr>
              <w:spacing w:after="0"/>
              <w:rPr>
                <w:sz w:val="20"/>
                <w:szCs w:val="20"/>
                <w:color w:val="auto"/>
              </w:rPr>
            </w:pPr>
            <w:r>
              <w:rPr>
                <w:rFonts w:ascii="Arial" w:cs="Arial" w:eastAsia="Arial" w:hAnsi="Arial"/>
                <w:sz w:val="18"/>
                <w:szCs w:val="18"/>
                <w:color w:val="auto"/>
              </w:rPr>
              <w:t>Unresolved Staff Comments</w:t>
            </w:r>
          </w:p>
        </w:tc>
        <w:tc>
          <w:tcPr>
            <w:tcW w:w="38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1C.</w:t>
            </w:r>
          </w:p>
        </w:tc>
        <w:tc>
          <w:tcPr>
            <w:tcW w:w="9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8"/>
                <w:szCs w:val="18"/>
                <w:color w:val="auto"/>
                <w:w w:val="83"/>
              </w:rPr>
              <w:t>Cybersecurity</w:t>
            </w:r>
          </w:p>
        </w:tc>
        <w:tc>
          <w:tcPr>
            <w:tcW w:w="1020" w:type="dxa"/>
            <w:vAlign w:val="bottom"/>
            <w:tcBorders>
              <w:top w:val="single" w:sz="8" w:color="auto"/>
            </w:tcBorders>
            <w:gridSpan w:val="5"/>
          </w:tcPr>
          <w:p>
            <w:pPr>
              <w:spacing w:after="0"/>
              <w:rPr>
                <w:sz w:val="22"/>
                <w:szCs w:val="22"/>
                <w:color w:val="auto"/>
              </w:rPr>
            </w:pPr>
          </w:p>
        </w:tc>
        <w:tc>
          <w:tcPr>
            <w:tcW w:w="6420" w:type="dxa"/>
            <w:vAlign w:val="bottom"/>
            <w:gridSpan w:val="19"/>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Properties</w:t>
            </w:r>
          </w:p>
        </w:tc>
        <w:tc>
          <w:tcPr>
            <w:tcW w:w="7700" w:type="dxa"/>
            <w:vAlign w:val="bottom"/>
            <w:gridSpan w:val="2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rPr>
              <w:t>Legal Proceedings</w:t>
            </w:r>
          </w:p>
        </w:tc>
        <w:tc>
          <w:tcPr>
            <w:tcW w:w="38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line="20" w:lineRule="exact"/>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rPr>
              <w:t>Mine Safety Disclosures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3"/>
          </w:tcPr>
          <w:p>
            <w:pPr>
              <w:jc w:val="center"/>
              <w:ind w:right="4140"/>
              <w:spacing w:after="0"/>
              <w:rPr>
                <w:sz w:val="20"/>
                <w:szCs w:val="20"/>
                <w:color w:val="auto"/>
              </w:rPr>
            </w:pPr>
            <w:r>
              <w:rPr>
                <w:rFonts w:ascii="Arial" w:cs="Arial" w:eastAsia="Arial" w:hAnsi="Arial"/>
                <w:sz w:val="18"/>
                <w:szCs w:val="18"/>
                <w:color w:val="auto"/>
                <w:w w:val="98"/>
              </w:rPr>
              <w:t>PART II</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line="20" w:lineRule="exact"/>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w w:val="93"/>
              </w:rPr>
              <w:t>Market for Registrant's Common Equity, Related Stockholder Matters, and Issuer Purchases of Equity Securities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796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[Reserved]</w:t>
            </w:r>
          </w:p>
        </w:tc>
        <w:tc>
          <w:tcPr>
            <w:tcW w:w="4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line="20" w:lineRule="exact"/>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7A.</w:t>
            </w:r>
          </w:p>
        </w:tc>
        <w:tc>
          <w:tcPr>
            <w:tcW w:w="4260" w:type="dxa"/>
            <w:vAlign w:val="bottom"/>
            <w:tcBorders>
              <w:top w:val="single" w:sz="8" w:color="auto"/>
              <w:bottom w:val="single" w:sz="8" w:color="auto"/>
            </w:tcBorders>
            <w:gridSpan w:val="22"/>
          </w:tcPr>
          <w:p>
            <w:pPr>
              <w:spacing w:after="0"/>
              <w:rPr>
                <w:sz w:val="20"/>
                <w:szCs w:val="20"/>
                <w:color w:val="auto"/>
              </w:rPr>
            </w:pPr>
            <w:r>
              <w:rPr>
                <w:rFonts w:ascii="Arial" w:cs="Arial" w:eastAsia="Arial" w:hAnsi="Arial"/>
                <w:sz w:val="18"/>
                <w:szCs w:val="18"/>
                <w:color w:val="auto"/>
                <w:w w:val="89"/>
              </w:rPr>
              <w:t>Quantitative and Qualitative Disclosures About Market Risk</w:t>
            </w:r>
          </w:p>
        </w:tc>
        <w:tc>
          <w:tcPr>
            <w:tcW w:w="2080" w:type="dxa"/>
            <w:vAlign w:val="bottom"/>
            <w:tcBorders>
              <w:top w:val="single" w:sz="8" w:color="auto"/>
            </w:tcBorders>
            <w:gridSpan w:val="4"/>
          </w:tcPr>
          <w:p>
            <w:pPr>
              <w:spacing w:after="0"/>
              <w:rPr>
                <w:sz w:val="22"/>
                <w:szCs w:val="22"/>
                <w:color w:val="auto"/>
              </w:rPr>
            </w:pPr>
          </w:p>
        </w:tc>
        <w:tc>
          <w:tcPr>
            <w:tcW w:w="204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32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6"/>
              </w:rPr>
              <w:t>Financial Statements and Supplementary Data</w:t>
            </w:r>
          </w:p>
        </w:tc>
        <w:tc>
          <w:tcPr>
            <w:tcW w:w="5140" w:type="dxa"/>
            <w:vAlign w:val="bottom"/>
            <w:gridSpan w:val="1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6360" w:type="dxa"/>
            <w:vAlign w:val="bottom"/>
            <w:tcBorders>
              <w:bottom w:val="single" w:sz="8" w:color="auto"/>
            </w:tcBorders>
            <w:gridSpan w:val="27"/>
          </w:tcPr>
          <w:p>
            <w:pPr>
              <w:spacing w:after="0"/>
              <w:rPr>
                <w:sz w:val="20"/>
                <w:szCs w:val="20"/>
                <w:color w:val="auto"/>
              </w:rPr>
            </w:pPr>
            <w:r>
              <w:rPr>
                <w:rFonts w:ascii="Arial" w:cs="Arial" w:eastAsia="Arial" w:hAnsi="Arial"/>
                <w:sz w:val="18"/>
                <w:szCs w:val="18"/>
                <w:color w:val="auto"/>
                <w:w w:val="88"/>
              </w:rPr>
              <w:t>Changes in and Disagreements with Accountants on Accounting and Financial Disclosure</w:t>
            </w:r>
          </w:p>
        </w:tc>
        <w:tc>
          <w:tcPr>
            <w:tcW w:w="202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9A.</w:t>
            </w:r>
          </w:p>
        </w:tc>
        <w:tc>
          <w:tcPr>
            <w:tcW w:w="17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4"/>
              </w:rPr>
              <w:t>Controls and Procedures</w:t>
            </w:r>
          </w:p>
        </w:tc>
        <w:tc>
          <w:tcPr>
            <w:tcW w:w="6680" w:type="dxa"/>
            <w:vAlign w:val="bottom"/>
            <w:gridSpan w:val="21"/>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9B.</w:t>
            </w:r>
          </w:p>
        </w:tc>
        <w:tc>
          <w:tcPr>
            <w:tcW w:w="8380" w:type="dxa"/>
            <w:vAlign w:val="bottom"/>
            <w:gridSpan w:val="30"/>
          </w:tcPr>
          <w:p>
            <w:pPr>
              <w:spacing w:after="0"/>
              <w:rPr>
                <w:sz w:val="20"/>
                <w:szCs w:val="20"/>
                <w:color w:val="auto"/>
              </w:rPr>
            </w:pPr>
            <w:r>
              <w:rPr>
                <w:rFonts w:ascii="Arial" w:cs="Arial" w:eastAsia="Arial" w:hAnsi="Arial"/>
                <w:sz w:val="18"/>
                <w:szCs w:val="18"/>
                <w:color w:val="auto"/>
              </w:rPr>
              <w:t>Other Information</w:t>
            </w:r>
          </w:p>
        </w:tc>
        <w:tc>
          <w:tcPr>
            <w:tcW w:w="38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0"/>
        </w:trPr>
        <w:tc>
          <w:tcPr>
            <w:tcW w:w="560" w:type="dxa"/>
            <w:vAlign w:val="bottom"/>
            <w:tcBorders>
              <w:right w:val="single" w:sz="8" w:color="auto"/>
            </w:tcBorders>
            <w:gridSpan w:val="2"/>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line="20" w:lineRule="exact"/>
              <w:rPr>
                <w:sz w:val="1"/>
                <w:szCs w:val="1"/>
                <w:color w:val="auto"/>
              </w:rPr>
            </w:pPr>
          </w:p>
        </w:tc>
      </w:tr>
      <w:tr>
        <w:trPr>
          <w:trHeight w:val="262"/>
        </w:trPr>
        <w:tc>
          <w:tcPr>
            <w:tcW w:w="560" w:type="dxa"/>
            <w:vAlign w:val="bottom"/>
            <w:gridSpan w:val="2"/>
          </w:tcPr>
          <w:p>
            <w:pPr>
              <w:spacing w:after="0"/>
              <w:rPr>
                <w:sz w:val="20"/>
                <w:szCs w:val="20"/>
                <w:color w:val="auto"/>
              </w:rPr>
            </w:pPr>
            <w:r>
              <w:rPr>
                <w:rFonts w:ascii="Arial" w:cs="Arial" w:eastAsia="Arial" w:hAnsi="Arial"/>
                <w:sz w:val="18"/>
                <w:szCs w:val="18"/>
                <w:color w:val="auto"/>
              </w:rPr>
              <w:t>9C.</w:t>
            </w:r>
          </w:p>
        </w:tc>
        <w:tc>
          <w:tcPr>
            <w:tcW w:w="8380" w:type="dxa"/>
            <w:vAlign w:val="bottom"/>
            <w:gridSpan w:val="30"/>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8"/>
                <w:szCs w:val="18"/>
                <w:color w:val="auto"/>
                <w:w w:val="99"/>
              </w:rPr>
              <w:t>PART III</w:t>
            </w:r>
          </w:p>
        </w:tc>
        <w:tc>
          <w:tcPr>
            <w:tcW w:w="500" w:type="dxa"/>
            <w:vAlign w:val="bottom"/>
            <w:tcBorders>
              <w:top w:val="single" w:sz="8" w:color="auto"/>
            </w:tcBorders>
          </w:tcPr>
          <w:p>
            <w:pPr>
              <w:spacing w:after="0"/>
              <w:rPr>
                <w:sz w:val="20"/>
                <w:szCs w:val="20"/>
                <w:color w:val="auto"/>
              </w:rPr>
            </w:pPr>
          </w:p>
        </w:tc>
        <w:tc>
          <w:tcPr>
            <w:tcW w:w="3600" w:type="dxa"/>
            <w:vAlign w:val="bottom"/>
            <w:gridSpan w:val="6"/>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38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2"/>
                <w:szCs w:val="22"/>
                <w:color w:val="auto"/>
              </w:rPr>
            </w:pPr>
          </w:p>
        </w:tc>
        <w:tc>
          <w:tcPr>
            <w:tcW w:w="404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Executive Compensation</w:t>
            </w:r>
          </w:p>
        </w:tc>
        <w:tc>
          <w:tcPr>
            <w:tcW w:w="4340" w:type="dxa"/>
            <w:vAlign w:val="bottom"/>
            <w:gridSpan w:val="11"/>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line="20" w:lineRule="exact"/>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8380" w:type="dxa"/>
            <w:vAlign w:val="bottom"/>
            <w:gridSpan w:val="30"/>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c>
          <w:tcPr>
            <w:tcW w:w="716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20" w:type="dxa"/>
            <w:vAlign w:val="bottom"/>
            <w:gridSpan w:val="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2"/>
                <w:szCs w:val="22"/>
                <w:color w:val="auto"/>
              </w:rPr>
            </w:pPr>
          </w:p>
        </w:tc>
        <w:tc>
          <w:tcPr>
            <w:tcW w:w="534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rPr>
              <w:t>Principal Accountant Fees and Services</w:t>
            </w:r>
          </w:p>
        </w:tc>
        <w:tc>
          <w:tcPr>
            <w:tcW w:w="304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9"/>
              </w:rPr>
              <w:t>PART IV</w:t>
            </w:r>
          </w:p>
        </w:tc>
        <w:tc>
          <w:tcPr>
            <w:tcW w:w="4100" w:type="dxa"/>
            <w:vAlign w:val="bottom"/>
            <w:gridSpan w:val="7"/>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30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7"/>
              </w:rPr>
              <w:t>Exhibits and Financial Statement Schedule</w:t>
            </w:r>
          </w:p>
        </w:tc>
        <w:tc>
          <w:tcPr>
            <w:tcW w:w="5380" w:type="dxa"/>
            <w:vAlign w:val="bottom"/>
            <w:gridSpan w:val="1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2"/>
                <w:szCs w:val="22"/>
                <w:color w:val="auto"/>
              </w:rPr>
            </w:pPr>
          </w:p>
        </w:tc>
        <w:tc>
          <w:tcPr>
            <w:tcW w:w="14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7"/>
              </w:rPr>
              <w:t>Form 10-K Summary</w:t>
            </w:r>
          </w:p>
        </w:tc>
        <w:tc>
          <w:tcPr>
            <w:tcW w:w="6900" w:type="dxa"/>
            <w:vAlign w:val="bottom"/>
            <w:gridSpan w:val="2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78"/>
              </w:rPr>
              <w:t>Signatures</w:t>
            </w:r>
          </w:p>
        </w:tc>
        <w:tc>
          <w:tcPr>
            <w:tcW w:w="7680" w:type="dxa"/>
            <w:vAlign w:val="bottom"/>
            <w:gridSpan w:val="2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40"/>
          </w:cols>
          <w:pgMar w:left="130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480"/>
        <w:spacing w:after="0"/>
        <w:rPr>
          <w:sz w:val="20"/>
          <w:szCs w:val="20"/>
          <w:color w:val="auto"/>
        </w:rPr>
      </w:pPr>
      <w:r>
        <w:rPr>
          <w:rFonts w:ascii="Arial" w:cs="Arial" w:eastAsia="Arial" w:hAnsi="Arial"/>
          <w:sz w:val="10"/>
          <w:szCs w:val="10"/>
          <w:color w:val="auto"/>
        </w:rPr>
        <w:t>1</w:t>
      </w:r>
    </w:p>
    <w:p>
      <w:pPr>
        <w:sectPr>
          <w:pgSz w:w="11880" w:h="15480" w:orient="portrait"/>
          <w:cols w:equalWidth="0" w:num="1">
            <w:col w:w="9540"/>
          </w:cols>
          <w:pgMar w:left="1300" w:top="530" w:right="1040" w:bottom="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30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This Annual Report on Form 10-K (this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w:t>
      </w:r>
    </w:p>
    <w:p>
      <w:pPr>
        <w:spacing w:after="0"/>
        <w:rPr>
          <w:sz w:val="20"/>
          <w:szCs w:val="20"/>
          <w:color w:val="auto"/>
        </w:rPr>
      </w:pPr>
      <w:r>
        <w:rPr>
          <w:rFonts w:ascii="Arial" w:cs="Arial" w:eastAsia="Arial" w:hAnsi="Arial"/>
          <w:sz w:val="18"/>
          <w:szCs w:val="18"/>
          <w:color w:val="auto"/>
        </w:rPr>
        <w:t>“Securities Act”) and Section 21E of the Securities Exchange Act of 1934, as amended (the “Exchange Act”).  Forward-</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looking statements include all statements that are not historical facts.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Annual Report. These forward-looking statements relate to matters such as our industry, business strategy, costs, and costs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uncertainty,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those described in Part I, “Item 1A—Risk Factors” and Part II, “Item 7—Management’s Discussion and Analysis of Financial Condition and Results of Operations”. The forward-looking statements included in this Annual Report speak only as of the date of this Annual Report or as of the date they are made, as applicable. Except as otherwise required by law, we disclaim any intent or obligation to update any “forward-looking statement” made in this Annual Report to reflect changed assumptions, the occurrence of unanticipated events, or changes to future operating results over time.</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2</w:t>
      </w:r>
    </w:p>
    <w:p>
      <w:pPr>
        <w:sectPr>
          <w:pgSz w:w="11880" w:h="15480" w:orient="portrait"/>
          <w:cols w:equalWidth="0" w:num="1">
            <w:col w:w="9800"/>
          </w:cols>
          <w:pgMar w:left="1040" w:top="523" w:right="1040" w:bottom="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INTRODUCTORY NOTE</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Medline Inc. was incorporated as a Delaware corporation on November 6, 2024. Prior to the completion of its initial public offering (the “IPO”) on December 18, 2025, Medline Inc. undertook certain reorganization transactions (the “Reorganization”) such that Medline Inc. is now a holding company, and its sole material assets are its equity interests held directly or indirectly through wholly owned subsidiaries in Medline Holdings, LP (“Medline Holdings”). Following the IPO, Medline Holdings is the predecessor of Medline Inc. for financial reporting purposes. As the general partner of Medline Holdings, Medline Inc. now operates and controls all of the business and affairs of Medline Holdings and, through Medline Holdings and its subsidiaries, conducts its business. The Reorganization lacks economic substance and therefore is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sheets and statements of comprehensive income.</w:t>
      </w:r>
    </w:p>
    <w:p>
      <w:pPr>
        <w:spacing w:after="0" w:line="25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Medline Inc. had no significant business transactions or activities prior to the Reorganization, and, as a result, the historical financial information reflects that of Medline Holdings.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consolidated financial statements and accompanying notes included herein are prepared in accordance with United States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Certain monetary amounts, percentages, and other figures included in this Annual Report have been subject to rounding adjustments. Percentage amounts included in this Annual Report have been calculated, in some cases, not on the basis of such rounded figures, but on the basis of such amounts prior to rounding. For this reason, percentage amounts in this Annual Report may vary from those obtained by performing the same calculations using the figures, on the face of our consolidated financial statements included elsewhere in this Annual Report. Certain other amounts that appear in this Annual Report may not sum due to rounding.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December 2024, we changed the name of Medline Holdings from Mozart Holdings, LP to Medline Holdings, LP. We will not distinguish between the prior and current name of Medline Holdings and will refer to the current name of Medline Holdings throughout this Annual Report. References in this Annual Report to “Medline,” the “Company,” “we,” “us,” and “our” refer (1) prior to the consummation of the IPO, to Medline Holdings, LP and its consolidated subsidiaries and (2) after the IPO to Medline Inc. and its consolidated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DEFINITIONS</w:t>
      </w: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As used in this Annual Report, unless otherwise noted or the context requires otherwise, the following terms have the following meanings:</w:t>
      </w:r>
    </w:p>
    <w:p>
      <w:pPr>
        <w:spacing w:after="0" w:line="263" w:lineRule="exact"/>
        <w:rPr>
          <w:sz w:val="20"/>
          <w:szCs w:val="20"/>
          <w:color w:val="auto"/>
        </w:rPr>
      </w:pPr>
    </w:p>
    <w:p>
      <w:pPr>
        <w:jc w:val="both"/>
        <w:ind w:left="720" w:hanging="364"/>
        <w:spacing w:after="0" w:line="276" w:lineRule="auto"/>
        <w:tabs>
          <w:tab w:leader="none" w:pos="720" w:val="left"/>
        </w:tabs>
        <w:numPr>
          <w:ilvl w:val="0"/>
          <w:numId w:val="3"/>
        </w:numPr>
        <w:rPr>
          <w:rFonts w:ascii="Arial" w:cs="Arial" w:eastAsia="Arial" w:hAnsi="Arial"/>
          <w:sz w:val="24"/>
          <w:szCs w:val="24"/>
          <w:b w:val="1"/>
          <w:bCs w:val="1"/>
          <w:color w:val="auto"/>
        </w:rPr>
      </w:pPr>
      <w:r>
        <w:rPr>
          <w:rFonts w:ascii="Arial" w:cs="Arial" w:eastAsia="Arial" w:hAnsi="Arial"/>
          <w:sz w:val="20"/>
          <w:szCs w:val="20"/>
          <w:color w:val="auto"/>
        </w:rPr>
        <w:t>“Class A Units” refers to the interests in Medline Holdings called “Class A Units” that were outstanding prior to the Reclassification. In connection with the Reclassification, (i) Class A Units held by Common Unitholders were converted into Common Units and (ii) Class A Units held by Exchanging Class A Unitholders were directly or indirectly exchanged for shares of Class A common stock.</w:t>
      </w:r>
    </w:p>
    <w:p>
      <w:pPr>
        <w:spacing w:after="0" w:line="21" w:lineRule="exact"/>
        <w:rPr>
          <w:rFonts w:ascii="Arial" w:cs="Arial" w:eastAsia="Arial" w:hAnsi="Arial"/>
          <w:sz w:val="24"/>
          <w:szCs w:val="24"/>
          <w:b w:val="1"/>
          <w:bCs w:val="1"/>
          <w:color w:val="auto"/>
        </w:rPr>
      </w:pPr>
    </w:p>
    <w:p>
      <w:pPr>
        <w:jc w:val="both"/>
        <w:ind w:left="720" w:hanging="364"/>
        <w:spacing w:after="0" w:line="327"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“Class B Units” refers to the interests in Medline Holdings called “Class B Units” that were outstanding prior to the Reclassification, and does not include CUPI Units. In connection with the Reclassification, (i) Class B Units held by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3</w:t>
      </w:r>
    </w:p>
    <w:p>
      <w:pPr>
        <w:sectPr>
          <w:pgSz w:w="11880" w:h="15480" w:orient="portrait"/>
          <w:cols w:equalWidth="0" w:num="1">
            <w:col w:w="9800"/>
          </w:cols>
          <w:pgMar w:left="1040" w:top="523" w:right="1040" w:bottom="8" w:gutter="0" w:footer="0" w:header="0"/>
          <w:type w:val="continuous"/>
        </w:sectPr>
      </w:pPr>
    </w:p>
    <w:bookmarkStart w:id="4" w:name="page5"/>
    <w:bookmarkEnd w:id="4"/>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“Common Units” refers to the new class of units of Medline Holdings created by the Reclassification and does not include Incentive Units.</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“Common Unitholders” refers to certain pre-IPO holders of Class A Units and/or CUPI Units who hold Common Units following the Reclassification.</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“Incentive Unitholders” refers to certain pre-IPO holders of Class B Units who will hold Incentive Units following the Reclassification, as described under “Organizational Structure.”</w:t>
      </w:r>
    </w:p>
    <w:p>
      <w:pPr>
        <w:spacing w:after="0" w:line="9" w:lineRule="exact"/>
        <w:rPr>
          <w:rFonts w:ascii="Arial" w:cs="Arial" w:eastAsia="Arial" w:hAnsi="Arial"/>
          <w:sz w:val="24"/>
          <w:szCs w:val="24"/>
          <w:color w:val="auto"/>
        </w:rPr>
      </w:pPr>
    </w:p>
    <w:p>
      <w:pPr>
        <w:ind w:left="720" w:hanging="364"/>
        <w:spacing w:after="0"/>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“Continuing Unitholders” refers collectively to Common Unitholders and Incentive Unitholders.</w:t>
      </w:r>
    </w:p>
    <w:p>
      <w:pPr>
        <w:spacing w:after="0" w:line="25" w:lineRule="exact"/>
        <w:rPr>
          <w:rFonts w:ascii="Arial" w:cs="Arial" w:eastAsia="Arial" w:hAnsi="Arial"/>
          <w:sz w:val="24"/>
          <w:szCs w:val="24"/>
          <w:color w:val="auto"/>
        </w:rPr>
      </w:pPr>
    </w:p>
    <w:p>
      <w:pPr>
        <w:jc w:val="both"/>
        <w:ind w:left="720" w:hanging="364"/>
        <w:spacing w:after="0" w:line="290" w:lineRule="auto"/>
        <w:tabs>
          <w:tab w:leader="none" w:pos="720" w:val="left"/>
        </w:tabs>
        <w:numPr>
          <w:ilvl w:val="0"/>
          <w:numId w:val="4"/>
        </w:numPr>
        <w:rPr>
          <w:rFonts w:ascii="Arial" w:cs="Arial" w:eastAsia="Arial" w:hAnsi="Arial"/>
          <w:sz w:val="23"/>
          <w:szCs w:val="23"/>
          <w:color w:val="auto"/>
        </w:rPr>
      </w:pPr>
      <w:r>
        <w:rPr>
          <w:rFonts w:ascii="Arial" w:cs="Arial" w:eastAsia="Arial" w:hAnsi="Arial"/>
          <w:sz w:val="19"/>
          <w:szCs w:val="19"/>
          <w:color w:val="auto"/>
        </w:rPr>
        <w:t>“CUPI Units” refers to the interests in Medline Holdings that were designated as “Catch-Up Class B Units” and outstanding prior to the Reclassification. In connection with the Reclassification, (i) CUPI Units held by Common Unitholders were converted into Common Units and (ii) CUPI Units held by Exchanging CUPI Unitholders were directly or indirectly exchanged for shares of Class A common stock.</w:t>
      </w:r>
    </w:p>
    <w:p>
      <w:pPr>
        <w:spacing w:after="0" w:line="28" w:lineRule="exact"/>
        <w:rPr>
          <w:rFonts w:ascii="Arial" w:cs="Arial" w:eastAsia="Arial" w:hAnsi="Arial"/>
          <w:sz w:val="23"/>
          <w:szCs w:val="23"/>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“Designating Stockholder” refers to each of our Principal Stockholders with whom we entered into separate director nomination agreements.</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“Exchanging Class A Unitholder” refers to pre-IPO holders of Class A Units whose Class A Units were directly or indirectly exchanged for shares of Class A common stock following the Reclassification.</w:t>
      </w:r>
    </w:p>
    <w:p>
      <w:pPr>
        <w:spacing w:after="0" w:line="26" w:lineRule="exact"/>
        <w:rPr>
          <w:rFonts w:ascii="Arial" w:cs="Arial" w:eastAsia="Arial" w:hAnsi="Arial"/>
          <w:sz w:val="24"/>
          <w:szCs w:val="24"/>
          <w:color w:val="auto"/>
        </w:rPr>
      </w:pPr>
    </w:p>
    <w:p>
      <w:pPr>
        <w:jc w:val="both"/>
        <w:ind w:left="720" w:hanging="364"/>
        <w:spacing w:after="0" w:line="298"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18"/>
          <w:szCs w:val="18"/>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p>
    <w:p>
      <w:pPr>
        <w:spacing w:after="0" w:line="27" w:lineRule="exact"/>
        <w:rPr>
          <w:rFonts w:ascii="Arial" w:cs="Arial" w:eastAsia="Arial" w:hAnsi="Arial"/>
          <w:sz w:val="22"/>
          <w:szCs w:val="22"/>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“Exchanging CUPI Unitholder” refers to pre-IPO holders of CUPI Units whose CUPI Units were directly or indirectly exchanged for shares of Class A common stock following the Reclassification.</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“Exchanging Unitholders” refers collectively to Exchanging Class A Unitholders, Exchanging CUPI Unitholders, and Exchanging Class B Unitholders.</w:t>
      </w:r>
    </w:p>
    <w:p>
      <w:pPr>
        <w:spacing w:after="0" w:line="26" w:lineRule="exact"/>
        <w:rPr>
          <w:rFonts w:ascii="Arial" w:cs="Arial" w:eastAsia="Arial" w:hAnsi="Arial"/>
          <w:sz w:val="24"/>
          <w:szCs w:val="24"/>
          <w:color w:val="auto"/>
        </w:rPr>
      </w:pPr>
    </w:p>
    <w:p>
      <w:pPr>
        <w:jc w:val="both"/>
        <w:ind w:left="720" w:hanging="364"/>
        <w:spacing w:after="0" w:line="280"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p>
    <w:p>
      <w:pPr>
        <w:spacing w:after="0" w:line="30"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“Principal Stockholders” refers collectively to investment funds associated with Blackstone Inc., The Carlyle Group Inc. and Hellman &amp; Friedman LLC, and members of the Mills family.</w:t>
      </w:r>
    </w:p>
    <w:p>
      <w:pPr>
        <w:spacing w:after="0" w:line="26" w:lineRule="exact"/>
        <w:rPr>
          <w:rFonts w:ascii="Arial" w:cs="Arial" w:eastAsia="Arial" w:hAnsi="Arial"/>
          <w:sz w:val="24"/>
          <w:szCs w:val="24"/>
          <w:color w:val="auto"/>
        </w:rPr>
      </w:pPr>
    </w:p>
    <w:p>
      <w:pPr>
        <w:ind w:left="720" w:hanging="364"/>
        <w:spacing w:after="0"/>
        <w:tabs>
          <w:tab w:leader="none" w:pos="72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“Reclassification” refers to the reclassification of the partnership interests of Medline Holdings prior to the IPO.</w:t>
      </w:r>
    </w:p>
    <w:p>
      <w:pPr>
        <w:spacing w:after="0" w:line="27" w:lineRule="exact"/>
        <w:rPr>
          <w:rFonts w:ascii="Arial" w:cs="Arial" w:eastAsia="Arial" w:hAnsi="Arial"/>
          <w:sz w:val="22"/>
          <w:szCs w:val="22"/>
          <w:color w:val="auto"/>
        </w:rPr>
      </w:pPr>
    </w:p>
    <w:p>
      <w:pPr>
        <w:ind w:left="720" w:hanging="364"/>
        <w:spacing w:after="0"/>
        <w:tabs>
          <w:tab w:leader="none" w:pos="720" w:val="left"/>
        </w:tabs>
        <w:numPr>
          <w:ilvl w:val="0"/>
          <w:numId w:val="4"/>
        </w:numPr>
        <w:rPr>
          <w:rFonts w:ascii="Arial" w:cs="Arial" w:eastAsia="Arial" w:hAnsi="Arial"/>
          <w:sz w:val="23"/>
          <w:szCs w:val="23"/>
          <w:color w:val="auto"/>
        </w:rPr>
      </w:pPr>
      <w:r>
        <w:rPr>
          <w:rFonts w:ascii="Arial" w:cs="Arial" w:eastAsia="Arial" w:hAnsi="Arial"/>
          <w:sz w:val="19"/>
          <w:szCs w:val="19"/>
          <w:color w:val="auto"/>
        </w:rPr>
        <w:t>“Sponsors” refers collectively to Blackstone Inc., The Carlyle Group Inc., and Hellman &amp; Friedman LLC.</w:t>
      </w:r>
    </w:p>
    <w:p>
      <w:pPr>
        <w:spacing w:after="0" w:line="12" w:lineRule="exact"/>
        <w:rPr>
          <w:rFonts w:ascii="Arial" w:cs="Arial" w:eastAsia="Arial" w:hAnsi="Arial"/>
          <w:sz w:val="23"/>
          <w:szCs w:val="23"/>
          <w:color w:val="auto"/>
        </w:rPr>
      </w:pPr>
    </w:p>
    <w:p>
      <w:pPr>
        <w:ind w:left="720" w:hanging="364"/>
        <w:spacing w:after="0" w:line="237" w:lineRule="auto"/>
        <w:tabs>
          <w:tab w:leader="none" w:pos="720" w:val="left"/>
        </w:tabs>
        <w:numPr>
          <w:ilvl w:val="0"/>
          <w:numId w:val="4"/>
        </w:numPr>
        <w:rPr>
          <w:rFonts w:ascii="Arial" w:cs="Arial" w:eastAsia="Arial" w:hAnsi="Arial"/>
          <w:sz w:val="24"/>
          <w:szCs w:val="24"/>
          <w:color w:val="auto"/>
        </w:rPr>
      </w:pPr>
      <w:r>
        <w:rPr>
          <w:rFonts w:ascii="Arial" w:cs="Arial" w:eastAsia="Arial" w:hAnsi="Arial"/>
          <w:sz w:val="20"/>
          <w:szCs w:val="20"/>
          <w:color w:val="auto"/>
        </w:rPr>
        <w:t>“Units” refers collectively to Common Units and Incentive Units.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Risk Factors</w:t>
      </w:r>
    </w:p>
    <w:p>
      <w:pPr>
        <w:spacing w:after="0" w:line="28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following is a summary of the principal factors that make an investment in our securities speculative or risky, all of which are more fully described below. This summary should be read together with the risk factors described under Part I,</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“Item 1A</w:t>
      </w:r>
      <w:r>
        <w:rPr>
          <w:rFonts w:ascii="Arial" w:cs="Arial" w:eastAsia="Arial" w:hAnsi="Arial"/>
          <w:sz w:val="20"/>
          <w:szCs w:val="20"/>
          <w:b w:val="1"/>
          <w:bCs w:val="1"/>
          <w:i w:val="1"/>
          <w:iCs w:val="1"/>
          <w:color w:val="auto"/>
        </w:rPr>
        <w:t>—</w:t>
      </w:r>
      <w:r>
        <w:rPr>
          <w:rFonts w:ascii="Arial" w:cs="Arial" w:eastAsia="Arial" w:hAnsi="Arial"/>
          <w:sz w:val="19"/>
          <w:szCs w:val="19"/>
          <w:color w:val="auto"/>
        </w:rPr>
        <w:t>Risk Factors” and should not be relied upon as an exhaustive summary of the material risks facing our business. In addition to the following summary, you should consider the information set forth below and the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contained in this Annual Report before investing in our securities.</w:t>
      </w:r>
    </w:p>
    <w:p>
      <w:pPr>
        <w:spacing w:after="0" w:line="318" w:lineRule="exact"/>
        <w:rPr>
          <w:sz w:val="20"/>
          <w:szCs w:val="20"/>
          <w:color w:val="auto"/>
        </w:rPr>
      </w:pPr>
    </w:p>
    <w:p>
      <w:pPr>
        <w:ind w:left="720" w:hanging="364"/>
        <w:spacing w:after="0" w:line="258"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Our global operations are subject to inherent risks that could materially adversely affect our business, results of operations, and financial condition.</w:t>
      </w:r>
    </w:p>
    <w:p>
      <w:pPr>
        <w:spacing w:after="0" w:line="26"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We may be unable to derive fully the anticipated benefits from our existing or future acquisitions, joint ventures, investments, dispositions, or other strategic transactions.</w:t>
      </w:r>
    </w:p>
    <w:p>
      <w:pPr>
        <w:spacing w:after="0" w:line="26"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Consolidation in the healthcare industry could have an adverse effect on our business, results of operations, and financial condition.</w:t>
      </w:r>
    </w:p>
    <w:p>
      <w:pPr>
        <w:spacing w:after="0" w:line="21" w:lineRule="exact"/>
        <w:rPr>
          <w:rFonts w:ascii="Arial" w:cs="Arial" w:eastAsia="Arial" w:hAnsi="Arial"/>
          <w:sz w:val="24"/>
          <w:szCs w:val="24"/>
          <w:b w:val="1"/>
          <w:bCs w:val="1"/>
          <w:color w:val="auto"/>
        </w:rPr>
      </w:pPr>
    </w:p>
    <w:p>
      <w:pPr>
        <w:ind w:left="720" w:hanging="364"/>
        <w:spacing w:after="0"/>
        <w:tabs>
          <w:tab w:leader="none" w:pos="720" w:val="left"/>
        </w:tabs>
        <w:numPr>
          <w:ilvl w:val="0"/>
          <w:numId w:val="5"/>
        </w:numPr>
        <w:rPr>
          <w:rFonts w:ascii="Arial" w:cs="Arial" w:eastAsia="Arial" w:hAnsi="Arial"/>
          <w:sz w:val="23"/>
          <w:szCs w:val="23"/>
          <w:b w:val="1"/>
          <w:bCs w:val="1"/>
          <w:color w:val="auto"/>
        </w:rPr>
      </w:pPr>
      <w:r>
        <w:rPr>
          <w:rFonts w:ascii="Arial" w:cs="Arial" w:eastAsia="Arial" w:hAnsi="Arial"/>
          <w:sz w:val="19"/>
          <w:szCs w:val="19"/>
          <w:color w:val="auto"/>
        </w:rPr>
        <w:t>We operate in a highly competitive industry, with accelerating pricing pressure and changes in technology.</w:t>
      </w:r>
    </w:p>
    <w:p>
      <w:pPr>
        <w:spacing w:after="0" w:line="16" w:lineRule="exact"/>
        <w:rPr>
          <w:rFonts w:ascii="Arial" w:cs="Arial" w:eastAsia="Arial" w:hAnsi="Arial"/>
          <w:sz w:val="23"/>
          <w:szCs w:val="23"/>
          <w:b w:val="1"/>
          <w:bCs w:val="1"/>
          <w:color w:val="auto"/>
        </w:rPr>
      </w:pPr>
    </w:p>
    <w:p>
      <w:pPr>
        <w:ind w:left="720" w:hanging="364"/>
        <w:spacing w:after="0" w:line="234"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Changes to the U.S. and global healthcare environments may not be favorable to us.</w:t>
      </w:r>
    </w:p>
    <w:p>
      <w:pPr>
        <w:spacing w:after="0" w:line="16" w:lineRule="exact"/>
        <w:rPr>
          <w:rFonts w:ascii="Arial" w:cs="Arial" w:eastAsia="Arial" w:hAnsi="Arial"/>
          <w:sz w:val="24"/>
          <w:szCs w:val="24"/>
          <w:b w:val="1"/>
          <w:bCs w:val="1"/>
          <w:color w:val="auto"/>
        </w:rPr>
      </w:pPr>
    </w:p>
    <w:p>
      <w:pPr>
        <w:ind w:left="720" w:hanging="364"/>
        <w:spacing w:after="0" w:line="234"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Increases in shipping costs or service issues with our third-party shippers could harm our business.</w:t>
      </w:r>
    </w:p>
    <w:p>
      <w:pPr>
        <w:sectPr>
          <w:pgSz w:w="11880" w:h="15480" w:orient="portrait"/>
          <w:cols w:equalWidth="0" w:num="1">
            <w:col w:w="9800"/>
          </w:cols>
          <w:pgMar w:left="1040" w:top="557" w:right="1040" w:bottom="8" w:gutter="0" w:footer="0" w:header="0"/>
        </w:sectPr>
      </w:pPr>
    </w:p>
    <w:p>
      <w:pPr>
        <w:spacing w:after="0" w:line="368"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4</w:t>
      </w:r>
    </w:p>
    <w:p>
      <w:pPr>
        <w:sectPr>
          <w:pgSz w:w="11880" w:h="15480" w:orient="portrait"/>
          <w:cols w:equalWidth="0" w:num="1">
            <w:col w:w="9800"/>
          </w:cols>
          <w:pgMar w:left="1040" w:top="557" w:right="1040" w:bottom="8" w:gutter="0" w:footer="0" w:header="0"/>
          <w:type w:val="continuous"/>
        </w:sectPr>
      </w:pPr>
    </w:p>
    <w:bookmarkStart w:id="5" w:name="page6"/>
    <w:bookmarkEnd w:id="5"/>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Significant challenges or delays in our sourcing of new products and technologies could have an adverse impact on our long-term success.</w:t>
      </w:r>
    </w:p>
    <w:p>
      <w:pPr>
        <w:spacing w:after="0" w:line="9" w:lineRule="exact"/>
        <w:rPr>
          <w:rFonts w:ascii="Arial" w:cs="Arial" w:eastAsia="Arial" w:hAnsi="Arial"/>
          <w:sz w:val="24"/>
          <w:szCs w:val="24"/>
          <w:b w:val="1"/>
          <w:bCs w:val="1"/>
          <w:color w:val="auto"/>
        </w:rPr>
      </w:pPr>
    </w:p>
    <w:p>
      <w:pPr>
        <w:ind w:left="720" w:hanging="364"/>
        <w:spacing w:after="0"/>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We have concentration in and dependence on certain healthcare provider customers and GPOs.</w:t>
      </w:r>
    </w:p>
    <w:p>
      <w:pPr>
        <w:spacing w:after="0" w:line="25"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Our business and operations depend on the proper functioning of our critical facilities and distribution networks and could be negatively impacted by events outside our control.</w:t>
      </w:r>
    </w:p>
    <w:p>
      <w:pPr>
        <w:spacing w:after="0" w:line="26"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10" w:lineRule="exact"/>
        <w:rPr>
          <w:rFonts w:ascii="Arial" w:cs="Arial" w:eastAsia="Arial" w:hAnsi="Arial"/>
          <w:sz w:val="24"/>
          <w:szCs w:val="24"/>
          <w:b w:val="1"/>
          <w:bCs w:val="1"/>
          <w:color w:val="auto"/>
        </w:rPr>
      </w:pPr>
    </w:p>
    <w:p>
      <w:pPr>
        <w:ind w:left="720" w:hanging="364"/>
        <w:spacing w:after="0"/>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Our failure to establish and maintain Prime Vendor relationships may cause our revenue to decline.</w:t>
      </w:r>
    </w:p>
    <w:p>
      <w:pPr>
        <w:spacing w:after="0" w:line="25"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27"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Any failure by or loss of a third-party manufacturer or supplier or other manufacturing or supply-related impacts could result in delays and increased costs, which may adversely affect our business.</w:t>
      </w:r>
    </w:p>
    <w:p>
      <w:pPr>
        <w:spacing w:after="0" w:line="26"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We rely on the proper function, security, and availability of our information technology systems and data, as well as those of third parties throughout our global supply chain, to operate our business.</w:t>
      </w:r>
    </w:p>
    <w:p>
      <w:pPr>
        <w:spacing w:after="0" w:line="26"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27"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27" w:lineRule="exact"/>
        <w:rPr>
          <w:rFonts w:ascii="Arial" w:cs="Arial" w:eastAsia="Arial" w:hAnsi="Arial"/>
          <w:sz w:val="24"/>
          <w:szCs w:val="24"/>
          <w:b w:val="1"/>
          <w:bCs w:val="1"/>
          <w:color w:val="auto"/>
        </w:rPr>
      </w:pPr>
    </w:p>
    <w:p>
      <w:pPr>
        <w:jc w:val="both"/>
        <w:ind w:left="720" w:hanging="364"/>
        <w:spacing w:after="0" w:line="283" w:lineRule="auto"/>
        <w:tabs>
          <w:tab w:leader="none" w:pos="720" w:val="left"/>
        </w:tabs>
        <w:numPr>
          <w:ilvl w:val="0"/>
          <w:numId w:val="6"/>
        </w:numPr>
        <w:rPr>
          <w:rFonts w:ascii="Arial" w:cs="Arial" w:eastAsia="Arial" w:hAnsi="Arial"/>
          <w:sz w:val="23"/>
          <w:szCs w:val="23"/>
          <w:b w:val="1"/>
          <w:bCs w:val="1"/>
          <w:color w:val="auto"/>
        </w:rPr>
      </w:pPr>
      <w:r>
        <w:rPr>
          <w:rFonts w:ascii="Arial" w:cs="Arial" w:eastAsia="Arial" w:hAnsi="Arial"/>
          <w:sz w:val="19"/>
          <w:szCs w:val="19"/>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28" w:lineRule="exact"/>
        <w:rPr>
          <w:rFonts w:ascii="Arial" w:cs="Arial" w:eastAsia="Arial" w:hAnsi="Arial"/>
          <w:sz w:val="23"/>
          <w:szCs w:val="23"/>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27" w:lineRule="exact"/>
        <w:rPr>
          <w:rFonts w:ascii="Arial" w:cs="Arial" w:eastAsia="Arial" w:hAnsi="Arial"/>
          <w:sz w:val="24"/>
          <w:szCs w:val="24"/>
          <w:b w:val="1"/>
          <w:bCs w:val="1"/>
          <w:color w:val="auto"/>
        </w:rPr>
      </w:pPr>
    </w:p>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Uncertain global and domestic macro-economic and political conditions could materially adversely affect our business, results of operations, and financial condition.</w:t>
      </w:r>
    </w:p>
    <w:p>
      <w:pPr>
        <w:spacing w:after="0" w:line="26"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27" w:lineRule="exact"/>
        <w:rPr>
          <w:rFonts w:ascii="Arial" w:cs="Arial" w:eastAsia="Arial" w:hAnsi="Arial"/>
          <w:sz w:val="24"/>
          <w:szCs w:val="24"/>
          <w:b w:val="1"/>
          <w:bCs w:val="1"/>
          <w:color w:val="auto"/>
        </w:rPr>
      </w:pPr>
    </w:p>
    <w:p>
      <w:pPr>
        <w:jc w:val="both"/>
        <w:ind w:left="720" w:hanging="364"/>
        <w:spacing w:after="0" w:line="270"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27" w:lineRule="exact"/>
        <w:rPr>
          <w:rFonts w:ascii="Arial" w:cs="Arial" w:eastAsia="Arial" w:hAnsi="Arial"/>
          <w:sz w:val="24"/>
          <w:szCs w:val="24"/>
          <w:b w:val="1"/>
          <w:bCs w:val="1"/>
          <w:color w:val="auto"/>
        </w:rPr>
      </w:pPr>
    </w:p>
    <w:p>
      <w:pPr>
        <w:jc w:val="both"/>
        <w:ind w:left="720" w:hanging="364"/>
        <w:spacing w:after="0" w:line="298" w:lineRule="auto"/>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27" w:lineRule="exact"/>
        <w:rPr>
          <w:rFonts w:ascii="Arial" w:cs="Arial" w:eastAsia="Arial" w:hAnsi="Arial"/>
          <w:sz w:val="22"/>
          <w:szCs w:val="22"/>
          <w:b w:val="1"/>
          <w:bCs w:val="1"/>
          <w:color w:val="auto"/>
        </w:rPr>
      </w:pPr>
    </w:p>
    <w:p>
      <w:pPr>
        <w:ind w:left="720" w:hanging="364"/>
        <w:spacing w:after="0" w:line="258" w:lineRule="auto"/>
        <w:tabs>
          <w:tab w:leader="none" w:pos="720" w:val="left"/>
        </w:tabs>
        <w:numPr>
          <w:ilvl w:val="0"/>
          <w:numId w:val="6"/>
        </w:numPr>
        <w:rPr>
          <w:rFonts w:ascii="Arial" w:cs="Arial" w:eastAsia="Arial" w:hAnsi="Arial"/>
          <w:sz w:val="24"/>
          <w:szCs w:val="24"/>
          <w:b w:val="1"/>
          <w:bCs w:val="1"/>
          <w:color w:val="auto"/>
        </w:rPr>
      </w:pPr>
      <w:r>
        <w:rPr>
          <w:rFonts w:ascii="Arial" w:cs="Arial" w:eastAsia="Arial" w:hAnsi="Arial"/>
          <w:sz w:val="20"/>
          <w:szCs w:val="20"/>
          <w:color w:val="auto"/>
        </w:rPr>
        <w:t>The Designating Stockholders hold a significant percentage of our stock, and their interests may conflict with ours or yours in the future.</w:t>
      </w:r>
    </w:p>
    <w:p>
      <w:pPr>
        <w:spacing w:after="0" w:line="18" w:lineRule="exact"/>
        <w:rPr>
          <w:rFonts w:ascii="Arial" w:cs="Arial" w:eastAsia="Arial" w:hAnsi="Arial"/>
          <w:sz w:val="24"/>
          <w:szCs w:val="24"/>
          <w:b w:val="1"/>
          <w:bCs w:val="1"/>
          <w:color w:val="auto"/>
        </w:rPr>
      </w:pPr>
    </w:p>
    <w:p>
      <w:pPr>
        <w:jc w:val="both"/>
        <w:ind w:left="720" w:hanging="364"/>
        <w:spacing w:after="0" w:line="284" w:lineRule="auto"/>
        <w:tabs>
          <w:tab w:leader="none" w:pos="720" w:val="left"/>
        </w:tabs>
        <w:numPr>
          <w:ilvl w:val="0"/>
          <w:numId w:val="6"/>
        </w:numPr>
        <w:rPr>
          <w:rFonts w:ascii="Arial" w:cs="Arial" w:eastAsia="Arial" w:hAnsi="Arial"/>
          <w:sz w:val="24"/>
          <w:szCs w:val="24"/>
          <w:color w:val="auto"/>
        </w:rPr>
      </w:pPr>
      <w:r>
        <w:rPr>
          <w:rFonts w:ascii="Arial" w:cs="Arial" w:eastAsia="Arial" w:hAnsi="Arial"/>
          <w:sz w:val="20"/>
          <w:szCs w:val="20"/>
          <w:color w:val="auto"/>
        </w:rPr>
        <w:t>Our amended and restated certificate of incorporation does not limit the ability of our Sponsors, the Mills family, and certain other pre-IPO investors to compete with us, and they may have investments in businesses whose interests conflict with ours.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market price of shares of our Class A common stock may be volatile or may decline regardless of our operating performance, which could cause the value of your investment to decline.</w:t>
      </w:r>
    </w:p>
    <w:p>
      <w:pPr>
        <w:sectPr>
          <w:pgSz w:w="11880" w:h="15480" w:orient="portrait"/>
          <w:cols w:equalWidth="0" w:num="1">
            <w:col w:w="9800"/>
          </w:cols>
          <w:pgMar w:left="1040" w:top="565"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5</w:t>
      </w:r>
    </w:p>
    <w:p>
      <w:pPr>
        <w:sectPr>
          <w:pgSz w:w="11880" w:h="15480" w:orient="portrait"/>
          <w:cols w:equalWidth="0" w:num="1">
            <w:col w:w="9800"/>
          </w:cols>
          <w:pgMar w:left="1040" w:top="565" w:right="1040" w:bottom="8"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Market and Industry Data</w:t>
      </w:r>
    </w:p>
    <w:p>
      <w:pPr>
        <w:spacing w:after="0" w:line="30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Unless otherwise indicated, information contained in this Annual Report concerning our industry, competitive position, and the markets in which we operate is based on information from independent industry and research organizations, other third-party sources and management estimates. Although we believe that these third-party sources are reliable, we do not guarantee the accuracy or completeness of this information, and we have not independently verified this information. Management estimates are derived from information obtained from surveys, reports by market research firms, our customers, distributors, suppliers, trade and business organizations, and other contacts in the markets in which we operate and have not been verified by independent sources, and are based on assumptions made by us upon reviewing such data, and our experience in, and knowledge of, such industry and markets, which we believe to be reasonable. In addition, assumptions and estimates of our and our industry’s future performance are subject to a high degree of uncertainty and risk due to a variety of factors, including those described in Part I, “Item 1A—Risk Factors” and “Cautionary Note Regarding Forward-Looking Statements.” These and other factors could cause results to differ materially from those expressed in the estimates made by the independent parties and by us.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30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own or have the right to use trademarks, trade names, and service marks used in connection with our business, including, but not limited to, Medline, Curad, Microtek, Hudson, and Proxima. All trademarks, trade names, and service marks referred to in this Annual Report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Annual Report may appear without the ®, ™ or SM symbols, but such references are not intended to indicate, in any way, that we will not assert, to the fullest extent under applicable law, our rights or the right of the applicable licensor to these trademarks, trade names, and service marks.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6</w:t>
      </w:r>
    </w:p>
    <w:p>
      <w:pPr>
        <w:sectPr>
          <w:pgSz w:w="11880" w:h="15480" w:orient="portrait"/>
          <w:cols w:equalWidth="0" w:num="1">
            <w:col w:w="9800"/>
          </w:cols>
          <w:pgMar w:left="1040" w:top="523" w:right="1040" w:bottom="8"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PART I</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5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Medline Inc. (together with its subsidiaries, “Medline”, “the Company”, “we”, “ours” and “us”) is the largest provider of medical-surgical (“med-surg”) products and supply chain solutions serving all points of care, based on total net sales of med-surg products. Medline was founded in 1966 and today delivers mission-critical products used daily across the full range of care settings, from hospitals and surgery centers to physician offices and post-acute facilities. Our mission is to make healthcare run better by delivering improved clinical, financial, and operational outcomes.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two reportable segments, Medline Brand and Supply Chain Solutions, the combination of which addresses critical needs in the market through a comprehensive solution. They are both supported by our Prime Vendor model, differentiated distribution network, and robust commercial platform. Through our two segments, we offer approximately 335,000 med-surg products, including surgical and procedural kits, gloves and protective apparel, urological and incontinence care, wound care, and consumable lab and diagnostics products. We distribute these products through our expansive network of global distribution facilities and our owned fleet of MedTrans trucks.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Medline Brand</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As of December 31, 2025, we offer our customers approximately 190,000 med-surg products through our Medline Brand segment and hold leading positions across many key product families for our Medline Brand products. Our Medline Brand products are organized into three product categories: Front Line Care, Surgical Solutions, and Laboratory and Diagnostics.</w:t>
      </w:r>
    </w:p>
    <w:p>
      <w:pPr>
        <w:spacing w:after="0" w:line="158" w:lineRule="exact"/>
        <w:rPr>
          <w:sz w:val="20"/>
          <w:szCs w:val="20"/>
          <w:color w:val="auto"/>
        </w:rPr>
      </w:pPr>
    </w:p>
    <w:p>
      <w:pPr>
        <w:jc w:val="both"/>
        <w:ind w:left="720" w:hanging="364"/>
        <w:spacing w:after="0" w:line="285"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Front Line Care </w:t>
      </w:r>
      <w:r>
        <w:rPr>
          <w:rFonts w:ascii="Arial" w:cs="Arial" w:eastAsia="Arial" w:hAnsi="Arial"/>
          <w:sz w:val="19"/>
          <w:szCs w:val="19"/>
          <w:color w:val="auto"/>
        </w:rPr>
        <w:t>offers mission-critical med-surg products for patient-facing needs, including wound care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exam gloves, skin care and incontinence products, environment cleaning supplies, textiles, hand sanitizer, durable medical equipment, patient plastics, and decolonization and infection control products.</w:t>
      </w:r>
    </w:p>
    <w:p>
      <w:pPr>
        <w:spacing w:after="0" w:line="172" w:lineRule="exact"/>
        <w:rPr>
          <w:rFonts w:ascii="Arial" w:cs="Arial" w:eastAsia="Arial" w:hAnsi="Arial"/>
          <w:sz w:val="19"/>
          <w:szCs w:val="19"/>
          <w:color w:val="auto"/>
        </w:rPr>
      </w:pPr>
    </w:p>
    <w:p>
      <w:pPr>
        <w:jc w:val="both"/>
        <w:ind w:left="720" w:hanging="364"/>
        <w:spacing w:after="0" w:line="26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Surgical Solutions </w:t>
      </w:r>
      <w:r>
        <w:rPr>
          <w:rFonts w:ascii="Arial" w:cs="Arial" w:eastAsia="Arial" w:hAnsi="Arial"/>
          <w:sz w:val="20"/>
          <w:szCs w:val="20"/>
          <w:color w:val="auto"/>
        </w:rPr>
        <w:t>offers operating room and perioperative environment product solutions, including surgical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procedure trays, drapes and gowns, personal protective equipment, sterile wraps, surgical instruments, surgeon’s gloves, procedure kits, and orthopedic implants.</w:t>
      </w:r>
    </w:p>
    <w:p>
      <w:pPr>
        <w:spacing w:after="0" w:line="72" w:lineRule="exact"/>
        <w:rPr>
          <w:rFonts w:ascii="Arial" w:cs="Arial" w:eastAsia="Arial" w:hAnsi="Arial"/>
          <w:sz w:val="20"/>
          <w:szCs w:val="20"/>
          <w:color w:val="auto"/>
        </w:rPr>
      </w:pPr>
    </w:p>
    <w:p>
      <w:pPr>
        <w:jc w:val="both"/>
        <w:ind w:left="720" w:hanging="364"/>
        <w:spacing w:after="0" w:line="26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Laboratory and Diagnostics </w:t>
      </w:r>
      <w:r>
        <w:rPr>
          <w:rFonts w:ascii="Arial" w:cs="Arial" w:eastAsia="Arial" w:hAnsi="Arial"/>
          <w:sz w:val="20"/>
          <w:szCs w:val="20"/>
          <w:color w:val="auto"/>
        </w:rPr>
        <w:t>offers a full range of laboratory and diagnostic product solutions, including point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care testing, analyzers and instrumentation, lab and diagnostic consumables, diagnostic instruments, vital signs monitors, and anatomic pathology and phlebotomy products.</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product development approach incorporates customer feedback and ongoing innovation. We are also committed to delivering products of the highest standard, which is reflected by our robust quality team embedded across our manufacturing and sourcing locations. The expertise of our research and development team and quality team helps ensure products bearing the Medline brand meet both our rigorous quality standards and our customers’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Chain Solutions</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As of December 31, 2025, we offer approximately 145,000 med-surg products from over 1,300 third-party suppliers, including nearly all leading national brands, through our Supply Chain Solutions segment. We also provide our customers with supply chain optimization services such as consulting engagements, outsourced warehouse and technology management, put-away-ready packaging, third-party logistics, inventory rationalization, and route planning. </w:t>
      </w:r>
      <w:r>
        <w:rPr>
          <w:rFonts w:ascii="Arial" w:cs="Arial" w:eastAsia="Arial" w:hAnsi="Arial"/>
          <w:sz w:val="18"/>
          <w:szCs w:val="18"/>
          <w:color w:val="202020"/>
        </w:rPr>
        <w:t>Our third-party</w:t>
      </w:r>
      <w:r>
        <w:rPr>
          <w:rFonts w:ascii="Arial" w:cs="Arial" w:eastAsia="Arial" w:hAnsi="Arial"/>
          <w:sz w:val="18"/>
          <w:szCs w:val="18"/>
          <w:color w:val="auto"/>
        </w:rPr>
        <w:t xml:space="preserve"> </w:t>
      </w:r>
      <w:r>
        <w:rPr>
          <w:rFonts w:ascii="Arial" w:cs="Arial" w:eastAsia="Arial" w:hAnsi="Arial"/>
          <w:sz w:val="18"/>
          <w:szCs w:val="18"/>
          <w:color w:val="202020"/>
        </w:rPr>
        <w:t xml:space="preserve">suppliers are primarily responsible for costs related to import and inbound freight, whereas we are primarily responsible for costs related to outbound freight from our distribution centers. </w:t>
      </w:r>
      <w:r>
        <w:rPr>
          <w:rFonts w:ascii="Arial" w:cs="Arial" w:eastAsia="Arial" w:hAnsi="Arial"/>
          <w:sz w:val="18"/>
          <w:szCs w:val="18"/>
          <w:color w:val="000000"/>
        </w:rPr>
        <w:t>Our supply chain expertise allows us to provide additional</w:t>
      </w:r>
      <w:r>
        <w:rPr>
          <w:rFonts w:ascii="Arial" w:cs="Arial" w:eastAsia="Arial" w:hAnsi="Arial"/>
          <w:sz w:val="18"/>
          <w:szCs w:val="18"/>
          <w:color w:val="202020"/>
        </w:rPr>
        <w:t xml:space="preserve"> </w:t>
      </w:r>
      <w:r>
        <w:rPr>
          <w:rFonts w:ascii="Arial" w:cs="Arial" w:eastAsia="Arial" w:hAnsi="Arial"/>
          <w:sz w:val="18"/>
          <w:szCs w:val="18"/>
          <w:color w:val="000000"/>
        </w:rPr>
        <w:t>service offerings to optimize our customers’ supply chain and inventory workflows, helping these customers cost-effectively manage their supply chain while building strong relationships and enhancing retention.</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7</w:t>
      </w:r>
    </w:p>
    <w:p>
      <w:pPr>
        <w:sectPr>
          <w:pgSz w:w="11880" w:h="15480" w:orient="portrait"/>
          <w:cols w:equalWidth="0" w:num="1">
            <w:col w:w="9800"/>
          </w:cols>
          <w:pgMar w:left="1040" w:top="523" w:right="1040" w:bottom="8"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auto"/>
        </w:rPr>
        <w:t>Our Prime Vendor Model</w:t>
      </w:r>
    </w:p>
    <w:p>
      <w:pPr>
        <w:spacing w:after="0" w:line="250"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A Prime Vendor relationship is a relationship for which there is a multi-year distribution agreement between Medline and a customer, whereby the customer agrees to use Medline for the vast majority of its med-surg product needs.</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our Prime Vendor relationships, we enter into long-term agreements, typically structured with five-year terms, to act as the primary consolidated logistics partner for these customers’ med-surg product needs. These agreements have been and are expected to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The opportunity is even greater in certain non-acute settings, where we sell a more focused product portfolio. Our Prime Vendor model allows us to provide cost savings to Prime Vendor customers, which, over time, supports incremental purchasing of our Medline Brand products and greater scale across our operations. As our scale grows, we are able to realize further efficiencies by offering superior or similar quality to third-party products at a more cost-effective price. We believe that 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 This compelling value proposition and supply chain relationship with our customers supports our greater than 98% average Prime Vendor retention rate over the past five years.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 portion of Supply Chain Solutions products sold to existing Prime Vendor customers has like-for-like Medline Brand product equivalents, representing a potential gross profit uplift consistent with our historical margin differentials if such products were converted for Medline Brand products.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For additional information on potential risks relating to this conversion opportunity, please see Part I, “Item 1A—Risk Factors—Risks Related to Our Business, Industry and Operations—Our failure to establish and maintain Prime Vendor relationships may cause our revenue to decline.”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Distribution Network</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have a differentiated distribution network of 70 global distribution centers, warehouses, cross-docks, and transship facilities, 45 of which are in the United States, strategically located to provide next-day delivery to 95% of our U.S. customer base. We utilize artificial intelligence (“AI”) and robotics technology in over 26 million square feet of warehouse space in the United States to improve efficiency and capacity to optimize distribution logistics and maximize utilization. The products we distribute are packaged to meet each customer’s individual needs and to be “put-away-ready,” which streamlines the customer’s unloading and shelving process. We also operate our own fleet of more than 2,100 MedTrans trucks that deliver our products across care settings within the United States. As of December 31, 2025, we had approximately 25% in incremental capacity across our platform to support our long-term growth.</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Commercial Platform</w:t>
      </w:r>
    </w:p>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deep connectivity to our customers is driven by the strength of our dedicated and tenured commercial team. 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We have created an entrepreneurial environment that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w:t>
      </w:r>
    </w:p>
    <w:p>
      <w:pPr>
        <w:sectPr>
          <w:pgSz w:w="11880" w:h="15480" w:orient="portrait"/>
          <w:cols w:equalWidth="0" w:num="1">
            <w:col w:w="9800"/>
          </w:cols>
          <w:pgMar w:left="1040" w:top="525"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8</w:t>
      </w:r>
    </w:p>
    <w:p>
      <w:pPr>
        <w:sectPr>
          <w:pgSz w:w="11880" w:h="15480" w:orient="portrait"/>
          <w:cols w:equalWidth="0" w:num="1">
            <w:col w:w="9800"/>
          </w:cols>
          <w:pgMar w:left="1040" w:top="525" w:right="1040" w:bottom="8"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have a track record of successfully bringing new products to market, with more than 2,300 granted patents and more than 450 U.S. Food and Drug Administration (“FDA”) 510(k) clearances. Over the last three years, we have successfully launched more than 250 new products.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5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Additionally, other distributors of med-surg products similarly connect the fragmented supplier and provider bases and aggregate inventory from suppliers to deliver products to customers, such as McKesson, Cardinal Health, Owens &amp; Minor, and Henry Schein.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Production and Raw Materials</w:t>
      </w:r>
    </w:p>
    <w:p>
      <w:pPr>
        <w:spacing w:after="0" w:line="25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manufacture approximately one-third of our Medline Brand products, which are primarily Class I and II medical devices, through our 30 manufacturing facilities, of which 24 are in North America. We purchase many of the components and raw materials used in manufacturing our products from numerous suppliers. We focus our manufacturing capabilities on products where we can leverage technology and automation to drive higher quality and lower costs to better serve our customers. For the vast majority of the other two-thirds of our Medline Brand products, we work closely with our network of more than 600 global partners across approximately 40 countries, many of whom have decades-long exclusive relationships with us. The breadth of our global sourcing partnerships provides diversification and strengthens our resiliency, with no single sourcing partner accounting for more than 5% of total spend as of December 31, 2025.</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Resources</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At Medline, our relentless focus on the customer drives our human capital strategy, which revolves around attracting, developing, and retaining employees to provide the best products and services for our customers. We have developed a strong foundation that drives our recruitment, retention and development efforts. We are committed to supporting the personal and professional development of our employees, as well as providing competitive benefits and a safe, inclusive workplace.</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740"/>
        <w:spacing w:after="0"/>
        <w:rPr>
          <w:sz w:val="20"/>
          <w:szCs w:val="20"/>
          <w:color w:val="auto"/>
        </w:rPr>
      </w:pPr>
      <w:r>
        <w:rPr>
          <w:rFonts w:ascii="Arial" w:cs="Arial" w:eastAsia="Arial" w:hAnsi="Arial"/>
          <w:sz w:val="10"/>
          <w:szCs w:val="10"/>
          <w:color w:val="auto"/>
        </w:rPr>
        <w:t>9</w:t>
      </w:r>
    </w:p>
    <w:p>
      <w:pPr>
        <w:sectPr>
          <w:pgSz w:w="11880" w:h="15480" w:orient="portrait"/>
          <w:cols w:equalWidth="0" w:num="1">
            <w:col w:w="9800"/>
          </w:cols>
          <w:pgMar w:left="1040" w:top="521" w:right="1040" w:bottom="8" w:gutter="0" w:footer="0" w:header="0"/>
          <w:type w:val="continuous"/>
        </w:sectPr>
      </w:pPr>
    </w:p>
    <w:bookmarkStart w:id="10" w:name="page11"/>
    <w:bookmarkEnd w:id="10"/>
    <w:p>
      <w:pPr>
        <w:jc w:val="both"/>
        <w:spacing w:after="0" w:line="265" w:lineRule="auto"/>
        <w:rPr>
          <w:sz w:val="20"/>
          <w:szCs w:val="20"/>
          <w:color w:val="auto"/>
        </w:rPr>
      </w:pPr>
      <w:r>
        <w:rPr>
          <w:rFonts w:ascii="Arial" w:cs="Arial" w:eastAsia="Arial" w:hAnsi="Arial"/>
          <w:sz w:val="19"/>
          <w:szCs w:val="19"/>
          <w:color w:val="auto"/>
        </w:rPr>
        <w:t>As of December 31, 2025, we employed over 45,000 employees worldwide, with over 26,000 located in the United States. Our largest non-U.S. employee populations are in Mexico, Dominican Republic, India, Canada, Slovakia, France, China, Japan, Germany, and Australia.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In Australia, certain employees are represented by an enterprise bargaining agreement; in Japan, employees are represented through a Work Council; and in Vietnam, employees are represented through a collective bargaining agreement. We believe that our positive employee relations and total employee experience drive the continual growth of our workforce.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Culture and Values</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culture is grounded in a customer-focused, collaborative, and performance-driven approach, guided by core values emphasizing relentless customer focus, agility and flexibility, problem-solving, drive to succeed, purposeful candor, and the importance of relationships. Employees are encouraged to exercise judgment, work transparently with customers, and contribute meaningfully to our mission to make healthcare run better.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 Attraction and Development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seek to attract employees whose skills, experience, and motivation align with our operational and technical needs. Through continual improvement of internal processes, an awareness of market and candidate driven trends, and in partnership with vendors and other outside organizations, our talent acquisition programs focus on efficient hiring processes, market awareness, and building a diverse pipeline of candidates. We support development through consistent performance management processes and early career opportunities to take on additional responsibilities to demonstrate their competencies and drive to succeed and on-the-job responsibility augmented by formal training and development to refine technical and leadership skills. New sales representatives participate in comprehensive training programs, and product managers have targeted development pathways through all stages of their careers, from mandatory onboarding offerings to advanced classes that provide the necessary skills with increasing levels of responsibility, to support progression over time.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Engagement and Inclusion</w:t>
      </w:r>
    </w:p>
    <w:p>
      <w:pPr>
        <w:spacing w:after="0" w:line="25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believe our employees’ ability to communicate and cooperate effectively across functional and departmental teams positively impacts our performance. We engage in various listening strategies and foster engagement through survey feedback mechanisms, anonymous employee feedback platform, focus groups, increased attention to onboarding and offboarding feedback, pulse surveys on remote work needs, and other listening strategies. Insights from these efforts inform workplace improvements. We also support an inclusive environment through Employee Resource Groups and leadership training initiatives designed to reduce bias in talent decisions and strengthen representation across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Safety, and Well-Being</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are committed to maintaining a safe workplace and supporting the physical, emotional, and financial well-being of our employees. We provide competitive health and benefits programs, access to assistance resources where available, and opportunities for community involvement through charitable giving, including financial giving and in-kind giving such as product donations.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We rely upon patents, trademarks, copyrights, trade secrets and other intellectual property rights to maintain and improve our competitive position. We have a large portfolio of intellectual property, including more than 2,300 granted patents as well as trademark registrations protecting our notable brands, including Medline, Curad, Microtek, Hudson, and Proxima.</w:t>
      </w:r>
    </w:p>
    <w:p>
      <w:pPr>
        <w:spacing w:after="0" w:line="16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2,300 granted patents to be material to our business. However, no single patent or group of related patents is material to our business as a whole or any segment of our business.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10</w:t>
      </w:r>
    </w:p>
    <w:p>
      <w:pPr>
        <w:sectPr>
          <w:pgSz w:w="11880" w:h="15480" w:orient="portrait"/>
          <w:cols w:equalWidth="0" w:num="1">
            <w:col w:w="9800"/>
          </w:cols>
          <w:pgMar w:left="1040" w:top="530" w:right="1040" w:bottom="8" w:gutter="0" w:footer="0" w:header="0"/>
          <w:type w:val="continuous"/>
        </w:sectPr>
      </w:pPr>
    </w:p>
    <w:bookmarkStart w:id="11" w:name="page12"/>
    <w:bookmarkEnd w:id="11"/>
    <w:p>
      <w:pPr>
        <w:jc w:val="both"/>
        <w:spacing w:after="0" w:line="285" w:lineRule="auto"/>
        <w:rPr>
          <w:sz w:val="20"/>
          <w:szCs w:val="20"/>
          <w:color w:val="auto"/>
        </w:rPr>
      </w:pPr>
      <w:r>
        <w:rPr>
          <w:rFonts w:ascii="Arial" w:cs="Arial" w:eastAsia="Arial" w:hAnsi="Arial"/>
          <w:sz w:val="18"/>
          <w:szCs w:val="18"/>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Part I, “Item 1A—Risk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“—Risks Related to Regulation and Legal Proceedings—We may become subject to litigation brought by third parties claiming infringement, misappropriation, or other violation by us of their intellectual property rights.”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Regulation</w:t>
      </w: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use, expiration,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U.S. governmental and regulatory authorities that enforce such laws and rules, and that issue guidance on compliance with such laws and rules include, without limitation, the FDA, the Centers for Medicare &amp; Medicaid Services (“CMS”), other divisions of the U.S. Department of Health and Human Services (“HHS”), the HHS Office of Inspector General, U.S. Environmental Protection Agency (“EPA”), the Federal Trade Commission (“the FTC”), Consumer Product Safety Commission (“CPSC”), the U.S. Department of Justice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such contracts are subject to various government procurement laws and regulations, required contract provisions, and other requirements relating to contract formation, administration and performance. Failure to comply with applicable laws and regulations or with contractual or other requirements may result in monetary damages and criminal or civil penalties as well as termination of our government contracts or our suspension or debarment from government contract work.</w:t>
      </w:r>
    </w:p>
    <w:p>
      <w:pPr>
        <w:spacing w:after="0" w:line="200" w:lineRule="exact"/>
        <w:rPr>
          <w:sz w:val="20"/>
          <w:szCs w:val="20"/>
          <w:color w:val="auto"/>
        </w:rPr>
      </w:pPr>
    </w:p>
    <w:p>
      <w:pPr>
        <w:spacing w:after="0" w:line="2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If our business expands in certain ways, including through the offering of new products and services or entering into new geographic areas,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request the cessation of distribution and shipments of certain products due to regulatory, safety, or other issues,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or other action, including any adverse press releases or other communications from regulators, may impact our business practices and operations, including by limiting our ability to effectively market, ship,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11</w:t>
      </w:r>
    </w:p>
    <w:p>
      <w:pPr>
        <w:sectPr>
          <w:pgSz w:w="11880" w:h="15480" w:orient="portrait"/>
          <w:cols w:equalWidth="0" w:num="1">
            <w:col w:w="9800"/>
          </w:cols>
          <w:pgMar w:left="1040" w:top="530" w:right="1040" w:bottom="8"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Government Regulation of Medical Devices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 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or other action, including any adverse press releases or other communications from regulators, depending on its magnitude, may limit our ability to effectively market, ship, and sell our products, limit our ability to obtain future premarket authorizations, or result in a substantial modification to our business practices and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FDA Premarket Clearance and Approval Requirements</w:t>
      </w:r>
    </w:p>
    <w:p>
      <w:pPr>
        <w:spacing w:after="0" w:line="28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12</w:t>
      </w:r>
    </w:p>
    <w:p>
      <w:pPr>
        <w:sectPr>
          <w:pgSz w:w="11880" w:h="15480" w:orient="portrait"/>
          <w:cols w:equalWidth="0" w:num="1">
            <w:col w:w="9800"/>
          </w:cols>
          <w:pgMar w:left="1040" w:top="521" w:right="1040" w:bottom="8"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auto"/>
        </w:rPr>
        <w:t>510(k) Clearance Process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Post-Marketing Requirements</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13</w:t>
      </w:r>
    </w:p>
    <w:p>
      <w:pPr>
        <w:sectPr>
          <w:pgSz w:w="11880" w:h="15480" w:orient="portrait"/>
          <w:cols w:equalWidth="0" w:num="1">
            <w:col w:w="9800"/>
          </w:cols>
          <w:pgMar w:left="1040" w:top="521" w:right="1040" w:bottom="8" w:gutter="0" w:footer="0" w:header="0"/>
          <w:type w:val="continuous"/>
        </w:sectPr>
      </w:pPr>
    </w:p>
    <w:bookmarkStart w:id="14" w:name="page15"/>
    <w:bookmarkEnd w:id="14"/>
    <w:p>
      <w:pPr>
        <w:jc w:val="both"/>
        <w:spacing w:after="0" w:line="281" w:lineRule="auto"/>
        <w:rPr>
          <w:sz w:val="20"/>
          <w:szCs w:val="20"/>
          <w:color w:val="auto"/>
        </w:rPr>
      </w:pPr>
      <w:r>
        <w:rPr>
          <w:rFonts w:ascii="Arial" w:cs="Arial" w:eastAsia="Arial" w:hAnsi="Arial"/>
          <w:sz w:val="18"/>
          <w:szCs w:val="18"/>
          <w:color w:val="auto"/>
        </w:rPr>
        <w:t>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or other actions by the FDA, which may include one or more of the following sanctions: adverse press releases and safety communications; requests to stop shipments;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International Regulation of Medical Devices</w:t>
      </w:r>
    </w:p>
    <w:p>
      <w:pPr>
        <w:spacing w:after="0" w:line="28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EU Regulation of Medical Devices</w:t>
      </w:r>
    </w:p>
    <w:p>
      <w:pPr>
        <w:spacing w:after="0" w:line="2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the European Union (“EU”) until May 25, 2021, medical devices were regulated by the Council Directive 93/42/EEC, which has been repealed and replaced by the Medical Device Regulation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NDA Approval Process</w:t>
      </w: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184" w:lineRule="exact"/>
        <w:rPr>
          <w:sz w:val="20"/>
          <w:szCs w:val="20"/>
          <w:color w:val="auto"/>
        </w:rPr>
      </w:pPr>
    </w:p>
    <w:p>
      <w:pPr>
        <w:ind w:left="720" w:hanging="364"/>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preclinical studies and analytical and stability testing in accordance with applicable regulations;</w:t>
      </w:r>
    </w:p>
    <w:p>
      <w:pPr>
        <w:spacing w:after="0" w:line="90" w:lineRule="exact"/>
        <w:rPr>
          <w:rFonts w:ascii="Arial" w:cs="Arial" w:eastAsia="Arial" w:hAnsi="Arial"/>
          <w:sz w:val="18"/>
          <w:szCs w:val="18"/>
          <w:color w:val="auto"/>
        </w:rPr>
      </w:pPr>
    </w:p>
    <w:p>
      <w:pPr>
        <w:ind w:left="720" w:hanging="364"/>
        <w:spacing w:after="0" w:line="30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application, which must become effective before clinical trials may begin and must be updated annually and amended when certain changes are made;</w:t>
      </w:r>
    </w:p>
    <w:p>
      <w:pPr>
        <w:spacing w:after="0" w:line="1" w:lineRule="exact"/>
        <w:rPr>
          <w:rFonts w:ascii="Arial" w:cs="Arial" w:eastAsia="Arial" w:hAnsi="Arial"/>
          <w:sz w:val="18"/>
          <w:szCs w:val="18"/>
          <w:color w:val="auto"/>
        </w:rPr>
      </w:pPr>
    </w:p>
    <w:p>
      <w:pPr>
        <w:ind w:left="720" w:hanging="364"/>
        <w:spacing w:after="0" w:line="278"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approval by an institutional review board, or IRB, or independent ethics committee, or IEC, at each clinical trial site before each trial may be initiated;</w:t>
      </w:r>
    </w:p>
    <w:p>
      <w:pPr>
        <w:spacing w:after="0" w:line="1" w:lineRule="exact"/>
        <w:rPr>
          <w:rFonts w:ascii="Arial" w:cs="Arial" w:eastAsia="Arial" w:hAnsi="Arial"/>
          <w:sz w:val="20"/>
          <w:szCs w:val="20"/>
          <w:color w:val="auto"/>
        </w:rPr>
      </w:pPr>
    </w:p>
    <w:p>
      <w:pPr>
        <w:jc w:val="both"/>
        <w:ind w:left="720" w:hanging="364"/>
        <w:spacing w:after="0" w:line="258"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20" w:lineRule="exact"/>
        <w:rPr>
          <w:rFonts w:ascii="Arial" w:cs="Arial" w:eastAsia="Arial" w:hAnsi="Arial"/>
          <w:sz w:val="20"/>
          <w:szCs w:val="20"/>
          <w:color w:val="auto"/>
        </w:rPr>
      </w:pPr>
    </w:p>
    <w:p>
      <w:pPr>
        <w:ind w:left="720" w:hanging="364"/>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preparation and submission to the FDA of an NDA;</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35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14</w:t>
      </w:r>
    </w:p>
    <w:p>
      <w:pPr>
        <w:sectPr>
          <w:pgSz w:w="11880" w:h="15480" w:orient="portrait"/>
          <w:cols w:equalWidth="0" w:num="1">
            <w:col w:w="9800"/>
          </w:cols>
          <w:pgMar w:left="1040" w:top="530" w:right="1040" w:bottom="8" w:gutter="0" w:footer="0" w:header="0"/>
          <w:type w:val="continuous"/>
        </w:sectPr>
      </w:pPr>
    </w:p>
    <w:bookmarkStart w:id="15" w:name="page16"/>
    <w:bookmarkEnd w:id="15"/>
    <w:p>
      <w:pPr>
        <w:ind w:left="720" w:hanging="364"/>
        <w:spacing w:after="0" w:line="278"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satisfactory completion of one or more FDA pre-approval inspections of the manufacturing facility or facilities where the drug will be produced to assess compliance;</w:t>
      </w:r>
    </w:p>
    <w:p>
      <w:pPr>
        <w:spacing w:after="0" w:line="1"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satisfactory completion of FDA inspection of select clinical trial sites involved in conducting pivotal studies that generated the data in support of the NDA;</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payment of user fees for FDA review of the NDA; and</w:t>
      </w:r>
    </w:p>
    <w:p>
      <w:pPr>
        <w:spacing w:after="0" w:line="67" w:lineRule="exact"/>
        <w:rPr>
          <w:rFonts w:ascii="Arial" w:cs="Arial" w:eastAsia="Arial" w:hAnsi="Arial"/>
          <w:sz w:val="20"/>
          <w:szCs w:val="20"/>
          <w:color w:val="auto"/>
        </w:rPr>
      </w:pPr>
    </w:p>
    <w:p>
      <w:pPr>
        <w:jc w:val="both"/>
        <w:ind w:left="720" w:hanging="364"/>
        <w:spacing w:after="0" w:line="263"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28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Any approvals that we may ultimately receive could be withdrawn if required post-marketing trials or analyses do not meet the FDA requirements, which could materially harm the commercial prospects for our products.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 Regulations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Anti-Boycott Laws</w:t>
      </w:r>
    </w:p>
    <w:p>
      <w:pPr>
        <w:spacing w:after="0" w:line="28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15</w:t>
      </w:r>
    </w:p>
    <w:p>
      <w:pPr>
        <w:sectPr>
          <w:pgSz w:w="11880" w:h="15480" w:orient="portrait"/>
          <w:cols w:equalWidth="0" w:num="1">
            <w:col w:w="9800"/>
          </w:cols>
          <w:pgMar w:left="1040" w:top="530" w:right="1040" w:bottom="8"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Data Privacy and Security Laws and Regulations</w:t>
      </w:r>
    </w:p>
    <w:p>
      <w:pPr>
        <w:spacing w:after="0" w:line="28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Our business includes the processing of personally identifiable information (“Personal Data”) of consumers; Medline applicants, employees, and other workforce members; our customers’ patients, plan members, and employees; our vendors’ employees; and other third parties, as well as protected health information (“PHI”), where we continue to meet the definition of a Business Associate on behalf of our customers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the Health Insurance Portability and Accountability Act of 1996, as amended, and the regulations that implement the law and its amendments (collectively, “HIPAA”), the Telephone Consumer Protection Act of 1991 ("TCPA"), the Payment Card Industry Data Security Standard, Section 5 of the Federal Trade Commission Act (the “FTCA”), and the EU’s General Data Protection Regulation and its UK equivalent (“UK GDPR” and collectively, “GDPR”), the California Consumer Privacy Act, which was further expanded by the California Privacy Rights Act of 2020 (“CPRA” and collectively, “CCPA”), and similar data privacy legislation enacted or under consideration by various other U.S. states, and U.S. state data breach notification laws.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addition to HIPAA, we must adhere to U.S. state patient privacy laws that are not 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Health Breach Notification Rule (“HBNR”).</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35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16</w:t>
      </w:r>
    </w:p>
    <w:p>
      <w:pPr>
        <w:sectPr>
          <w:pgSz w:w="11880" w:h="15480" w:orient="portrait"/>
          <w:cols w:equalWidth="0" w:num="1">
            <w:col w:w="9800"/>
          </w:cols>
          <w:pgMar w:left="1040" w:top="521" w:right="1040" w:bottom="8" w:gutter="0" w:footer="0" w:header="0"/>
          <w:type w:val="continuous"/>
        </w:sectPr>
      </w:pPr>
    </w:p>
    <w:bookmarkStart w:id="17" w:name="page18"/>
    <w:bookmarkEnd w:id="17"/>
    <w:p>
      <w:pPr>
        <w:jc w:val="both"/>
        <w:spacing w:after="0" w:line="317" w:lineRule="auto"/>
        <w:rPr>
          <w:sz w:val="20"/>
          <w:szCs w:val="20"/>
          <w:color w:val="auto"/>
        </w:rPr>
      </w:pPr>
      <w:r>
        <w:rPr>
          <w:rFonts w:ascii="Arial" w:cs="Arial" w:eastAsia="Arial" w:hAnsi="Arial"/>
          <w:sz w:val="16"/>
          <w:szCs w:val="16"/>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the event of a privacy or security incident or claim that we, a service provider,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Fraud and Abuse Laws and Regulations</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have been,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38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17</w:t>
      </w:r>
    </w:p>
    <w:p>
      <w:pPr>
        <w:sectPr>
          <w:pgSz w:w="11880" w:h="15480" w:orient="portrait"/>
          <w:cols w:equalWidth="0" w:num="1">
            <w:col w:w="9800"/>
          </w:cols>
          <w:pgMar w:left="1040" w:top="530" w:right="1040" w:bottom="8" w:gutter="0" w:footer="0" w:header="0"/>
          <w:type w:val="continuous"/>
        </w:sectPr>
      </w:pPr>
    </w:p>
    <w:bookmarkStart w:id="18" w:name="page19"/>
    <w:bookmarkEnd w:id="18"/>
    <w:p>
      <w:pPr>
        <w:ind w:right="20"/>
        <w:spacing w:after="0" w:line="270" w:lineRule="auto"/>
        <w:rPr>
          <w:sz w:val="20"/>
          <w:szCs w:val="20"/>
          <w:color w:val="auto"/>
        </w:rPr>
      </w:pPr>
      <w:r>
        <w:rPr>
          <w:rFonts w:ascii="Arial" w:cs="Arial" w:eastAsia="Arial" w:hAnsi="Arial"/>
          <w:sz w:val="18"/>
          <w:szCs w:val="18"/>
          <w:color w:val="auto"/>
        </w:rPr>
        <w:t>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submitted claims to government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Key federal fraud and abuse laws include the federal Anti-Kickback Statute (the “AKS”), the Stark Law, False Claims Act (the “FCA”), and the Civil Monetary Penalties Law (the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18</w:t>
      </w:r>
    </w:p>
    <w:p>
      <w:pPr>
        <w:sectPr>
          <w:pgSz w:w="11880" w:h="15480" w:orient="portrait"/>
          <w:cols w:equalWidth="0" w:num="1">
            <w:col w:w="9800"/>
          </w:cols>
          <w:pgMar w:left="1040" w:top="530" w:right="1040" w:bottom="8" w:gutter="0" w:footer="0" w:header="0"/>
          <w:type w:val="continuous"/>
        </w:sectPr>
      </w:pPr>
    </w:p>
    <w:bookmarkStart w:id="19" w:name="page20"/>
    <w:bookmarkEnd w:id="19"/>
    <w:p>
      <w:pPr>
        <w:jc w:val="both"/>
        <w:spacing w:after="0" w:line="278"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19</w:t>
      </w:r>
    </w:p>
    <w:p>
      <w:pPr>
        <w:sectPr>
          <w:pgSz w:w="11880" w:h="15480" w:orient="portrait"/>
          <w:cols w:equalWidth="0" w:num="1">
            <w:col w:w="9800"/>
          </w:cols>
          <w:pgMar w:left="1040" w:top="530" w:right="1040" w:bottom="8" w:gutter="0" w:footer="0" w:header="0"/>
          <w:type w:val="continuous"/>
        </w:sectPr>
      </w:pPr>
    </w:p>
    <w:bookmarkStart w:id="20" w:name="page21"/>
    <w:bookmarkEnd w:id="20"/>
    <w:p>
      <w:pPr>
        <w:jc w:val="both"/>
        <w:spacing w:after="0" w:line="284" w:lineRule="auto"/>
        <w:rPr>
          <w:sz w:val="20"/>
          <w:szCs w:val="20"/>
          <w:color w:val="auto"/>
        </w:rPr>
      </w:pPr>
      <w:r>
        <w:rPr>
          <w:rFonts w:ascii="Arial" w:cs="Arial" w:eastAsia="Arial" w:hAnsi="Arial"/>
          <w:sz w:val="18"/>
          <w:szCs w:val="18"/>
          <w:color w:val="auto"/>
        </w:rPr>
        <w:t>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Health and Safety Requirements</w:t>
      </w:r>
    </w:p>
    <w:p>
      <w:pPr>
        <w:spacing w:after="0" w:line="28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Part I, “Item 1A —Risk Factors—Risks Related to Regulation and Legal Proceedings—We are subject to extensive environmental, health and safety requirements, and our operations involve hazardous and other environmentally sensitive substances.”</w:t>
      </w:r>
    </w:p>
    <w:p>
      <w:pPr>
        <w:spacing w:after="0" w:line="200" w:lineRule="exact"/>
        <w:rPr>
          <w:sz w:val="20"/>
          <w:szCs w:val="20"/>
          <w:color w:val="auto"/>
        </w:rPr>
      </w:pP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For example, we, as well as others in our industry, rely on ethylene oxide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per- and polyfluoroalkyl substances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Security and Licensure Standards</w:t>
      </w:r>
    </w:p>
    <w:p>
      <w:pPr>
        <w:spacing w:after="0" w:line="28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durable medical equipment (“DME”) business, we are subject to certain state licensure laws (including state pharmacy laws), and also certain accreditation standards, including to qualify for reimbursement from Medicare and other third-party payers.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20</w:t>
      </w:r>
    </w:p>
    <w:p>
      <w:pPr>
        <w:sectPr>
          <w:pgSz w:w="11880" w:h="15480" w:orient="portrait"/>
          <w:cols w:equalWidth="0" w:num="1">
            <w:col w:w="9800"/>
          </w:cols>
          <w:pgMar w:left="1040" w:top="530" w:right="1040" w:bottom="8" w:gutter="0" w:footer="0" w:header="0"/>
          <w:type w:val="continuous"/>
        </w:sectPr>
      </w:pPr>
    </w:p>
    <w:bookmarkStart w:id="21" w:name="page22"/>
    <w:bookmarkEnd w:id="21"/>
    <w:p>
      <w:pPr>
        <w:jc w:val="both"/>
        <w:spacing w:after="0" w:line="255" w:lineRule="auto"/>
        <w:rPr>
          <w:sz w:val="20"/>
          <w:szCs w:val="20"/>
          <w:color w:val="auto"/>
        </w:rPr>
      </w:pPr>
      <w:r>
        <w:rPr>
          <w:rFonts w:ascii="Arial" w:cs="Arial" w:eastAsia="Arial" w:hAnsi="Arial"/>
          <w:sz w:val="20"/>
          <w:szCs w:val="20"/>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Antitrust and Consumer Protection</w:t>
      </w:r>
    </w:p>
    <w:p>
      <w:pPr>
        <w:spacing w:after="0" w:line="28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International Transactions</w:t>
      </w:r>
    </w:p>
    <w:p>
      <w:pPr>
        <w:spacing w:after="0" w:line="2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U.S. Foreign Corrupt Practices Act (the “FCPA”), U.S. export control laws, the UK Bribery Act, German anti-corruption laws, and other anti-bribery laws and laws pertaining to the accuracy of our internal books and records, as well as other types of foreign requirements similar to those imposed in the United States.</w:t>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were incorporated in Delaware in November 2024 under the name of Medline Inc. Our principal executive offices are located at 3 Lakes Drive, Northfield, Illinois 60093. Our telephone number is (847) 949-5500. Our website address is www.medline.com. Information contained on, or that can be accessible through, our website is not a part of this Annual Report.</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21</w:t>
      </w:r>
    </w:p>
    <w:p>
      <w:pPr>
        <w:sectPr>
          <w:pgSz w:w="11880" w:h="15480" w:orient="portrait"/>
          <w:cols w:equalWidth="0" w:num="1">
            <w:col w:w="9800"/>
          </w:cols>
          <w:pgMar w:left="1040" w:top="530" w:right="1040" w:bottom="8"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Available Information</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proxy statements and other forms or reports as required. Our filings with the U.S. Securities and Exchange Commission (the “SEC”) are available to the public over the Internet at the SEC’s website at www.sec.gov. We also use our investor relations website at ir.medline.com, press releases, public conference calls and webcasts, and social media as routine channels of distribution to communicate important, and often material, information about Medline to investors and the public, including information about our financial performance and results, analyst and investor presentations, investor days, products, solutions, sustainability initiatives, and corporate governance practices. We encourage you to follow these channels, in addition to our SEC filings, for timely information about the Company. Our SEC filings, including Annual Reports on Form 10-K, Quarterly Reports on Form 10-Q, Current Reports on Form 8-K, and amendments to those reports filed or furnished pursuant to Section 13(a) or 15(d) of the Securities Exchange Act of 1934, as amended, (the “Exchange Act”), are available free of charge on our investor relations website as soon as reasonably practicable after they are filed with or furnished to the SEC. The information on our websites is not part of this Annual Report and is not incorporated by reference into this report or any other filing we make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9"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Investing in our securities involves risks. Before you invest in our securities, you should carefully consider the risk factors below together with all of the other information included in this Annual Report. If any of the risks discussed herein were to occur, our business, prospects, liquidity, financial condition, and results of operations could be materially impaired. In such case, the market price of our Class A common stock could decline, and you may lose some or all of your investment. The disclosures in this section reflect our beliefs and opinions as to factors that could materially and adversely affect us in the future. References to past events are provided by way of example only and are not intended to be a complete listing or a representation as to whether or not such factors have occurred in the past. Some statements in this Annual Report,</w:t>
      </w:r>
    </w:p>
    <w:p>
      <w:pPr>
        <w:jc w:val="both"/>
        <w:spacing w:after="0" w:line="302" w:lineRule="auto"/>
        <w:rPr>
          <w:sz w:val="20"/>
          <w:szCs w:val="20"/>
          <w:color w:val="auto"/>
        </w:rPr>
      </w:pPr>
      <w:r>
        <w:rPr>
          <w:rFonts w:ascii="Arial" w:cs="Arial" w:eastAsia="Arial" w:hAnsi="Arial"/>
          <w:sz w:val="20"/>
          <w:szCs w:val="20"/>
          <w:b w:val="1"/>
          <w:bCs w:val="1"/>
          <w:i w:val="1"/>
          <w:iCs w:val="1"/>
          <w:color w:val="auto"/>
        </w:rPr>
        <w:t>including statements in the following risk factors, constitute forward-looking statements. See “Cautionary Note Regarding Forward-Looking Statements”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Industry, and Operations</w:t>
      </w: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Our global operations are subject to inherent risks that could materially adversely affect our business, results of operations, and financial condition.</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global operations are subject to risks that may materially adversely affect our business, results of operations, and financial condition. We import a significant percentage of our Medline Brand products from outside of the United States, including 5% of our costs of goods sold from China for the year ended December 31, 2025. As a result of our global operations, we may experience, among other things:</w:t>
      </w:r>
    </w:p>
    <w:p>
      <w:pPr>
        <w:spacing w:after="0" w:line="199" w:lineRule="exact"/>
        <w:rPr>
          <w:sz w:val="20"/>
          <w:szCs w:val="20"/>
          <w:color w:val="auto"/>
        </w:rPr>
      </w:pPr>
    </w:p>
    <w:p>
      <w:pPr>
        <w:ind w:left="720" w:hanging="364"/>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difficulties and costs relating to staffing and managing foreign operations;</w:t>
      </w:r>
    </w:p>
    <w:p>
      <w:pPr>
        <w:spacing w:after="0" w:line="67"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difficulties and delays inherent in sourcing products, establishing channels of distribution, and contract manufacturing in foreign markets;</w:t>
      </w:r>
    </w:p>
    <w:p>
      <w:pPr>
        <w:spacing w:after="0" w:line="1"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difficulties in ending foreign distribution relationships where the distributor exclusively or predominantly markets and sells Medline Brand products;</w:t>
      </w:r>
    </w:p>
    <w:p>
      <w:pPr>
        <w:spacing w:after="0" w:line="1" w:lineRule="exact"/>
        <w:rPr>
          <w:rFonts w:ascii="Arial" w:cs="Arial" w:eastAsia="Arial" w:hAnsi="Arial"/>
          <w:sz w:val="20"/>
          <w:szCs w:val="20"/>
          <w:color w:val="auto"/>
        </w:rPr>
      </w:pPr>
    </w:p>
    <w:p>
      <w:pPr>
        <w:jc w:val="both"/>
        <w:ind w:left="720" w:hanging="364"/>
        <w:spacing w:after="0" w:line="263"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16" w:lineRule="exact"/>
        <w:rPr>
          <w:rFonts w:ascii="Arial" w:cs="Arial" w:eastAsia="Arial" w:hAnsi="Arial"/>
          <w:sz w:val="20"/>
          <w:szCs w:val="20"/>
          <w:color w:val="auto"/>
        </w:rPr>
      </w:pPr>
    </w:p>
    <w:p>
      <w:pPr>
        <w:ind w:left="720" w:hanging="364"/>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fluctuations in the value of foreign currencies;</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uncertainties relating to trade agreements and international trade relationships;</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longer payment cycles of foreign customers and difficulty of collecting receivables in foreign jurisdictions;</w:t>
      </w:r>
    </w:p>
    <w:p>
      <w:pPr>
        <w:spacing w:after="0" w:line="78" w:lineRule="exact"/>
        <w:rPr>
          <w:rFonts w:ascii="Arial" w:cs="Arial" w:eastAsia="Arial" w:hAnsi="Arial"/>
          <w:sz w:val="19"/>
          <w:szCs w:val="19"/>
          <w:color w:val="auto"/>
        </w:rPr>
      </w:pPr>
    </w:p>
    <w:p>
      <w:pPr>
        <w:ind w:left="720" w:hanging="364"/>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difficulties repatriating cash from our foreign operations to the United States;</w:t>
      </w:r>
    </w:p>
    <w:p>
      <w:pPr>
        <w:spacing w:after="0" w:line="67" w:lineRule="exact"/>
        <w:rPr>
          <w:rFonts w:ascii="Arial" w:cs="Arial" w:eastAsia="Arial" w:hAnsi="Arial"/>
          <w:sz w:val="20"/>
          <w:szCs w:val="20"/>
          <w:color w:val="auto"/>
        </w:rPr>
      </w:pPr>
    </w:p>
    <w:p>
      <w:pPr>
        <w:jc w:val="both"/>
        <w:ind w:left="720" w:hanging="364"/>
        <w:spacing w:after="0" w:line="282"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legal and regulatory requirements including, without limitation, compliance with the FCPA; UK bribery laws and similar anti-bribery, anti-corruption, and economic sanctions laws and regulations; laws pertaining to the accuracy of our internal books and records; and environmental, health, and safety laws and regulations;</w:t>
      </w:r>
    </w:p>
    <w:p>
      <w:pPr>
        <w:spacing w:after="0" w:line="2" w:lineRule="exact"/>
        <w:rPr>
          <w:rFonts w:ascii="Arial" w:cs="Arial" w:eastAsia="Arial" w:hAnsi="Arial"/>
          <w:sz w:val="19"/>
          <w:szCs w:val="19"/>
          <w:color w:val="auto"/>
        </w:rPr>
      </w:pPr>
    </w:p>
    <w:p>
      <w:pPr>
        <w:ind w:left="720" w:hanging="364"/>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litigation risks, new or unanticipated litigation developments, and the status of litigation matters;</w:t>
      </w:r>
    </w:p>
    <w:p>
      <w:pPr>
        <w:spacing w:after="0" w:line="67"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unexpected difficulties in importing or exporting our products and trade laws, import/export tariffs, quotas, sanctions, or penalties, custom duties, and other trade restrictions;</w:t>
      </w:r>
    </w:p>
    <w:p>
      <w:pPr>
        <w:sectPr>
          <w:pgSz w:w="11880" w:h="15480" w:orient="portrait"/>
          <w:cols w:equalWidth="0" w:num="1">
            <w:col w:w="9800"/>
          </w:cols>
          <w:pgMar w:left="1040" w:top="523" w:right="1040" w:bottom="8" w:gutter="0" w:footer="0" w:header="0"/>
        </w:sectPr>
      </w:pPr>
    </w:p>
    <w:p>
      <w:pPr>
        <w:spacing w:after="0" w:line="258"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22</w:t>
      </w:r>
    </w:p>
    <w:p>
      <w:pPr>
        <w:sectPr>
          <w:pgSz w:w="11880" w:h="15480" w:orient="portrait"/>
          <w:cols w:equalWidth="0" w:num="1">
            <w:col w:w="9800"/>
          </w:cols>
          <w:pgMar w:left="1040" w:top="523" w:right="1040" w:bottom="8" w:gutter="0" w:footer="0" w:header="0"/>
          <w:type w:val="continuous"/>
        </w:sectPr>
      </w:pPr>
    </w:p>
    <w:bookmarkStart w:id="23" w:name="page24"/>
    <w:bookmarkEnd w:id="23"/>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limitations on our ability under local laws to protect our intellectual property;</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unexpected regulatory, legal, economic, and political changes in foreign markets;</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tax regulations that impact our operations, including purchases of capital equipment;</w:t>
      </w:r>
    </w:p>
    <w:p>
      <w:pPr>
        <w:spacing w:after="0" w:line="67"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customs, tax, governmental, or other regulatory investigations, enforcements, and penalties, which may lead to informational requests and audits;</w:t>
      </w:r>
    </w:p>
    <w:p>
      <w:pPr>
        <w:spacing w:after="0" w:line="1"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civil disturbances, geopolitical turmoil, including terrorism, war, or political or military coups (including, without limitation, the ongoing conflicts in Ukraine and the Middle East);</w:t>
      </w:r>
    </w:p>
    <w:p>
      <w:pPr>
        <w:spacing w:after="0" w:line="1"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risks associated with climate change, including physical risks such as impacts from extreme weather events and other potential physical consequences;</w:t>
      </w:r>
    </w:p>
    <w:p>
      <w:pPr>
        <w:spacing w:after="0" w:line="1"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policy, legal, and regulatory impacts, including but not limited to those that affect the import of goods or require supply chain transparency;</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market developments;</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stakeholder expectations and reputational risk; and</w:t>
      </w:r>
    </w:p>
    <w:p>
      <w:pPr>
        <w:spacing w:after="0" w:line="67" w:lineRule="exact"/>
        <w:rPr>
          <w:rFonts w:ascii="Arial" w:cs="Arial" w:eastAsia="Arial" w:hAnsi="Arial"/>
          <w:sz w:val="20"/>
          <w:szCs w:val="20"/>
          <w:color w:val="auto"/>
        </w:rPr>
      </w:pPr>
    </w:p>
    <w:p>
      <w:pPr>
        <w:ind w:left="720" w:hanging="364"/>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public health emergencies, such as the COVID-19 pandemic.</w:t>
      </w:r>
    </w:p>
    <w:p>
      <w:pPr>
        <w:spacing w:after="0" w:line="35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See also “—Uncertain global and domestic macro-economic and political conditions could materially adversely affect our business, results of operations, and financial condition.”</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may be unable to derive fully the anticipated benefits from our existing or future acquisitions, joint ventures, investments, dispositions, or other strategic transactions.</w:t>
      </w:r>
    </w:p>
    <w:p>
      <w:pPr>
        <w:spacing w:after="0" w:line="179"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Further, acquired businesses may have liabilities, or be subject to claims, litigation, or investigations that we did not anticipate or which exceed our estimates at the time of the acquisition. Certain factors, such as our ability to integrate the information systems of acquired companies in a secure and reliable manner, the presence or absence of adequate internal controls and/or fraud in the financial systems of acquired companies, and our ability to achieve synergies among acquired companies, will affect the success of our acquisitions.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23</w:t>
      </w:r>
    </w:p>
    <w:p>
      <w:pPr>
        <w:sectPr>
          <w:pgSz w:w="11880" w:h="15480" w:orient="portrait"/>
          <w:cols w:equalWidth="0" w:num="1">
            <w:col w:w="9800"/>
          </w:cols>
          <w:pgMar w:left="1040" w:top="530" w:right="1040" w:bottom="8" w:gutter="0" w:footer="0" w:header="0"/>
          <w:type w:val="continuous"/>
        </w:sectPr>
      </w:pPr>
    </w:p>
    <w:bookmarkStart w:id="24" w:name="page25"/>
    <w:bookmarkEnd w:id="24"/>
    <w:p>
      <w:pPr>
        <w:jc w:val="both"/>
        <w:spacing w:after="0" w:line="283" w:lineRule="auto"/>
        <w:rPr>
          <w:sz w:val="20"/>
          <w:szCs w:val="20"/>
          <w:color w:val="auto"/>
        </w:rPr>
      </w:pPr>
      <w:r>
        <w:rPr>
          <w:rFonts w:ascii="Arial" w:cs="Arial" w:eastAsia="Arial" w:hAnsi="Arial"/>
          <w:sz w:val="20"/>
          <w:szCs w:val="20"/>
          <w:b w:val="1"/>
          <w:bCs w:val="1"/>
          <w:i w:val="1"/>
          <w:iCs w:val="1"/>
          <w:color w:val="auto"/>
        </w:rPr>
        <w:t>Consolidation in the healthcare industry could have an adverse effect on our business, results of operations, and financial condition.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Many healthcare industry companies, including healthcare systems, distributors, manufacturers, suppliers, providers, and insurers, are consolidating or have formed strategic alliances. We expect that market demand, 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operate in a highly competitive industry, with accelerating pricing pressure and changes in technology.</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24</w:t>
      </w:r>
    </w:p>
    <w:p>
      <w:pPr>
        <w:sectPr>
          <w:pgSz w:w="11880" w:h="15480" w:orient="portrait"/>
          <w:cols w:equalWidth="0" w:num="1">
            <w:col w:w="9800"/>
          </w:cols>
          <w:pgMar w:left="1040" w:top="521" w:right="1040" w:bottom="8"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Changes to the U.S. and global healthcare environments may not be favorable to us.</w:t>
      </w: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is undergoing, and is expected to further undergo significant changes. These changes may include, and have previously included, declines in Medicare and Medicaid spending and reimbursement levels, changes to eligibility and enrollment that result in individuals becoming uninsured, hospital and healthcare facility closures, hospitals reducing or eliminating certain lines of service and staff, changes to provider taxes, pricing reforms,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and other potential changes. The impact of newly enacted laws, future legislative proposals, and executive orders that may bring significant changes to the healthcare industry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Increases in shipping costs or service issues with our third-party shippers could harm our business.</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Significant challenges or delays in our sourcing of new products and technologies could have an adverse impact on our long-term success.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25</w:t>
      </w:r>
    </w:p>
    <w:p>
      <w:pPr>
        <w:sectPr>
          <w:pgSz w:w="11880" w:h="15480" w:orient="portrait"/>
          <w:cols w:equalWidth="0" w:num="1">
            <w:col w:w="9800"/>
          </w:cols>
          <w:pgMar w:left="1040" w:top="521" w:right="1040" w:bottom="8"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i w:val="1"/>
          <w:iCs w:val="1"/>
          <w:color w:val="auto"/>
        </w:rPr>
        <w:t>We have concentration in and dependence on certain healthcare provider customers and GPOs.</w:t>
      </w:r>
    </w:p>
    <w:p>
      <w:pPr>
        <w:spacing w:after="0" w:line="25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For the year ended December 31, 2025, our top five U.S. customers represented approximately $3.2 billion (or 11.3%) of our net sales. In addition, for the year ended December 31, 2025, approximately $19.7 billion (or 69% of consolidated net sales and 74% of U.S. net sales) was from sales to member hospitals under contract with our largest GPOs: Vizient Supply, LLC, HealthTrust Purchasing Group, L.P., and Premier Healthcare Alliance,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unable to attract, develop, and retain key employees.</w:t>
      </w: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Our business and operations depend on the proper functioning of our critical facilities and distribution networks and could be negatively impacted by events outside our control.</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business depends on the proper functioning of our business processes and critical facilities and our logistics and distribution networks as well as those of our third-party suppliers. We have a differentiated distribution network of 30 manufacturing facilities; 70 global distribution centers, warehouses, cross-docks, and transship facilities; and a fleet of more than 2,100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failure to properly control inventory; actions either required or determined to be taken to cease shipments in response to regulatory requests, pressure, actions or safety issues; regulatory enforcement actions; increased shipping times; 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26</w:t>
      </w:r>
    </w:p>
    <w:p>
      <w:pPr>
        <w:sectPr>
          <w:pgSz w:w="11880" w:h="15480" w:orient="portrait"/>
          <w:cols w:equalWidth="0" w:num="1">
            <w:col w:w="9800"/>
          </w:cols>
          <w:pgMar w:left="1040" w:top="521" w:right="1040" w:bottom="8" w:gutter="0" w:footer="0" w:header="0"/>
          <w:type w:val="continuous"/>
        </w:sectPr>
      </w:pPr>
    </w:p>
    <w:bookmarkStart w:id="27" w:name="page28"/>
    <w:bookmarkEnd w:id="27"/>
    <w:p>
      <w:pPr>
        <w:jc w:val="both"/>
        <w:spacing w:after="0" w:line="283" w:lineRule="auto"/>
        <w:rPr>
          <w:sz w:val="20"/>
          <w:szCs w:val="20"/>
          <w:color w:val="auto"/>
        </w:rPr>
      </w:pPr>
      <w:r>
        <w:rPr>
          <w:rFonts w:ascii="Arial" w:cs="Arial" w:eastAsia="Arial" w:hAnsi="Arial"/>
          <w:sz w:val="20"/>
          <w:szCs w:val="20"/>
          <w:b w:val="1"/>
          <w:bCs w:val="1"/>
          <w:i w:val="1"/>
          <w:iCs w:val="1"/>
          <w:color w:val="auto"/>
        </w:rPr>
        <w:t>We may be required to recognize impairment charges related to goodwill, identified intangible assets, and fixed assets that would reduce our reported assets and earnings.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may not realize the expected benefits from the entry into new or amended contracts, planned cost savings, and business improvement initiatives.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or products of other manufacturers that have been incorporated into our surgical and procedural kits, have occurred and may occur in the future and have resulted in and may result in product recalls, notifications to affected customers, and other corrective actions.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 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27</w:t>
      </w:r>
    </w:p>
    <w:p>
      <w:pPr>
        <w:sectPr>
          <w:pgSz w:w="11880" w:h="15480" w:orient="portrait"/>
          <w:cols w:equalWidth="0" w:num="1">
            <w:col w:w="9800"/>
          </w:cols>
          <w:pgMar w:left="1040" w:top="521" w:right="1040" w:bottom="8"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t>Our failure to establish and maintain Prime Vendor relationships may cause our revenue to decline.</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ability to earn Prime Vendor agreements is an important revenue driver for us. Our active Prime Vendor agreements as of December 31, 2025 generated approximately 63.4% ($18.0 billion) of net sales for the year ended December 31, 2025.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experienced, and may continue to experience, increased pressure to lower the prices for certain of our goods and services due to pricing pressure from managed care organizations and other third-party payers, increased market power of GPOs, integrated delivery networks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We rely on third parties to manufacture and supply certain raw materials, component parts, and finished goods. For example, we utilize a network of more than 600 global partners across a diversified set of approximately 40 countries for the vast majority of the other two-thirds of our Medline Brand products that are not manufactured at our manufacturing facilities, and, through our Supply Chain Solutions segment, we offer med-surg products from over 1,300 third-party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28</w:t>
      </w:r>
    </w:p>
    <w:p>
      <w:pPr>
        <w:sectPr>
          <w:pgSz w:w="11880" w:h="15480" w:orient="portrait"/>
          <w:cols w:equalWidth="0" w:num="1">
            <w:col w:w="9800"/>
          </w:cols>
          <w:pgMar w:left="1040" w:top="521" w:right="1040" w:bottom="8" w:gutter="0" w:footer="0" w:header="0"/>
          <w:type w:val="continuous"/>
        </w:sectPr>
      </w:pPr>
    </w:p>
    <w:bookmarkStart w:id="29" w:name="page30"/>
    <w:bookmarkEnd w:id="29"/>
    <w:p>
      <w:pPr>
        <w:jc w:val="both"/>
        <w:spacing w:after="0" w:line="278" w:lineRule="auto"/>
        <w:rPr>
          <w:sz w:val="20"/>
          <w:szCs w:val="20"/>
          <w:color w:val="auto"/>
        </w:rPr>
      </w:pPr>
      <w:r>
        <w:rPr>
          <w:rFonts w:ascii="Arial" w:cs="Arial" w:eastAsia="Arial" w:hAnsi="Arial"/>
          <w:sz w:val="18"/>
          <w:szCs w:val="18"/>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the possibility of adverse regulatory action against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event,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identify and enter into arrangements with additional or replacement suppliers or third-party manufacturers in a timely or cost-effective manner, partly as a result of U.S. Food and Drug Administration (“FDA”) and other applicable laws and regulations that require, among other things, qualification and registration of certain suppliers and third-party contract manufacturers, requirements for regulatory clearance, authorization, approval or certification of certain products or components, as well as validation of certain materials, components, and processes prior to their use in or with our products. Seeking and obtaining such clearances, authorizations, approvals or certifications from the FDA and other regulatory authorities is a time-consuming and expensive process. Disruptions at the FDA and other government agencies, including disruptions due to government shutdowns, lapses in appropriations, funding shortages, staffing limitations, changes in policy, or other factors may also delay, prevent, or otherwise adversely affect our ability, or the ability of any of our suppliers or third-party manufacturers to obtain any required , qualifications, clearances, approvals, authorizations or certifications. Such disruptions may also affect the submission of any required or planned filings to FDA and other government agencies (and the ability of FDA and other government agencies to accept such submissions) by us or third parties, which could have a material adverse effect on our business, results of operations, and financial condition.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29</w:t>
      </w:r>
    </w:p>
    <w:p>
      <w:pPr>
        <w:sectPr>
          <w:pgSz w:w="11880" w:h="15480" w:orient="portrait"/>
          <w:cols w:equalWidth="0" w:num="1">
            <w:col w:w="9800"/>
          </w:cols>
          <w:pgMar w:left="1040" w:top="530" w:right="1040" w:bottom="8"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Risks Related to Regulation and Legal Proceedings</w:t>
      </w: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highly dependent on information technology networks and systems to operate our business and securely process, transmit and store any Personal Data, PHI and other sensitive and confidential data in connection with it, which includes our own proprietary applications and tools (e.g., PrefConnect and FitRight Connect) and a wide variety of third-party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30</w:t>
      </w:r>
    </w:p>
    <w:p>
      <w:pPr>
        <w:sectPr>
          <w:pgSz w:w="11880" w:h="15480" w:orient="portrait"/>
          <w:cols w:equalWidth="0" w:num="1">
            <w:col w:w="9800"/>
          </w:cols>
          <w:pgMar w:left="1040" w:top="523" w:right="1040" w:bottom="8" w:gutter="0" w:footer="0" w:header="0"/>
          <w:type w:val="continuous"/>
        </w:sectPr>
      </w:pPr>
    </w:p>
    <w:bookmarkStart w:id="31" w:name="page32"/>
    <w:bookmarkEnd w:id="31"/>
    <w:p>
      <w:pPr>
        <w:jc w:val="both"/>
        <w:spacing w:after="0" w:line="281" w:lineRule="auto"/>
        <w:rPr>
          <w:sz w:val="20"/>
          <w:szCs w:val="20"/>
          <w:color w:val="auto"/>
        </w:rPr>
      </w:pPr>
      <w:r>
        <w:rPr>
          <w:rFonts w:ascii="Arial" w:cs="Arial" w:eastAsia="Arial" w:hAnsi="Arial"/>
          <w:sz w:val="18"/>
          <w:szCs w:val="18"/>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HIPAA, the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products and technologies, as well as our business activities and government contracts, are subject to a complex set of regulations and rigorous enforcement, including by the FDA, the DOJ, HHS Office of the Inspector General, the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 In particular, our products, marketing, sales and development activities and manufacturing processes are subject to extensive and rigorous regulation by the FDA pursuant to the Federal Food, Drug and Cosmetic Act (“FDCA”), and by comparable agencies and regulatory bodies in foreign countries and other jurisdictions. Under the FDCA, medical devices must receive FDA clearance or approval, or be exempt from requirements for such clearance or approval before they can be commercially marketed in the U.S. In the EU, we are required to comply with the “EU MDR” effective May 2021, which superseded the Medical Device Directives. We cannot guarantee that we will be able to obtain or maintain the required marketing clearances, approvals, authorizations, or certifications to market our new products or for enhancements or modifications to existing products. Obtaining the necessary clearances, approvals,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31</w:t>
      </w:r>
    </w:p>
    <w:p>
      <w:pPr>
        <w:sectPr>
          <w:pgSz w:w="11880" w:h="15480" w:orient="portrait"/>
          <w:cols w:equalWidth="0" w:num="1">
            <w:col w:w="9800"/>
          </w:cols>
          <w:pgMar w:left="1040" w:top="530" w:right="1040" w:bottom="8" w:gutter="0" w:footer="0" w:header="0"/>
          <w:type w:val="continuous"/>
        </w:sectPr>
      </w:pPr>
    </w:p>
    <w:bookmarkStart w:id="32" w:name="page33"/>
    <w:bookmarkEnd w:id="32"/>
    <w:p>
      <w:pPr>
        <w:jc w:val="both"/>
        <w:spacing w:after="0" w:line="264" w:lineRule="auto"/>
        <w:rPr>
          <w:sz w:val="20"/>
          <w:szCs w:val="20"/>
          <w:color w:val="auto"/>
        </w:rPr>
      </w:pPr>
      <w:r>
        <w:rPr>
          <w:rFonts w:ascii="Arial" w:cs="Arial" w:eastAsia="Arial" w:hAnsi="Arial"/>
          <w:sz w:val="19"/>
          <w:szCs w:val="19"/>
          <w:color w:val="auto"/>
        </w:rPr>
        <w:t>Both before and after a product is commercially marketed, we have responsibilities under the FDCA, the EU MDR and other applicable U.S. and non-U.S. regulations, including with respect to clinical studies, quality systems, manufacturing, imports, and labeling and promotional practices. We may conduct and participate in clinical studies to obtain marketing clearance, approval, authorization, or certification for new products and new indications for, or modifications to, existing products. Unfavorable clinical data from existing or future clinical studies or unfavorable performance evaluations, assessments, and testing may adversely impact our ability to obtain product clearances, approvals,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and presently include, notices of inspectional observations (FDA Form 483s), warning letters, or other forms of enforcement.</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approval, authorization, or certification, decline to provide certificates required by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 penalties for regulatory non-compliance could also be severe, including fines, revocation or suspension of a company’s products or quality management system certificates, and criminal sanctions. Any adverse regulatory or other action, including any adverse press releases or other communications from regulators, depending on its magnitude, may require termination of distribution, impose operating restrictions, result in shutdowns or delays in the introduction of products into the market, restrict us from effectively marketing, shipping, and selling our products, and limit our ability to obtain future clearances, approvals, authorizations or certifications, licenses, registrations, or other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 or continuing to market products in our current portfolio.</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 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32</w:t>
      </w:r>
    </w:p>
    <w:p>
      <w:pPr>
        <w:sectPr>
          <w:pgSz w:w="11880" w:h="15480" w:orient="portrait"/>
          <w:cols w:equalWidth="0" w:num="1">
            <w:col w:w="9800"/>
          </w:cols>
          <w:pgMar w:left="1040" w:top="530" w:right="1040" w:bottom="8" w:gutter="0" w:footer="0" w:header="0"/>
          <w:type w:val="continuous"/>
        </w:sectPr>
      </w:pPr>
    </w:p>
    <w:bookmarkStart w:id="33" w:name="page34"/>
    <w:bookmarkEnd w:id="33"/>
    <w:p>
      <w:pPr>
        <w:jc w:val="both"/>
        <w:spacing w:after="0" w:line="278" w:lineRule="auto"/>
        <w:rPr>
          <w:sz w:val="20"/>
          <w:szCs w:val="20"/>
          <w:color w:val="auto"/>
        </w:rPr>
      </w:pPr>
      <w:r>
        <w:rPr>
          <w:rFonts w:ascii="Arial" w:cs="Arial" w:eastAsia="Arial" w:hAnsi="Arial"/>
          <w:sz w:val="18"/>
          <w:szCs w:val="18"/>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 renewed or might be terminated for convenience by the government with little or no prior notice, which could have a material adverse effect on our business, results of operations, and financial condition. Our government contracts are also subject to various government procurement laws and regulations, required contract provisions, and other requirements relating to contract formation, administration and performance. Failure to comply with applicable laws and regulations or with contractual or other requirements may result in monetary damages and criminal or civil penalties as well as termination of our government contracts or our suspension or debarment from government contract work.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Any required adjustments to our efforts, such as modifications in regard to Diversity Suppliers, could increase operational complexity and legal risk. The U.S. federal government may issue updated guidance, reassess existing supervisory frameworks, or pursue enforcement actions via the FCA or other mechanisms or targeted executive enforcement actions based on perceived violations of revised standards. At the same time, some states continue to require affirmative action policies or corporate diversity reporting, adding further complexity.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are subject to extensive environmental, health, and safety requirements, and our operations involve hazardous and other environmentally sensitive substances.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33</w:t>
      </w:r>
    </w:p>
    <w:p>
      <w:pPr>
        <w:sectPr>
          <w:pgSz w:w="11880" w:h="15480" w:orient="portrait"/>
          <w:cols w:equalWidth="0" w:num="1">
            <w:col w:w="9800"/>
          </w:cols>
          <w:pgMar w:left="1040" w:top="530" w:right="1040" w:bottom="8" w:gutter="0" w:footer="0" w:header="0"/>
          <w:type w:val="continuous"/>
        </w:sectPr>
      </w:pPr>
    </w:p>
    <w:bookmarkStart w:id="34" w:name="page35"/>
    <w:bookmarkEnd w:id="34"/>
    <w:p>
      <w:pPr>
        <w:jc w:val="both"/>
        <w:spacing w:after="0" w:line="275" w:lineRule="auto"/>
        <w:rPr>
          <w:sz w:val="20"/>
          <w:szCs w:val="20"/>
          <w:color w:val="auto"/>
        </w:rPr>
      </w:pPr>
      <w:r>
        <w:rPr>
          <w:rFonts w:ascii="Arial" w:cs="Arial" w:eastAsia="Arial" w:hAnsi="Arial"/>
          <w:sz w:val="19"/>
          <w:szCs w:val="19"/>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178" w:lineRule="exact"/>
        <w:rPr>
          <w:sz w:val="20"/>
          <w:szCs w:val="20"/>
          <w:color w:val="auto"/>
        </w:rPr>
      </w:pPr>
    </w:p>
    <w:p>
      <w:pPr>
        <w:jc w:val="both"/>
        <w:spacing w:after="0" w:line="414" w:lineRule="auto"/>
        <w:rPr>
          <w:sz w:val="20"/>
          <w:szCs w:val="20"/>
          <w:color w:val="auto"/>
        </w:rPr>
      </w:pPr>
      <w:r>
        <w:rPr>
          <w:rFonts w:ascii="Arial" w:cs="Arial" w:eastAsia="Arial" w:hAnsi="Arial"/>
          <w:sz w:val="16"/>
          <w:szCs w:val="16"/>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34</w:t>
      </w:r>
    </w:p>
    <w:p>
      <w:pPr>
        <w:sectPr>
          <w:pgSz w:w="11880" w:h="15480" w:orient="portrait"/>
          <w:cols w:equalWidth="0" w:num="1">
            <w:col w:w="9800"/>
          </w:cols>
          <w:pgMar w:left="1040" w:top="530" w:right="1040" w:bottom="8" w:gutter="0" w:footer="0" w:header="0"/>
          <w:type w:val="continuous"/>
        </w:sectPr>
      </w:pPr>
    </w:p>
    <w:bookmarkStart w:id="35" w:name="page36"/>
    <w:bookmarkEnd w:id="35"/>
    <w:p>
      <w:pPr>
        <w:jc w:val="both"/>
        <w:spacing w:after="0" w:line="265" w:lineRule="auto"/>
        <w:rPr>
          <w:sz w:val="20"/>
          <w:szCs w:val="20"/>
          <w:color w:val="auto"/>
        </w:rPr>
      </w:pPr>
      <w:r>
        <w:rPr>
          <w:rFonts w:ascii="Arial" w:cs="Arial" w:eastAsia="Arial" w:hAnsi="Arial"/>
          <w:sz w:val="20"/>
          <w:szCs w:val="20"/>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business includes the Processing of Personal Data of consumers; Medline applicants, employees, and other workforce members; our customers’ patients, plan members, and employees; our vendors’ employees; and other third parties, as well as PHI, where we meet the definition of a Business Associate (as such term is defined under HIPAA)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GDPR,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the United States, the FTC is increasingly active in regulating health-related privacy and security. The FTC has taken enforcement actions against companies for statements or promises made about the privacy or security of health information, through Section 5 of the FTCA, which prohibits unfair or deceptive acts or practices, as well as through the HBNR, which applies to certain “personal health record-related entities” or “third party service providers.” We may also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January 2025, the DOJ issued final regulations on bulk U.S. sensitive personal data and government-related data that prohibit or restrict U.S. persons from knowingly directing or engaging in defined classes of transactions that allow persons in “countries of concern” (China, including Hong Kong and Macau, Russia, Iran, North Korea, Cuba, and Venezuela) or those otherwise deemed a “covered person” access to bulk U.S. sensitive personal data and U.S. government-related data. Violations of the regulations can result in civil and criminal penalties. The regulations may further complicate compliance efforts and increase legal risk and compliance costs for us and the third parties upon whom we rely.</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Non-compliance with the GDPR can result in substantial fines and other penalties, required changes to our business practices and reputational harm, any of which could have an adverse effect on our business.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35</w:t>
      </w:r>
    </w:p>
    <w:p>
      <w:pPr>
        <w:sectPr>
          <w:pgSz w:w="11880" w:h="15480" w:orient="portrait"/>
          <w:cols w:equalWidth="0" w:num="1">
            <w:col w:w="9800"/>
          </w:cols>
          <w:pgMar w:left="1040" w:top="521" w:right="1040" w:bottom="8" w:gutter="0" w:footer="0" w:header="0"/>
          <w:type w:val="continuous"/>
        </w:sectPr>
      </w:pPr>
    </w:p>
    <w:bookmarkStart w:id="36" w:name="page37"/>
    <w:bookmarkEnd w:id="36"/>
    <w:p>
      <w:pPr>
        <w:jc w:val="both"/>
        <w:spacing w:after="0" w:line="280" w:lineRule="auto"/>
        <w:rPr>
          <w:sz w:val="20"/>
          <w:szCs w:val="20"/>
          <w:color w:val="auto"/>
        </w:rPr>
      </w:pPr>
      <w:r>
        <w:rPr>
          <w:rFonts w:ascii="Arial" w:cs="Arial" w:eastAsia="Arial" w:hAnsi="Arial"/>
          <w:sz w:val="18"/>
          <w:szCs w:val="18"/>
          <w:color w:val="auto"/>
        </w:rPr>
        <w:t>In the event of a privacy or security incident or claim that we, a service provider, a third party with which we do business, or a hacker or other third party with authorized or unauthorized access to our data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actions,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processes,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36</w:t>
      </w:r>
    </w:p>
    <w:p>
      <w:pPr>
        <w:sectPr>
          <w:pgSz w:w="11880" w:h="15480" w:orient="portrait"/>
          <w:cols w:equalWidth="0" w:num="1">
            <w:col w:w="9800"/>
          </w:cols>
          <w:pgMar w:left="1040" w:top="530" w:right="1040" w:bottom="8" w:gutter="0" w:footer="0" w:header="0"/>
          <w:type w:val="continuous"/>
        </w:sectPr>
      </w:pPr>
    </w:p>
    <w:bookmarkStart w:id="37" w:name="page38"/>
    <w:bookmarkEnd w:id="37"/>
    <w:p>
      <w:pPr>
        <w:jc w:val="both"/>
        <w:spacing w:after="0" w:line="282" w:lineRule="auto"/>
        <w:rPr>
          <w:sz w:val="20"/>
          <w:szCs w:val="20"/>
          <w:color w:val="auto"/>
        </w:rPr>
      </w:pPr>
      <w:r>
        <w:rPr>
          <w:rFonts w:ascii="Arial" w:cs="Arial" w:eastAsia="Arial" w:hAnsi="Arial"/>
          <w:sz w:val="18"/>
          <w:szCs w:val="18"/>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For example, various U.S. states are in the process of enacting (or have already enacted) new laws and regulations that are aimed at providing individuals with additional protections in connection with Machine Learning Technology. Moreover, the FDA has issued draft guidance documents and other publications setting forth the FDA’s current thinking with respect to the use and regulation of AI and Machine Learning Technology in the development medical device software and drug products, but has yet to finalize such guidance documents or otherwise propose rules and regulations that would more specifically address the use of AI technologies in medical device products. As a result, the regulatory guidance provided with respect to the use of AI technologies has been limited.</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develop and introduce new products or otherwise improve our services.</w:t>
      </w:r>
    </w:p>
    <w:p>
      <w:pPr>
        <w:spacing w:after="0" w:line="189" w:lineRule="exact"/>
        <w:rPr>
          <w:sz w:val="20"/>
          <w:szCs w:val="20"/>
          <w:color w:val="auto"/>
        </w:rPr>
      </w:pPr>
    </w:p>
    <w:p>
      <w:pPr>
        <w:jc w:val="both"/>
        <w:spacing w:after="0" w:line="414" w:lineRule="auto"/>
        <w:rPr>
          <w:sz w:val="20"/>
          <w:szCs w:val="20"/>
          <w:color w:val="auto"/>
        </w:rPr>
      </w:pPr>
      <w:r>
        <w:rPr>
          <w:rFonts w:ascii="Arial" w:cs="Arial" w:eastAsia="Arial" w:hAnsi="Arial"/>
          <w:sz w:val="16"/>
          <w:szCs w:val="16"/>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86"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In addition, in July 2025, the One Big Beautiful Bill Act (the “OBBBA”) was signed into law. The OBBBA introduced significant changes to numerous areas of U.S. federal income tax law, including permanency of certain provisions in the 2017 Tax Cuts and Jobs Act, and changes to R&amp;D expensing, bonus depreciation, and international tax provisions. Other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 Additional guidance with respect to any of these rules or other changes in tax law could materially affect our financial position, tax obligations, and effective tax rate.</w:t>
      </w:r>
    </w:p>
    <w:p>
      <w:pPr>
        <w:spacing w:after="0" w:line="200" w:lineRule="exact"/>
        <w:rPr>
          <w:sz w:val="20"/>
          <w:szCs w:val="20"/>
          <w:color w:val="auto"/>
        </w:rPr>
      </w:pP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37</w:t>
      </w:r>
    </w:p>
    <w:p>
      <w:pPr>
        <w:sectPr>
          <w:pgSz w:w="11880" w:h="15480" w:orient="portrait"/>
          <w:cols w:equalWidth="0" w:num="1">
            <w:col w:w="9800"/>
          </w:cols>
          <w:pgMar w:left="1040" w:top="530" w:right="1040" w:bottom="8" w:gutter="0" w:footer="0" w:header="0"/>
          <w:type w:val="continuous"/>
        </w:sectPr>
      </w:pPr>
    </w:p>
    <w:bookmarkStart w:id="38" w:name="page39"/>
    <w:bookmarkEnd w:id="38"/>
    <w:p>
      <w:pPr>
        <w:jc w:val="both"/>
        <w:spacing w:after="0" w:line="283" w:lineRule="auto"/>
        <w:rPr>
          <w:sz w:val="20"/>
          <w:szCs w:val="20"/>
          <w:color w:val="auto"/>
        </w:rPr>
      </w:pPr>
      <w:r>
        <w:rPr>
          <w:rFonts w:ascii="Arial" w:cs="Arial" w:eastAsia="Arial" w:hAnsi="Arial"/>
          <w:sz w:val="20"/>
          <w:szCs w:val="20"/>
          <w:b w:val="1"/>
          <w:bCs w:val="1"/>
          <w:i w:val="1"/>
          <w:iCs w:val="1"/>
          <w:color w:val="auto"/>
        </w:rPr>
        <w:t>We may become subject to litigation brought by third parties claiming infringement, misappropriation, or other violation by us of their intellectual property rights.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Climate change or legal, regulatory or market measures to address climate change may negatively affect our business, results of operations, and financial condition.</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Our business could be affected by current and future local, state, federal, and international laws, regulations, treaties, agreements, and policies related to greenhouse gas emissions and climate change. Some existing laws 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38</w:t>
      </w:r>
    </w:p>
    <w:p>
      <w:pPr>
        <w:sectPr>
          <w:pgSz w:w="11880" w:h="15480" w:orient="portrait"/>
          <w:cols w:equalWidth="0" w:num="1">
            <w:col w:w="9800"/>
          </w:cols>
          <w:pgMar w:left="1040" w:top="521" w:right="1040" w:bottom="8" w:gutter="0" w:footer="0" w:header="0"/>
          <w:type w:val="continuous"/>
        </w:sectPr>
      </w:pPr>
    </w:p>
    <w:bookmarkStart w:id="39" w:name="page40"/>
    <w:bookmarkEnd w:id="39"/>
    <w:p>
      <w:pPr>
        <w:jc w:val="both"/>
        <w:spacing w:after="0" w:line="311" w:lineRule="auto"/>
        <w:rPr>
          <w:sz w:val="20"/>
          <w:szCs w:val="20"/>
          <w:color w:val="auto"/>
        </w:rPr>
      </w:pPr>
      <w:r>
        <w:rPr>
          <w:rFonts w:ascii="Arial" w:cs="Arial" w:eastAsia="Arial" w:hAnsi="Arial"/>
          <w:sz w:val="19"/>
          <w:szCs w:val="19"/>
          <w:b w:val="1"/>
          <w:bCs w:val="1"/>
          <w:i w:val="1"/>
          <w:iCs w:val="1"/>
          <w:color w:val="auto"/>
        </w:rPr>
        <w:t>The increasing focus on ESG and sustainability matters or the failure or perceived failure to meet our ESG and sustainability goals may increase our costs, harm our reputation or adversely affect our business.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are facing increasing scrutiny from investors, customers, patients, consumers, employees, proxy advisory firms, nongovernmental organizations, and other stakeholders related to environmental, social, and 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reporting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19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are involved in legal proceedings and disputes, which could adversely impact our business, results of operations, and financial condition.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or determine that certain products in our inventory should no longer be shipped as a result of regulatory requests or actions or safety or other issues.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39</w:t>
      </w:r>
    </w:p>
    <w:p>
      <w:pPr>
        <w:sectPr>
          <w:pgSz w:w="11880" w:h="15480" w:orient="portrait"/>
          <w:cols w:equalWidth="0" w:num="1">
            <w:col w:w="9800"/>
          </w:cols>
          <w:pgMar w:left="1040" w:top="521" w:right="1040" w:bottom="8" w:gutter="0" w:footer="0" w:header="0"/>
          <w:type w:val="continuous"/>
        </w:sectPr>
      </w:pPr>
    </w:p>
    <w:bookmarkStart w:id="40" w:name="page41"/>
    <w:bookmarkEnd w:id="40"/>
    <w:p>
      <w:pPr>
        <w:jc w:val="both"/>
        <w:spacing w:after="0" w:line="267" w:lineRule="auto"/>
        <w:rPr>
          <w:sz w:val="20"/>
          <w:szCs w:val="20"/>
          <w:color w:val="auto"/>
        </w:rPr>
      </w:pPr>
      <w:r>
        <w:rPr>
          <w:rFonts w:ascii="Arial" w:cs="Arial" w:eastAsia="Arial" w:hAnsi="Arial"/>
          <w:sz w:val="19"/>
          <w:szCs w:val="19"/>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186" w:lineRule="exact"/>
        <w:rPr>
          <w:sz w:val="20"/>
          <w:szCs w:val="20"/>
          <w:color w:val="auto"/>
        </w:rPr>
      </w:pPr>
    </w:p>
    <w:p>
      <w:pPr>
        <w:jc w:val="both"/>
        <w:spacing w:after="0" w:line="414" w:lineRule="auto"/>
        <w:rPr>
          <w:sz w:val="20"/>
          <w:szCs w:val="20"/>
          <w:color w:val="auto"/>
        </w:rPr>
      </w:pPr>
      <w:r>
        <w:rPr>
          <w:rFonts w:ascii="Arial" w:cs="Arial" w:eastAsia="Arial" w:hAnsi="Arial"/>
          <w:sz w:val="16"/>
          <w:szCs w:val="16"/>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FCA, the AKS, the Civil Monetary Penalties Statute, HIPAA, and the Physician Payments Sunshine Act). See Part I, “Item 1—Business—Government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40</w:t>
      </w:r>
    </w:p>
    <w:p>
      <w:pPr>
        <w:sectPr>
          <w:pgSz w:w="11880" w:h="15480" w:orient="portrait"/>
          <w:cols w:equalWidth="0" w:num="1">
            <w:col w:w="9800"/>
          </w:cols>
          <w:pgMar w:left="1040" w:top="530" w:right="1040" w:bottom="8" w:gutter="0" w:footer="0" w:header="0"/>
          <w:type w:val="continuous"/>
        </w:sectPr>
      </w:pPr>
    </w:p>
    <w:bookmarkStart w:id="41" w:name="page42"/>
    <w:bookmarkEnd w:id="41"/>
    <w:p>
      <w:pPr>
        <w:jc w:val="both"/>
        <w:spacing w:after="0" w:line="254" w:lineRule="auto"/>
        <w:rPr>
          <w:sz w:val="20"/>
          <w:szCs w:val="20"/>
          <w:color w:val="auto"/>
        </w:rPr>
      </w:pPr>
      <w:r>
        <w:rPr>
          <w:rFonts w:ascii="Arial" w:cs="Arial" w:eastAsia="Arial" w:hAnsi="Arial"/>
          <w:sz w:val="20"/>
          <w:szCs w:val="20"/>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Additionally, we also directly submitted claims to governmental healthcare programs as a Medicare-enrolled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Our insurance program may not cover claims brought against us, deny coverage of claims, or be inadequate to cover future losses.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$33 million of net litigation gains for the year ended December 31, 2025. See Risk Factors “—We are involved in legal proceedings and disputes, which could adversely impact our business, results of operations, and financial condition” and Note 13—Commitments and Contingencies to our audited consolidated financial statements included under Part II, “Item 8—Financial Statements and Supplementary Data” of this Annual Report.</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170"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41</w:t>
      </w:r>
    </w:p>
    <w:p>
      <w:pPr>
        <w:sectPr>
          <w:pgSz w:w="11880" w:h="15480" w:orient="portrait"/>
          <w:cols w:equalWidth="0" w:num="1">
            <w:col w:w="9800"/>
          </w:cols>
          <w:pgMar w:left="1040" w:top="530" w:right="1040" w:bottom="8" w:gutter="0" w:footer="0" w:header="0"/>
          <w:type w:val="continuous"/>
        </w:sectPr>
      </w:pPr>
    </w:p>
    <w:bookmarkStart w:id="42" w:name="page43"/>
    <w:bookmarkEnd w:id="42"/>
    <w:p>
      <w:pPr>
        <w:jc w:val="both"/>
        <w:spacing w:after="0" w:line="265" w:lineRule="auto"/>
        <w:rPr>
          <w:sz w:val="20"/>
          <w:szCs w:val="20"/>
          <w:color w:val="auto"/>
        </w:rPr>
      </w:pPr>
      <w:r>
        <w:rPr>
          <w:rFonts w:ascii="Arial" w:cs="Arial" w:eastAsia="Arial" w:hAnsi="Arial"/>
          <w:sz w:val="19"/>
          <w:szCs w:val="19"/>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we are unable to protect our intellectual property, particularly our patents, brands, and know-how, our intellectual property may be impaired, we may lose a portion of our intellectual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Financial and Economic Market Conditions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exchange rate fluctuations could have a significant impact on our results of operations.</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operate in various international markets, including Canada, Mexico, Europe, and the Asia Pacific region, with more significant manufacturing operations in Mexico. For the year ended December 31, 2025, 6.7% of our total net sales and 8.0%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profitability and cash flows may be adversely affected by inflationary pressures.</w:t>
      </w:r>
    </w:p>
    <w:p>
      <w:pPr>
        <w:spacing w:after="0" w:line="25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42</w:t>
      </w:r>
    </w:p>
    <w:p>
      <w:pPr>
        <w:sectPr>
          <w:pgSz w:w="11880" w:h="15480" w:orient="portrait"/>
          <w:cols w:equalWidth="0" w:num="1">
            <w:col w:w="9800"/>
          </w:cols>
          <w:pgMar w:left="1040" w:top="530" w:right="1040" w:bottom="8" w:gutter="0" w:footer="0" w:header="0"/>
          <w:type w:val="continuous"/>
        </w:sectPr>
      </w:pPr>
    </w:p>
    <w:bookmarkStart w:id="43" w:name="page44"/>
    <w:bookmarkEnd w:id="43"/>
    <w:p>
      <w:pPr>
        <w:jc w:val="both"/>
        <w:spacing w:after="0" w:line="283" w:lineRule="auto"/>
        <w:rPr>
          <w:sz w:val="20"/>
          <w:szCs w:val="20"/>
          <w:color w:val="auto"/>
        </w:rPr>
      </w:pPr>
      <w:r>
        <w:rPr>
          <w:rFonts w:ascii="Arial" w:cs="Arial" w:eastAsia="Arial" w:hAnsi="Arial"/>
          <w:sz w:val="20"/>
          <w:szCs w:val="20"/>
          <w:b w:val="1"/>
          <w:bCs w:val="1"/>
          <w:i w:val="1"/>
          <w:iCs w:val="1"/>
          <w:color w:val="auto"/>
        </w:rPr>
        <w:t>Uncertain global and domestic macro-economic and political conditions could materially adversely affect our business, results of operations, and financial condition.</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227" w:lineRule="exact"/>
        <w:rPr>
          <w:sz w:val="20"/>
          <w:szCs w:val="20"/>
          <w:color w:val="auto"/>
        </w:rPr>
      </w:pPr>
    </w:p>
    <w:p>
      <w:pPr>
        <w:jc w:val="both"/>
        <w:ind w:left="720" w:right="340" w:hanging="364"/>
        <w:spacing w:after="0" w:line="270"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10" w:lineRule="exact"/>
        <w:rPr>
          <w:rFonts w:ascii="Arial" w:cs="Arial" w:eastAsia="Arial" w:hAnsi="Arial"/>
          <w:sz w:val="24"/>
          <w:szCs w:val="24"/>
          <w:color w:val="auto"/>
        </w:rPr>
      </w:pPr>
    </w:p>
    <w:p>
      <w:pPr>
        <w:ind w:left="720" w:hanging="364"/>
        <w:spacing w:after="0"/>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greater restrictions on imports and exports;</w:t>
      </w:r>
    </w:p>
    <w:p>
      <w:pPr>
        <w:spacing w:after="0" w:line="11"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tariffs, sanctions, or other protectionist measures;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changes to, including further deterioration of, the relationship between the United States and China;</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sovereign debt levels;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consumer confidence;</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unemployment levels (and a corresponding increase in the uninsured and underinsured population);</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changes in employment laws and regulations;</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interest rate fluctuations and strengthening of the dollar, which have and will continue to impact our results of operations;</w:t>
      </w:r>
    </w:p>
    <w:p>
      <w:pPr>
        <w:spacing w:after="0" w:line="9" w:lineRule="exact"/>
        <w:rPr>
          <w:rFonts w:ascii="Arial" w:cs="Arial" w:eastAsia="Arial" w:hAnsi="Arial"/>
          <w:sz w:val="24"/>
          <w:szCs w:val="24"/>
          <w:color w:val="auto"/>
        </w:rPr>
      </w:pPr>
    </w:p>
    <w:p>
      <w:pPr>
        <w:ind w:left="720" w:hanging="364"/>
        <w:spacing w:after="0"/>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availability of capital;</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increases in fuel and energy costs;</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the effect of inflation on our ability to procure products and our ability to increase prices over time and pass through to our customers price increases we may receive;</w:t>
      </w:r>
    </w:p>
    <w:p>
      <w:pPr>
        <w:spacing w:after="0" w:line="9" w:lineRule="exact"/>
        <w:rPr>
          <w:rFonts w:ascii="Arial" w:cs="Arial" w:eastAsia="Arial" w:hAnsi="Arial"/>
          <w:sz w:val="24"/>
          <w:szCs w:val="24"/>
          <w:color w:val="auto"/>
        </w:rPr>
      </w:pPr>
    </w:p>
    <w:p>
      <w:pPr>
        <w:ind w:left="720" w:hanging="364"/>
        <w:spacing w:after="0"/>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changes in tax rates and the availability of certain tax deductions;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increases in labor costs or healthcare costs;</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the threat or outbreak of war, terrorism, or public unrest (including, without limitation, the ongoing conflicts in Ukraine and the Middle East); and</w:t>
      </w:r>
    </w:p>
    <w:p>
      <w:pPr>
        <w:spacing w:after="0" w:line="26" w:lineRule="exact"/>
        <w:rPr>
          <w:rFonts w:ascii="Arial" w:cs="Arial" w:eastAsia="Arial" w:hAnsi="Arial"/>
          <w:sz w:val="24"/>
          <w:szCs w:val="24"/>
          <w:color w:val="auto"/>
        </w:rPr>
      </w:pPr>
    </w:p>
    <w:p>
      <w:pPr>
        <w:ind w:left="720" w:hanging="364"/>
        <w:spacing w:after="0" w:line="280" w:lineRule="auto"/>
        <w:tabs>
          <w:tab w:leader="none" w:pos="720" w:val="left"/>
        </w:tabs>
        <w:numPr>
          <w:ilvl w:val="0"/>
          <w:numId w:val="12"/>
        </w:numPr>
        <w:rPr>
          <w:rFonts w:ascii="Arial" w:cs="Arial" w:eastAsia="Arial" w:hAnsi="Arial"/>
          <w:sz w:val="24"/>
          <w:szCs w:val="24"/>
          <w:color w:val="auto"/>
        </w:rPr>
      </w:pPr>
      <w:r>
        <w:rPr>
          <w:rFonts w:ascii="Arial" w:cs="Arial" w:eastAsia="Arial" w:hAnsi="Arial"/>
          <w:sz w:val="20"/>
          <w:szCs w:val="20"/>
          <w:color w:val="auto"/>
        </w:rPr>
        <w:t>changes in laws and policies governing manufacturing, development and investment in territories and countries where we do business.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U.S. government has implemented or announced significant new tariffs on products manufactured in a wide range of countries outside the United States, including China, Mexico, and countries in Southeast Asia. These actions have prompted a cycle of retaliatory tariffs and potential retaliatory tariffs by a number of these countries and the United States. While certain of these announced tariffs have been delayed, a number of new tariffs remain in effect, and the U.S. government may in the future impose, reimpose, increase, or pause tariffs, and countries subject to such tariffs have imposed, and in the future may impose, reciprocal tariffs or other protectionist or retaliatory trade measures in response. The imposition of tariffs and other trade restrictions, as well as the escalation of trade disputes and any resulting downturns in the global economy, has and could continue to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exemptions or exclusions that may be granted, availability and cost of alternative sources of supply, and demand for our products in affected markets. Furthermore, actions we take to adapt to new tariffs or other trade restrictions may cause us to modify our operations, which could be time-consuming and expensive; impact pricing of our products, which could impact our sales and profitability; or cause us to forgo business opportunities.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43</w:t>
      </w:r>
    </w:p>
    <w:p>
      <w:pPr>
        <w:sectPr>
          <w:pgSz w:w="11880" w:h="15480" w:orient="portrait"/>
          <w:cols w:equalWidth="0" w:num="1">
            <w:col w:w="9800"/>
          </w:cols>
          <w:pgMar w:left="1040" w:top="521" w:right="1040" w:bottom="8" w:gutter="0" w:footer="0" w:header="0"/>
          <w:type w:val="continuous"/>
        </w:sectPr>
      </w:pPr>
    </w:p>
    <w:bookmarkStart w:id="44" w:name="page45"/>
    <w:bookmarkEnd w:id="44"/>
    <w:p>
      <w:pPr>
        <w:jc w:val="both"/>
        <w:spacing w:after="0" w:line="272" w:lineRule="auto"/>
        <w:rPr>
          <w:sz w:val="20"/>
          <w:szCs w:val="20"/>
          <w:color w:val="auto"/>
        </w:rPr>
      </w:pPr>
      <w:r>
        <w:rPr>
          <w:rFonts w:ascii="Arial" w:cs="Arial" w:eastAsia="Arial" w:hAnsi="Arial"/>
          <w:sz w:val="19"/>
          <w:szCs w:val="19"/>
          <w:color w:val="auto"/>
        </w:rPr>
        <w:t>Global geopolitical conflicts, including the ongoing conflicts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Our manufacturing business is exposed to price fluctuations of key commodities, which may negatively impact our results of operations and cash flows.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a substantial amount of debt and are permitted to incur a substantial amount of additional indebtedness, including secured debt, to finance working capital, capital expenditures, investments, or acquisitions, or for other purposes. See Part II, “Item 7—Management’s Discussion and Analysis of Financial Condition and Results of Operations—Liquidity and Capital Resources—Indebtedness.” Our existing debt could have important consequences, the risks of which may increase if we incur any additional debt, including:</w:t>
      </w:r>
    </w:p>
    <w:p>
      <w:pPr>
        <w:spacing w:after="0" w:line="231" w:lineRule="exact"/>
        <w:rPr>
          <w:sz w:val="20"/>
          <w:szCs w:val="20"/>
          <w:color w:val="auto"/>
        </w:rPr>
      </w:pPr>
    </w:p>
    <w:p>
      <w:pPr>
        <w:ind w:left="720" w:hanging="364"/>
        <w:spacing w:after="0" w:line="258"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making it difficult for us to satisfy our obligations, including debt service requirements under our outstanding debt;</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limiting our ability to obtain additional financing for working capital, capital expenditures, debt service requirements, acquisitions, or other general corporate purposes;</w:t>
      </w:r>
    </w:p>
    <w:p>
      <w:pPr>
        <w:spacing w:after="0" w:line="26" w:lineRule="exact"/>
        <w:rPr>
          <w:rFonts w:ascii="Arial" w:cs="Arial" w:eastAsia="Arial" w:hAnsi="Arial"/>
          <w:sz w:val="24"/>
          <w:szCs w:val="24"/>
          <w:color w:val="auto"/>
        </w:rPr>
      </w:pPr>
    </w:p>
    <w:p>
      <w:pPr>
        <w:jc w:val="both"/>
        <w:ind w:left="720" w:hanging="364"/>
        <w:spacing w:after="0" w:line="270"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27"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increasing our vulnerability to economic downturns and adverse industry conditions and our flexibility to plan for, or react to, changes in our business or industry is more limited;</w:t>
      </w:r>
    </w:p>
    <w:p>
      <w:pPr>
        <w:spacing w:after="0" w:line="26" w:lineRule="exact"/>
        <w:rPr>
          <w:rFonts w:ascii="Arial" w:cs="Arial" w:eastAsia="Arial" w:hAnsi="Arial"/>
          <w:sz w:val="24"/>
          <w:szCs w:val="24"/>
          <w:color w:val="auto"/>
        </w:rPr>
      </w:pPr>
    </w:p>
    <w:p>
      <w:pPr>
        <w:jc w:val="both"/>
        <w:ind w:left="720" w:hanging="364"/>
        <w:spacing w:after="0" w:line="276"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restricting our ability to capitalize on business opportunities and react to competitive pressures compared to our competitors who are not as highly leveraged, including due to the restrictive covenants in the Credit Agreement (as defined herein) that governs the Senior Secured Credit Facilities (as defined herein) and the indentures that govern the Senior Notes (as defined herein);</w:t>
      </w:r>
    </w:p>
    <w:p>
      <w:pPr>
        <w:spacing w:after="0" w:line="13" w:lineRule="exact"/>
        <w:rPr>
          <w:rFonts w:ascii="Arial" w:cs="Arial" w:eastAsia="Arial" w:hAnsi="Arial"/>
          <w:sz w:val="24"/>
          <w:szCs w:val="24"/>
          <w:color w:val="auto"/>
        </w:rPr>
      </w:pPr>
    </w:p>
    <w:p>
      <w:pPr>
        <w:ind w:left="720" w:hanging="364"/>
        <w:spacing w:after="0"/>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limiting our ability to borrow additional funds or to refinance debt on favorable terms or at all; and</w:t>
      </w:r>
    </w:p>
    <w:p>
      <w:pPr>
        <w:spacing w:after="0" w:line="25" w:lineRule="exact"/>
        <w:rPr>
          <w:rFonts w:ascii="Arial" w:cs="Arial" w:eastAsia="Arial" w:hAnsi="Arial"/>
          <w:sz w:val="24"/>
          <w:szCs w:val="24"/>
          <w:color w:val="auto"/>
        </w:rPr>
      </w:pPr>
    </w:p>
    <w:p>
      <w:pPr>
        <w:ind w:left="720" w:hanging="364"/>
        <w:spacing w:after="0" w:line="280" w:lineRule="auto"/>
        <w:tabs>
          <w:tab w:leader="none" w:pos="720" w:val="left"/>
        </w:tabs>
        <w:numPr>
          <w:ilvl w:val="0"/>
          <w:numId w:val="13"/>
        </w:numPr>
        <w:rPr>
          <w:rFonts w:ascii="Arial" w:cs="Arial" w:eastAsia="Arial" w:hAnsi="Arial"/>
          <w:sz w:val="24"/>
          <w:szCs w:val="24"/>
          <w:color w:val="auto"/>
        </w:rPr>
      </w:pPr>
      <w:r>
        <w:rPr>
          <w:rFonts w:ascii="Arial" w:cs="Arial" w:eastAsia="Arial" w:hAnsi="Arial"/>
          <w:sz w:val="20"/>
          <w:szCs w:val="20"/>
          <w:color w:val="auto"/>
        </w:rPr>
        <w:t>causing potential or existing customers or vendors to not contract with us due to concerns over our ability to meet our financial obligations.</w:t>
      </w:r>
    </w:p>
    <w:p>
      <w:pPr>
        <w:sectPr>
          <w:pgSz w:w="11880" w:h="15480" w:orient="portrait"/>
          <w:cols w:equalWidth="0" w:num="1">
            <w:col w:w="9800"/>
          </w:cols>
          <w:pgMar w:left="1040" w:top="530" w:right="1040" w:bottom="8" w:gutter="0" w:footer="0" w:header="0"/>
        </w:sectPr>
      </w:pPr>
    </w:p>
    <w:p>
      <w:pPr>
        <w:spacing w:after="0" w:line="33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44</w:t>
      </w:r>
    </w:p>
    <w:p>
      <w:pPr>
        <w:sectPr>
          <w:pgSz w:w="11880" w:h="15480" w:orient="portrait"/>
          <w:cols w:equalWidth="0" w:num="1">
            <w:col w:w="9800"/>
          </w:cols>
          <w:pgMar w:left="1040" w:top="530" w:right="1040" w:bottom="8" w:gutter="0" w:footer="0" w:header="0"/>
          <w:type w:val="continuous"/>
        </w:sectPr>
      </w:pPr>
    </w:p>
    <w:bookmarkStart w:id="45" w:name="page46"/>
    <w:bookmarkEnd w:id="45"/>
    <w:p>
      <w:pPr>
        <w:jc w:val="both"/>
        <w:spacing w:after="0" w:line="285" w:lineRule="auto"/>
        <w:rPr>
          <w:sz w:val="20"/>
          <w:szCs w:val="20"/>
          <w:color w:val="auto"/>
        </w:rPr>
      </w:pPr>
      <w:r>
        <w:rPr>
          <w:rFonts w:ascii="Arial" w:cs="Arial" w:eastAsia="Arial" w:hAnsi="Arial"/>
          <w:sz w:val="18"/>
          <w:szCs w:val="18"/>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Credit Agreement (as defined herein)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All of the debt under our Senior Secured Credit Facilities bears interest at variable rates. In recent years, we have experienced higher interest expense on our credit facilities due to interest rate increases, and if interest rates 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Furthermore, we amended the credit agreement governing our Senior Secured Credit Facilities in order to transition our dollar-denominated Senior Secured Credit Facilities to the use of the Secured Overnight Financing Rate (“SOFR”) as a replacement for the London Interbank Offered Rate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25" w:lineRule="exact"/>
        <w:rPr>
          <w:sz w:val="20"/>
          <w:szCs w:val="20"/>
          <w:color w:val="auto"/>
        </w:rPr>
      </w:pPr>
    </w:p>
    <w:p>
      <w:pPr>
        <w:ind w:left="720" w:hanging="364"/>
        <w:spacing w:after="0"/>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incur or guarantee additional debt or issue disqualified stock or preferred stock;</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pay dividends and make other distributions on, or redeem or repurchase, capital stock;</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make certain investments;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incur certain liens;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enter into transactions with affiliates;</w:t>
      </w:r>
    </w:p>
    <w:p>
      <w:pPr>
        <w:spacing w:after="0" w:line="12" w:lineRule="exact"/>
        <w:rPr>
          <w:rFonts w:ascii="Arial" w:cs="Arial" w:eastAsia="Arial" w:hAnsi="Arial"/>
          <w:sz w:val="24"/>
          <w:szCs w:val="24"/>
          <w:color w:val="auto"/>
        </w:rPr>
      </w:pPr>
    </w:p>
    <w:p>
      <w:pPr>
        <w:ind w:left="720" w:hanging="364"/>
        <w:spacing w:after="0" w:line="237"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merge or consolidate;</w:t>
      </w:r>
    </w:p>
    <w:p>
      <w:pPr>
        <w:spacing w:after="0" w:line="26" w:lineRule="exact"/>
        <w:rPr>
          <w:rFonts w:ascii="Arial" w:cs="Arial" w:eastAsia="Arial" w:hAnsi="Arial"/>
          <w:sz w:val="24"/>
          <w:szCs w:val="24"/>
          <w:color w:val="auto"/>
        </w:rPr>
      </w:pPr>
    </w:p>
    <w:p>
      <w:pPr>
        <w:ind w:left="720" w:hanging="364"/>
        <w:spacing w:after="0" w:line="258" w:lineRule="auto"/>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enter into agreements that restrict the ability of restricted subsidiaries to make dividends or other payments to the issuer/borrower or the guarantors of the relevant debt;</w:t>
      </w:r>
    </w:p>
    <w:p>
      <w:pPr>
        <w:spacing w:after="0" w:line="9" w:lineRule="exact"/>
        <w:rPr>
          <w:rFonts w:ascii="Arial" w:cs="Arial" w:eastAsia="Arial" w:hAnsi="Arial"/>
          <w:sz w:val="24"/>
          <w:szCs w:val="24"/>
          <w:color w:val="auto"/>
        </w:rPr>
      </w:pPr>
    </w:p>
    <w:p>
      <w:pPr>
        <w:ind w:left="720" w:hanging="364"/>
        <w:spacing w:after="0"/>
        <w:tabs>
          <w:tab w:leader="none" w:pos="720" w:val="left"/>
        </w:tabs>
        <w:numPr>
          <w:ilvl w:val="0"/>
          <w:numId w:val="14"/>
        </w:numPr>
        <w:rPr>
          <w:rFonts w:ascii="Arial" w:cs="Arial" w:eastAsia="Arial" w:hAnsi="Arial"/>
          <w:sz w:val="24"/>
          <w:szCs w:val="24"/>
          <w:color w:val="auto"/>
        </w:rPr>
      </w:pPr>
      <w:r>
        <w:rPr>
          <w:rFonts w:ascii="Arial" w:cs="Arial" w:eastAsia="Arial" w:hAnsi="Arial"/>
          <w:sz w:val="20"/>
          <w:szCs w:val="20"/>
          <w:color w:val="auto"/>
        </w:rPr>
        <w:t>designate restricted subsidiaries as unrestricted subsidiaries;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45</w:t>
      </w:r>
    </w:p>
    <w:p>
      <w:pPr>
        <w:sectPr>
          <w:pgSz w:w="11880" w:h="15480" w:orient="portrait"/>
          <w:cols w:equalWidth="0" w:num="1">
            <w:col w:w="9800"/>
          </w:cols>
          <w:pgMar w:left="1040" w:top="530" w:right="1040" w:bottom="8" w:gutter="0" w:footer="0" w:header="0"/>
          <w:type w:val="continuous"/>
        </w:sectPr>
      </w:pPr>
    </w:p>
    <w:bookmarkStart w:id="46" w:name="page47"/>
    <w:bookmarkEnd w:id="46"/>
    <w:p>
      <w:pPr>
        <w:ind w:left="720" w:hanging="364"/>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 redeem or repurchase certain indebtedness that is subordinated in right of payment to the notes; and</w:t>
      </w:r>
    </w:p>
    <w:p>
      <w:pPr>
        <w:spacing w:after="0" w:line="52" w:lineRule="exact"/>
        <w:rPr>
          <w:rFonts w:ascii="Arial" w:cs="Arial" w:eastAsia="Arial" w:hAnsi="Arial"/>
          <w:sz w:val="18"/>
          <w:szCs w:val="18"/>
          <w:color w:val="auto"/>
        </w:rPr>
      </w:pPr>
    </w:p>
    <w:p>
      <w:pPr>
        <w:ind w:left="720" w:hanging="364"/>
        <w:spacing w:after="0" w:line="230" w:lineRule="auto"/>
        <w:tabs>
          <w:tab w:leader="none" w:pos="720" w:val="left"/>
        </w:tabs>
        <w:numPr>
          <w:ilvl w:val="0"/>
          <w:numId w:val="15"/>
        </w:numPr>
        <w:rPr>
          <w:rFonts w:ascii="Arial" w:cs="Arial" w:eastAsia="Arial" w:hAnsi="Arial"/>
          <w:sz w:val="24"/>
          <w:szCs w:val="24"/>
          <w:color w:val="auto"/>
        </w:rPr>
      </w:pPr>
      <w:r>
        <w:rPr>
          <w:rFonts w:ascii="Arial" w:cs="Arial" w:eastAsia="Arial" w:hAnsi="Arial"/>
          <w:sz w:val="20"/>
          <w:szCs w:val="20"/>
          <w:color w:val="auto"/>
        </w:rPr>
        <w:t>transfer or sell assets.</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if borrowings under our Revolving Credit Facility exceed certain thresholds, our subsidiaries are also subject to a first lien net leverage ratio financial covenant in the credit agreement that governs the Senior Secured Credit Facilities. See Part II, “Item 7—Management’s Discussion And Analysis of Financial Condition and Results of Operation— Indebtedness.”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Organizational Structure</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Medline Inc. is a holding company with no material assets other than its ownership of Common Units held directly or indirectly through wholly owned subsidiaries. Medline Inc. has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Medline Holdings is treated as a partnership for U.S. federal income tax purposes and, as such, generally will not be subject to any entity-level U.S. federal income tax. Instead, taxable income will be allocated to holders of Units (including Medline Inc.). Accordingly, Medline Inc. is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46</w:t>
      </w:r>
    </w:p>
    <w:p>
      <w:pPr>
        <w:sectPr>
          <w:pgSz w:w="11880" w:h="15480" w:orient="portrait"/>
          <w:cols w:equalWidth="0" w:num="1">
            <w:col w:w="9800"/>
          </w:cols>
          <w:pgMar w:left="1040" w:top="530" w:right="1040" w:bottom="8" w:gutter="0" w:footer="0" w:header="0"/>
          <w:type w:val="continuous"/>
        </w:sectPr>
      </w:pPr>
    </w:p>
    <w:bookmarkStart w:id="47" w:name="page48"/>
    <w:bookmarkEnd w:id="47"/>
    <w:p>
      <w:pPr>
        <w:jc w:val="both"/>
        <w:spacing w:after="0" w:line="282" w:lineRule="auto"/>
        <w:rPr>
          <w:sz w:val="20"/>
          <w:szCs w:val="20"/>
          <w:color w:val="auto"/>
        </w:rPr>
      </w:pPr>
      <w:r>
        <w:rPr>
          <w:rFonts w:ascii="Arial" w:cs="Arial" w:eastAsia="Arial" w:hAnsi="Arial"/>
          <w:sz w:val="18"/>
          <w:szCs w:val="18"/>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tax receivable agreement confers benefits upon certain of our pre-IPO owners.</w:t>
      </w: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tax receivable agreement confers benefits upon certain of our pre-IPO owners. Medline Inc. has entered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(the “Blocker Companies”), which Medline Inc. acquired in connection with the reorganization transactions (the “Reorganization”), and</w:t>
      </w:r>
    </w:p>
    <w:p>
      <w:pPr>
        <w:spacing w:after="0" w:line="4" w:lineRule="exact"/>
        <w:rPr>
          <w:sz w:val="20"/>
          <w:szCs w:val="20"/>
          <w:color w:val="auto"/>
        </w:rPr>
      </w:pPr>
    </w:p>
    <w:p>
      <w:pPr>
        <w:jc w:val="both"/>
        <w:spacing w:after="0" w:line="283" w:lineRule="auto"/>
        <w:tabs>
          <w:tab w:leader="none" w:pos="3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47</w:t>
      </w:r>
    </w:p>
    <w:p>
      <w:pPr>
        <w:sectPr>
          <w:pgSz w:w="11880" w:h="15480" w:orient="portrait"/>
          <w:cols w:equalWidth="0" w:num="1">
            <w:col w:w="9800"/>
          </w:cols>
          <w:pgMar w:left="1040" w:top="530" w:right="1040" w:bottom="8" w:gutter="0" w:footer="0" w:header="0"/>
          <w:type w:val="continuous"/>
        </w:sectPr>
      </w:pPr>
    </w:p>
    <w:bookmarkStart w:id="48" w:name="page49"/>
    <w:bookmarkEnd w:id="48"/>
    <w:p>
      <w:pPr>
        <w:jc w:val="both"/>
        <w:spacing w:after="0" w:line="278" w:lineRule="auto"/>
        <w:rPr>
          <w:sz w:val="20"/>
          <w:szCs w:val="20"/>
          <w:color w:val="auto"/>
        </w:rPr>
      </w:pPr>
      <w:r>
        <w:rPr>
          <w:rFonts w:ascii="Arial" w:cs="Arial" w:eastAsia="Arial" w:hAnsi="Arial"/>
          <w:sz w:val="18"/>
          <w:szCs w:val="18"/>
          <w:color w:val="auto"/>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pre-IPO owners. While the amount of existing tax basis and anticipated tax basis adjustments and utilization of tax attributes, as well as the amount and timing of any payments under the tax receivable agreement, will vary depending upon a number of factors, we expect the payments that Medline Inc. may make under the tax receivable agreement will be substantial. As of December 31, 2025, we had recorded a deferred tax asset of $552 million and recorded a Tax Receivable Agreements liability of $3,542 million. Assuming: (i) a price of $42.00 per share of our Class A common stock, which was the closing price on December 31, 2025; (ii) a constant corporate tax rate of 25.7%; (iii) we had sufficient taxable income to fully utilize the tax benefits; and (iv) no material changes in tax law, if the Unitholders had exchanged all of the Common Units that they held on December 31, 2025, and assuming all Incentive Units had been converted to Common Units and subsequently exchanged for shares of Class A common stock at a price of $42.00 per share of Class A common stock as of such date, we would, as a result of such hypothetical exchange, have recorded an additional deferred tax asset of approximately $5,302 million and an additional tax receivable agreement liability of approximately $7,458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certain cases, payments under the tax receivable agreement may significantly exceed the actual benefits Medline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realizes in respect of the tax attributes subject to the tax receivable agreement.</w:t>
      </w: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48</w:t>
      </w:r>
    </w:p>
    <w:p>
      <w:pPr>
        <w:sectPr>
          <w:pgSz w:w="11880" w:h="15480" w:orient="portrait"/>
          <w:cols w:equalWidth="0" w:num="1">
            <w:col w:w="9800"/>
          </w:cols>
          <w:pgMar w:left="1040" w:top="530" w:right="1040" w:bottom="8" w:gutter="0" w:footer="0" w:header="0"/>
          <w:type w:val="continuous"/>
        </w:sectPr>
      </w:pPr>
    </w:p>
    <w:bookmarkStart w:id="49" w:name="page50"/>
    <w:bookmarkEnd w:id="49"/>
    <w:p>
      <w:pPr>
        <w:jc w:val="both"/>
        <w:spacing w:after="0" w:line="264" w:lineRule="auto"/>
        <w:rPr>
          <w:sz w:val="20"/>
          <w:szCs w:val="20"/>
          <w:color w:val="auto"/>
        </w:rPr>
      </w:pPr>
      <w:r>
        <w:rPr>
          <w:rFonts w:ascii="Arial" w:cs="Arial" w:eastAsia="Arial" w:hAnsi="Arial"/>
          <w:sz w:val="19"/>
          <w:szCs w:val="19"/>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The Designating Stockholders hold a significant percentage of our stock, and their interests may conflict with ours or yours in the future.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As of the date of this Annual Report, the Designating Stockholders beneficially own or control approximately 67.0% of the combined voting power of our shares eligible to vote in the election of our directors. Moreover, we have agreed to nominate to our board individuals designated by the Designating Stockholders in accordance with the director nomination agreements we entered into in connection with the IPO. The Designating Stockholders retain the right to designate directors subject to the maintenance of certain ownership requirements in us.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49</w:t>
      </w:r>
    </w:p>
    <w:p>
      <w:pPr>
        <w:sectPr>
          <w:pgSz w:w="11880" w:h="15480" w:orient="portrait"/>
          <w:cols w:equalWidth="0" w:num="1">
            <w:col w:w="9800"/>
          </w:cols>
          <w:pgMar w:left="1040" w:top="530" w:right="1040" w:bottom="8" w:gutter="0" w:footer="0" w:header="0"/>
          <w:type w:val="continuous"/>
        </w:sectPr>
      </w:pPr>
    </w:p>
    <w:bookmarkStart w:id="50" w:name="page51"/>
    <w:bookmarkEnd w:id="50"/>
    <w:p>
      <w:pPr>
        <w:jc w:val="both"/>
        <w:spacing w:after="0" w:line="278" w:lineRule="auto"/>
        <w:rPr>
          <w:sz w:val="20"/>
          <w:szCs w:val="20"/>
          <w:color w:val="auto"/>
        </w:rPr>
      </w:pPr>
      <w:r>
        <w:rPr>
          <w:rFonts w:ascii="Arial" w:cs="Arial" w:eastAsia="Arial" w:hAnsi="Arial"/>
          <w:sz w:val="18"/>
          <w:szCs w:val="18"/>
          <w:color w:val="auto"/>
        </w:rPr>
        <w:t>In addition, as of the date of this Annual Report, the Common Unitholders (which include certain interests held by our Principal Stockholders) own 38.2% of the Common Units. Because they hold their ownership interest in our business directly in Medline Holdings, rather than through Medline Inc., the Common Unitholders may have conflicting interests with holders of shares of our Class A common stock. For example, if Medline Holdings makes distributions to Medline Inc., the Common Unitholders and participating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and whether and when to incur new or refinance existing indebtedness. In addition, the structuring of future transactions may take into consideration our pre-IPO owners’ tax or other considerations even where no similar benefit would accrue to us.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Our amended and restated certificate of incorporation does not limit the ability of our Sponsors, the Mills family, and certain other pre-IPO investors to compete with us, and they may have investments in businesses whose interests conflict with ours.</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Our Sponsors, the Mills family, certain other pre-IPO investors, and their respective affiliates engage in a broad spectrum of activities, including investments in businesses that may compete with us. In the ordinary course of their business activities, our Sponsors, the Mills family, certain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certain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Our Sponsors, the Mills family, certain other pre-IPO investors, and their respective affiliates also may pursue acquisition opportunities that may be complementary to our business, and, as a result, those acquisition opportunities may not be available to us. In addition, our Sponsors, the Mills family, and certain other pre-IPO investors may have an interest in our pursuing acquisitions, divestitures, and other transactions that, in their judgment, could enhance their investment, even though such transactions might involve risks to us and our stockholders.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We will incur increased costs and have become subject to additional regulations and requirements as a result of becoming a public company, which could lower our profits, make it more difficult to run our business, or divert management’s attention from our business.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a public company, we are required to commit significant resources and management time and attention to the requirements of being a public company, which causes us to incur significant legal, accounting, and other expenses that we had not incurred as a private company, including costs associated with public company reporting requirements. We also will incur costs associated with the Sarbanes-Oxley Act of 2002 (the “Sarbanes-Oxley Act”) and related rules implemented by the SEC and Nasdaq, and compliance with these requirements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5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50</w:t>
      </w:r>
    </w:p>
    <w:p>
      <w:pPr>
        <w:sectPr>
          <w:pgSz w:w="11880" w:h="15480" w:orient="portrait"/>
          <w:cols w:equalWidth="0" w:num="1">
            <w:col w:w="9800"/>
          </w:cols>
          <w:pgMar w:left="1040" w:top="530" w:right="1040" w:bottom="8" w:gutter="0" w:footer="0" w:header="0"/>
          <w:type w:val="continuous"/>
        </w:sectPr>
      </w:pPr>
    </w:p>
    <w:bookmarkStart w:id="51" w:name="page52"/>
    <w:bookmarkEnd w:id="51"/>
    <w:p>
      <w:pPr>
        <w:jc w:val="both"/>
        <w:spacing w:after="0" w:line="283" w:lineRule="auto"/>
        <w:rPr>
          <w:sz w:val="20"/>
          <w:szCs w:val="20"/>
          <w:color w:val="auto"/>
        </w:rPr>
      </w:pPr>
      <w:r>
        <w:rPr>
          <w:rFonts w:ascii="Arial" w:cs="Arial" w:eastAsia="Arial" w:hAnsi="Arial"/>
          <w:sz w:val="20"/>
          <w:szCs w:val="20"/>
          <w:b w:val="1"/>
          <w:bCs w:val="1"/>
          <w:i w:val="1"/>
          <w:iCs w:val="1"/>
          <w:color w:val="auto"/>
        </w:rPr>
        <w:t>Failure to comply with requirements to design, implement, and maintain effective internal controls could have a material adverse effect on our business and stock price.</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to furnish a report by management on, among other things, the effectiveness of our internal control over financial reporting in the Annual Report on Form 10-K for the fiscal year ended December 31, 2026 (the “2026 Annual Report”).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the 2026 Annual Report.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are currently in the process of addressing our internal controls over financial reporting and are establishing formal procedures, policies, processes, and practices related to financial reporting and to the identification of key financial reporting risks, assessment of their potential impact, and linkage of those risks to specific areas and activities within our organization. Our independent registered public accounting firm will not be required to attest to the effectiveness of our internal control over financial reporting until our 2026 Annual Report.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78"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impact our dual class structure may have on the market price of our Class A common stock.</w:t>
      </w:r>
    </w:p>
    <w:p>
      <w:pPr>
        <w:spacing w:after="0" w:line="29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38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51</w:t>
      </w:r>
    </w:p>
    <w:p>
      <w:pPr>
        <w:sectPr>
          <w:pgSz w:w="11880" w:h="15480" w:orient="portrait"/>
          <w:cols w:equalWidth="0" w:num="1">
            <w:col w:w="9800"/>
          </w:cols>
          <w:pgMar w:left="1040" w:top="521" w:right="1040" w:bottom="8" w:gutter="0" w:footer="0" w:header="0"/>
          <w:type w:val="continuous"/>
        </w:sectPr>
      </w:pPr>
    </w:p>
    <w:bookmarkStart w:id="52" w:name="page53"/>
    <w:bookmarkEnd w:id="52"/>
    <w:p>
      <w:pPr>
        <w:jc w:val="both"/>
        <w:spacing w:after="0" w:line="283" w:lineRule="auto"/>
        <w:rPr>
          <w:sz w:val="20"/>
          <w:szCs w:val="20"/>
          <w:color w:val="auto"/>
        </w:rPr>
      </w:pPr>
      <w:r>
        <w:rPr>
          <w:rFonts w:ascii="Arial" w:cs="Arial" w:eastAsia="Arial" w:hAnsi="Arial"/>
          <w:sz w:val="20"/>
          <w:szCs w:val="20"/>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79"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IPO price.</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You may be diluted by the future issuance of additional Class A common stock or Common Units in connection with our incentive plans, acquisitions or otherwise.</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As of February 23, 2026, we have 49,188,328,656 shares of Class A common stock authorized but unissued, including 502,045,878 shares of Class A common stock issuable upon exchange of Common Units that will be held by the Common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60,000,000 shares of Class A common stock for issuance under our Medline Inc. 2025 Omnibus Incentive Plan (the “Omnibus Incentive Plan”). There are also 20,000,000 shares of Class A common stock reserved for issuance under our Medline Inc. 2025 Employee Stock Purchase Plan (the “ESPP”). Any Class A common stock that we issue, including under our Omnibus Incentive Plan, our ESPP, or other equity incentive plans that we may adopt in the future, would dilute the percentage ownership held by the investors who purchase Class A common stock.</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We may issue preferred stock whose terms could materially adversely affect the voting power or value of our Class A common stock.</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amended and restated certificate of incorporation authorizes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52</w:t>
      </w:r>
    </w:p>
    <w:p>
      <w:pPr>
        <w:sectPr>
          <w:pgSz w:w="11880" w:h="15480" w:orient="portrait"/>
          <w:cols w:equalWidth="0" w:num="1">
            <w:col w:w="9800"/>
          </w:cols>
          <w:pgMar w:left="1040" w:top="521" w:right="1040" w:bottom="8" w:gutter="0" w:footer="0" w:header="0"/>
          <w:type w:val="continuous"/>
        </w:sectPr>
      </w:pPr>
    </w:p>
    <w:bookmarkStart w:id="53" w:name="page54"/>
    <w:bookmarkEnd w:id="53"/>
    <w:p>
      <w:pPr>
        <w:jc w:val="both"/>
        <w:spacing w:after="0" w:line="311" w:lineRule="auto"/>
        <w:rPr>
          <w:sz w:val="20"/>
          <w:szCs w:val="20"/>
          <w:color w:val="auto"/>
        </w:rPr>
      </w:pPr>
      <w:r>
        <w:rPr>
          <w:rFonts w:ascii="Arial" w:cs="Arial" w:eastAsia="Arial" w:hAnsi="Arial"/>
          <w:sz w:val="19"/>
          <w:szCs w:val="19"/>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February 23, 2026, we have a total of 811,647,534 shares of our Class A common stock outstanding. All of the shares of our Class A common stock that were sold in the IPO are freely tradable without restriction or further registration under the Securities Act of 1933, as amended, (the “Securities Act”), by persons other than our “affiliates,” as that term is defined under Rule 144 of the Securities Act (“Rule 144”).</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addition, we and the Continuing Unitholders have entered into an exchange agreement under which they (or certain permitted transferees) have the right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Subject to the terms of the exchange agreement, an aggregate of 502,045,878 Common Units may 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the IPO have agreed, subject to certain exceptions, not to dispose of or hedge any shares of our Class A common stock (including shares issued upon exchange of Common Units) or securities convertible into or exchangeable for shares of our Class A common stock for 180 days from December 18, 2025, except with the prior written consent of either Goldman Sachs &amp; Co. LLC or Morgan Stanley &amp; Co. LLC, and one additional representative, on behalf of the IPO underwriters, and the prior written notice to the other representatives. As a result of the registration rights agreement, however, all of these shares of our Class A common stock (including shares issued upon exchange of Common Units) may be eligible for future sale without restriction, subject to applicable lock-up arrangements.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Subject to certain limitations and exceptions, pursuant to the terms of the amended and restated limited partnership agreement of Medline Holdings, the Incentive Unitholders hold 41,788,894 Incentive Units, which have a weighted-average per unit participation threshold of $16.51 per Incentive Unit, and will have the right to convert their Incentive Units (assuming all conditions to vesting have been satisfied and all such Incentive Units are fully vested) into 27,875,935 Common Units of Medline Holdings. Common Units received upon conversion will be exchangeable on a one-for-one basis for shares of Class A common stock of Medline Inc. in accordance with the terms of the exchange agreement. In the event that the price of our Class A common stock increases, the number of Common Units a holder of vested Incentive Units would receive upon conversion of such Incentive Units would increase. The delivery of shares of Class A common stock upon exchange of Common Units received in conversion of Incentive Units will be registered on one or more registration statements on Form S-8.</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have filed a registration statement on Form S-8 under the Securities Act to register shares of our Class A common stock or securities convertible into or exchangeable for shares of our Class A common stock issued pursuant to our Omnibus Incentive Plan and our ESPP. Accordingly, shares registered under such registration statements will be available for sale in the open market.</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53</w:t>
      </w:r>
    </w:p>
    <w:p>
      <w:pPr>
        <w:sectPr>
          <w:pgSz w:w="11880" w:h="15480" w:orient="portrait"/>
          <w:cols w:equalWidth="0" w:num="1">
            <w:col w:w="9800"/>
          </w:cols>
          <w:pgMar w:left="1040" w:top="521" w:right="1040" w:bottom="8" w:gutter="0" w:footer="0" w:header="0"/>
          <w:type w:val="continuous"/>
        </w:sectPr>
      </w:pPr>
    </w:p>
    <w:bookmarkStart w:id="54" w:name="page55"/>
    <w:bookmarkEnd w:id="54"/>
    <w:p>
      <w:pPr>
        <w:jc w:val="both"/>
        <w:spacing w:after="0" w:line="285" w:lineRule="auto"/>
        <w:rPr>
          <w:sz w:val="20"/>
          <w:szCs w:val="20"/>
          <w:color w:val="auto"/>
        </w:rPr>
      </w:pPr>
      <w:r>
        <w:rPr>
          <w:rFonts w:ascii="Arial" w:cs="Arial" w:eastAsia="Arial" w:hAnsi="Arial"/>
          <w:sz w:val="18"/>
          <w:szCs w:val="18"/>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i w:val="1"/>
          <w:iCs w:val="1"/>
          <w:color w:val="auto"/>
        </w:rPr>
        <w:t>Anti-takeover provisions in our organizational documents and Delaware law might discourage or delay acquisition attempts for us that you might consider favorable.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222" w:lineRule="exact"/>
        <w:rPr>
          <w:sz w:val="20"/>
          <w:szCs w:val="20"/>
          <w:color w:val="auto"/>
        </w:rPr>
      </w:pPr>
    </w:p>
    <w:p>
      <w:pPr>
        <w:jc w:val="both"/>
        <w:ind w:left="720" w:hanging="364"/>
        <w:spacing w:after="0" w:line="298" w:lineRule="auto"/>
        <w:tabs>
          <w:tab w:leader="none" w:pos="720" w:val="left"/>
        </w:tabs>
        <w:numPr>
          <w:ilvl w:val="0"/>
          <w:numId w:val="17"/>
        </w:numPr>
        <w:rPr>
          <w:rFonts w:ascii="Arial" w:cs="Arial" w:eastAsia="Arial" w:hAnsi="Arial"/>
          <w:sz w:val="23"/>
          <w:szCs w:val="23"/>
          <w:color w:val="auto"/>
        </w:rPr>
      </w:pPr>
      <w:r>
        <w:rPr>
          <w:rFonts w:ascii="Arial" w:cs="Arial" w:eastAsia="Arial" w:hAnsi="Arial"/>
          <w:sz w:val="19"/>
          <w:szCs w:val="19"/>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25" w:lineRule="exact"/>
        <w:rPr>
          <w:rFonts w:ascii="Arial" w:cs="Arial" w:eastAsia="Arial" w:hAnsi="Arial"/>
          <w:sz w:val="23"/>
          <w:szCs w:val="23"/>
          <w:color w:val="auto"/>
        </w:rPr>
      </w:pPr>
    </w:p>
    <w:p>
      <w:pPr>
        <w:jc w:val="both"/>
        <w:ind w:left="720" w:hanging="364"/>
        <w:spacing w:after="0" w:line="276" w:lineRule="auto"/>
        <w:tabs>
          <w:tab w:leader="none" w:pos="720" w:val="left"/>
        </w:tabs>
        <w:numPr>
          <w:ilvl w:val="0"/>
          <w:numId w:val="17"/>
        </w:numPr>
        <w:rPr>
          <w:rFonts w:ascii="Arial" w:cs="Arial" w:eastAsia="Arial" w:hAnsi="Arial"/>
          <w:sz w:val="24"/>
          <w:szCs w:val="24"/>
          <w:color w:val="auto"/>
        </w:rPr>
      </w:pPr>
      <w:r>
        <w:rPr>
          <w:rFonts w:ascii="Arial" w:cs="Arial" w:eastAsia="Arial" w:hAnsi="Arial"/>
          <w:sz w:val="20"/>
          <w:szCs w:val="20"/>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13" w:lineRule="exact"/>
        <w:rPr>
          <w:rFonts w:ascii="Arial" w:cs="Arial" w:eastAsia="Arial" w:hAnsi="Arial"/>
          <w:sz w:val="24"/>
          <w:szCs w:val="24"/>
          <w:color w:val="auto"/>
        </w:rPr>
      </w:pPr>
    </w:p>
    <w:p>
      <w:pPr>
        <w:ind w:left="720" w:hanging="364"/>
        <w:spacing w:after="0"/>
        <w:tabs>
          <w:tab w:leader="none" w:pos="720" w:val="left"/>
        </w:tabs>
        <w:numPr>
          <w:ilvl w:val="0"/>
          <w:numId w:val="17"/>
        </w:numPr>
        <w:rPr>
          <w:rFonts w:ascii="Arial" w:cs="Arial" w:eastAsia="Arial" w:hAnsi="Arial"/>
          <w:sz w:val="24"/>
          <w:szCs w:val="24"/>
          <w:color w:val="auto"/>
        </w:rPr>
      </w:pPr>
      <w:r>
        <w:rPr>
          <w:rFonts w:ascii="Arial" w:cs="Arial" w:eastAsia="Arial" w:hAnsi="Arial"/>
          <w:sz w:val="20"/>
          <w:szCs w:val="20"/>
          <w:color w:val="auto"/>
        </w:rPr>
        <w:t>provide for certain limitations on convening special stockholder meetings; and</w:t>
      </w:r>
    </w:p>
    <w:p>
      <w:pPr>
        <w:spacing w:after="0" w:line="25" w:lineRule="exact"/>
        <w:rPr>
          <w:rFonts w:ascii="Arial" w:cs="Arial" w:eastAsia="Arial" w:hAnsi="Arial"/>
          <w:sz w:val="24"/>
          <w:szCs w:val="24"/>
          <w:color w:val="auto"/>
        </w:rPr>
      </w:pPr>
    </w:p>
    <w:p>
      <w:pPr>
        <w:ind w:left="720" w:hanging="364"/>
        <w:spacing w:after="0" w:line="280" w:lineRule="auto"/>
        <w:tabs>
          <w:tab w:leader="none" w:pos="720" w:val="left"/>
        </w:tabs>
        <w:numPr>
          <w:ilvl w:val="0"/>
          <w:numId w:val="17"/>
        </w:numPr>
        <w:rPr>
          <w:rFonts w:ascii="Arial" w:cs="Arial" w:eastAsia="Arial" w:hAnsi="Arial"/>
          <w:sz w:val="24"/>
          <w:szCs w:val="24"/>
          <w:color w:val="auto"/>
        </w:rPr>
      </w:pPr>
      <w:r>
        <w:rPr>
          <w:rFonts w:ascii="Arial" w:cs="Arial" w:eastAsia="Arial" w:hAnsi="Arial"/>
          <w:sz w:val="20"/>
          <w:szCs w:val="20"/>
          <w:color w:val="auto"/>
        </w:rPr>
        <w:t>establish advance notice requirements for nominations for elections to our board or for proposing other items of business that can be acted upon by stockholders at annual or special meetings.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54</w:t>
      </w:r>
    </w:p>
    <w:p>
      <w:pPr>
        <w:sectPr>
          <w:pgSz w:w="11880" w:h="15480" w:orient="portrait"/>
          <w:cols w:equalWidth="0" w:num="1">
            <w:col w:w="9800"/>
          </w:cols>
          <w:pgMar w:left="1040" w:top="530" w:right="1040" w:bottom="8" w:gutter="0" w:footer="0" w:header="0"/>
          <w:type w:val="continuous"/>
        </w:sectPr>
      </w:pPr>
    </w:p>
    <w:bookmarkStart w:id="55" w:name="page56"/>
    <w:bookmarkEnd w:id="55"/>
    <w:p>
      <w:pPr>
        <w:jc w:val="both"/>
        <w:spacing w:after="0" w:line="344"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14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Our amended and restated certificate of incorporation provides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have a dedicated cybersecurity team that works to prevent, detect, and respond to cybersecurity threats. The cybersecurity team is led by the Global Chief Information Security Officer (“CISO”). Our CISO has over 20 years of cybersecurity experience and maintains industry recognized security certifications. Our CISO receives reports on cybersecurity threats on an ongoing basis and regularly reviews risk management measures we’ve implemented to identify and mitigate data protection and cybersecurity risks. Our CISO works closely with our legal team to oversee compliance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with legal, regulatory and contractual security requirements. As part of our enterprise risk management strategy, we</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identify, assess, and manage risks related to cybersecurity through policies, standards, and procedures. The cybersecurity team works to identify, assess, and manage cybersecurity risks by: (i) reviewing risks from cybersecurity threats with senior management; (ii) regularly reviewing cybersecurity risks and mitigation efforts, including with the Board of Directors and the Risk and Compliance Committee of the Board of Directors (the “Risk Committee”); (iii) conducting periodic tabletop exercises to promote awareness and improve internal processes; (iv) implementing security measures and policies intended to identify and assist in containing and remediating cybersecurity risks, and (v) using third party cybersecurity experts as needed for reviews and testing.</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55</w:t>
      </w:r>
    </w:p>
    <w:p>
      <w:pPr>
        <w:sectPr>
          <w:pgSz w:w="11880" w:h="15480" w:orient="portrait"/>
          <w:cols w:equalWidth="0" w:num="1">
            <w:col w:w="9800"/>
          </w:cols>
          <w:pgMar w:left="1040" w:top="521" w:right="1040" w:bottom="8" w:gutter="0" w:footer="0" w:header="0"/>
          <w:type w:val="continuous"/>
        </w:sectPr>
      </w:pPr>
    </w:p>
    <w:bookmarkStart w:id="56" w:name="page57"/>
    <w:bookmarkEnd w:id="56"/>
    <w:p>
      <w:pPr>
        <w:jc w:val="both"/>
        <w:spacing w:after="0" w:line="253" w:lineRule="auto"/>
        <w:rPr>
          <w:sz w:val="20"/>
          <w:szCs w:val="20"/>
          <w:color w:val="auto"/>
        </w:rPr>
      </w:pPr>
      <w:r>
        <w:rPr>
          <w:rFonts w:ascii="Arial" w:cs="Arial" w:eastAsia="Arial" w:hAnsi="Arial"/>
          <w:sz w:val="20"/>
          <w:szCs w:val="20"/>
          <w:color w:val="auto"/>
        </w:rPr>
        <w:t>Our cybersecurity team reviews and updates its information security strategy and creates plans based on identified enterprise risks. We engage with third parties in order to enhance, implement, assess and monitor our cybersecurity processes, controls, and posture. We maintain cybersecurity incident response, disaster recovery, and business continuity plans that guide activities such as preparing for, detecting, coordinating, investigating, containing, remediating, documenting, recovering from, and escalating applicable incidents to senior management and, where appropriate, relevant committees of the Board of Directors. We also conduct mandatory employee cybersecurity and privacy compliance awareness training.</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identify and assess third-party risks associated with suppliers and service providers across a range of areas, including cybersecurity, through a third-party risk management process that incorporates, among other features, the use of risk assessments and, where appropriate, contractual requirements around cybersecurity, audit requirements, appropriate service levels, and other terms.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As of the date of this Annual Report, we have not identified any risks from cybersecurity threats, including as a result of past cybersecurity incidents, have had, or we believe are reasonably likely to have, a material adverse effect on us, including our business strategy, results of operations, or financial condition. However, we, or third-party service providers we’ve engaged, may be subject to cybersecurity incidents, or other unauthorized access of information systems in the future. There can be no assurance that any future cybersecurity incident or unauthorized access to or breach of these information systems will not be material to our business, strategy, results of operations, or financial condition. For more information on risks to us from cybersecurity threats, see Part I, “Item 1A—Risk Factors—Risks Related to Regulation and Legal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Risk Committee assists the Board of Directors in its oversight of our cybersecurity program.</w:t>
      </w:r>
    </w:p>
    <w:p>
      <w:pPr>
        <w:spacing w:after="0" w:line="29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 part of its cybersecurity oversight, the Risk Committee oversees and regularly reviews our programs and processes for managing cybersecurity risks, including our framework for preventing, detecting, and addressing cybersecurity incidents and identifying emerging risks both broadly and within related industries. Our CISO routinely provides cybersecurity updates to the Risk Committee and information to the Board of Directors. We have protocols by which certain cybersecurity incidents that meet established reporting thresholds are escalated within the Company and, where appropriate, reported to the Board of Directors and Risk Committee, as well as ongoing updates regarding any such incident until it has been addressed.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are located in Northfield, Illinois, where we own approximately 720,000 square feet of space.</w:t>
      </w:r>
    </w:p>
    <w:p>
      <w:pPr>
        <w:spacing w:after="0" w:line="26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also own or lease 118 real estate sites in the United States, including 17 manufacturing facilities used for our Medline Brand segment and 45 warehouse distribution facilities used for our Medline Brand and Supply Chain Solutions segments, and 80 real estate sites internationally, including 13 manufacturing facilities used for our Medline Brand segment and 25 warehouse distribution facilities used for our Medline Brand and Supply Chain Solutions segments.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We believe that our facilities are sufficient for our current needs and that, should they be needed, additional facilities will be available to accommodate the expansion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From time to time, we are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litigation, including those described herein,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ectPr>
          <w:pgSz w:w="11880" w:h="15480" w:orient="portrait"/>
          <w:cols w:equalWidth="0" w:num="1">
            <w:col w:w="9800"/>
          </w:cols>
          <w:pgMar w:left="1040" w:top="530" w:right="1040" w:bottom="8" w:gutter="0" w:footer="0" w:header="0"/>
        </w:sectPr>
      </w:pPr>
    </w:p>
    <w:p>
      <w:pPr>
        <w:spacing w:after="0" w:line="30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56</w:t>
      </w:r>
    </w:p>
    <w:p>
      <w:pPr>
        <w:sectPr>
          <w:pgSz w:w="11880" w:h="15480" w:orient="portrait"/>
          <w:cols w:equalWidth="0" w:num="1">
            <w:col w:w="9800"/>
          </w:cols>
          <w:pgMar w:left="1040" w:top="530" w:right="1040" w:bottom="8" w:gutter="0" w:footer="0" w:header="0"/>
          <w:type w:val="continuous"/>
        </w:sectPr>
      </w:pPr>
    </w:p>
    <w:bookmarkStart w:id="57" w:name="page58"/>
    <w:bookmarkEnd w:id="57"/>
    <w:p>
      <w:pPr>
        <w:jc w:val="both"/>
        <w:spacing w:after="0" w:line="263" w:lineRule="auto"/>
        <w:rPr>
          <w:sz w:val="20"/>
          <w:szCs w:val="20"/>
          <w:color w:val="auto"/>
        </w:rPr>
      </w:pPr>
      <w:r>
        <w:rPr>
          <w:rFonts w:ascii="Arial" w:cs="Arial" w:eastAsia="Arial" w:hAnsi="Arial"/>
          <w:sz w:val="20"/>
          <w:szCs w:val="20"/>
          <w:color w:val="auto"/>
        </w:rPr>
        <w:t>See Note 13—Commitments and Contingencies to our audited consolidated financial statements included under Part II, “Item 8—Financial Statements and Supplementary Data” of this Annual Report, which is incorporated by reference into this Item 3.</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57</w:t>
      </w:r>
    </w:p>
    <w:p>
      <w:pPr>
        <w:sectPr>
          <w:pgSz w:w="11880" w:h="15480" w:orient="portrait"/>
          <w:cols w:equalWidth="0" w:num="1">
            <w:col w:w="9800"/>
          </w:cols>
          <w:pgMar w:left="1040" w:top="530" w:right="1040" w:bottom="8"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PART II</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and Stockholder Information</w:t>
      </w:r>
    </w:p>
    <w:p>
      <w:pPr>
        <w:spacing w:after="0" w:line="280"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Our Class A common stock is listed on the Nasdaq Global Select Market under the symbol “MDLN.” There is no established public trading market for our Class B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As of February 23, 2026, there were 187 holders of record of our Class A common stock and 46 holders of record of our Class B common stock. The actual number of stockholders is greater than the number of record holders, and includes stockholders who are beneficial owners, but whose shares are held in street name by brokers and other nominees.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no current plans to pay dividends on our Class A common stock. The declaration, amount, and payment of any future dividends will be at the sole discretion of our Board of Directors and will depend on general economic and business conditions; our financial condition and operating results; our available cash; current and anticipated cash needs; capital requirements; contractual, legal, tax, and regulatory restrictions and implications on the payment of dividends by us to our stockholders or by our subsidiaries (including Medline Holdings) to us; and such other factors as our Board of Directors may deem relevant. Holders of Class B common stock are not entitled to any dividends (other than dividends payable in the form of additional shares of Class B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sets forth purchases by the Company of its Class A common stock during the three months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3"/>
              </w:rPr>
              <w:t>Total Number</w:t>
            </w:r>
          </w:p>
        </w:tc>
        <w:tc>
          <w:tcPr>
            <w:tcW w:w="260" w:type="dxa"/>
            <w:vAlign w:val="bottom"/>
          </w:tcPr>
          <w:p>
            <w:pPr>
              <w:spacing w:after="0"/>
              <w:rPr>
                <w:sz w:val="19"/>
                <w:szCs w:val="19"/>
                <w:color w:val="auto"/>
              </w:rPr>
            </w:pPr>
          </w:p>
        </w:tc>
        <w:tc>
          <w:tcPr>
            <w:tcW w:w="1300" w:type="dxa"/>
            <w:vAlign w:val="bottom"/>
          </w:tcPr>
          <w:p>
            <w:pPr>
              <w:jc w:val="center"/>
              <w:ind w:right="105"/>
              <w:spacing w:after="0"/>
              <w:rPr>
                <w:sz w:val="20"/>
                <w:szCs w:val="20"/>
                <w:color w:val="auto"/>
              </w:rPr>
            </w:pPr>
            <w:r>
              <w:rPr>
                <w:rFonts w:ascii="Arial" w:cs="Arial" w:eastAsia="Arial" w:hAnsi="Arial"/>
                <w:sz w:val="20"/>
                <w:szCs w:val="20"/>
                <w:b w:val="1"/>
                <w:bCs w:val="1"/>
                <w:color w:val="auto"/>
                <w:w w:val="93"/>
              </w:rPr>
              <w:t>Maximum</w:t>
            </w:r>
          </w:p>
        </w:tc>
      </w:tr>
      <w:tr>
        <w:trPr>
          <w:trHeight w:val="222"/>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7"/>
              </w:rPr>
              <w:t>of Shares</w:t>
            </w:r>
          </w:p>
        </w:tc>
        <w:tc>
          <w:tcPr>
            <w:tcW w:w="1560" w:type="dxa"/>
            <w:vAlign w:val="bottom"/>
            <w:gridSpan w:val="2"/>
          </w:tcPr>
          <w:p>
            <w:pPr>
              <w:jc w:val="center"/>
              <w:spacing w:after="0" w:line="222" w:lineRule="exact"/>
              <w:rPr>
                <w:sz w:val="20"/>
                <w:szCs w:val="20"/>
                <w:color w:val="auto"/>
              </w:rPr>
            </w:pPr>
            <w:r>
              <w:rPr>
                <w:rFonts w:ascii="Arial" w:cs="Arial" w:eastAsia="Arial" w:hAnsi="Arial"/>
                <w:sz w:val="20"/>
                <w:szCs w:val="20"/>
                <w:b w:val="1"/>
                <w:bCs w:val="1"/>
                <w:color w:val="auto"/>
                <w:w w:val="94"/>
              </w:rPr>
              <w:t>Dollar Amount</w:t>
            </w:r>
          </w:p>
        </w:tc>
      </w:tr>
      <w:tr>
        <w:trPr>
          <w:trHeight w:val="222"/>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6"/>
              </w:rPr>
              <w:t>Purchased as</w:t>
            </w:r>
          </w:p>
        </w:tc>
        <w:tc>
          <w:tcPr>
            <w:tcW w:w="1560" w:type="dxa"/>
            <w:vAlign w:val="bottom"/>
            <w:gridSpan w:val="2"/>
          </w:tcPr>
          <w:p>
            <w:pPr>
              <w:jc w:val="center"/>
              <w:spacing w:after="0" w:line="222" w:lineRule="exact"/>
              <w:rPr>
                <w:sz w:val="20"/>
                <w:szCs w:val="20"/>
                <w:color w:val="auto"/>
              </w:rPr>
            </w:pPr>
            <w:r>
              <w:rPr>
                <w:rFonts w:ascii="Arial" w:cs="Arial" w:eastAsia="Arial" w:hAnsi="Arial"/>
                <w:sz w:val="20"/>
                <w:szCs w:val="20"/>
                <w:b w:val="1"/>
                <w:bCs w:val="1"/>
                <w:color w:val="auto"/>
                <w:w w:val="90"/>
              </w:rPr>
              <w:t>of Shares That</w:t>
            </w:r>
          </w:p>
        </w:tc>
      </w:tr>
      <w:tr>
        <w:trPr>
          <w:trHeight w:val="222"/>
        </w:trPr>
        <w:tc>
          <w:tcPr>
            <w:tcW w:w="3460" w:type="dxa"/>
            <w:vAlign w:val="bottom"/>
          </w:tcPr>
          <w:p>
            <w:pPr>
              <w:spacing w:after="0"/>
              <w:rPr>
                <w:sz w:val="19"/>
                <w:szCs w:val="19"/>
                <w:color w:val="auto"/>
              </w:rPr>
            </w:pPr>
          </w:p>
        </w:tc>
        <w:tc>
          <w:tcPr>
            <w:tcW w:w="148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93"/>
              </w:rPr>
              <w:t>Total Number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90"/>
              </w:rPr>
              <w:t>Part of Publicly</w:t>
            </w:r>
          </w:p>
        </w:tc>
        <w:tc>
          <w:tcPr>
            <w:tcW w:w="260" w:type="dxa"/>
            <w:vAlign w:val="bottom"/>
          </w:tcPr>
          <w:p>
            <w:pPr>
              <w:spacing w:after="0"/>
              <w:rPr>
                <w:sz w:val="19"/>
                <w:szCs w:val="19"/>
                <w:color w:val="auto"/>
              </w:rPr>
            </w:pPr>
          </w:p>
        </w:tc>
        <w:tc>
          <w:tcPr>
            <w:tcW w:w="1300" w:type="dxa"/>
            <w:vAlign w:val="bottom"/>
          </w:tcPr>
          <w:p>
            <w:pPr>
              <w:jc w:val="center"/>
              <w:ind w:right="85"/>
              <w:spacing w:after="0" w:line="222" w:lineRule="exact"/>
              <w:rPr>
                <w:sz w:val="20"/>
                <w:szCs w:val="20"/>
                <w:color w:val="auto"/>
              </w:rPr>
            </w:pPr>
            <w:r>
              <w:rPr>
                <w:rFonts w:ascii="Arial" w:cs="Arial" w:eastAsia="Arial" w:hAnsi="Arial"/>
                <w:sz w:val="20"/>
                <w:szCs w:val="20"/>
                <w:b w:val="1"/>
                <w:bCs w:val="1"/>
                <w:color w:val="auto"/>
                <w:w w:val="93"/>
              </w:rPr>
              <w:t>May Yet Be</w:t>
            </w:r>
          </w:p>
        </w:tc>
      </w:tr>
      <w:tr>
        <w:trPr>
          <w:trHeight w:val="222"/>
        </w:trPr>
        <w:tc>
          <w:tcPr>
            <w:tcW w:w="3460" w:type="dxa"/>
            <w:vAlign w:val="bottom"/>
          </w:tcPr>
          <w:p>
            <w:pPr>
              <w:spacing w:after="0"/>
              <w:rPr>
                <w:sz w:val="19"/>
                <w:szCs w:val="19"/>
                <w:color w:val="auto"/>
              </w:rPr>
            </w:pPr>
          </w:p>
        </w:tc>
        <w:tc>
          <w:tcPr>
            <w:tcW w:w="148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4"/>
              </w:rPr>
              <w:t>of</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7"/>
              </w:rPr>
              <w:t>Announced</w:t>
            </w:r>
          </w:p>
        </w:tc>
        <w:tc>
          <w:tcPr>
            <w:tcW w:w="260" w:type="dxa"/>
            <w:vAlign w:val="bottom"/>
          </w:tcPr>
          <w:p>
            <w:pPr>
              <w:spacing w:after="0"/>
              <w:rPr>
                <w:sz w:val="19"/>
                <w:szCs w:val="19"/>
                <w:color w:val="auto"/>
              </w:rPr>
            </w:pPr>
          </w:p>
        </w:tc>
        <w:tc>
          <w:tcPr>
            <w:tcW w:w="1300" w:type="dxa"/>
            <w:vAlign w:val="bottom"/>
          </w:tcPr>
          <w:p>
            <w:pPr>
              <w:jc w:val="center"/>
              <w:ind w:right="105"/>
              <w:spacing w:after="0" w:line="222" w:lineRule="exact"/>
              <w:rPr>
                <w:sz w:val="20"/>
                <w:szCs w:val="20"/>
                <w:color w:val="auto"/>
              </w:rPr>
            </w:pPr>
            <w:r>
              <w:rPr>
                <w:rFonts w:ascii="Arial" w:cs="Arial" w:eastAsia="Arial" w:hAnsi="Arial"/>
                <w:sz w:val="20"/>
                <w:szCs w:val="20"/>
                <w:b w:val="1"/>
                <w:bCs w:val="1"/>
                <w:color w:val="auto"/>
                <w:w w:val="87"/>
              </w:rPr>
              <w:t>Purchased</w:t>
            </w:r>
          </w:p>
        </w:tc>
      </w:tr>
      <w:tr>
        <w:trPr>
          <w:trHeight w:val="222"/>
        </w:trPr>
        <w:tc>
          <w:tcPr>
            <w:tcW w:w="3460" w:type="dxa"/>
            <w:vAlign w:val="bottom"/>
          </w:tcPr>
          <w:p>
            <w:pPr>
              <w:spacing w:after="0"/>
              <w:rPr>
                <w:sz w:val="19"/>
                <w:szCs w:val="19"/>
                <w:color w:val="auto"/>
              </w:rPr>
            </w:pPr>
          </w:p>
        </w:tc>
        <w:tc>
          <w:tcPr>
            <w:tcW w:w="148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3"/>
              </w:rPr>
              <w:t>Shares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5"/>
              <w:spacing w:after="0" w:line="222" w:lineRule="exact"/>
              <w:rPr>
                <w:sz w:val="20"/>
                <w:szCs w:val="20"/>
                <w:color w:val="auto"/>
              </w:rPr>
            </w:pPr>
            <w:r>
              <w:rPr>
                <w:rFonts w:ascii="Arial" w:cs="Arial" w:eastAsia="Arial" w:hAnsi="Arial"/>
                <w:sz w:val="20"/>
                <w:szCs w:val="20"/>
                <w:b w:val="1"/>
                <w:bCs w:val="1"/>
                <w:color w:val="auto"/>
                <w:w w:val="88"/>
              </w:rPr>
              <w:t>Average Price</w:t>
            </w:r>
          </w:p>
        </w:tc>
        <w:tc>
          <w:tcPr>
            <w:tcW w:w="60" w:type="dxa"/>
            <w:vAlign w:val="bottom"/>
          </w:tcPr>
          <w:p>
            <w:pPr>
              <w:spacing w:after="0"/>
              <w:rPr>
                <w:sz w:val="19"/>
                <w:szCs w:val="19"/>
                <w:color w:val="auto"/>
              </w:rPr>
            </w:pPr>
          </w:p>
        </w:tc>
        <w:tc>
          <w:tcPr>
            <w:tcW w:w="15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8"/>
              </w:rPr>
              <w:t>Plans or</w:t>
            </w:r>
          </w:p>
        </w:tc>
        <w:tc>
          <w:tcPr>
            <w:tcW w:w="260" w:type="dxa"/>
            <w:vAlign w:val="bottom"/>
          </w:tcPr>
          <w:p>
            <w:pPr>
              <w:spacing w:after="0"/>
              <w:rPr>
                <w:sz w:val="19"/>
                <w:szCs w:val="19"/>
                <w:color w:val="auto"/>
              </w:rPr>
            </w:pPr>
          </w:p>
        </w:tc>
        <w:tc>
          <w:tcPr>
            <w:tcW w:w="1300" w:type="dxa"/>
            <w:vAlign w:val="bottom"/>
          </w:tcPr>
          <w:p>
            <w:pPr>
              <w:jc w:val="center"/>
              <w:ind w:right="105"/>
              <w:spacing w:after="0" w:line="222" w:lineRule="exact"/>
              <w:rPr>
                <w:sz w:val="20"/>
                <w:szCs w:val="20"/>
                <w:color w:val="auto"/>
              </w:rPr>
            </w:pPr>
            <w:r>
              <w:rPr>
                <w:rFonts w:ascii="Arial" w:cs="Arial" w:eastAsia="Arial" w:hAnsi="Arial"/>
                <w:sz w:val="20"/>
                <w:szCs w:val="20"/>
                <w:b w:val="1"/>
                <w:bCs w:val="1"/>
                <w:color w:val="auto"/>
                <w:w w:val="92"/>
              </w:rPr>
              <w:t>Under the</w:t>
            </w:r>
          </w:p>
        </w:tc>
      </w:tr>
      <w:tr>
        <w:trPr>
          <w:trHeight w:val="269"/>
        </w:trPr>
        <w:tc>
          <w:tcPr>
            <w:tcW w:w="3460" w:type="dxa"/>
            <w:vAlign w:val="bottom"/>
          </w:tcPr>
          <w:p>
            <w:pPr>
              <w:ind w:left="60"/>
              <w:spacing w:after="0"/>
              <w:rPr>
                <w:sz w:val="20"/>
                <w:szCs w:val="20"/>
                <w:color w:val="auto"/>
              </w:rPr>
            </w:pPr>
            <w:r>
              <w:rPr>
                <w:rFonts w:ascii="Arial" w:cs="Arial" w:eastAsia="Arial" w:hAnsi="Arial"/>
                <w:sz w:val="20"/>
                <w:szCs w:val="20"/>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88"/>
              </w:rPr>
              <w:t xml:space="preserve">Purchased </w:t>
            </w:r>
            <w:r>
              <w:rPr>
                <w:rFonts w:ascii="Arial" w:cs="Arial" w:eastAsia="Arial" w:hAnsi="Arial"/>
                <w:sz w:val="12"/>
                <w:szCs w:val="12"/>
                <w:b w:val="1"/>
                <w:bCs w:val="1"/>
                <w:color w:val="auto"/>
                <w:w w:val="88"/>
              </w:rPr>
              <w:t>(1)</w:t>
            </w:r>
          </w:p>
        </w:tc>
        <w:tc>
          <w:tcPr>
            <w:tcW w:w="60" w:type="dxa"/>
            <w:vAlign w:val="bottom"/>
          </w:tcPr>
          <w:p>
            <w:pPr>
              <w:spacing w:after="0"/>
              <w:rPr>
                <w:sz w:val="23"/>
                <w:szCs w:val="23"/>
                <w:color w:val="auto"/>
              </w:rPr>
            </w:pPr>
          </w:p>
        </w:tc>
        <w:tc>
          <w:tcPr>
            <w:tcW w:w="1480" w:type="dxa"/>
            <w:vAlign w:val="bottom"/>
            <w:gridSpan w:val="2"/>
          </w:tcPr>
          <w:p>
            <w:pPr>
              <w:jc w:val="right"/>
              <w:ind w:right="5"/>
              <w:spacing w:after="0"/>
              <w:rPr>
                <w:sz w:val="20"/>
                <w:szCs w:val="20"/>
                <w:color w:val="auto"/>
              </w:rPr>
            </w:pPr>
            <w:r>
              <w:rPr>
                <w:rFonts w:ascii="Arial" w:cs="Arial" w:eastAsia="Arial" w:hAnsi="Arial"/>
                <w:sz w:val="20"/>
                <w:szCs w:val="20"/>
                <w:b w:val="1"/>
                <w:bCs w:val="1"/>
                <w:color w:val="auto"/>
                <w:w w:val="96"/>
              </w:rPr>
              <w:t>Paid Per Share</w:t>
            </w:r>
          </w:p>
        </w:tc>
        <w:tc>
          <w:tcPr>
            <w:tcW w:w="6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89"/>
              </w:rPr>
              <w:t>Programs</w:t>
            </w:r>
          </w:p>
        </w:tc>
        <w:tc>
          <w:tcPr>
            <w:tcW w:w="260" w:type="dxa"/>
            <w:vAlign w:val="bottom"/>
          </w:tcPr>
          <w:p>
            <w:pPr>
              <w:spacing w:after="0"/>
              <w:rPr>
                <w:sz w:val="23"/>
                <w:szCs w:val="23"/>
                <w:color w:val="auto"/>
              </w:rPr>
            </w:pPr>
          </w:p>
        </w:tc>
        <w:tc>
          <w:tcPr>
            <w:tcW w:w="1300" w:type="dxa"/>
            <w:vAlign w:val="bottom"/>
          </w:tcPr>
          <w:p>
            <w:pPr>
              <w:jc w:val="center"/>
              <w:ind w:right="105"/>
              <w:spacing w:after="0"/>
              <w:rPr>
                <w:sz w:val="20"/>
                <w:szCs w:val="20"/>
                <w:color w:val="auto"/>
              </w:rPr>
            </w:pPr>
            <w:r>
              <w:rPr>
                <w:rFonts w:ascii="Arial" w:cs="Arial" w:eastAsia="Arial" w:hAnsi="Arial"/>
                <w:sz w:val="20"/>
                <w:szCs w:val="20"/>
                <w:b w:val="1"/>
                <w:bCs w:val="1"/>
                <w:color w:val="auto"/>
                <w:w w:val="91"/>
              </w:rPr>
              <w:t xml:space="preserve">Program </w:t>
            </w:r>
            <w:r>
              <w:rPr>
                <w:rFonts w:ascii="Arial" w:cs="Arial" w:eastAsia="Arial" w:hAnsi="Arial"/>
                <w:sz w:val="12"/>
                <w:szCs w:val="12"/>
                <w:b w:val="1"/>
                <w:bCs w:val="1"/>
                <w:color w:val="auto"/>
                <w:w w:val="91"/>
              </w:rPr>
              <w:t>(1)</w:t>
            </w:r>
          </w:p>
        </w:tc>
      </w:tr>
      <w:tr>
        <w:trPr>
          <w:trHeight w:val="298"/>
        </w:trPr>
        <w:tc>
          <w:tcPr>
            <w:tcW w:w="3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October 1, 2025 to October 31, 2025</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6E6E6"/>
            </w:tcBorders>
            <w:shd w:val="clear" w:color="auto" w:fill="E6E6E6"/>
          </w:tcPr>
          <w:p>
            <w:pPr>
              <w:ind w:left="1040"/>
              <w:spacing w:after="0"/>
              <w:rPr>
                <w:sz w:val="20"/>
                <w:szCs w:val="20"/>
                <w:color w:val="auto"/>
              </w:rPr>
            </w:pPr>
            <w:r>
              <w:rPr>
                <w:rFonts w:ascii="Arial" w:cs="Arial" w:eastAsia="Arial" w:hAnsi="Arial"/>
                <w:sz w:val="18"/>
                <w:szCs w:val="18"/>
                <w:color w:val="auto"/>
              </w:rPr>
              <w:t>—</w:t>
            </w:r>
          </w:p>
        </w:tc>
      </w:tr>
      <w:tr>
        <w:trPr>
          <w:trHeight w:val="259"/>
        </w:trPr>
        <w:tc>
          <w:tcPr>
            <w:tcW w:w="3460" w:type="dxa"/>
            <w:vAlign w:val="bottom"/>
          </w:tcPr>
          <w:p>
            <w:pPr>
              <w:ind w:left="60"/>
              <w:spacing w:after="0"/>
              <w:rPr>
                <w:sz w:val="20"/>
                <w:szCs w:val="20"/>
                <w:color w:val="auto"/>
              </w:rPr>
            </w:pPr>
            <w:r>
              <w:rPr>
                <w:rFonts w:ascii="Arial" w:cs="Arial" w:eastAsia="Arial" w:hAnsi="Arial"/>
                <w:sz w:val="20"/>
                <w:szCs w:val="20"/>
                <w:color w:val="auto"/>
                <w:w w:val="91"/>
              </w:rPr>
              <w:t>November 1, 2025 to November 30, 2025</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3"/>
        </w:trPr>
        <w:tc>
          <w:tcPr>
            <w:tcW w:w="3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2"/>
        </w:trPr>
        <w:tc>
          <w:tcPr>
            <w:tcW w:w="3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1"/>
              </w:rPr>
              <w:t>December 1, 2025 to December 31, 2025</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46,641,142</w:t>
            </w: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28.37</w:t>
            </w:r>
          </w:p>
        </w:tc>
        <w:tc>
          <w:tcPr>
            <w:tcW w:w="15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6E6E6"/>
            </w:tcBorders>
            <w:shd w:val="clear" w:color="auto" w:fill="E6E6E6"/>
          </w:tcPr>
          <w:p>
            <w:pPr>
              <w:ind w:left="1040"/>
              <w:spacing w:after="0"/>
              <w:rPr>
                <w:sz w:val="20"/>
                <w:szCs w:val="20"/>
                <w:color w:val="auto"/>
              </w:rPr>
            </w:pPr>
            <w:r>
              <w:rPr>
                <w:rFonts w:ascii="Arial" w:cs="Arial" w:eastAsia="Arial" w:hAnsi="Arial"/>
                <w:sz w:val="18"/>
                <w:szCs w:val="18"/>
                <w:color w:val="auto"/>
              </w:rPr>
              <w:t>—</w:t>
            </w:r>
          </w:p>
        </w:tc>
      </w:tr>
      <w:tr>
        <w:trPr>
          <w:trHeight w:val="242"/>
        </w:trPr>
        <w:tc>
          <w:tcPr>
            <w:tcW w:w="3460" w:type="dxa"/>
            <w:vAlign w:val="bottom"/>
            <w:tcBorders>
              <w:top w:val="single" w:sz="8" w:color="E6E6E6"/>
            </w:tcBorders>
          </w:tcPr>
          <w:p>
            <w:pPr>
              <w:ind w:left="60"/>
              <w:spacing w:after="0"/>
              <w:rPr>
                <w:sz w:val="20"/>
                <w:szCs w:val="20"/>
                <w:color w:val="auto"/>
              </w:rPr>
            </w:pPr>
            <w:r>
              <w:rPr>
                <w:rFonts w:ascii="Arial" w:cs="Arial" w:eastAsia="Arial" w:hAnsi="Arial"/>
                <w:sz w:val="20"/>
                <w:szCs w:val="20"/>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46,641,142</w:t>
            </w:r>
          </w:p>
        </w:tc>
        <w:tc>
          <w:tcPr>
            <w:tcW w:w="60" w:type="dxa"/>
            <w:vAlign w:val="bottom"/>
            <w:tcBorders>
              <w:top w:val="single" w:sz="8" w:color="E6E6E6"/>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Borders>
              <w:top w:val="single" w:sz="8" w:color="E6E6E6"/>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w:t>
            </w:r>
          </w:p>
        </w:tc>
        <w:tc>
          <w:tcPr>
            <w:tcW w:w="260" w:type="dxa"/>
            <w:vAlign w:val="bottom"/>
            <w:tcBorders>
              <w:top w:val="single" w:sz="8" w:color="E6E6E6"/>
            </w:tcBorders>
          </w:tcPr>
          <w:p>
            <w:pPr>
              <w:spacing w:after="0"/>
              <w:rPr>
                <w:sz w:val="21"/>
                <w:szCs w:val="21"/>
                <w:color w:val="auto"/>
              </w:rPr>
            </w:pPr>
          </w:p>
        </w:tc>
        <w:tc>
          <w:tcPr>
            <w:tcW w:w="1300" w:type="dxa"/>
            <w:vAlign w:val="bottom"/>
            <w:tcBorders>
              <w:top w:val="single" w:sz="8" w:color="E6E6E6"/>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-197485</wp:posOffset>
            </wp:positionV>
            <wp:extent cx="29394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extLst>
                    </a:blip>
                    <a:srcRect/>
                    <a:stretch>
                      <a:fillRect/>
                    </a:stretch>
                  </pic:blipFill>
                  <pic:spPr bwMode="auto">
                    <a:xfrm>
                      <a:off x="0" y="0"/>
                      <a:ext cx="2939415" cy="25400"/>
                    </a:xfrm>
                    <a:prstGeom prst="rect">
                      <a:avLst/>
                    </a:prstGeom>
                    <a:noFill/>
                  </pic:spPr>
                </pic:pic>
              </a:graphicData>
            </a:graphic>
          </wp:anchor>
        </w:drawing>
      </w:r>
    </w:p>
    <w:p>
      <w:pPr>
        <w:spacing w:after="0" w:line="286" w:lineRule="exact"/>
        <w:rPr>
          <w:sz w:val="20"/>
          <w:szCs w:val="20"/>
          <w:color w:val="auto"/>
        </w:rPr>
      </w:pPr>
    </w:p>
    <w:p>
      <w:pPr>
        <w:jc w:val="both"/>
        <w:spacing w:after="0" w:line="311" w:lineRule="auto"/>
        <w:tabs>
          <w:tab w:leader="none" w:pos="187" w:val="left"/>
        </w:tabs>
        <w:numPr>
          <w:ilvl w:val="0"/>
          <w:numId w:val="18"/>
        </w:numPr>
        <w:rPr>
          <w:rFonts w:ascii="Arial" w:cs="Arial" w:eastAsia="Arial" w:hAnsi="Arial"/>
          <w:sz w:val="10"/>
          <w:szCs w:val="10"/>
          <w:color w:val="auto"/>
        </w:rPr>
      </w:pPr>
      <w:r>
        <w:rPr>
          <w:rFonts w:ascii="Arial" w:cs="Arial" w:eastAsia="Arial" w:hAnsi="Arial"/>
          <w:sz w:val="16"/>
          <w:szCs w:val="16"/>
          <w:color w:val="auto"/>
        </w:rPr>
        <w:t>In December 2025, in connection with the completion of our IPO, we repurchased 46,641,142 shares of Class A common stock from certain of our pre-IPO owners at a price per Class A common stock equal to the IPO price per share of our Class A common stock less the underwriting discounts and commissions for an aggregate of approximately $1,323 million. See “—Use of Proceeds” below.</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In connection with the Reorganization Transactions, on December 16, 2025, we issued (i) 607,521,662 shares of Class A common stock and (ii) 527,195,560 shares of Class B common stock to our pre-IPO owners or affiliates thereof. No underwriters were involved in the issuance of these shares of Class A common stock or Class B common stock.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shares of Class A common stock and Class B common stock were issued in reliance upon an exemption from registration pursuant to Section 4(a)(2) of the Securities Act on the basis that the transaction did not involve a public offering.</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58</w:t>
      </w:r>
    </w:p>
    <w:p>
      <w:pPr>
        <w:sectPr>
          <w:pgSz w:w="11880" w:h="15480" w:orient="portrait"/>
          <w:cols w:equalWidth="0" w:num="1">
            <w:col w:w="9800"/>
          </w:cols>
          <w:pgMar w:left="1040" w:top="523" w:right="1040" w:bottom="8"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Use of Proceeds</w:t>
      </w:r>
    </w:p>
    <w:p>
      <w:pPr>
        <w:spacing w:after="0" w:line="30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December 18, 2025, we completed the IPO of our Class A common stock in which we issued and sold 248,439,654 shares of Class A common stock (including shares issued pursuant to the exercise in full of the underwriters’ option to purchase additional shares) for cash consideration of $29.00 per share. The shares sold in the offering were registered under the Securities Act pursuant to our Registration Statement on Form S-1 (File No. 333-291112) which was declared effective by the SEC on December 16, 2025. The IPO generated net proceeds of approximately $7,048 million after deducting underwriting discounts and commissions of approximately $157 million, but before deducting offering expenses of approximately $40 million. We used the proceeds (net of underwriting discounts and commissions) from the issuance of 179,000,000 shares ($5,078 million) in the IPO to purchase an equivalent number of newly issued Common Units from Medline Holdings, which Medline Holdings has in turn used $731 million (including interest of $1 million) of which to repay in full all outstanding Euro Term Loans (as defined herein) and $3,292 million (including interest of $11 million) of which to repay a portion of the outstanding Dollar Term Loans (as defined herein) which matures in 2028. We will use the remaining net proceeds for general corporate purposes and to bear all of the expenses of the IPO. We have used the proceeds (net of underwriting discounts and commissions) from the issuance of 37,034,482 shares ($1,051 million) and the issuance of 32,405,172 shares ($919 million) pursuant to the exercise in full by the underwriters of their option to purchase additional shares in the IPO to purchase or redeem an equivalent aggregate number of shares of Class A common stock and Common Units from certain of our pre-IPO owners.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Goldman Sachs &amp; Co. LLC, Morgan Stanley&amp; Co. LLC, BofA Securities, Inc. and J.P. Morgan Securities LLC acted as global coordinators and lead bookrunning managers for the offering. Barclays Capital Inc., Citigroup Global Markets Inc., Deutsche Bank Securities, Inc. Jefferies LLC, UBS Securities LLC, Evercore Group L.L.C., BMO Capital Markets Corp., BNP Paribas Securities Corp., MUFG Securities Americas Inc., RBC Capital Markets, LLC, Santander US Capital Markets LLC, SG Americas Securities, LLC, TD Securities (USA) LLC, Wells Fargo Securities, LLC, Nomura Securities International, Inc., WR Securities, LLC, Leerink Partners LLC, Macquarie Capital (USA) Inc., Mizuho Securities USA LLC, Piper Sandler &amp; Co., Truist Securities, Inc. and William Blair &amp; Company, L.L.C. acted as bookrunning managers, and Blackstone Securities Partners L.P., TCG Capital Markets L.L.C., Robert W. Baird &amp; Co. Incorporated, Rothschild &amp; Co US Inc., Stifel, Nicolaus &amp; Company, Incorporated, BTIG, LLC, ING Financial Markets LLC, Intesa Sanpaolo IMI Securities Corp., NCMG LLC, Perella Weinberg Partners LP, Academy Securities, Inc., AmeriVet Securities, Inc., Blaylock Van, LLC, C.L. King &amp; Associates, Inc., Drexel Hamilton, LLC, Loop Capital Markets LLC, Mischler Financial Group, Inc., R. Seelaus &amp; Co., LLC, Samuel A. Ramirez &amp; Company, Inc., Siebert Williams Shank &amp; Co., LLC and Tigress Financial Partners LLC acted as co-managers for the offering.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graph below compares the cumulative total stockholder return on our Class A common stock with the cumulative total return on the Standard &amp; Poor’s (“S&amp;P”) 500 Index and the S&amp;P 500 Health Care Index through December 31, 2025. The graph assumes an initial investment of $100 in our Class A common stock at the market close on December 17, 2025, which was our initial trading day. Data for the S&amp;P 500 Index and the S&amp;P 500 Health Care Index assume an initial investment of $100 at market close on December 17, 2025 and the reinvestment of dividends.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59</w:t>
      </w:r>
    </w:p>
    <w:p>
      <w:pPr>
        <w:sectPr>
          <w:pgSz w:w="11880" w:h="15480" w:orient="portrait"/>
          <w:cols w:equalWidth="0" w:num="1">
            <w:col w:w="9800"/>
          </w:cols>
          <w:pgMar w:left="1040" w:top="523" w:right="1040" w:bottom="8" w:gutter="0" w:footer="0" w:header="0"/>
          <w:type w:val="continuous"/>
        </w:sectPr>
      </w:pPr>
    </w:p>
    <w:bookmarkStart w:id="60" w:name="page61"/>
    <w:bookmarkEnd w:id="60"/>
    <w:p>
      <w:pPr>
        <w:spacing w:after="0" w:line="278" w:lineRule="auto"/>
        <w:rPr>
          <w:sz w:val="20"/>
          <w:szCs w:val="20"/>
          <w:color w:val="auto"/>
        </w:rPr>
      </w:pPr>
      <w:r>
        <w:rPr>
          <w:rFonts w:ascii="Arial" w:cs="Arial" w:eastAsia="Arial" w:hAnsi="Arial"/>
          <w:sz w:val="20"/>
          <w:szCs w:val="20"/>
          <w:color w:val="auto"/>
        </w:rPr>
        <w:t>The comparisons in the graph below are based upon historical data and are not indicative of, nor intended to forecast, future performance of our Class A common stock.</w:t>
      </w:r>
    </w:p>
    <w:p>
      <w:pPr>
        <w:spacing w:after="0" w:line="200" w:lineRule="exact"/>
        <w:rPr>
          <w:sz w:val="20"/>
          <w:szCs w:val="20"/>
          <w:color w:val="auto"/>
        </w:rPr>
      </w:pPr>
    </w:p>
    <w:p>
      <w:pPr>
        <w:spacing w:after="0" w:line="203" w:lineRule="exact"/>
        <w:rPr>
          <w:sz w:val="20"/>
          <w:szCs w:val="20"/>
          <w:color w:val="auto"/>
        </w:rPr>
      </w:pPr>
    </w:p>
    <w:p>
      <w:pPr>
        <w:ind w:left="2800"/>
        <w:spacing w:after="0"/>
        <w:rPr>
          <w:sz w:val="20"/>
          <w:szCs w:val="20"/>
          <w:color w:val="auto"/>
        </w:rPr>
      </w:pPr>
      <w:r>
        <w:rPr>
          <w:rFonts w:ascii="Arial" w:cs="Arial" w:eastAsia="Arial" w:hAnsi="Arial"/>
          <w:sz w:val="20"/>
          <w:szCs w:val="20"/>
          <w:color w:val="595959"/>
        </w:rPr>
        <w:t>TSR (December 17, 2025 - December 31, 2025)</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0"/>
          <w:szCs w:val="20"/>
          <w:color w:val="595959"/>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-67945</wp:posOffset>
            </wp:positionV>
            <wp:extent cx="5280660" cy="257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5280660"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20"/>
          <w:szCs w:val="20"/>
          <w:color w:val="595959"/>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20"/>
          <w:szCs w:val="20"/>
          <w:color w:val="595959"/>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0" w:type="dxa"/>
        <w:tblCellMar>
          <w:top w:w="0" w:type="dxa"/>
          <w:left w:w="0" w:type="dxa"/>
          <w:bottom w:w="0" w:type="dxa"/>
          <w:right w:w="0" w:type="dxa"/>
        </w:tblCellMar>
      </w:tblPr>
      <w:tr>
        <w:trPr>
          <w:trHeight w:val="141"/>
        </w:trPr>
        <w:tc>
          <w:tcPr>
            <w:tcW w:w="440" w:type="dxa"/>
            <w:vAlign w:val="bottom"/>
            <w:vMerge w:val="restart"/>
          </w:tcPr>
          <w:p>
            <w:pPr>
              <w:jc w:val="right"/>
              <w:ind w:right="41"/>
              <w:spacing w:after="0"/>
              <w:rPr>
                <w:sz w:val="20"/>
                <w:szCs w:val="20"/>
                <w:color w:val="auto"/>
              </w:rPr>
            </w:pPr>
            <w:r>
              <w:rPr>
                <w:rFonts w:ascii="Arial" w:cs="Arial" w:eastAsia="Arial" w:hAnsi="Arial"/>
                <w:sz w:val="20"/>
                <w:szCs w:val="20"/>
                <w:color w:val="595959"/>
                <w:w w:val="83"/>
              </w:rPr>
              <w:t>$95</w:t>
            </w:r>
          </w:p>
        </w:tc>
        <w:tc>
          <w:tcPr>
            <w:tcW w:w="520" w:type="dxa"/>
            <w:vAlign w:val="bottom"/>
            <w:tcBorders>
              <w:bottom w:val="single" w:sz="8" w:color="8A8A8A"/>
            </w:tcBorders>
          </w:tcPr>
          <w:p>
            <w:pPr>
              <w:spacing w:after="0"/>
              <w:rPr>
                <w:sz w:val="12"/>
                <w:szCs w:val="12"/>
                <w:color w:val="auto"/>
              </w:rPr>
            </w:pPr>
          </w:p>
        </w:tc>
        <w:tc>
          <w:tcPr>
            <w:tcW w:w="440" w:type="dxa"/>
            <w:vAlign w:val="bottom"/>
            <w:tcBorders>
              <w:bottom w:val="single" w:sz="8" w:color="8A8A8A"/>
            </w:tcBorders>
          </w:tcPr>
          <w:p>
            <w:pPr>
              <w:spacing w:after="0"/>
              <w:rPr>
                <w:sz w:val="12"/>
                <w:szCs w:val="12"/>
                <w:color w:val="auto"/>
              </w:rPr>
            </w:pPr>
          </w:p>
        </w:tc>
        <w:tc>
          <w:tcPr>
            <w:tcW w:w="40" w:type="dxa"/>
            <w:vAlign w:val="bottom"/>
            <w:tcBorders>
              <w:bottom w:val="single" w:sz="8" w:color="8A8A8A"/>
            </w:tcBorders>
          </w:tcPr>
          <w:p>
            <w:pPr>
              <w:spacing w:after="0"/>
              <w:rPr>
                <w:sz w:val="12"/>
                <w:szCs w:val="12"/>
                <w:color w:val="auto"/>
              </w:rPr>
            </w:pPr>
          </w:p>
        </w:tc>
        <w:tc>
          <w:tcPr>
            <w:tcW w:w="440" w:type="dxa"/>
            <w:vAlign w:val="bottom"/>
            <w:tcBorders>
              <w:bottom w:val="single" w:sz="8" w:color="8A8A8A"/>
            </w:tcBorders>
          </w:tcPr>
          <w:p>
            <w:pPr>
              <w:spacing w:after="0"/>
              <w:rPr>
                <w:sz w:val="12"/>
                <w:szCs w:val="12"/>
                <w:color w:val="auto"/>
              </w:rPr>
            </w:pPr>
          </w:p>
        </w:tc>
        <w:tc>
          <w:tcPr>
            <w:tcW w:w="480" w:type="dxa"/>
            <w:vAlign w:val="bottom"/>
            <w:tcBorders>
              <w:bottom w:val="single" w:sz="8" w:color="8A8A8A"/>
            </w:tcBorders>
          </w:tcPr>
          <w:p>
            <w:pPr>
              <w:spacing w:after="0"/>
              <w:rPr>
                <w:sz w:val="12"/>
                <w:szCs w:val="12"/>
                <w:color w:val="auto"/>
              </w:rPr>
            </w:pPr>
          </w:p>
        </w:tc>
        <w:tc>
          <w:tcPr>
            <w:tcW w:w="500" w:type="dxa"/>
            <w:vAlign w:val="bottom"/>
            <w:tcBorders>
              <w:bottom w:val="single" w:sz="8" w:color="8A8A8A"/>
            </w:tcBorders>
          </w:tcPr>
          <w:p>
            <w:pPr>
              <w:spacing w:after="0"/>
              <w:rPr>
                <w:sz w:val="12"/>
                <w:szCs w:val="12"/>
                <w:color w:val="auto"/>
              </w:rPr>
            </w:pPr>
          </w:p>
        </w:tc>
        <w:tc>
          <w:tcPr>
            <w:tcW w:w="400" w:type="dxa"/>
            <w:vAlign w:val="bottom"/>
            <w:tcBorders>
              <w:bottom w:val="single" w:sz="8" w:color="8A8A8A"/>
            </w:tcBorders>
          </w:tcPr>
          <w:p>
            <w:pPr>
              <w:spacing w:after="0"/>
              <w:rPr>
                <w:sz w:val="12"/>
                <w:szCs w:val="12"/>
                <w:color w:val="auto"/>
              </w:rPr>
            </w:pPr>
          </w:p>
        </w:tc>
        <w:tc>
          <w:tcPr>
            <w:tcW w:w="40" w:type="dxa"/>
            <w:vAlign w:val="bottom"/>
            <w:tcBorders>
              <w:bottom w:val="single" w:sz="8" w:color="8A8A8A"/>
            </w:tcBorders>
          </w:tcPr>
          <w:p>
            <w:pPr>
              <w:spacing w:after="0"/>
              <w:rPr>
                <w:sz w:val="12"/>
                <w:szCs w:val="12"/>
                <w:color w:val="auto"/>
              </w:rPr>
            </w:pPr>
          </w:p>
        </w:tc>
        <w:tc>
          <w:tcPr>
            <w:tcW w:w="400" w:type="dxa"/>
            <w:vAlign w:val="bottom"/>
            <w:tcBorders>
              <w:bottom w:val="single" w:sz="8" w:color="8A8A8A"/>
            </w:tcBorders>
          </w:tcPr>
          <w:p>
            <w:pPr>
              <w:spacing w:after="0"/>
              <w:rPr>
                <w:sz w:val="12"/>
                <w:szCs w:val="12"/>
                <w:color w:val="auto"/>
              </w:rPr>
            </w:pPr>
          </w:p>
        </w:tc>
        <w:tc>
          <w:tcPr>
            <w:tcW w:w="480" w:type="dxa"/>
            <w:vAlign w:val="bottom"/>
            <w:tcBorders>
              <w:bottom w:val="single" w:sz="8" w:color="8A8A8A"/>
            </w:tcBorders>
          </w:tcPr>
          <w:p>
            <w:pPr>
              <w:spacing w:after="0"/>
              <w:rPr>
                <w:sz w:val="12"/>
                <w:szCs w:val="12"/>
                <w:color w:val="auto"/>
              </w:rPr>
            </w:pPr>
          </w:p>
        </w:tc>
        <w:tc>
          <w:tcPr>
            <w:tcW w:w="540" w:type="dxa"/>
            <w:vAlign w:val="bottom"/>
            <w:tcBorders>
              <w:bottom w:val="single" w:sz="8" w:color="8A8A8A"/>
            </w:tcBorders>
          </w:tcPr>
          <w:p>
            <w:pPr>
              <w:spacing w:after="0"/>
              <w:rPr>
                <w:sz w:val="12"/>
                <w:szCs w:val="12"/>
                <w:color w:val="auto"/>
              </w:rPr>
            </w:pPr>
          </w:p>
        </w:tc>
        <w:tc>
          <w:tcPr>
            <w:tcW w:w="260" w:type="dxa"/>
            <w:vAlign w:val="bottom"/>
            <w:tcBorders>
              <w:bottom w:val="single" w:sz="8" w:color="8A8A8A"/>
            </w:tcBorders>
          </w:tcPr>
          <w:p>
            <w:pPr>
              <w:spacing w:after="0"/>
              <w:rPr>
                <w:sz w:val="12"/>
                <w:szCs w:val="12"/>
                <w:color w:val="auto"/>
              </w:rPr>
            </w:pPr>
          </w:p>
        </w:tc>
        <w:tc>
          <w:tcPr>
            <w:tcW w:w="120" w:type="dxa"/>
            <w:vAlign w:val="bottom"/>
            <w:tcBorders>
              <w:bottom w:val="single" w:sz="8" w:color="8A8A8A"/>
            </w:tcBorders>
          </w:tcPr>
          <w:p>
            <w:pPr>
              <w:spacing w:after="0"/>
              <w:rPr>
                <w:sz w:val="12"/>
                <w:szCs w:val="12"/>
                <w:color w:val="auto"/>
              </w:rPr>
            </w:pPr>
          </w:p>
        </w:tc>
        <w:tc>
          <w:tcPr>
            <w:tcW w:w="320" w:type="dxa"/>
            <w:vAlign w:val="bottom"/>
            <w:tcBorders>
              <w:bottom w:val="single" w:sz="8" w:color="8A8A8A"/>
            </w:tcBorders>
          </w:tcPr>
          <w:p>
            <w:pPr>
              <w:spacing w:after="0"/>
              <w:rPr>
                <w:sz w:val="12"/>
                <w:szCs w:val="12"/>
                <w:color w:val="auto"/>
              </w:rPr>
            </w:pPr>
          </w:p>
        </w:tc>
        <w:tc>
          <w:tcPr>
            <w:tcW w:w="600" w:type="dxa"/>
            <w:vAlign w:val="bottom"/>
            <w:tcBorders>
              <w:bottom w:val="single" w:sz="8" w:color="8A8A8A"/>
            </w:tcBorders>
          </w:tcPr>
          <w:p>
            <w:pPr>
              <w:spacing w:after="0"/>
              <w:rPr>
                <w:sz w:val="12"/>
                <w:szCs w:val="12"/>
                <w:color w:val="auto"/>
              </w:rPr>
            </w:pPr>
          </w:p>
        </w:tc>
        <w:tc>
          <w:tcPr>
            <w:tcW w:w="420" w:type="dxa"/>
            <w:vAlign w:val="bottom"/>
            <w:tcBorders>
              <w:bottom w:val="single" w:sz="8" w:color="8A8A8A"/>
            </w:tcBorders>
          </w:tcPr>
          <w:p>
            <w:pPr>
              <w:spacing w:after="0"/>
              <w:rPr>
                <w:sz w:val="12"/>
                <w:szCs w:val="12"/>
                <w:color w:val="auto"/>
              </w:rPr>
            </w:pPr>
          </w:p>
        </w:tc>
        <w:tc>
          <w:tcPr>
            <w:tcW w:w="480" w:type="dxa"/>
            <w:vAlign w:val="bottom"/>
            <w:tcBorders>
              <w:bottom w:val="single" w:sz="8" w:color="8A8A8A"/>
            </w:tcBorders>
          </w:tcPr>
          <w:p>
            <w:pPr>
              <w:spacing w:after="0"/>
              <w:rPr>
                <w:sz w:val="12"/>
                <w:szCs w:val="12"/>
                <w:color w:val="auto"/>
              </w:rPr>
            </w:pPr>
          </w:p>
        </w:tc>
        <w:tc>
          <w:tcPr>
            <w:tcW w:w="440" w:type="dxa"/>
            <w:vAlign w:val="bottom"/>
            <w:tcBorders>
              <w:bottom w:val="single" w:sz="8" w:color="8A8A8A"/>
            </w:tcBorders>
          </w:tcPr>
          <w:p>
            <w:pPr>
              <w:spacing w:after="0"/>
              <w:rPr>
                <w:sz w:val="12"/>
                <w:szCs w:val="12"/>
                <w:color w:val="auto"/>
              </w:rPr>
            </w:pPr>
          </w:p>
        </w:tc>
        <w:tc>
          <w:tcPr>
            <w:tcW w:w="480" w:type="dxa"/>
            <w:vAlign w:val="bottom"/>
            <w:tcBorders>
              <w:bottom w:val="single" w:sz="8" w:color="8A8A8A"/>
            </w:tcBorders>
          </w:tcPr>
          <w:p>
            <w:pPr>
              <w:spacing w:after="0"/>
              <w:rPr>
                <w:sz w:val="12"/>
                <w:szCs w:val="12"/>
                <w:color w:val="auto"/>
              </w:rPr>
            </w:pPr>
          </w:p>
        </w:tc>
        <w:tc>
          <w:tcPr>
            <w:tcW w:w="440" w:type="dxa"/>
            <w:vAlign w:val="bottom"/>
            <w:tcBorders>
              <w:bottom w:val="single" w:sz="8" w:color="8A8A8A"/>
            </w:tcBorders>
          </w:tcPr>
          <w:p>
            <w:pPr>
              <w:spacing w:after="0"/>
              <w:rPr>
                <w:sz w:val="12"/>
                <w:szCs w:val="12"/>
                <w:color w:val="auto"/>
              </w:rPr>
            </w:pPr>
          </w:p>
        </w:tc>
        <w:tc>
          <w:tcPr>
            <w:tcW w:w="480" w:type="dxa"/>
            <w:vAlign w:val="bottom"/>
            <w:tcBorders>
              <w:bottom w:val="single" w:sz="8" w:color="8A8A8A"/>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Borders>
              <w:right w:val="single" w:sz="8" w:color="8A8A8A"/>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right w:val="single" w:sz="8" w:color="8A8A8A"/>
            </w:tcBorders>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Borders>
              <w:right w:val="single" w:sz="8" w:color="8A8A8A"/>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Borders>
              <w:right w:val="single" w:sz="8" w:color="8A8A8A"/>
            </w:tcBorders>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right w:val="single" w:sz="8" w:color="8A8A8A"/>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right w:val="single" w:sz="8" w:color="8A8A8A"/>
            </w:tcBorders>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Borders>
              <w:right w:val="single" w:sz="8" w:color="8A8A8A"/>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right w:val="single" w:sz="8" w:color="8A8A8A"/>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right w:val="single" w:sz="8" w:color="8A8A8A"/>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595959"/>
              </w:rPr>
              <w:t>12/17</w:t>
            </w:r>
          </w:p>
        </w:tc>
        <w:tc>
          <w:tcPr>
            <w:tcW w:w="920" w:type="dxa"/>
            <w:vAlign w:val="bottom"/>
            <w:gridSpan w:val="3"/>
          </w:tcPr>
          <w:p>
            <w:pPr>
              <w:jc w:val="right"/>
              <w:ind w:right="121"/>
              <w:spacing w:after="0"/>
              <w:rPr>
                <w:sz w:val="20"/>
                <w:szCs w:val="20"/>
                <w:color w:val="auto"/>
              </w:rPr>
            </w:pPr>
            <w:r>
              <w:rPr>
                <w:rFonts w:ascii="Arial" w:cs="Arial" w:eastAsia="Arial" w:hAnsi="Arial"/>
                <w:sz w:val="20"/>
                <w:szCs w:val="20"/>
                <w:color w:val="595959"/>
              </w:rPr>
              <w:t>12/18</w:t>
            </w:r>
          </w:p>
        </w:tc>
        <w:tc>
          <w:tcPr>
            <w:tcW w:w="980" w:type="dxa"/>
            <w:vAlign w:val="bottom"/>
            <w:gridSpan w:val="2"/>
          </w:tcPr>
          <w:p>
            <w:pPr>
              <w:jc w:val="right"/>
              <w:ind w:right="300"/>
              <w:spacing w:after="0"/>
              <w:rPr>
                <w:sz w:val="20"/>
                <w:szCs w:val="20"/>
                <w:color w:val="auto"/>
              </w:rPr>
            </w:pPr>
            <w:r>
              <w:rPr>
                <w:rFonts w:ascii="Arial" w:cs="Arial" w:eastAsia="Arial" w:hAnsi="Arial"/>
                <w:sz w:val="20"/>
                <w:szCs w:val="20"/>
                <w:color w:val="595959"/>
              </w:rPr>
              <w:t>12/19</w:t>
            </w:r>
          </w:p>
        </w:tc>
        <w:tc>
          <w:tcPr>
            <w:tcW w:w="840" w:type="dxa"/>
            <w:vAlign w:val="bottom"/>
            <w:gridSpan w:val="3"/>
          </w:tcPr>
          <w:p>
            <w:pPr>
              <w:jc w:val="right"/>
              <w:ind w:right="121"/>
              <w:spacing w:after="0"/>
              <w:rPr>
                <w:sz w:val="20"/>
                <w:szCs w:val="20"/>
                <w:color w:val="auto"/>
              </w:rPr>
            </w:pPr>
            <w:r>
              <w:rPr>
                <w:rFonts w:ascii="Arial" w:cs="Arial" w:eastAsia="Arial" w:hAnsi="Arial"/>
                <w:sz w:val="20"/>
                <w:szCs w:val="20"/>
                <w:color w:val="595959"/>
              </w:rPr>
              <w:t>12/22</w:t>
            </w: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595959"/>
              </w:rPr>
              <w:t>12/23</w:t>
            </w:r>
          </w:p>
        </w:tc>
        <w:tc>
          <w:tcPr>
            <w:tcW w:w="700" w:type="dxa"/>
            <w:vAlign w:val="bottom"/>
            <w:gridSpan w:val="3"/>
          </w:tcPr>
          <w:p>
            <w:pPr>
              <w:jc w:val="right"/>
              <w:ind w:right="120"/>
              <w:spacing w:after="0"/>
              <w:rPr>
                <w:sz w:val="20"/>
                <w:szCs w:val="20"/>
                <w:color w:val="auto"/>
              </w:rPr>
            </w:pPr>
            <w:r>
              <w:rPr>
                <w:rFonts w:ascii="Arial" w:cs="Arial" w:eastAsia="Arial" w:hAnsi="Arial"/>
                <w:sz w:val="20"/>
                <w:szCs w:val="20"/>
                <w:color w:val="595959"/>
              </w:rPr>
              <w:t>12/24</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595959"/>
              </w:rPr>
              <w:t>12/26</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595959"/>
              </w:rPr>
              <w:t>12/29</w:t>
            </w:r>
          </w:p>
        </w:tc>
        <w:tc>
          <w:tcPr>
            <w:tcW w:w="920" w:type="dxa"/>
            <w:vAlign w:val="bottom"/>
            <w:gridSpan w:val="2"/>
          </w:tcPr>
          <w:p>
            <w:pPr>
              <w:jc w:val="right"/>
              <w:ind w:right="240"/>
              <w:spacing w:after="0"/>
              <w:rPr>
                <w:sz w:val="20"/>
                <w:szCs w:val="20"/>
                <w:color w:val="auto"/>
              </w:rPr>
            </w:pPr>
            <w:r>
              <w:rPr>
                <w:rFonts w:ascii="Arial" w:cs="Arial" w:eastAsia="Arial" w:hAnsi="Arial"/>
                <w:sz w:val="20"/>
                <w:szCs w:val="20"/>
                <w:color w:val="595959"/>
              </w:rPr>
              <w:t>12/30</w:t>
            </w:r>
          </w:p>
        </w:tc>
        <w:tc>
          <w:tcPr>
            <w:tcW w:w="680" w:type="dxa"/>
            <w:vAlign w:val="bottom"/>
            <w:gridSpan w:val="2"/>
          </w:tcPr>
          <w:p>
            <w:pPr>
              <w:jc w:val="right"/>
              <w:spacing w:after="0"/>
              <w:rPr>
                <w:sz w:val="20"/>
                <w:szCs w:val="20"/>
                <w:color w:val="auto"/>
              </w:rPr>
            </w:pPr>
            <w:r>
              <w:rPr>
                <w:rFonts w:ascii="Arial" w:cs="Arial" w:eastAsia="Arial" w:hAnsi="Arial"/>
                <w:sz w:val="20"/>
                <w:szCs w:val="20"/>
                <w:color w:val="595959"/>
              </w:rPr>
              <w:t>12/31</w:t>
            </w:r>
          </w:p>
        </w:tc>
        <w:tc>
          <w:tcPr>
            <w:tcW w:w="0" w:type="dxa"/>
            <w:vAlign w:val="bottom"/>
          </w:tcPr>
          <w:p>
            <w:pPr>
              <w:spacing w:after="0"/>
              <w:rPr>
                <w:sz w:val="1"/>
                <w:szCs w:val="1"/>
                <w:color w:val="auto"/>
              </w:rPr>
            </w:pPr>
          </w:p>
        </w:tc>
      </w:tr>
      <w:tr>
        <w:trPr>
          <w:trHeight w:val="496"/>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bottom w:val="single" w:sz="8" w:color="3A3A3A"/>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vMerge w:val="restart"/>
          </w:tcPr>
          <w:p>
            <w:pPr>
              <w:jc w:val="right"/>
              <w:ind w:right="380"/>
              <w:spacing w:after="0"/>
              <w:rPr>
                <w:sz w:val="20"/>
                <w:szCs w:val="20"/>
                <w:color w:val="auto"/>
              </w:rPr>
            </w:pPr>
            <w:r>
              <w:rPr>
                <w:rFonts w:ascii="Arial" w:cs="Arial" w:eastAsia="Arial" w:hAnsi="Arial"/>
                <w:sz w:val="20"/>
                <w:szCs w:val="20"/>
                <w:color w:val="595959"/>
                <w:w w:val="94"/>
              </w:rPr>
              <w:t>Medline Inc.</w:t>
            </w:r>
          </w:p>
        </w:tc>
        <w:tc>
          <w:tcPr>
            <w:tcW w:w="400" w:type="dxa"/>
            <w:vAlign w:val="bottom"/>
            <w:tcBorders>
              <w:bottom w:val="single" w:sz="8" w:color="6D6D6D"/>
            </w:tcBorders>
          </w:tcPr>
          <w:p>
            <w:pPr>
              <w:spacing w:after="0"/>
              <w:rPr>
                <w:sz w:val="24"/>
                <w:szCs w:val="24"/>
                <w:color w:val="auto"/>
              </w:rPr>
            </w:pPr>
          </w:p>
        </w:tc>
        <w:tc>
          <w:tcPr>
            <w:tcW w:w="40" w:type="dxa"/>
            <w:vAlign w:val="bottom"/>
            <w:tcBorders>
              <w:bottom w:val="single" w:sz="8" w:color="6D6D6D"/>
            </w:tcBorders>
          </w:tcPr>
          <w:p>
            <w:pPr>
              <w:spacing w:after="0"/>
              <w:rPr>
                <w:sz w:val="24"/>
                <w:szCs w:val="24"/>
                <w:color w:val="auto"/>
              </w:rPr>
            </w:pP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20"/>
                <w:szCs w:val="20"/>
                <w:color w:val="595959"/>
                <w:w w:val="94"/>
              </w:rPr>
              <w:t>S&amp;P 500 Index</w:t>
            </w:r>
          </w:p>
        </w:tc>
        <w:tc>
          <w:tcPr>
            <w:tcW w:w="260" w:type="dxa"/>
            <w:vAlign w:val="bottom"/>
          </w:tcPr>
          <w:p>
            <w:pPr>
              <w:spacing w:after="0"/>
              <w:rPr>
                <w:sz w:val="24"/>
                <w:szCs w:val="24"/>
                <w:color w:val="auto"/>
              </w:rPr>
            </w:pPr>
          </w:p>
        </w:tc>
        <w:tc>
          <w:tcPr>
            <w:tcW w:w="120" w:type="dxa"/>
            <w:vAlign w:val="bottom"/>
            <w:tcBorders>
              <w:bottom w:val="single" w:sz="8" w:color="979797"/>
            </w:tcBorders>
          </w:tcPr>
          <w:p>
            <w:pPr>
              <w:spacing w:after="0"/>
              <w:rPr>
                <w:sz w:val="24"/>
                <w:szCs w:val="24"/>
                <w:color w:val="auto"/>
              </w:rPr>
            </w:pPr>
          </w:p>
        </w:tc>
        <w:tc>
          <w:tcPr>
            <w:tcW w:w="320" w:type="dxa"/>
            <w:vAlign w:val="bottom"/>
            <w:tcBorders>
              <w:bottom w:val="single" w:sz="8" w:color="979797"/>
            </w:tcBorders>
          </w:tcPr>
          <w:p>
            <w:pPr>
              <w:spacing w:after="0"/>
              <w:rPr>
                <w:sz w:val="24"/>
                <w:szCs w:val="24"/>
                <w:color w:val="auto"/>
              </w:rPr>
            </w:pPr>
          </w:p>
        </w:tc>
        <w:tc>
          <w:tcPr>
            <w:tcW w:w="2860" w:type="dxa"/>
            <w:vAlign w:val="bottom"/>
            <w:gridSpan w:val="6"/>
            <w:vMerge w:val="restart"/>
          </w:tcPr>
          <w:p>
            <w:pPr>
              <w:jc w:val="right"/>
              <w:ind w:right="580"/>
              <w:spacing w:after="0"/>
              <w:rPr>
                <w:sz w:val="20"/>
                <w:szCs w:val="20"/>
                <w:color w:val="auto"/>
              </w:rPr>
            </w:pPr>
            <w:r>
              <w:rPr>
                <w:rFonts w:ascii="Arial" w:cs="Arial" w:eastAsia="Arial" w:hAnsi="Arial"/>
                <w:sz w:val="20"/>
                <w:szCs w:val="20"/>
                <w:color w:val="595959"/>
                <w:w w:val="91"/>
              </w:rPr>
              <w:t>S&amp;P 500 Health Care Index</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6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60</w:t>
      </w:r>
    </w:p>
    <w:p>
      <w:pPr>
        <w:sectPr>
          <w:pgSz w:w="11880" w:h="15480" w:orient="portrait"/>
          <w:cols w:equalWidth="0" w:num="1">
            <w:col w:w="9800"/>
          </w:cols>
          <w:pgMar w:left="1040" w:top="530" w:right="1040" w:bottom="8"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i w:val="1"/>
          <w:iCs w:val="1"/>
          <w:color w:val="auto"/>
        </w:rPr>
        <w:t>This Management’s Discussion and Analysis of Financial Condition and Results of Operations ("MD&amp;A") is intended to help you understand the financial condition, results of operations, and present business of Medline and Medline Holdings (f/k/a, Mozart Holdings, LP, the predecessor of Medline). This MD&amp;A should be read in conjunction with our consolidated financial statements and the accompanying notes in Part II, “Item 8—Financial Statements and Supplemental Data” of this Annual Report. Some of the information included in this MD&amp;A or set forth elsewhere in this Annual Report, including information with respect to our plans and strategy for our business, include forward-looking statements that involve risks and uncertainties. Our future results and financial condition may differ materially from those we currently anticipate. You should review the “Cautionary Note Regarding Forward-Looking Statements” and Part I,“Item 1A—Risk Factors” sections of this Annual Report for a discussion of important factors that could cause actual results to differ materially from the results described in or implied by the forward-looking statements contained in the following discussion and analysis. For purposes of the MD&amp;A, references to the “Company,” “Medline,” “we,” “us,” and “our” mean Medline Inc. and its consolidated subsidiaries.</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Medline is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We operate under two reportable segments, Medline Brand and Supply Chain Solutions. Both segments are supported by our Prime Vendor model, differentiated distribution network, and robust commercial platform. See Part I, “Item 1—Business” for a more detailed description of each of our segments, our Prime Vendor model, distribution network, and commercial platform.</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For the year ended December 31, 2025, our financial results were as follows:</w:t>
      </w:r>
    </w:p>
    <w:p>
      <w:pPr>
        <w:spacing w:after="0" w:line="245" w:lineRule="exact"/>
        <w:rPr>
          <w:sz w:val="20"/>
          <w:szCs w:val="20"/>
          <w:color w:val="auto"/>
        </w:rPr>
      </w:pPr>
    </w:p>
    <w:p>
      <w:pPr>
        <w:ind w:left="720" w:hanging="364"/>
        <w:spacing w:after="0" w:line="278"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generated net sales of $28.4 billion, net income of $1.2 billion, and Adjusted EBITDA of $3.5 billion, representing a net income margin of 4.1% and an Adjusted EBITDA Margin of 12.2%.</w:t>
      </w:r>
    </w:p>
    <w:p>
      <w:pPr>
        <w:spacing w:after="0" w:line="61" w:lineRule="exact"/>
        <w:rPr>
          <w:rFonts w:ascii="Arial" w:cs="Arial" w:eastAsia="Arial" w:hAnsi="Arial"/>
          <w:sz w:val="20"/>
          <w:szCs w:val="20"/>
          <w:color w:val="auto"/>
        </w:rPr>
      </w:pPr>
    </w:p>
    <w:p>
      <w:pPr>
        <w:jc w:val="both"/>
        <w:ind w:left="720" w:hanging="364"/>
        <w:spacing w:after="0" w:line="255"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During that period, Medline Brand segment net sales and Segment Adjusted EBITDA were $13.7 billion and $3.3 billion, respectively, which represented 48.3% of total net sales and 80.6% of Segment Adjusted EBITDA, respectively. Supply Chain Solutions segment net sales and Segment Adjusted EBITDA were $14.7 billion and $0.8 billion, respectively, which represented 51.7% of total net sales and 19.4% of Segment Adjusted EBITDA, respectively.</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 below.</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Factors and Trends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Aging Population and Increased Healthcare Utilization</w:t>
      </w:r>
    </w:p>
    <w:p>
      <w:pPr>
        <w:spacing w:after="0" w:line="25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continue to operate against a backdrop of stable demographic and healthcare utilization trends, including an aging population and the growing prevalence of chronic conditions, which are expected to drive elevated volumes, steady demand for med-surg products, and increased health expenditures over the long term. As our customers’ underlying patient volumes increase, we expect continued demand for our broad portfolio of products across the continuum of care.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End Market Dynamics Including Shifting Sites of Care and Consolidation</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61</w:t>
      </w:r>
    </w:p>
    <w:p>
      <w:pPr>
        <w:sectPr>
          <w:pgSz w:w="11880" w:h="15480" w:orient="portrait"/>
          <w:cols w:equalWidth="0" w:num="1">
            <w:col w:w="9800"/>
          </w:cols>
          <w:pgMar w:left="1040" w:top="523" w:right="1040" w:bottom="8"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i w:val="1"/>
          <w:iCs w:val="1"/>
          <w:color w:val="auto"/>
        </w:rPr>
        <w:t>Prime Vendor Growth</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historical track record of earning new Prime Vendor customers has been a key driver of sustained growth and share gains for Medline. Our differentiated capabilities have enabled us to grow and scale our Prime Vendor model over time. As of December 31, 2025, we have over 1,600 Prime Vendor relationships, representing $18.0 billion of net sales for the year ended December 31, 2025. Our Prime Vendor relationships, combined with our strong customer retention, supports a highly recurring business model.</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Non-Prime Vendor Growth</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we believe as these customers recognize the value proposition of our Medline Brand and distribution network, we will have the opportunity to earn Prime Vendor agreements from them.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Medline Brand Growth</w:t>
      </w: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ability to sell Medline Brand products has impacted and will continue to impact our financial performance. These products represent approximately 50% of our net sales for the fiscal year ending December 31, 2025, or $13.7 billion. The product categories that comprise our Medline Brand offerings serve large and diversified med-surg markets, which provide meaningful long-term growth opportunities relative to our current net sales volume.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We sell these Medline Brand products to both our Prime Vendor and non-Prime Vendor customers. As of December 31, 2025, our Prime Vendor agreements have an approximate average mix of 65% Supply Chain Solutions and 35% Medline Brand, presenting a significant opportunity to drive customer savings through further Medline Brand adoption in the years ahead. A portion of Supply Chain Solutions products sold to existing Prime Vendor customers has like-for-like Medline Brand product equivalents, representing a potential gross profit uplift if such products were converted for Medline Brand products.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product development relies on actively gathering and incorporating customer feedback to address their needs. By carefully examining customer pain points, our teams are encouraged to respond with well-informed product innovations that address these issues directly and effectively. Close collaboration across product teams, salesforce and regulatory experts supports our ability to introduce high-quality products that meet customers’ needs. Our scaled go-to-market strategy and entrepreneurial culture allows us to quickly introduce new products across our customer base and serve as a dependable partner and resource for our customers, increasing the likelihood of commercial success. This collaborative approach has been well received by customers and has facilitated the development of robust relationships with customers. It supports the customer retention and conversion to available like-for-like Medline Brand products.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Mergers and Acquisitions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disciplined, global mergers and acquisitions strategy is focused on pursuing adjacent products and services as well as expanding into new channels and new markets. During 2024, we acquired the global surgical solutions business of Ecolab, Inc., including industry-leading Microtek product lines (“Microtek”), and Sinclair Dental Co. Ltd (“Sinclair”), the largest independent distributor of dental supplies and equipment in Canada. The acquisition of the Microtek business provides us with innovative sterile drape solutions for surgeons, patients, and operating room equipment, as well as Ecolab’s fluid temperature management system. The acquisition of Sinclair helps diversify our dental products portfolio and expand our footprint in Canada.</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industry consolidation continues, we believe we are well-positioned to capitalize on this trend to continue to grow and gain share in this global market. See Part I, “Item 1A—Risk Factors—Risks Related to Our Business, Industry and Operations—We may be unable to derive fully the anticipated benefits from our existing or future acquisitions, joint ventures, investments, dispositions, or other strategic transactions.”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62</w:t>
      </w:r>
    </w:p>
    <w:p>
      <w:pPr>
        <w:sectPr>
          <w:pgSz w:w="11880" w:h="15480" w:orient="portrait"/>
          <w:cols w:equalWidth="0" w:num="1">
            <w:col w:w="9800"/>
          </w:cols>
          <w:pgMar w:left="1040" w:top="521" w:right="1040" w:bottom="8"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auto"/>
        </w:rPr>
        <w:t>Trade Relations and Impacts of Tariffs on our Business</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current U.S. and international political environment, including existing and potential changes to U.S. policies related to global trade and tariffs, have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optimizing procurement and sourcing of key inputs and raw materials, driving efficiencies and optimizing our own manufacturing footprint, pursuing available tariff mitigation measures, such as qualified exclusions, engaging with relevant industry and policy partners, and lastly, enacting selective price increases in a thoughtful and strategic way where needed. For the year ended December 31, 2025, the net adverse impact to income before taxes from tariffs and tariff developments was approximately $290 million. For fiscal year 2026, we estimate an incremental net adverse impact to income before taxes from tariffs and tariff developments (based upon the latest published tariffs in effect and tariff-related developments as of December 31, 2025) of approximately $200 million. The actual impact may vary based on changes in tariff rates, duration of tariffs, scope of tariffs, and potential mitigation levers.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have taken steps to establish alternative sources of supply and to otherwise mitigate the financial impact of tariffs. However, we may not be able to establish alternative sources of supply or fully mitigate the financial impact of tariffs across all of the products we source or manufacture.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and Supply Chain Factors</w:t>
      </w: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 Our globally diversified sourcing partnerships, robust domestic manufacturing footprint, and owned distribution network are designed to enable us to provide reliable product availability and maintain competitive pricing, supporting our strong customer service levels.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Seasonality</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IPO</w:t>
      </w:r>
    </w:p>
    <w:p>
      <w:pPr>
        <w:spacing w:after="0" w:line="25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December 18, 2025, we completed our IPO of 248,439,654 shares of Class A common stock, including 32,405,172 shares issued pursuant to the full exercise of the underwriters’ option to purchase additional shares, at a price to the public of $29.00 per share. Our Class A common stock began trading on the Nasdaq Global Select Market under the trading symbol “MDLN” on December 17, 2025. The IPO generated net proceeds of approximately $7,048 million after deducting underwriting discounts and commissions of approximately $157 million, but before deducting offering expenses of approximately $40 million. See Note 1—Nature of Business and Significant Accounting Policies to our audited consolidated financial statements, included under Part II, “Item 8—Financial Statements and Supplementary Data" of this Annual Report for additional information.</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63</w:t>
      </w:r>
    </w:p>
    <w:p>
      <w:pPr>
        <w:sectPr>
          <w:pgSz w:w="11880" w:h="15480" w:orient="portrait"/>
          <w:cols w:equalWidth="0" w:num="1">
            <w:col w:w="9800"/>
          </w:cols>
          <w:pgMar w:left="1040" w:top="521" w:right="1040" w:bottom="8"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i w:val="1"/>
          <w:iCs w:val="1"/>
          <w:color w:val="auto"/>
        </w:rPr>
        <w:t>Public Company Costs</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incurred additional costs associated with preparing to become a public company during fiscal years 2025 and 2024, and we expect to continue to incur additional costs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were not inapplicable to us as a private company. These additional rules and regulations will increase our legal, regulatory, financial, and insurance compliance costs and will make some activities more time-consuming and costly.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 Transactions</w:t>
      </w:r>
    </w:p>
    <w:p>
      <w:pPr>
        <w:spacing w:after="0" w:line="25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Prior to the completion of the IPO, we executed the Reorganization, resulting in Medline Inc. becoming the sole general partner of Medline Holdings, with its sole material asset being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which pertains to partnership interests in Medline Holdings held by pre-IPO owners.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Medline Inc. is a corporation for U.S. federal and state income tax purposes. Medline Holdings is treated as a flow-through entity for U.S. federal and state income tax purposes, and, as such, has generally not been subject to U.S. federal income tax at the entity level. Accordingly, unless otherwise specified, the historical results of operations and other financial information set forth in this Annual Report do not include any provision for U.S. federal income tax for Medline Holdings except with respect to subsidiary corporations that are subject to U.S. federal income tax. Following the IPO, Medline Inc. is required to pay U.S. federal and state income taxes as a corporation on its share of Medline Holdings’ taxable income.</w:t>
      </w:r>
    </w:p>
    <w:p>
      <w:pPr>
        <w:spacing w:after="0" w:line="17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In connection with the Reorganization and the IPO, we also entered into a tax receivable agreement with certain pre-IPO owners. See “—Liquidity and Capital Resources—Tax Receivable Agreement”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Goods Sold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64</w:t>
      </w:r>
    </w:p>
    <w:p>
      <w:pPr>
        <w:sectPr>
          <w:pgSz w:w="11880" w:h="15480" w:orient="portrait"/>
          <w:cols w:equalWidth="0" w:num="1">
            <w:col w:w="9800"/>
          </w:cols>
          <w:pgMar w:left="1040" w:top="521" w:right="1040" w:bottom="8"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auto"/>
        </w:rPr>
        <w:t>Amortization of Intangible Assets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Intangible assets are initially measured at fair value and consist of trade names, customer relationships, and developed technology from acquisitions. The definite lived intangible assets are amortized using the straight-line method over their estimated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Operating Expenses</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Other operating expenses includes restructuring costs, impairment, litigation settlement charges, loss (gain) on sale of assets, acquisition-related costs, and costs incurred in contemplation of a potential offering of company shares.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Interest expense, net includes interest expense incurred on borrowings, amortization expense of deferred financing costs, and gain or loss from cash flow hedge transactions, as well as interest income generated on recognition of an embedded derivative bifurcated from the credit agreement, overdue customer receivable balances, bank deposits, and money market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Income, net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Other (expense) income, net includes investment income or loss from market value changes on undesignated derivatives, pro-rata income or loss of equity investment, debt extinguishment loss, debt refinancing/issuance cost, and other non-operating income or expense.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(Loss) Gain, net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 net is generated by trade balances and loans denominated in currencies other than U.S.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dollars, the reporting currency, as well as settlements of intercompany balances.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following discussion represents our analysis of results of operations for the year ended December 31, 2025 as compared to the year ended December 31, 2024. For a detailed discussion of our results of operations for the year ended December 31, 2024 as compared to the year ended December 31, 2023, refer to the section Management’s Discussion and Analysis of Financial Condition and Results of Operations in our prospectus dated December 16, 2025, filed with the SEC pursuant to Rule 424(b) under the Securities Act on December 18, 2025 in connection with our IPO, which is incorporated herein by reference.</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65</w:t>
      </w:r>
    </w:p>
    <w:p>
      <w:pPr>
        <w:sectPr>
          <w:pgSz w:w="11880" w:h="15480" w:orient="portrait"/>
          <w:cols w:equalWidth="0" w:num="1">
            <w:col w:w="9800"/>
          </w:cols>
          <w:pgMar w:left="1040" w:top="521" w:right="1040" w:bottom="8"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For the year ended December 31, 2025 compared to the year ended December 31, 2024</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3760" w:type="dxa"/>
            <w:vAlign w:val="bottom"/>
          </w:tcPr>
          <w:p>
            <w:pPr>
              <w:spacing w:after="0"/>
              <w:rPr>
                <w:sz w:val="21"/>
                <w:szCs w:val="21"/>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8"/>
                <w:szCs w:val="18"/>
                <w:color w:val="auto"/>
                <w:w w:val="95"/>
              </w:rPr>
              <w:t>December 31,</w:t>
            </w:r>
          </w:p>
        </w:tc>
        <w:tc>
          <w:tcPr>
            <w:tcW w:w="40" w:type="dxa"/>
            <w:vAlign w:val="bottom"/>
          </w:tcPr>
          <w:p>
            <w:pPr>
              <w:spacing w:after="0"/>
              <w:rPr>
                <w:sz w:val="21"/>
                <w:szCs w:val="21"/>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8"/>
                <w:szCs w:val="18"/>
                <w:color w:val="auto"/>
                <w:w w:val="95"/>
              </w:rPr>
              <w:t>December 31,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2"/>
          </w:tcPr>
          <w:p>
            <w:pPr>
              <w:ind w:left="360"/>
              <w:spacing w:after="0"/>
              <w:rPr>
                <w:sz w:val="20"/>
                <w:szCs w:val="20"/>
                <w:color w:val="auto"/>
              </w:rPr>
            </w:pPr>
            <w:r>
              <w:rPr>
                <w:rFonts w:ascii="Arial" w:cs="Arial" w:eastAsia="Arial" w:hAnsi="Arial"/>
                <w:sz w:val="18"/>
                <w:szCs w:val="18"/>
                <w:color w:val="auto"/>
              </w:rPr>
              <w:t>2025 vs 2024</w:t>
            </w:r>
          </w:p>
        </w:tc>
      </w:tr>
      <w:tr>
        <w:trPr>
          <w:trHeight w:val="238"/>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Arial" w:cs="Arial" w:eastAsia="Arial" w:hAnsi="Arial"/>
                <w:sz w:val="18"/>
                <w:szCs w:val="18"/>
                <w:color w:val="auto"/>
                <w:w w:val="89"/>
              </w:rPr>
              <w:t>2024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w w:val="8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 Change</w:t>
            </w:r>
          </w:p>
        </w:tc>
      </w:tr>
      <w:tr>
        <w:trPr>
          <w:trHeight w:val="235"/>
        </w:trPr>
        <w:tc>
          <w:tcPr>
            <w:tcW w:w="37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 millions, except percentages)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60"/>
        </w:trPr>
        <w:tc>
          <w:tcPr>
            <w:tcW w:w="37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28,432</w:t>
            </w:r>
          </w:p>
        </w:tc>
        <w:tc>
          <w:tcPr>
            <w:tcW w:w="440" w:type="dxa"/>
            <w:vAlign w:val="bottom"/>
            <w:gridSpan w:val="2"/>
            <w:shd w:val="clear" w:color="auto" w:fill="E6E6E6"/>
          </w:tcPr>
          <w:p>
            <w:pPr>
              <w:jc w:val="right"/>
              <w:ind w:right="151"/>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25,507</w:t>
            </w:r>
          </w:p>
        </w:tc>
        <w:tc>
          <w:tcPr>
            <w:tcW w:w="34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2,925</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11.5%</w:t>
            </w:r>
          </w:p>
        </w:tc>
      </w:tr>
      <w:tr>
        <w:trPr>
          <w:trHeight w:val="242"/>
        </w:trPr>
        <w:tc>
          <w:tcPr>
            <w:tcW w:w="376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20,914</w:t>
            </w:r>
          </w:p>
        </w:tc>
        <w:tc>
          <w:tcPr>
            <w:tcW w:w="4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18,531</w:t>
            </w:r>
          </w:p>
        </w:tc>
        <w:tc>
          <w:tcPr>
            <w:tcW w:w="60" w:type="dxa"/>
            <w:vAlign w:val="bottom"/>
            <w:tcBorders>
              <w:bottom w:val="single" w:sz="8" w:color="E6E6E6"/>
            </w:tcBorders>
          </w:tcPr>
          <w:p>
            <w:pPr>
              <w:spacing w:after="0"/>
              <w:rPr>
                <w:sz w:val="21"/>
                <w:szCs w:val="21"/>
                <w:color w:val="auto"/>
              </w:rPr>
            </w:pPr>
          </w:p>
        </w:tc>
        <w:tc>
          <w:tcPr>
            <w:tcW w:w="2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tcPr>
          <w:p>
            <w:pPr>
              <w:jc w:val="right"/>
              <w:ind w:right="91"/>
              <w:spacing w:after="0"/>
              <w:rPr>
                <w:sz w:val="20"/>
                <w:szCs w:val="20"/>
                <w:color w:val="auto"/>
              </w:rPr>
            </w:pPr>
            <w:r>
              <w:rPr>
                <w:rFonts w:ascii="Arial" w:cs="Arial" w:eastAsia="Arial" w:hAnsi="Arial"/>
                <w:sz w:val="18"/>
                <w:szCs w:val="18"/>
                <w:color w:val="auto"/>
              </w:rPr>
              <w:t>2,383</w:t>
            </w:r>
          </w:p>
        </w:tc>
        <w:tc>
          <w:tcPr>
            <w:tcW w:w="10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0"/>
              </w:rPr>
              <w:t>12.9%</w:t>
            </w:r>
          </w:p>
        </w:tc>
      </w:tr>
      <w:tr>
        <w:trPr>
          <w:trHeight w:val="242"/>
        </w:trPr>
        <w:tc>
          <w:tcPr>
            <w:tcW w:w="37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7,518</w:t>
            </w:r>
          </w:p>
        </w:tc>
        <w:tc>
          <w:tcPr>
            <w:tcW w:w="4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6,976</w:t>
            </w: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542</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7.8%</w:t>
            </w:r>
          </w:p>
        </w:tc>
      </w:tr>
      <w:tr>
        <w:trPr>
          <w:trHeight w:val="246"/>
        </w:trPr>
        <w:tc>
          <w:tcPr>
            <w:tcW w:w="3760" w:type="dxa"/>
            <w:vAlign w:val="bottom"/>
          </w:tcPr>
          <w:p>
            <w:pPr>
              <w:ind w:left="180"/>
              <w:spacing w:after="0"/>
              <w:rPr>
                <w:sz w:val="20"/>
                <w:szCs w:val="20"/>
                <w:color w:val="auto"/>
              </w:rPr>
            </w:pPr>
            <w:r>
              <w:rPr>
                <w:rFonts w:ascii="Arial" w:cs="Arial" w:eastAsia="Arial" w:hAnsi="Arial"/>
                <w:sz w:val="18"/>
                <w:szCs w:val="18"/>
                <w:color w:val="auto"/>
              </w:rPr>
              <w:t>Operating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9"/>
        </w:trPr>
        <w:tc>
          <w:tcPr>
            <w:tcW w:w="3760" w:type="dxa"/>
            <w:vAlign w:val="bottom"/>
            <w:shd w:val="clear" w:color="auto" w:fill="E6E6E6"/>
          </w:tcPr>
          <w:p>
            <w:pPr>
              <w:ind w:left="420"/>
              <w:spacing w:after="0"/>
              <w:rPr>
                <w:sz w:val="20"/>
                <w:szCs w:val="20"/>
                <w:color w:val="auto"/>
              </w:rPr>
            </w:pPr>
            <w:r>
              <w:rPr>
                <w:rFonts w:ascii="Arial" w:cs="Arial" w:eastAsia="Arial" w:hAnsi="Arial"/>
                <w:sz w:val="18"/>
                <w:szCs w:val="18"/>
                <w:color w:val="auto"/>
                <w:w w:val="91"/>
              </w:rPr>
              <w:t>Selling, general, and administrative expenses</w:t>
            </w:r>
          </w:p>
        </w:tc>
        <w:tc>
          <w:tcPr>
            <w:tcW w:w="28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4,524</w:t>
            </w:r>
          </w:p>
        </w:tc>
        <w:tc>
          <w:tcPr>
            <w:tcW w:w="4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4,108</w:t>
            </w: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416</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10.1%</w:t>
            </w:r>
          </w:p>
        </w:tc>
      </w:tr>
      <w:tr>
        <w:trPr>
          <w:trHeight w:val="246"/>
        </w:trPr>
        <w:tc>
          <w:tcPr>
            <w:tcW w:w="37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2.8%</w:t>
            </w:r>
          </w:p>
        </w:tc>
      </w:tr>
      <w:tr>
        <w:trPr>
          <w:trHeight w:val="269"/>
        </w:trPr>
        <w:tc>
          <w:tcPr>
            <w:tcW w:w="376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80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jc w:val="right"/>
              <w:ind w:right="91"/>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E6E6E6"/>
            </w:tcBorders>
            <w:shd w:val="clear" w:color="auto" w:fill="E6E6E6"/>
          </w:tcPr>
          <w:p>
            <w:pPr>
              <w:jc w:val="center"/>
              <w:spacing w:after="0" w:line="249" w:lineRule="exact"/>
              <w:rPr>
                <w:sz w:val="20"/>
                <w:szCs w:val="20"/>
                <w:color w:val="auto"/>
              </w:rPr>
            </w:pPr>
            <w:r>
              <w:rPr>
                <w:rFonts w:ascii="Arial" w:cs="Arial" w:eastAsia="Arial" w:hAnsi="Arial"/>
                <w:sz w:val="28"/>
                <w:szCs w:val="28"/>
                <w:color w:val="auto"/>
                <w:vertAlign w:val="subscript"/>
              </w:rPr>
              <w:t>NM</w:t>
            </w:r>
            <w:r>
              <w:rPr>
                <w:rFonts w:ascii="Arial" w:cs="Arial" w:eastAsia="Arial" w:hAnsi="Arial"/>
                <w:sz w:val="10"/>
                <w:szCs w:val="10"/>
                <w:color w:val="auto"/>
              </w:rPr>
              <w:t>(1)</w:t>
            </w:r>
          </w:p>
        </w:tc>
      </w:tr>
      <w:tr>
        <w:trPr>
          <w:trHeight w:val="212"/>
        </w:trPr>
        <w:tc>
          <w:tcPr>
            <w:tcW w:w="376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5,306</w:t>
            </w:r>
          </w:p>
        </w:tc>
        <w:tc>
          <w:tcPr>
            <w:tcW w:w="4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4,830</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900" w:type="dxa"/>
            <w:vAlign w:val="bottom"/>
            <w:tcBorders>
              <w:bottom w:val="single" w:sz="8" w:color="E6E6E6"/>
            </w:tcBorders>
          </w:tcPr>
          <w:p>
            <w:pPr>
              <w:jc w:val="right"/>
              <w:ind w:right="91"/>
              <w:spacing w:after="0"/>
              <w:rPr>
                <w:sz w:val="20"/>
                <w:szCs w:val="20"/>
                <w:color w:val="auto"/>
              </w:rPr>
            </w:pPr>
            <w:r>
              <w:rPr>
                <w:rFonts w:ascii="Arial" w:cs="Arial" w:eastAsia="Arial" w:hAnsi="Arial"/>
                <w:sz w:val="18"/>
                <w:szCs w:val="18"/>
                <w:color w:val="auto"/>
              </w:rPr>
              <w:t>476</w:t>
            </w:r>
          </w:p>
        </w:tc>
        <w:tc>
          <w:tcPr>
            <w:tcW w:w="10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87"/>
              </w:rPr>
              <w:t>9.9%</w:t>
            </w:r>
          </w:p>
        </w:tc>
      </w:tr>
      <w:tr>
        <w:trPr>
          <w:trHeight w:val="242"/>
        </w:trPr>
        <w:tc>
          <w:tcPr>
            <w:tcW w:w="37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2,212</w:t>
            </w:r>
          </w:p>
        </w:tc>
        <w:tc>
          <w:tcPr>
            <w:tcW w:w="4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2,146</w:t>
            </w: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66</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3.1%</w:t>
            </w:r>
          </w:p>
        </w:tc>
      </w:tr>
      <w:tr>
        <w:trPr>
          <w:trHeight w:val="245"/>
        </w:trPr>
        <w:tc>
          <w:tcPr>
            <w:tcW w:w="376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9"/>
        </w:trPr>
        <w:tc>
          <w:tcPr>
            <w:tcW w:w="3760" w:type="dxa"/>
            <w:vAlign w:val="bottom"/>
            <w:shd w:val="clear" w:color="auto" w:fill="E6E6E6"/>
          </w:tcPr>
          <w:p>
            <w:pPr>
              <w:ind w:left="4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(812)</w:t>
            </w:r>
          </w:p>
        </w:tc>
        <w:tc>
          <w:tcPr>
            <w:tcW w:w="4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(864)</w:t>
            </w: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52</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0"/>
              </w:rPr>
              <w:t>(6.0)%</w:t>
            </w:r>
          </w:p>
        </w:tc>
      </w:tr>
      <w:tr>
        <w:trPr>
          <w:trHeight w:val="246"/>
        </w:trPr>
        <w:tc>
          <w:tcPr>
            <w:tcW w:w="376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48.8%</w:t>
            </w:r>
          </w:p>
        </w:tc>
      </w:tr>
      <w:tr>
        <w:trPr>
          <w:trHeight w:val="269"/>
        </w:trPr>
        <w:tc>
          <w:tcPr>
            <w:tcW w:w="376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Foreign exchange (loss) gain, net</w:t>
            </w:r>
          </w:p>
        </w:tc>
        <w:tc>
          <w:tcPr>
            <w:tcW w:w="28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80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jc w:val="right"/>
              <w:ind w:right="31"/>
              <w:spacing w:after="0"/>
              <w:rPr>
                <w:sz w:val="20"/>
                <w:szCs w:val="20"/>
                <w:color w:val="auto"/>
              </w:rPr>
            </w:pPr>
            <w:r>
              <w:rPr>
                <w:rFonts w:ascii="Arial" w:cs="Arial" w:eastAsia="Arial" w:hAnsi="Arial"/>
                <w:sz w:val="18"/>
                <w:szCs w:val="18"/>
                <w:color w:val="auto"/>
              </w:rPr>
              <w:t>(95)</w:t>
            </w:r>
          </w:p>
        </w:tc>
        <w:tc>
          <w:tcPr>
            <w:tcW w:w="1040" w:type="dxa"/>
            <w:vAlign w:val="bottom"/>
            <w:tcBorders>
              <w:bottom w:val="single" w:sz="8" w:color="E6E6E6"/>
            </w:tcBorders>
            <w:shd w:val="clear" w:color="auto" w:fill="E6E6E6"/>
          </w:tcPr>
          <w:p>
            <w:pPr>
              <w:jc w:val="center"/>
              <w:spacing w:after="0" w:line="249" w:lineRule="exact"/>
              <w:rPr>
                <w:sz w:val="20"/>
                <w:szCs w:val="20"/>
                <w:color w:val="auto"/>
              </w:rPr>
            </w:pPr>
            <w:r>
              <w:rPr>
                <w:rFonts w:ascii="Arial" w:cs="Arial" w:eastAsia="Arial" w:hAnsi="Arial"/>
                <w:sz w:val="28"/>
                <w:szCs w:val="28"/>
                <w:color w:val="auto"/>
                <w:vertAlign w:val="subscript"/>
              </w:rPr>
              <w:t>NM</w:t>
            </w:r>
            <w:r>
              <w:rPr>
                <w:rFonts w:ascii="Arial" w:cs="Arial" w:eastAsia="Arial" w:hAnsi="Arial"/>
                <w:sz w:val="10"/>
                <w:szCs w:val="10"/>
                <w:color w:val="auto"/>
              </w:rPr>
              <w:t>(1)</w:t>
            </w:r>
          </w:p>
        </w:tc>
      </w:tr>
      <w:tr>
        <w:trPr>
          <w:trHeight w:val="212"/>
        </w:trPr>
        <w:tc>
          <w:tcPr>
            <w:tcW w:w="376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(964)</w:t>
            </w:r>
          </w:p>
        </w:tc>
        <w:tc>
          <w:tcPr>
            <w:tcW w:w="40" w:type="dxa"/>
            <w:vAlign w:val="bottom"/>
            <w:tcBorders>
              <w:bottom w:val="single" w:sz="8" w:color="E6E6E6"/>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(900)</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E6E6E6"/>
            </w:tcBorders>
          </w:tcPr>
          <w:p>
            <w:pPr>
              <w:spacing w:after="0"/>
              <w:rPr>
                <w:sz w:val="18"/>
                <w:szCs w:val="18"/>
                <w:color w:val="auto"/>
              </w:rPr>
            </w:pPr>
          </w:p>
        </w:tc>
        <w:tc>
          <w:tcPr>
            <w:tcW w:w="900" w:type="dxa"/>
            <w:vAlign w:val="bottom"/>
            <w:tcBorders>
              <w:bottom w:val="single" w:sz="8" w:color="E6E6E6"/>
            </w:tcBorders>
          </w:tcPr>
          <w:p>
            <w:pPr>
              <w:jc w:val="right"/>
              <w:ind w:right="31"/>
              <w:spacing w:after="0"/>
              <w:rPr>
                <w:sz w:val="20"/>
                <w:szCs w:val="20"/>
                <w:color w:val="auto"/>
              </w:rPr>
            </w:pPr>
            <w:r>
              <w:rPr>
                <w:rFonts w:ascii="Arial" w:cs="Arial" w:eastAsia="Arial" w:hAnsi="Arial"/>
                <w:sz w:val="18"/>
                <w:szCs w:val="18"/>
                <w:color w:val="auto"/>
              </w:rPr>
              <w:t>(64)</w:t>
            </w:r>
          </w:p>
        </w:tc>
        <w:tc>
          <w:tcPr>
            <w:tcW w:w="10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87"/>
              </w:rPr>
              <w:t>7.1%</w:t>
            </w:r>
          </w:p>
        </w:tc>
      </w:tr>
      <w:tr>
        <w:trPr>
          <w:trHeight w:val="242"/>
        </w:trPr>
        <w:tc>
          <w:tcPr>
            <w:tcW w:w="37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1,248</w:t>
            </w:r>
          </w:p>
        </w:tc>
        <w:tc>
          <w:tcPr>
            <w:tcW w:w="4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2</w:t>
            </w:r>
          </w:p>
        </w:tc>
        <w:tc>
          <w:tcPr>
            <w:tcW w:w="10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7"/>
              </w:rPr>
              <w:t>0.2%</w:t>
            </w:r>
          </w:p>
        </w:tc>
      </w:tr>
      <w:tr>
        <w:trPr>
          <w:trHeight w:val="242"/>
        </w:trPr>
        <w:tc>
          <w:tcPr>
            <w:tcW w:w="3760" w:type="dxa"/>
            <w:vAlign w:val="bottom"/>
            <w:tcBorders>
              <w:bottom w:val="single" w:sz="8" w:color="E6E6E6"/>
            </w:tcBorders>
          </w:tcPr>
          <w:p>
            <w:pPr>
              <w:ind w:left="4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E6E6E6"/>
            </w:tcBorders>
          </w:tcPr>
          <w:p>
            <w:pPr>
              <w:spacing w:after="0"/>
              <w:rPr>
                <w:sz w:val="21"/>
                <w:szCs w:val="21"/>
                <w:color w:val="auto"/>
              </w:rPr>
            </w:pPr>
          </w:p>
        </w:tc>
        <w:tc>
          <w:tcPr>
            <w:tcW w:w="280" w:type="dxa"/>
            <w:vAlign w:val="bottom"/>
            <w:tcBorders>
              <w:bottom w:val="single" w:sz="8" w:color="E6E6E6"/>
            </w:tcBorders>
          </w:tcPr>
          <w:p>
            <w:pPr>
              <w:spacing w:after="0"/>
              <w:rPr>
                <w:sz w:val="21"/>
                <w:szCs w:val="21"/>
                <w:color w:val="auto"/>
              </w:rPr>
            </w:pPr>
          </w:p>
        </w:tc>
        <w:tc>
          <w:tcPr>
            <w:tcW w:w="900" w:type="dxa"/>
            <w:vAlign w:val="bottom"/>
            <w:tcBorders>
              <w:bottom w:val="single" w:sz="8" w:color="E6E6E6"/>
            </w:tcBorders>
          </w:tcPr>
          <w:p>
            <w:pPr>
              <w:jc w:val="right"/>
              <w:ind w:right="91"/>
              <w:spacing w:after="0"/>
              <w:rPr>
                <w:sz w:val="20"/>
                <w:szCs w:val="20"/>
                <w:color w:val="auto"/>
              </w:rPr>
            </w:pPr>
            <w:r>
              <w:rPr>
                <w:rFonts w:ascii="Arial" w:cs="Arial" w:eastAsia="Arial" w:hAnsi="Arial"/>
                <w:sz w:val="18"/>
                <w:szCs w:val="18"/>
                <w:color w:val="auto"/>
              </w:rPr>
              <w:t>45</w:t>
            </w:r>
          </w:p>
        </w:tc>
        <w:tc>
          <w:tcPr>
            <w:tcW w:w="104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90"/>
              </w:rPr>
              <w:t>97.8%</w:t>
            </w:r>
          </w:p>
        </w:tc>
      </w:tr>
      <w:tr>
        <w:trPr>
          <w:trHeight w:val="252"/>
        </w:trPr>
        <w:tc>
          <w:tcPr>
            <w:tcW w:w="37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1,157</w:t>
            </w:r>
          </w:p>
        </w:tc>
        <w:tc>
          <w:tcPr>
            <w:tcW w:w="40" w:type="dxa"/>
            <w:vAlign w:val="bottom"/>
            <w:tcBorders>
              <w:bottom w:val="single" w:sz="8" w:color="E6E6E6"/>
            </w:tcBorders>
            <w:shd w:val="clear" w:color="auto" w:fill="E6E6E6"/>
          </w:tcPr>
          <w:p>
            <w:pPr>
              <w:spacing w:after="0"/>
              <w:rPr>
                <w:sz w:val="21"/>
                <w:szCs w:val="21"/>
                <w:color w:val="auto"/>
              </w:rPr>
            </w:pPr>
          </w:p>
        </w:tc>
        <w:tc>
          <w:tcPr>
            <w:tcW w:w="400" w:type="dxa"/>
            <w:vAlign w:val="bottom"/>
            <w:tcBorders>
              <w:bottom w:val="single" w:sz="8" w:color="auto"/>
            </w:tcBorders>
            <w:shd w:val="clear" w:color="auto" w:fill="E6E6E6"/>
          </w:tcPr>
          <w:p>
            <w:pPr>
              <w:jc w:val="right"/>
              <w:ind w:right="15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1,200</w:t>
            </w:r>
          </w:p>
        </w:tc>
        <w:tc>
          <w:tcPr>
            <w:tcW w:w="340" w:type="dxa"/>
            <w:vAlign w:val="bottom"/>
            <w:tcBorders>
              <w:bottom w:val="single" w:sz="8" w:color="E6E6E6"/>
            </w:tcBorders>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6E6E6"/>
            </w:tcBorders>
            <w:shd w:val="clear" w:color="auto" w:fill="E6E6E6"/>
          </w:tcPr>
          <w:p>
            <w:pPr>
              <w:jc w:val="right"/>
              <w:ind w:right="31"/>
              <w:spacing w:after="0"/>
              <w:rPr>
                <w:sz w:val="20"/>
                <w:szCs w:val="20"/>
                <w:color w:val="auto"/>
              </w:rPr>
            </w:pPr>
            <w:r>
              <w:rPr>
                <w:rFonts w:ascii="Arial" w:cs="Arial" w:eastAsia="Arial" w:hAnsi="Arial"/>
                <w:sz w:val="18"/>
                <w:szCs w:val="18"/>
                <w:color w:val="auto"/>
              </w:rPr>
              <w:t>(43)</w:t>
            </w:r>
          </w:p>
        </w:tc>
        <w:tc>
          <w:tcPr>
            <w:tcW w:w="10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-2435860</wp:posOffset>
            </wp:positionV>
            <wp:extent cx="15716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-1633855</wp:posOffset>
            </wp:positionV>
            <wp:extent cx="157162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-1473835</wp:posOffset>
            </wp:positionV>
            <wp:extent cx="157162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-672465</wp:posOffset>
            </wp:positionV>
            <wp:extent cx="157162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-511810</wp:posOffset>
            </wp:positionV>
            <wp:extent cx="157162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-191135</wp:posOffset>
            </wp:positionV>
            <wp:extent cx="157162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1571625" cy="2540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-43815</wp:posOffset>
            </wp:positionV>
            <wp:extent cx="157162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1571625" cy="508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Not Meaningful</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Net sales for the year ended December 31, 2025 increased $2,925 million, or 11.5%, to $28,432 million, compared to $25,507 million for the respective period in 2024. Net sales for the year ended December 31, 2025 increased $2,676 million, or 10.5% from organic growth and $237 million, or 0.9% from acquisitions with foreign currency exchange rates having an immaterial impact on net sales. Organic net sales growth was substantially all related to increased volumes with pricing having an immaterial impact.</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Net sales for the U.S. business for the year ended December 31, 2025 increased $2,732 million, or 11.5%, to $26,479 million, compared to $23,747 million for the respective period in 2024, primarily driven by volume growth in Prime Vendor net sales, which for the year ended December 31, 2025 increased $2,000 million, or 12.5%, to $18,033 million, compared to $16,033 million for the respective period in 2024.</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increase in Prime Vendor net sales was comprised primarily of $1,229 million related to new Prime Vendor relationships and $998 million related to existing Prime Vendor relationships, partially offset by a decrease of $227 million related to lost Prime Vendor relationships. Acquisitions also contributed $189 million incremental net sales in 2025. Net sales for the U.S. acute care business, which includes both Prime Vendor and non-Prime Vendor customers, increased $2,015 million, or 11.5%, to $19,506 million, compared to $17,491 million for the respective period in 2024, primarily driven by volume growth. Net sales for the U.S. non-acute care business increased $717 million, or 11.5%, to $6,973 million, compared to $6,256 million for the respective period in 2024, primarily driven by volume growth in post-acute care business of $290 million, physician offices of $218 million, and ambulatory surgical centers of $117 million.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sales for the International business for the year ended December 31, 2025 increased $193 million, or 11.0%, to $1,953 million, compared to $1,760 million for the respective period in 2024, primarily driven by volume growth. Organic growth and acquisitions contributed $133 million and $48 million of incremental net sales, respectively, for the year ended December 31, 2025, with foreign currency exchange rates having an immaterial impact.</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66</w:t>
      </w:r>
    </w:p>
    <w:p>
      <w:pPr>
        <w:sectPr>
          <w:pgSz w:w="11880" w:h="15480" w:orient="portrait"/>
          <w:cols w:equalWidth="0" w:num="1">
            <w:col w:w="9800"/>
          </w:cols>
          <w:pgMar w:left="1040" w:top="523" w:right="1040" w:bottom="8"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i w:val="1"/>
          <w:iCs w:val="1"/>
          <w:color w:val="auto"/>
        </w:rPr>
        <w:t>Cost of Goods Sold and Gross Profit</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Cost of goods sold for the year ended December 31, 2025 increased $2,383 million, or 12.9%, to $20,914 million, compared to $18,531 million for the respective period in 2024, primarily driven by the growth in net sales, including the impact of acquisitions as noted above. Gross profit margin was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decreased from 27.3% for the year ended December 31, 2024 to 26.4% for the year ended December 31, 2025, primarily driven by 115 basis points from higher import costs due to tariffs.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SG&amp;A expenses for the year ended December 31, 2025 increased $416 million, or 10.1%, to $4,524 million, compared to $4,108 million for the respective period in 2024, primarily due to $204 million related to higher compensation and benefit expenses related to investments in headcount, $70 million of incremental cost from acquisitions, $67 million related to higher distribution expense, including outbound freight, and $47 million related to higher selling and marketing expenses, partially offset by $43 million related to a favorable settlement of an intellectual property dispute.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Amortization of Intangible Assets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Amortization of intangible assets for the year ended December 31, 2025 increased $19 million, or 2.8%, to $704 million, compared to $685 million for the respective period in 2024, primarily due to the addition of intangible assets related to the acquisitions in the second half of 2024.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Operating Expenses</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Other operating expenses for the year ended December 31, 2025 increased $41 million to $78 million, compared to $37 million for the respective period in 2024, primarily due to higher expenses associated with our IPO.</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Interest expense, net for the year ended December 31, 2025 decreased $52 million, or 6.0%, to $812 million, compared to $864 million for the respective period in 2024, primarily due to the recognition of an embedded derivative related to the Dollar Term Loans.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Other expense, net for the year ended December 31, 2025 increased $21 million, or 48.8%, to $64 million, compared to $43 million for the respective period in 2024, primarily due to higher debt extinguishment and other refinancing costs and fees in 2025.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(Loss) Gain, net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Foreign exchange (loss) gain, net for the year ended December 31, 2025 decreased $95 million to a loss of $88 million, compared to a gain of $7 million for the respective period in 2024, primarily driven by larger unfavorable foreign exchange rate movement on certain borrowings denominated in the Euro in 2025.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Provision for income taxes for the year ended December 31, 2025 increased $45 million to $91 million, compared to $46 million for the respective period in 2024, primarily driven by the global minimum tax under Pillar Two rules.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67</w:t>
      </w:r>
    </w:p>
    <w:p>
      <w:pPr>
        <w:sectPr>
          <w:pgSz w:w="11880" w:h="15480" w:orient="portrait"/>
          <w:cols w:equalWidth="0" w:num="1">
            <w:col w:w="9800"/>
          </w:cols>
          <w:pgMar w:left="1040" w:top="521" w:right="1040" w:bottom="8"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Business Segment Results of Operations</w:t>
      </w:r>
    </w:p>
    <w:p>
      <w:pPr>
        <w:spacing w:after="0" w:line="252"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following table compares business segment net sales, Segment Adjusted EBITDA, and Segment Adjusted EBITDA margin for the year ended December 31, 2025 and 2024.</w:t>
      </w:r>
    </w:p>
    <w:p>
      <w:pPr>
        <w:spacing w:after="0" w:line="24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color w:val="auto"/>
              </w:rPr>
              <w:t>Year ended</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1600" w:type="dxa"/>
            <w:vAlign w:val="bottom"/>
            <w:gridSpan w:val="2"/>
            <w:vMerge w:val="restart"/>
          </w:tcPr>
          <w:p>
            <w:pPr>
              <w:jc w:val="right"/>
              <w:ind w:right="11"/>
              <w:spacing w:after="0"/>
              <w:rPr>
                <w:sz w:val="20"/>
                <w:szCs w:val="20"/>
                <w:color w:val="auto"/>
              </w:rPr>
            </w:pPr>
            <w:r>
              <w:rPr>
                <w:rFonts w:ascii="Arial" w:cs="Arial" w:eastAsia="Arial" w:hAnsi="Arial"/>
                <w:sz w:val="18"/>
                <w:szCs w:val="18"/>
                <w:color w:val="auto"/>
                <w:w w:val="93"/>
              </w:rPr>
              <w:t>December 31, 2025</w:t>
            </w:r>
          </w:p>
        </w:tc>
        <w:tc>
          <w:tcPr>
            <w:tcW w:w="60" w:type="dxa"/>
            <w:vAlign w:val="bottom"/>
          </w:tcPr>
          <w:p>
            <w:pPr>
              <w:spacing w:after="0"/>
              <w:rPr>
                <w:sz w:val="19"/>
                <w:szCs w:val="19"/>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December 31, 2024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ind w:left="460"/>
              <w:spacing w:after="0"/>
              <w:rPr>
                <w:sz w:val="20"/>
                <w:szCs w:val="20"/>
                <w:color w:val="auto"/>
              </w:rPr>
            </w:pPr>
            <w:r>
              <w:rPr>
                <w:rFonts w:ascii="Arial" w:cs="Arial" w:eastAsia="Arial" w:hAnsi="Arial"/>
                <w:sz w:val="18"/>
                <w:szCs w:val="18"/>
                <w:color w:val="auto"/>
              </w:rPr>
              <w:t>2025 vs 2024</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8"/>
                <w:szCs w:val="18"/>
                <w:color w:val="auto"/>
                <w:w w:val="89"/>
              </w:rPr>
              <w:t>$ change</w:t>
            </w:r>
          </w:p>
        </w:tc>
        <w:tc>
          <w:tcPr>
            <w:tcW w:w="60" w:type="dxa"/>
            <w:vAlign w:val="bottom"/>
          </w:tcPr>
          <w:p>
            <w:pPr>
              <w:spacing w:after="0"/>
              <w:rPr>
                <w:sz w:val="10"/>
                <w:szCs w:val="10"/>
                <w:color w:val="auto"/>
              </w:rPr>
            </w:pPr>
          </w:p>
        </w:tc>
        <w:tc>
          <w:tcPr>
            <w:tcW w:w="1100" w:type="dxa"/>
            <w:vAlign w:val="bottom"/>
            <w:vMerge w:val="restart"/>
          </w:tcPr>
          <w:p>
            <w:pPr>
              <w:ind w:left="20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34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millions, except percentages)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460" w:type="dxa"/>
            <w:vAlign w:val="bottom"/>
            <w:shd w:val="clear" w:color="auto" w:fill="E6E6E6"/>
          </w:tcPr>
          <w:p>
            <w:pPr>
              <w:ind w:left="60"/>
              <w:spacing w:after="0"/>
              <w:rPr>
                <w:sz w:val="20"/>
                <w:szCs w:val="20"/>
                <w:color w:val="auto"/>
              </w:rPr>
            </w:pPr>
            <w:r>
              <w:rPr>
                <w:rFonts w:ascii="Arial" w:cs="Arial" w:eastAsia="Arial" w:hAnsi="Arial"/>
                <w:sz w:val="18"/>
                <w:szCs w:val="18"/>
                <w:color w:val="auto"/>
              </w:rPr>
              <w:t>Medline Brand</w:t>
            </w:r>
          </w:p>
        </w:tc>
        <w:tc>
          <w:tcPr>
            <w:tcW w:w="52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460" w:type="dxa"/>
            <w:vAlign w:val="bottom"/>
          </w:tcPr>
          <w:p>
            <w:pPr>
              <w:ind w:left="300"/>
              <w:spacing w:after="0"/>
              <w:rPr>
                <w:sz w:val="20"/>
                <w:szCs w:val="20"/>
                <w:color w:val="auto"/>
              </w:rPr>
            </w:pPr>
            <w:r>
              <w:rPr>
                <w:rFonts w:ascii="Arial" w:cs="Arial" w:eastAsia="Arial" w:hAnsi="Arial"/>
                <w:sz w:val="18"/>
                <w:szCs w:val="18"/>
                <w:color w:val="auto"/>
              </w:rPr>
              <w:t>Net sales</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13,720</w:t>
            </w:r>
          </w:p>
        </w:tc>
        <w:tc>
          <w:tcPr>
            <w:tcW w:w="68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12,515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1,205</w:t>
            </w:r>
          </w:p>
        </w:tc>
        <w:tc>
          <w:tcPr>
            <w:tcW w:w="1160" w:type="dxa"/>
            <w:vAlign w:val="bottom"/>
            <w:gridSpan w:val="2"/>
          </w:tcPr>
          <w:p>
            <w:pPr>
              <w:jc w:val="center"/>
              <w:ind w:left="11"/>
              <w:spacing w:after="0"/>
              <w:rPr>
                <w:sz w:val="20"/>
                <w:szCs w:val="20"/>
                <w:color w:val="auto"/>
              </w:rPr>
            </w:pPr>
            <w:r>
              <w:rPr>
                <w:rFonts w:ascii="Arial" w:cs="Arial" w:eastAsia="Arial" w:hAnsi="Arial"/>
                <w:sz w:val="18"/>
                <w:szCs w:val="18"/>
                <w:color w:val="auto"/>
                <w:w w:val="92"/>
              </w:rPr>
              <w:t>9.6%</w:t>
            </w:r>
          </w:p>
        </w:tc>
        <w:tc>
          <w:tcPr>
            <w:tcW w:w="0" w:type="dxa"/>
            <w:vAlign w:val="bottom"/>
          </w:tcPr>
          <w:p>
            <w:pPr>
              <w:spacing w:after="0"/>
              <w:rPr>
                <w:sz w:val="1"/>
                <w:szCs w:val="1"/>
                <w:color w:val="auto"/>
              </w:rPr>
            </w:pPr>
          </w:p>
        </w:tc>
      </w:tr>
      <w:tr>
        <w:trPr>
          <w:trHeight w:val="259"/>
        </w:trPr>
        <w:tc>
          <w:tcPr>
            <w:tcW w:w="34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Segment Adjusted EBITDA</w:t>
            </w:r>
          </w:p>
        </w:tc>
        <w:tc>
          <w:tcPr>
            <w:tcW w:w="520" w:type="dxa"/>
            <w:vAlign w:val="bottom"/>
            <w:shd w:val="clear" w:color="auto" w:fill="E6E6E6"/>
          </w:tcPr>
          <w:p>
            <w:pPr>
              <w:spacing w:after="0"/>
              <w:rPr>
                <w:sz w:val="22"/>
                <w:szCs w:val="22"/>
                <w:color w:val="auto"/>
              </w:rPr>
            </w:pPr>
          </w:p>
        </w:tc>
        <w:tc>
          <w:tcPr>
            <w:tcW w:w="108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3,334</w:t>
            </w: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3,269</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92"/>
              </w:rPr>
              <w:t>2.0%</w:t>
            </w:r>
          </w:p>
        </w:tc>
        <w:tc>
          <w:tcPr>
            <w:tcW w:w="0" w:type="dxa"/>
            <w:vAlign w:val="bottom"/>
          </w:tcPr>
          <w:p>
            <w:pPr>
              <w:spacing w:after="0"/>
              <w:rPr>
                <w:sz w:val="1"/>
                <w:szCs w:val="1"/>
                <w:color w:val="auto"/>
              </w:rPr>
            </w:pPr>
          </w:p>
        </w:tc>
      </w:tr>
      <w:tr>
        <w:trPr>
          <w:trHeight w:val="246"/>
        </w:trPr>
        <w:tc>
          <w:tcPr>
            <w:tcW w:w="3460" w:type="dxa"/>
            <w:vAlign w:val="bottom"/>
          </w:tcPr>
          <w:p>
            <w:pPr>
              <w:ind w:left="300"/>
              <w:spacing w:after="0"/>
              <w:rPr>
                <w:sz w:val="20"/>
                <w:szCs w:val="20"/>
                <w:color w:val="auto"/>
              </w:rPr>
            </w:pPr>
            <w:r>
              <w:rPr>
                <w:rFonts w:ascii="Arial" w:cs="Arial" w:eastAsia="Arial" w:hAnsi="Arial"/>
                <w:sz w:val="18"/>
                <w:szCs w:val="18"/>
                <w:color w:val="auto"/>
              </w:rPr>
              <w:t>Segment Adjusted EBITDA margin</w:t>
            </w:r>
            <w:r>
              <w:rPr>
                <w:rFonts w:ascii="Arial" w:cs="Arial" w:eastAsia="Arial" w:hAnsi="Arial"/>
                <w:sz w:val="11"/>
                <w:szCs w:val="11"/>
                <w:color w:val="auto"/>
              </w:rPr>
              <w:t>(1)</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24.3 %</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60" w:type="dxa"/>
            <w:vAlign w:val="bottom"/>
            <w:shd w:val="clear" w:color="auto" w:fill="E6E6E6"/>
          </w:tcPr>
          <w:p>
            <w:pPr>
              <w:ind w:left="60"/>
              <w:spacing w:after="0"/>
              <w:rPr>
                <w:sz w:val="20"/>
                <w:szCs w:val="20"/>
                <w:color w:val="auto"/>
              </w:rPr>
            </w:pPr>
            <w:r>
              <w:rPr>
                <w:rFonts w:ascii="Arial" w:cs="Arial" w:eastAsia="Arial" w:hAnsi="Arial"/>
                <w:sz w:val="18"/>
                <w:szCs w:val="18"/>
                <w:color w:val="auto"/>
              </w:rPr>
              <w:t>Supply Chain Solutions</w:t>
            </w:r>
          </w:p>
        </w:tc>
        <w:tc>
          <w:tcPr>
            <w:tcW w:w="52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60" w:type="dxa"/>
            <w:vAlign w:val="bottom"/>
          </w:tcPr>
          <w:p>
            <w:pPr>
              <w:ind w:left="3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14,712</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12,992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w:t>
            </w:r>
          </w:p>
        </w:tc>
        <w:tc>
          <w:tcPr>
            <w:tcW w:w="1160" w:type="dxa"/>
            <w:vAlign w:val="bottom"/>
            <w:gridSpan w:val="2"/>
          </w:tcPr>
          <w:p>
            <w:pPr>
              <w:jc w:val="center"/>
              <w:ind w:left="11"/>
              <w:spacing w:after="0"/>
              <w:rPr>
                <w:sz w:val="20"/>
                <w:szCs w:val="20"/>
                <w:color w:val="auto"/>
              </w:rPr>
            </w:pPr>
            <w:r>
              <w:rPr>
                <w:rFonts w:ascii="Arial" w:cs="Arial" w:eastAsia="Arial" w:hAnsi="Arial"/>
                <w:sz w:val="18"/>
                <w:szCs w:val="18"/>
                <w:color w:val="auto"/>
                <w:w w:val="90"/>
              </w:rPr>
              <w:t>13.2%</w:t>
            </w:r>
          </w:p>
        </w:tc>
        <w:tc>
          <w:tcPr>
            <w:tcW w:w="0" w:type="dxa"/>
            <w:vAlign w:val="bottom"/>
          </w:tcPr>
          <w:p>
            <w:pPr>
              <w:spacing w:after="0"/>
              <w:rPr>
                <w:sz w:val="1"/>
                <w:szCs w:val="1"/>
                <w:color w:val="auto"/>
              </w:rPr>
            </w:pPr>
          </w:p>
        </w:tc>
      </w:tr>
      <w:tr>
        <w:trPr>
          <w:trHeight w:val="259"/>
        </w:trPr>
        <w:tc>
          <w:tcPr>
            <w:tcW w:w="34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Segment Adjusted EBITDA</w:t>
            </w:r>
          </w:p>
        </w:tc>
        <w:tc>
          <w:tcPr>
            <w:tcW w:w="520" w:type="dxa"/>
            <w:vAlign w:val="bottom"/>
            <w:shd w:val="clear" w:color="auto" w:fill="E6E6E6"/>
          </w:tcPr>
          <w:p>
            <w:pPr>
              <w:spacing w:after="0"/>
              <w:rPr>
                <w:sz w:val="22"/>
                <w:szCs w:val="22"/>
                <w:color w:val="auto"/>
              </w:rPr>
            </w:pPr>
          </w:p>
        </w:tc>
        <w:tc>
          <w:tcPr>
            <w:tcW w:w="108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805</w:t>
            </w: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9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647</w:t>
            </w: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E6E6E6"/>
          </w:tcPr>
          <w:p>
            <w:pPr>
              <w:jc w:val="center"/>
              <w:ind w:left="11"/>
              <w:spacing w:after="0"/>
              <w:rPr>
                <w:sz w:val="20"/>
                <w:szCs w:val="20"/>
                <w:color w:val="auto"/>
              </w:rPr>
            </w:pPr>
            <w:r>
              <w:rPr>
                <w:rFonts w:ascii="Arial" w:cs="Arial" w:eastAsia="Arial" w:hAnsi="Arial"/>
                <w:sz w:val="18"/>
                <w:szCs w:val="18"/>
                <w:color w:val="auto"/>
                <w:w w:val="90"/>
              </w:rPr>
              <w:t>24.4%</w:t>
            </w:r>
          </w:p>
        </w:tc>
        <w:tc>
          <w:tcPr>
            <w:tcW w:w="0" w:type="dxa"/>
            <w:vAlign w:val="bottom"/>
          </w:tcPr>
          <w:p>
            <w:pPr>
              <w:spacing w:after="0"/>
              <w:rPr>
                <w:sz w:val="1"/>
                <w:szCs w:val="1"/>
                <w:color w:val="auto"/>
              </w:rPr>
            </w:pPr>
          </w:p>
        </w:tc>
      </w:tr>
      <w:tr>
        <w:trPr>
          <w:trHeight w:val="239"/>
        </w:trPr>
        <w:tc>
          <w:tcPr>
            <w:tcW w:w="3460" w:type="dxa"/>
            <w:vAlign w:val="bottom"/>
          </w:tcPr>
          <w:p>
            <w:pPr>
              <w:ind w:left="300"/>
              <w:spacing w:after="0"/>
              <w:rPr>
                <w:sz w:val="20"/>
                <w:szCs w:val="20"/>
                <w:color w:val="auto"/>
              </w:rPr>
            </w:pPr>
            <w:r>
              <w:rPr>
                <w:rFonts w:ascii="Arial" w:cs="Arial" w:eastAsia="Arial" w:hAnsi="Arial"/>
                <w:sz w:val="18"/>
                <w:szCs w:val="18"/>
                <w:color w:val="auto"/>
              </w:rPr>
              <w:t>Segment Adjusted EBITDA margin</w:t>
            </w:r>
            <w:r>
              <w:rPr>
                <w:rFonts w:ascii="Arial" w:cs="Arial" w:eastAsia="Arial" w:hAnsi="Arial"/>
                <w:sz w:val="11"/>
                <w:szCs w:val="11"/>
                <w:color w:val="auto"/>
              </w:rPr>
              <w:t>(1)</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80" w:hanging="168"/>
        <w:spacing w:after="0"/>
        <w:tabs>
          <w:tab w:leader="none" w:pos="880" w:val="left"/>
        </w:tabs>
        <w:numPr>
          <w:ilvl w:val="0"/>
          <w:numId w:val="20"/>
        </w:numPr>
        <w:rPr>
          <w:rFonts w:ascii="Arial" w:cs="Arial" w:eastAsia="Arial" w:hAnsi="Arial"/>
          <w:sz w:val="12"/>
          <w:szCs w:val="12"/>
          <w:color w:val="auto"/>
        </w:rPr>
      </w:pPr>
      <w:r>
        <w:rPr>
          <w:rFonts w:ascii="Arial" w:cs="Arial" w:eastAsia="Arial" w:hAnsi="Arial"/>
          <w:sz w:val="18"/>
          <w:szCs w:val="18"/>
          <w:color w:val="auto"/>
        </w:rPr>
        <w:t>We define Segment Adjusted EBITDA margin as the Segment Adjusted EBITDA divided by segment net sales.</w:t>
      </w:r>
    </w:p>
    <w:p>
      <w:pPr>
        <w:spacing w:after="0" w:line="238"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See Note 20—Segment Information to our audited consolidated financial statements included under Part II, “Item 8— Financial Statements and Supplementary Data” of this Annual Report for additional information on our segments.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Medline Brand</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Medline Brand segment net sales for the year ended December 31, 2025 increased $1,205 million, or 9.6%, to $13,720 million, compared to $12,515 million for the respective period in 2024. The increase was primarily driven by volume growth in Prime Vendor sales of Medline Brand products for the year ended December 31, 2025, which increased $574 million, or 10.6%, to $5,984 million, compared to $5,410 million for the respective period in 2024. Acquisitions also contributed $221 million in incremental net sales in 2025.</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Surgical Solutions net sales for the year ended December 31, 2025 increased $695 million, or 12.7%, to $6,166 million, compared to $5,471 million for the respective period in 2024, primarily driven by volume growth of $574 million related to kitting and operating room products, including the impact of an acquisition. Front Line Care net sales for the year ended December 31, 2025 increased $426 million, or 7.0%, to $6,514 million, compared to $6,088 million for the respective period in 2024, primarily driven by volume growth, including $308 million related to ReadyCare products, wound care products, personal care products, environmental services products, exam gloves, and repositioning and offloading products. Laboratory and Diagnostics net sales for the year ended December 31, 2025 increased $84 million, or 8.8%, to $1,040 million, compared to $956 million for the respective period in 2024, primarily driven by volume growth in laboratory products of $65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Medline Brand Segment Adjusted EBITDA for the year ended December 31, 2025 increased $65 million, or 2.0%, to $3,334 million, compared to $3,269 million for the respective period in 2024, primarily driven by net sales growth, including the impact of acquisitions as noted above. Medline Brand Segment Adjusted EBITDA margin decreased to 24.3% from 26.1%, primarily driven by 235 basis points from higher import costs due to tariffs, partially offset by 47 basis points from lower freight costs.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Chain Solutions</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Supply Chain Solutions segment net sales for the year ended December 31, 2025 increased $1,720 million, or 13.2%, to $14,712 million, compared to $12,992 million for the respective period in 2024. The increase was primarily driven by volume growth in Prime Vendor sales for the year ended December 31, 2025, which increased $1,426 million, or 13.4%, to $12,049 million, compared to $10,623 million for the respective period in 2024, including implementation of new relationships and growth with existing customers.</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Supply Chain Solutions Segment Adjusted EBITDA for the year ended December 31, 2025 increased $158 million, or 24.4%, to $805 million, compared to $647 million for the respective period in 2024. Supply Chain Solutions Segment Adjusted EBITDA margin increased to 5.5% from 5.0%, primarily due to operating leverage.</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68</w:t>
      </w:r>
    </w:p>
    <w:p>
      <w:pPr>
        <w:sectPr>
          <w:pgSz w:w="11880" w:h="15480" w:orient="portrait"/>
          <w:cols w:equalWidth="0" w:num="1">
            <w:col w:w="9800"/>
          </w:cols>
          <w:pgMar w:left="1040" w:top="523" w:right="1040" w:bottom="8"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Adjusted EBITDA Margin</w:t>
      </w:r>
    </w:p>
    <w:p>
      <w:pPr>
        <w:spacing w:after="0" w:line="25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sets forth a reconciliation of net income, the most comparable GAAP measure, to Adjusted EBITDA and Adjusted EBITDA Margin:</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color w:val="auto"/>
              </w:rPr>
              <w:t>Year ended</w:t>
            </w:r>
          </w:p>
        </w:tc>
        <w:tc>
          <w:tcPr>
            <w:tcW w:w="920" w:type="dxa"/>
            <w:vAlign w:val="bottom"/>
            <w:tcBorders>
              <w:bottom w:val="single" w:sz="8" w:color="auto"/>
            </w:tcBorders>
          </w:tcPr>
          <w:p>
            <w:pPr>
              <w:spacing w:after="0"/>
              <w:rPr>
                <w:sz w:val="20"/>
                <w:szCs w:val="20"/>
                <w:color w:val="auto"/>
              </w:rPr>
            </w:pPr>
          </w:p>
        </w:tc>
      </w:tr>
      <w:tr>
        <w:trPr>
          <w:trHeight w:val="232"/>
        </w:trPr>
        <w:tc>
          <w:tcPr>
            <w:tcW w:w="62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 except percentages)</w:t>
            </w: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3"/>
              </w:rPr>
              <w:t>December 31, 2025</w:t>
            </w:r>
          </w:p>
        </w:tc>
        <w:tc>
          <w:tcPr>
            <w:tcW w:w="6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3"/>
              </w:rPr>
              <w:t>December 31, 2024</w:t>
            </w:r>
          </w:p>
        </w:tc>
      </w:tr>
      <w:tr>
        <w:trPr>
          <w:trHeight w:val="242"/>
        </w:trPr>
        <w:tc>
          <w:tcPr>
            <w:tcW w:w="62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income</w:t>
            </w:r>
          </w:p>
        </w:tc>
        <w:tc>
          <w:tcPr>
            <w:tcW w:w="560" w:type="dxa"/>
            <w:vAlign w:val="bottom"/>
            <w:shd w:val="clear" w:color="auto" w:fill="E6E6E6"/>
          </w:tcPr>
          <w:p>
            <w:pPr>
              <w:jc w:val="right"/>
              <w:ind w:right="3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E6E6E6"/>
          </w:tcPr>
          <w:p>
            <w:pPr>
              <w:spacing w:after="0"/>
              <w:rPr>
                <w:sz w:val="21"/>
                <w:szCs w:val="21"/>
                <w:color w:val="auto"/>
              </w:rPr>
            </w:pPr>
          </w:p>
        </w:tc>
        <w:tc>
          <w:tcPr>
            <w:tcW w:w="680" w:type="dxa"/>
            <w:vAlign w:val="bottom"/>
            <w:shd w:val="clear" w:color="auto" w:fill="E6E6E6"/>
          </w:tcPr>
          <w:p>
            <w:pPr>
              <w:jc w:val="right"/>
              <w:ind w:right="451"/>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1,200</w:t>
            </w:r>
          </w:p>
        </w:tc>
      </w:tr>
      <w:tr>
        <w:trPr>
          <w:trHeight w:val="245"/>
        </w:trPr>
        <w:tc>
          <w:tcPr>
            <w:tcW w:w="6200" w:type="dxa"/>
            <w:vAlign w:val="bottom"/>
          </w:tcPr>
          <w:p>
            <w:pPr>
              <w:ind w:left="40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864</w:t>
            </w:r>
          </w:p>
        </w:tc>
      </w:tr>
      <w:tr>
        <w:trPr>
          <w:trHeight w:val="260"/>
        </w:trPr>
        <w:tc>
          <w:tcPr>
            <w:tcW w:w="62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E6E6E6"/>
          </w:tcPr>
          <w:p>
            <w:pPr>
              <w:spacing w:after="0"/>
              <w:rPr>
                <w:sz w:val="22"/>
                <w:szCs w:val="22"/>
                <w:color w:val="auto"/>
              </w:rPr>
            </w:pP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91</w:t>
            </w:r>
          </w:p>
        </w:tc>
        <w:tc>
          <w:tcPr>
            <w:tcW w:w="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46</w:t>
            </w:r>
          </w:p>
        </w:tc>
      </w:tr>
      <w:tr>
        <w:trPr>
          <w:trHeight w:val="245"/>
        </w:trPr>
        <w:tc>
          <w:tcPr>
            <w:tcW w:w="62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977</w:t>
            </w:r>
          </w:p>
        </w:tc>
      </w:tr>
      <w:tr>
        <w:trPr>
          <w:trHeight w:val="259"/>
        </w:trPr>
        <w:tc>
          <w:tcPr>
            <w:tcW w:w="62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 xml:space="preserve">Inventory-related adjustments </w:t>
            </w:r>
            <w:r>
              <w:rPr>
                <w:rFonts w:ascii="Arial" w:cs="Arial" w:eastAsia="Arial" w:hAnsi="Arial"/>
                <w:sz w:val="11"/>
                <w:szCs w:val="11"/>
                <w:color w:val="auto"/>
              </w:rPr>
              <w:t>(1)</w:t>
            </w:r>
          </w:p>
        </w:tc>
        <w:tc>
          <w:tcPr>
            <w:tcW w:w="560" w:type="dxa"/>
            <w:vAlign w:val="bottom"/>
            <w:shd w:val="clear" w:color="auto" w:fill="E6E6E6"/>
          </w:tcPr>
          <w:p>
            <w:pPr>
              <w:spacing w:after="0"/>
              <w:rPr>
                <w:sz w:val="22"/>
                <w:szCs w:val="22"/>
                <w:color w:val="auto"/>
              </w:rPr>
            </w:pP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83</w:t>
            </w:r>
          </w:p>
        </w:tc>
        <w:tc>
          <w:tcPr>
            <w:tcW w:w="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78</w:t>
            </w:r>
          </w:p>
        </w:tc>
      </w:tr>
      <w:tr>
        <w:trPr>
          <w:trHeight w:val="245"/>
        </w:trPr>
        <w:tc>
          <w:tcPr>
            <w:tcW w:w="620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56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61</w:t>
            </w:r>
          </w:p>
        </w:tc>
      </w:tr>
      <w:tr>
        <w:trPr>
          <w:trHeight w:val="260"/>
        </w:trPr>
        <w:tc>
          <w:tcPr>
            <w:tcW w:w="62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 xml:space="preserve">Litigation (gains) charges, net </w:t>
            </w:r>
            <w:r>
              <w:rPr>
                <w:rFonts w:ascii="Arial" w:cs="Arial" w:eastAsia="Arial" w:hAnsi="Arial"/>
                <w:sz w:val="11"/>
                <w:szCs w:val="11"/>
                <w:color w:val="auto"/>
              </w:rPr>
              <w:t>(2)</w:t>
            </w:r>
          </w:p>
        </w:tc>
        <w:tc>
          <w:tcPr>
            <w:tcW w:w="560" w:type="dxa"/>
            <w:vAlign w:val="bottom"/>
            <w:shd w:val="clear" w:color="auto" w:fill="E6E6E6"/>
          </w:tcPr>
          <w:p>
            <w:pPr>
              <w:spacing w:after="0"/>
              <w:rPr>
                <w:sz w:val="22"/>
                <w:szCs w:val="22"/>
                <w:color w:val="auto"/>
              </w:rPr>
            </w:pPr>
          </w:p>
        </w:tc>
        <w:tc>
          <w:tcPr>
            <w:tcW w:w="10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(33)</w:t>
            </w:r>
          </w:p>
        </w:tc>
        <w:tc>
          <w:tcPr>
            <w:tcW w:w="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92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2</w:t>
            </w:r>
          </w:p>
        </w:tc>
      </w:tr>
      <w:tr>
        <w:trPr>
          <w:trHeight w:val="245"/>
        </w:trPr>
        <w:tc>
          <w:tcPr>
            <w:tcW w:w="6200" w:type="dxa"/>
            <w:vAlign w:val="bottom"/>
          </w:tcPr>
          <w:p>
            <w:pPr>
              <w:ind w:left="40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11"/>
                <w:szCs w:val="11"/>
                <w:color w:val="auto"/>
              </w:rPr>
              <w:t>(3)</w:t>
            </w:r>
          </w:p>
        </w:tc>
        <w:tc>
          <w:tcPr>
            <w:tcW w:w="56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65"/>
        </w:trPr>
        <w:tc>
          <w:tcPr>
            <w:tcW w:w="620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8"/>
                <w:szCs w:val="18"/>
                <w:color w:val="auto"/>
              </w:rPr>
              <w:t xml:space="preserve">Other non-core charges </w:t>
            </w:r>
            <w:r>
              <w:rPr>
                <w:rFonts w:ascii="Arial" w:cs="Arial" w:eastAsia="Arial" w:hAnsi="Arial"/>
                <w:sz w:val="11"/>
                <w:szCs w:val="11"/>
                <w:color w:val="auto"/>
              </w:rPr>
              <w:t>(4)</w:t>
            </w:r>
          </w:p>
        </w:tc>
        <w:tc>
          <w:tcPr>
            <w:tcW w:w="56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115</w:t>
            </w:r>
          </w:p>
        </w:tc>
      </w:tr>
      <w:tr>
        <w:trPr>
          <w:trHeight w:val="217"/>
        </w:trPr>
        <w:tc>
          <w:tcPr>
            <w:tcW w:w="62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color w:val="auto"/>
              </w:rPr>
              <w:t>Adjusted EBITDA</w:t>
            </w:r>
          </w:p>
        </w:tc>
        <w:tc>
          <w:tcPr>
            <w:tcW w:w="5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3,467</w:t>
            </w:r>
          </w:p>
        </w:tc>
        <w:tc>
          <w:tcPr>
            <w:tcW w:w="6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3,361</w:t>
            </w:r>
          </w:p>
        </w:tc>
      </w:tr>
      <w:tr>
        <w:trPr>
          <w:trHeight w:val="252"/>
        </w:trPr>
        <w:tc>
          <w:tcPr>
            <w:tcW w:w="62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 xml:space="preserve">Net income margin </w:t>
            </w:r>
            <w:r>
              <w:rPr>
                <w:rFonts w:ascii="Arial" w:cs="Arial" w:eastAsia="Arial" w:hAnsi="Arial"/>
                <w:sz w:val="11"/>
                <w:szCs w:val="11"/>
                <w:b w:val="1"/>
                <w:bCs w:val="1"/>
                <w:color w:val="auto"/>
              </w:rPr>
              <w:t>(5)</w:t>
            </w:r>
          </w:p>
        </w:tc>
        <w:tc>
          <w:tcPr>
            <w:tcW w:w="560" w:type="dxa"/>
            <w:vAlign w:val="bottom"/>
            <w:tcBorders>
              <w:bottom w:val="single" w:sz="8" w:color="auto"/>
            </w:tcBorders>
            <w:shd w:val="clear" w:color="auto" w:fill="E6E6E6"/>
          </w:tcPr>
          <w:p>
            <w:pPr>
              <w:spacing w:after="0"/>
              <w:rPr>
                <w:sz w:val="21"/>
                <w:szCs w:val="21"/>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4.1 %</w:t>
            </w:r>
          </w:p>
        </w:tc>
        <w:tc>
          <w:tcPr>
            <w:tcW w:w="60" w:type="dxa"/>
            <w:vAlign w:val="bottom"/>
            <w:tcBorders>
              <w:bottom w:val="single" w:sz="8" w:color="E6E6E6"/>
            </w:tcBorders>
            <w:shd w:val="clear" w:color="auto" w:fill="E6E6E6"/>
          </w:tcPr>
          <w:p>
            <w:pPr>
              <w:spacing w:after="0"/>
              <w:rPr>
                <w:sz w:val="21"/>
                <w:szCs w:val="21"/>
                <w:color w:val="auto"/>
              </w:rPr>
            </w:pPr>
          </w:p>
        </w:tc>
        <w:tc>
          <w:tcPr>
            <w:tcW w:w="680" w:type="dxa"/>
            <w:vAlign w:val="bottom"/>
            <w:tcBorders>
              <w:bottom w:val="single" w:sz="8" w:color="auto"/>
            </w:tcBorders>
            <w:shd w:val="clear" w:color="auto" w:fill="E6E6E6"/>
          </w:tcPr>
          <w:p>
            <w:pPr>
              <w:spacing w:after="0"/>
              <w:rPr>
                <w:sz w:val="21"/>
                <w:szCs w:val="21"/>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4.7 %</w:t>
            </w:r>
          </w:p>
        </w:tc>
      </w:tr>
      <w:tr>
        <w:trPr>
          <w:trHeight w:val="213"/>
        </w:trPr>
        <w:tc>
          <w:tcPr>
            <w:tcW w:w="6200" w:type="dxa"/>
            <w:vAlign w:val="bottom"/>
          </w:tcPr>
          <w:p>
            <w:pPr>
              <w:ind w:left="60"/>
              <w:spacing w:after="0"/>
              <w:rPr>
                <w:sz w:val="20"/>
                <w:szCs w:val="20"/>
                <w:color w:val="auto"/>
              </w:rPr>
            </w:pPr>
            <w:r>
              <w:rPr>
                <w:rFonts w:ascii="Arial" w:cs="Arial" w:eastAsia="Arial" w:hAnsi="Arial"/>
                <w:sz w:val="18"/>
                <w:szCs w:val="18"/>
                <w:b w:val="1"/>
                <w:bCs w:val="1"/>
                <w:color w:val="auto"/>
              </w:rPr>
              <w:t xml:space="preserve">Adjusted EBITDA Margin </w:t>
            </w:r>
            <w:r>
              <w:rPr>
                <w:rFonts w:ascii="Arial" w:cs="Arial" w:eastAsia="Arial" w:hAnsi="Arial"/>
                <w:sz w:val="11"/>
                <w:szCs w:val="11"/>
                <w:b w:val="1"/>
                <w:bCs w:val="1"/>
                <w:color w:val="auto"/>
              </w:rPr>
              <w:t>(5)</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12.2 %</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-1929765</wp:posOffset>
            </wp:positionV>
            <wp:extent cx="209994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209994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-487045</wp:posOffset>
            </wp:positionV>
            <wp:extent cx="209994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209994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-327025</wp:posOffset>
            </wp:positionV>
            <wp:extent cx="209994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209994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-166370</wp:posOffset>
            </wp:positionV>
            <wp:extent cx="209994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209994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4134485</wp:posOffset>
                </wp:positionH>
                <wp:positionV relativeFrom="paragraph">
                  <wp:posOffset>5715</wp:posOffset>
                </wp:positionV>
                <wp:extent cx="101854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55pt,0.45pt" to="405.75pt,0.4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5190490</wp:posOffset>
                </wp:positionH>
                <wp:positionV relativeFrom="paragraph">
                  <wp:posOffset>5715</wp:posOffset>
                </wp:positionV>
                <wp:extent cx="101854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7pt,0.45pt" to="488.9pt,0.45pt" o:allowincell="f" strokecolor="#000000" strokeweight="1pt"/>
            </w:pict>
          </mc:Fallback>
        </mc:AlternateContent>
      </w:r>
    </w:p>
    <w:p>
      <w:pPr>
        <w:spacing w:after="0" w:line="33" w:lineRule="exact"/>
        <w:rPr>
          <w:sz w:val="20"/>
          <w:szCs w:val="20"/>
          <w:color w:val="auto"/>
        </w:rPr>
      </w:pPr>
    </w:p>
    <w:p>
      <w:pPr>
        <w:jc w:val="both"/>
        <w:ind w:left="360" w:hanging="360"/>
        <w:spacing w:after="0" w:line="247" w:lineRule="auto"/>
        <w:tabs>
          <w:tab w:leader="none" w:pos="361" w:val="left"/>
        </w:tabs>
        <w:numPr>
          <w:ilvl w:val="0"/>
          <w:numId w:val="21"/>
        </w:numPr>
        <w:rPr>
          <w:rFonts w:ascii="Arial" w:cs="Arial" w:eastAsia="Arial" w:hAnsi="Arial"/>
          <w:sz w:val="12"/>
          <w:szCs w:val="12"/>
          <w:color w:val="auto"/>
        </w:rPr>
      </w:pPr>
      <w:r>
        <w:rPr>
          <w:rFonts w:ascii="Arial" w:cs="Arial" w:eastAsia="Arial" w:hAnsi="Arial"/>
          <w:sz w:val="18"/>
          <w:szCs w:val="18"/>
          <w:color w:val="auto"/>
        </w:rPr>
        <w:t>Includes inventory adjustment associated with non-cash last-in, first-out (“LIFO”) reserves. Inventory adjustments were $83 million and $53 million for the years ended December 31, 2025 and 2024, respectively. The year ended December 31, 2024 also includes $25 million of amortization of the inventory step-up resulting from acquisitions.</w:t>
      </w:r>
    </w:p>
    <w:p>
      <w:pPr>
        <w:spacing w:after="0" w:line="2" w:lineRule="exact"/>
        <w:rPr>
          <w:rFonts w:ascii="Arial" w:cs="Arial" w:eastAsia="Arial" w:hAnsi="Arial"/>
          <w:sz w:val="12"/>
          <w:szCs w:val="12"/>
          <w:color w:val="auto"/>
        </w:rPr>
      </w:pPr>
    </w:p>
    <w:p>
      <w:pPr>
        <w:jc w:val="both"/>
        <w:ind w:left="360" w:hanging="360"/>
        <w:spacing w:after="0" w:line="247" w:lineRule="auto"/>
        <w:tabs>
          <w:tab w:leader="none" w:pos="361" w:val="left"/>
        </w:tabs>
        <w:numPr>
          <w:ilvl w:val="0"/>
          <w:numId w:val="21"/>
        </w:numPr>
        <w:rPr>
          <w:rFonts w:ascii="Arial" w:cs="Arial" w:eastAsia="Arial" w:hAnsi="Arial"/>
          <w:sz w:val="12"/>
          <w:szCs w:val="12"/>
          <w:color w:val="auto"/>
        </w:rPr>
      </w:pPr>
      <w:r>
        <w:rPr>
          <w:rFonts w:ascii="Arial" w:cs="Arial" w:eastAsia="Arial" w:hAnsi="Arial"/>
          <w:sz w:val="18"/>
          <w:szCs w:val="18"/>
          <w:color w:val="auto"/>
        </w:rPr>
        <w:t>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w:t>
      </w:r>
    </w:p>
    <w:p>
      <w:pPr>
        <w:spacing w:after="0" w:line="2" w:lineRule="exact"/>
        <w:rPr>
          <w:rFonts w:ascii="Arial" w:cs="Arial" w:eastAsia="Arial" w:hAnsi="Arial"/>
          <w:sz w:val="12"/>
          <w:szCs w:val="12"/>
          <w:color w:val="auto"/>
        </w:rPr>
      </w:pPr>
    </w:p>
    <w:p>
      <w:pPr>
        <w:jc w:val="both"/>
        <w:ind w:left="360" w:hanging="360"/>
        <w:spacing w:after="0" w:line="262" w:lineRule="auto"/>
        <w:tabs>
          <w:tab w:leader="none" w:pos="360" w:val="left"/>
        </w:tabs>
        <w:numPr>
          <w:ilvl w:val="0"/>
          <w:numId w:val="21"/>
        </w:numPr>
        <w:rPr>
          <w:rFonts w:ascii="Arial" w:cs="Arial" w:eastAsia="Arial" w:hAnsi="Arial"/>
          <w:sz w:val="11"/>
          <w:szCs w:val="11"/>
          <w:color w:val="auto"/>
        </w:rPr>
      </w:pPr>
      <w:r>
        <w:rPr>
          <w:rFonts w:ascii="Arial" w:cs="Arial" w:eastAsia="Arial" w:hAnsi="Arial"/>
          <w:sz w:val="17"/>
          <w:szCs w:val="17"/>
          <w:color w:val="auto"/>
        </w:rPr>
        <w:t>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including those with an ongoing service requirement. The year ended December 31, 2024 also includes $(13) million one-time gain related to acquisition of equity investment.</w:t>
      </w:r>
    </w:p>
    <w:p>
      <w:pPr>
        <w:spacing w:after="0" w:line="1" w:lineRule="exact"/>
        <w:rPr>
          <w:rFonts w:ascii="Arial" w:cs="Arial" w:eastAsia="Arial" w:hAnsi="Arial"/>
          <w:sz w:val="11"/>
          <w:szCs w:val="11"/>
          <w:color w:val="auto"/>
        </w:rPr>
      </w:pPr>
    </w:p>
    <w:p>
      <w:pPr>
        <w:jc w:val="both"/>
        <w:ind w:left="360" w:hanging="360"/>
        <w:spacing w:after="0" w:line="247" w:lineRule="auto"/>
        <w:tabs>
          <w:tab w:leader="none" w:pos="360" w:val="left"/>
        </w:tabs>
        <w:numPr>
          <w:ilvl w:val="0"/>
          <w:numId w:val="21"/>
        </w:numPr>
        <w:rPr>
          <w:rFonts w:ascii="Arial" w:cs="Arial" w:eastAsia="Arial" w:hAnsi="Arial"/>
          <w:sz w:val="12"/>
          <w:szCs w:val="12"/>
          <w:color w:val="auto"/>
        </w:rPr>
      </w:pPr>
      <w:r>
        <w:rPr>
          <w:rFonts w:ascii="Arial" w:cs="Arial" w:eastAsia="Arial" w:hAnsi="Arial"/>
          <w:sz w:val="18"/>
          <w:szCs w:val="18"/>
          <w:color w:val="auto"/>
        </w:rPr>
        <w:t>For the years ended December 31, 2025 and 2024, respectively, includes $87 million and $(6) million of realized and unrealized foreign exchange and investment losses (gains); $64 million and $56 million of loss on debt extinguishment and other refinancing costs and fees; $31 million and $38 million credit loss expense related to certain customer receivables; and $20 million and $23 million of other project costs.</w:t>
      </w:r>
    </w:p>
    <w:p>
      <w:pPr>
        <w:spacing w:after="0" w:line="3" w:lineRule="exact"/>
        <w:rPr>
          <w:rFonts w:ascii="Arial" w:cs="Arial" w:eastAsia="Arial" w:hAnsi="Arial"/>
          <w:sz w:val="12"/>
          <w:szCs w:val="12"/>
          <w:color w:val="auto"/>
        </w:rPr>
      </w:pPr>
    </w:p>
    <w:p>
      <w:pPr>
        <w:ind w:left="360" w:hanging="360"/>
        <w:spacing w:after="0" w:line="278" w:lineRule="auto"/>
        <w:tabs>
          <w:tab w:leader="none" w:pos="360" w:val="left"/>
        </w:tabs>
        <w:numPr>
          <w:ilvl w:val="0"/>
          <w:numId w:val="21"/>
        </w:numPr>
        <w:rPr>
          <w:rFonts w:ascii="Arial" w:cs="Arial" w:eastAsia="Arial" w:hAnsi="Arial"/>
          <w:sz w:val="12"/>
          <w:szCs w:val="12"/>
          <w:color w:val="auto"/>
        </w:rPr>
      </w:pPr>
      <w:r>
        <w:rPr>
          <w:rFonts w:ascii="Arial" w:cs="Arial" w:eastAsia="Arial" w:hAnsi="Arial"/>
          <w:sz w:val="18"/>
          <w:szCs w:val="18"/>
          <w:color w:val="auto"/>
        </w:rPr>
        <w:t>Net income margin represents net income divided by net sales and Adjusted EBITDA Margin represents Adjusted EBITDA divided by net sales.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69</w:t>
      </w:r>
    </w:p>
    <w:p>
      <w:pPr>
        <w:sectPr>
          <w:pgSz w:w="11880" w:h="15480" w:orient="portrait"/>
          <w:cols w:equalWidth="0" w:num="1">
            <w:col w:w="9800"/>
          </w:cols>
          <w:pgMar w:left="1040" w:top="523" w:right="1040" w:bottom="8"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primary sources of liquidity are our cash and cash equivalents, our cash flows from operations, and our revolving credit facility. As of December 31, 2025, we had cash and cash equivalents of $1,939 million and available liquidity under our Revolving Credit Facility of $947 million.</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Our primary uses of cash include product purchases, operating costs, personnel-related costs, capital expenditures related to property and equipment, acquisitions, payments of interest under our indebtedness, and distributions to partners. In the fourth quarter of 2025, we completed our IPO and used the proceeds (net of underwriting discounts and commissions) from the issuance of 179,000,000 shares ($5,078 million) in the IPO to purchase an equivalent number of newly issued Common Units from Medline Holdings, which Medline Holdings has in turn used $731 million (including interest of $1 million) of which to repay in full all outstanding Euro Term Loans and $3,292 million (including interest of $11 million) of which to repay a portion of the outstanding Dollar Term Loans. We will use the remaining net proceeds for general corporate purposes and to bear all of the expenses of the IPO. We have used the proceeds (net of underwriting discounts and commissions) from the issuance of 37,034,482 shares ($1,051 million) and the issuance of 32,405,172 shares ($919 million) pursuant to the exercise in full by the underwriters of their option to purchase additional shares in the IPO to purchase or redeem an equivalent aggregate number of shares of Class A Common Stock and Common Units from certain of our pre-IPO owners.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net capital expenditures were $447 million and $354 million for the years ended December 31, 2025 and 2024, respectively. These include the continued enhancements and automation in our distribution centers and investments in our manufacturing facilities in Mexico and other regions. We anticipate the net capital expenditures for the fiscal year 2026 to be approximately $500 million, primarily related to the expansion of manufacturing facilities and distribution centers and further investment in automation.</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After completion of the IPO, Medline Inc. became our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Part I, “Item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70</w:t>
      </w:r>
    </w:p>
    <w:p>
      <w:pPr>
        <w:sectPr>
          <w:pgSz w:w="11880" w:h="15480" w:orient="portrait"/>
          <w:cols w:equalWidth="0" w:num="1">
            <w:col w:w="9800"/>
          </w:cols>
          <w:pgMar w:left="1040" w:top="523" w:right="1040" w:bottom="8" w:gutter="0" w:footer="0" w:header="0"/>
          <w:type w:val="continuous"/>
        </w:sectPr>
      </w:pPr>
    </w:p>
    <w:bookmarkStart w:id="71" w:name="page72"/>
    <w:bookmarkEnd w:id="71"/>
    <w:p>
      <w:pPr>
        <w:jc w:val="both"/>
        <w:spacing w:after="0" w:line="281" w:lineRule="auto"/>
        <w:rPr>
          <w:sz w:val="20"/>
          <w:szCs w:val="20"/>
          <w:color w:val="auto"/>
        </w:rPr>
      </w:pPr>
      <w:r>
        <w:rPr>
          <w:rFonts w:ascii="Arial" w:cs="Arial" w:eastAsia="Arial" w:hAnsi="Arial"/>
          <w:sz w:val="18"/>
          <w:szCs w:val="18"/>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sets forth the major components of our Consolidated Statements of Cash Flows for the periods presented:</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Year ended</w:t>
            </w:r>
          </w:p>
        </w:tc>
        <w:tc>
          <w:tcPr>
            <w:tcW w:w="860" w:type="dxa"/>
            <w:vAlign w:val="bottom"/>
            <w:tcBorders>
              <w:bottom w:val="single" w:sz="8" w:color="auto"/>
            </w:tcBorders>
          </w:tcPr>
          <w:p>
            <w:pPr>
              <w:spacing w:after="0"/>
              <w:rPr>
                <w:sz w:val="20"/>
                <w:szCs w:val="20"/>
                <w:color w:val="auto"/>
              </w:rPr>
            </w:pPr>
          </w:p>
        </w:tc>
      </w:tr>
      <w:tr>
        <w:trPr>
          <w:trHeight w:val="232"/>
        </w:trPr>
        <w:tc>
          <w:tcPr>
            <w:tcW w:w="626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2024</w:t>
            </w:r>
          </w:p>
        </w:tc>
      </w:tr>
      <w:tr>
        <w:trPr>
          <w:trHeight w:val="235"/>
        </w:trPr>
        <w:tc>
          <w:tcPr>
            <w:tcW w:w="62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9"/>
        </w:trPr>
        <w:tc>
          <w:tcPr>
            <w:tcW w:w="6260" w:type="dxa"/>
            <w:vAlign w:val="bottom"/>
            <w:shd w:val="clear" w:color="auto" w:fill="E6E6E6"/>
          </w:tcPr>
          <w:p>
            <w:pPr>
              <w:ind w:left="60"/>
              <w:spacing w:after="0"/>
              <w:rPr>
                <w:sz w:val="20"/>
                <w:szCs w:val="20"/>
                <w:color w:val="auto"/>
              </w:rPr>
            </w:pPr>
            <w:r>
              <w:rPr>
                <w:rFonts w:ascii="Arial" w:cs="Arial" w:eastAsia="Arial" w:hAnsi="Arial"/>
                <w:sz w:val="18"/>
                <w:szCs w:val="18"/>
                <w:color w:val="auto"/>
              </w:rPr>
              <w:t>Net cash and cash equivalents and restricted cash provided by (used in):</w:t>
            </w:r>
          </w:p>
        </w:tc>
        <w:tc>
          <w:tcPr>
            <w:tcW w:w="60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r>
      <w:tr>
        <w:trPr>
          <w:trHeight w:val="246"/>
        </w:trPr>
        <w:tc>
          <w:tcPr>
            <w:tcW w:w="6260" w:type="dxa"/>
            <w:vAlign w:val="bottom"/>
          </w:tcPr>
          <w:p>
            <w:pPr>
              <w:ind w:left="60"/>
              <w:spacing w:after="0"/>
              <w:rPr>
                <w:sz w:val="20"/>
                <w:szCs w:val="20"/>
                <w:color w:val="auto"/>
              </w:rPr>
            </w:pPr>
            <w:r>
              <w:rPr>
                <w:rFonts w:ascii="Arial" w:cs="Arial" w:eastAsia="Arial" w:hAnsi="Arial"/>
                <w:sz w:val="18"/>
                <w:szCs w:val="18"/>
                <w:color w:val="auto"/>
              </w:rPr>
              <w:t>Operating activities</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59"/>
        </w:trPr>
        <w:tc>
          <w:tcPr>
            <w:tcW w:w="626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Investing activities</w:t>
            </w:r>
          </w:p>
        </w:tc>
        <w:tc>
          <w:tcPr>
            <w:tcW w:w="60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(1,493)</w:t>
            </w:r>
          </w:p>
        </w:tc>
      </w:tr>
      <w:tr>
        <w:trPr>
          <w:trHeight w:val="246"/>
        </w:trPr>
        <w:tc>
          <w:tcPr>
            <w:tcW w:w="6260" w:type="dxa"/>
            <w:vAlign w:val="bottom"/>
          </w:tcPr>
          <w:p>
            <w:pPr>
              <w:ind w:left="60"/>
              <w:spacing w:after="0"/>
              <w:rPr>
                <w:sz w:val="20"/>
                <w:szCs w:val="20"/>
                <w:color w:val="auto"/>
              </w:rPr>
            </w:pPr>
            <w:r>
              <w:rPr>
                <w:rFonts w:ascii="Arial" w:cs="Arial" w:eastAsia="Arial" w:hAnsi="Arial"/>
                <w:sz w:val="18"/>
                <w:szCs w:val="18"/>
                <w:color w:val="auto"/>
              </w:rPr>
              <w:t>Financing activities</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67"/>
        </w:trPr>
        <w:tc>
          <w:tcPr>
            <w:tcW w:w="6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Effect of exchange rate changes</w:t>
            </w:r>
          </w:p>
        </w:tc>
        <w:tc>
          <w:tcPr>
            <w:tcW w:w="60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E6E6E6"/>
            </w:tcBorders>
            <w:shd w:val="clear" w:color="auto" w:fill="E6E6E6"/>
          </w:tcPr>
          <w:p>
            <w:pPr>
              <w:spacing w:after="0"/>
              <w:rPr>
                <w:sz w:val="23"/>
                <w:szCs w:val="23"/>
                <w:color w:val="auto"/>
              </w:rPr>
            </w:pPr>
          </w:p>
        </w:tc>
        <w:tc>
          <w:tcPr>
            <w:tcW w:w="680" w:type="dxa"/>
            <w:vAlign w:val="bottom"/>
            <w:tcBorders>
              <w:bottom w:val="single" w:sz="8" w:color="auto"/>
            </w:tcBorders>
            <w:shd w:val="clear" w:color="auto" w:fill="E6E6E6"/>
          </w:tcPr>
          <w:p>
            <w:pPr>
              <w:spacing w:after="0"/>
              <w:rPr>
                <w:sz w:val="23"/>
                <w:szCs w:val="23"/>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194"/>
        </w:trPr>
        <w:tc>
          <w:tcPr>
            <w:tcW w:w="6260" w:type="dxa"/>
            <w:vAlign w:val="bottom"/>
          </w:tcPr>
          <w:p>
            <w:pPr>
              <w:ind w:left="60"/>
              <w:spacing w:after="0" w:line="195" w:lineRule="exact"/>
              <w:rPr>
                <w:sz w:val="20"/>
                <w:szCs w:val="20"/>
                <w:color w:val="auto"/>
              </w:rPr>
            </w:pPr>
            <w:r>
              <w:rPr>
                <w:rFonts w:ascii="Arial" w:cs="Arial" w:eastAsia="Arial" w:hAnsi="Arial"/>
                <w:sz w:val="18"/>
                <w:szCs w:val="18"/>
                <w:color w:val="auto"/>
              </w:rPr>
              <w:t>Net change in cash and cash equivalents and restricted cash</w:t>
            </w:r>
          </w:p>
        </w:tc>
        <w:tc>
          <w:tcPr>
            <w:tcW w:w="60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1,692</w:t>
            </w:r>
          </w:p>
        </w:tc>
        <w:tc>
          <w:tcPr>
            <w:tcW w:w="60" w:type="dxa"/>
            <w:vAlign w:val="bottom"/>
          </w:tcPr>
          <w:p>
            <w:pPr>
              <w:spacing w:after="0"/>
              <w:rPr>
                <w:sz w:val="16"/>
                <w:szCs w:val="16"/>
                <w:color w:val="auto"/>
              </w:rPr>
            </w:pPr>
          </w:p>
        </w:tc>
        <w:tc>
          <w:tcPr>
            <w:tcW w:w="68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(1,335)</w:t>
            </w:r>
          </w:p>
        </w:tc>
      </w:tr>
      <w:tr>
        <w:trPr>
          <w:trHeight w:val="20"/>
        </w:trPr>
        <w:tc>
          <w:tcPr>
            <w:tcW w:w="6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-1313180</wp:posOffset>
            </wp:positionV>
            <wp:extent cx="104394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1043940" cy="25400"/>
                    </a:xfrm>
                    <a:prstGeom prst="rect">
                      <a:avLst/>
                    </a:prstGeom>
                    <a:noFill/>
                  </pic:spPr>
                </pic:pic>
              </a:graphicData>
            </a:graphic>
          </wp:anchor>
        </w:drawing>
        <w:drawing>
          <wp:anchor simplePos="0" relativeHeight="251657728" behindDoc="1" locked="0" layoutInCell="0" allowOverlap="1">
            <wp:simplePos x="0" y="0"/>
            <wp:positionH relativeFrom="column">
              <wp:posOffset>4084320</wp:posOffset>
            </wp:positionH>
            <wp:positionV relativeFrom="paragraph">
              <wp:posOffset>-191135</wp:posOffset>
            </wp:positionV>
            <wp:extent cx="202438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2024380" cy="254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provided by Operating Activities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Net cash provided by operating activities was $1,744 million and $1,769 million for the years ended December 31, 2025 and 2024, respectively.</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cash provided by operating activities for the year ended December 31, 2025 was primarily driven by net income excluding non-cash items, partially offset by changes in working capital. Changes in working capital resulted in net cash used of $783 million, which is primarily driven by an increase in trade accounts receivable of $355 million, an increase in inventories of $264 million including tariff impacts, and payment of a litigation accrual of $166 million.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For the year ended December 31, 2025, net cash used in investing activities was primarily driven by net capital expenditures of $447 million and payments for asset acquisitions of $33 million.</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For the year ended December 31, 2024, net cash used in investing activities primarily relates to payments for acquisitions of business and assets of $1,136 million and net capital expenditures of $354 million.</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71</w:t>
      </w:r>
    </w:p>
    <w:p>
      <w:pPr>
        <w:sectPr>
          <w:pgSz w:w="11880" w:h="15480" w:orient="portrait"/>
          <w:cols w:equalWidth="0" w:num="1">
            <w:col w:w="9800"/>
          </w:cols>
          <w:pgMar w:left="1040" w:top="530" w:right="1040" w:bottom="8"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i w:val="1"/>
          <w:iCs w:val="1"/>
          <w:color w:val="auto"/>
        </w:rPr>
        <w:t>Cash Flows used in Financing Activities</w:t>
      </w:r>
    </w:p>
    <w:p>
      <w:pPr>
        <w:spacing w:after="0" w:line="25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For the year ended December 31, 2025, net cash provided by financing activities was primarily driven by net proceeds from the issuance of Class A common stock sold in our IPO of $7,048 million, offset by $4,092 million net repayment of long-term borrowings, $1,970 million used to purchase or redeem an equivalent aggregate number of shares of Class A common stock and Common Units from certain pre-IPO owners, and distributions to pre-IPO partners of $518 million.</w:t>
      </w:r>
    </w:p>
    <w:p>
      <w:pPr>
        <w:spacing w:after="0" w:line="17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For the year ended December 31, 2024, net cash used in financing activities primarily relates to a $1,210 million payment of additional tax distributions to certain partners to catch up on a pro-rata basis tax distribution previously paid to pre-IPO partners, distributions to pre-IPO partners of $308 million, and $63 million net repayment of long-term borrowings.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Indebtedness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long-term borrowings and the effective interest rates, are summarized as follows:</w:t>
      </w:r>
    </w:p>
    <w:p>
      <w:pPr>
        <w:spacing w:after="0" w:line="200" w:lineRule="exact"/>
        <w:rPr>
          <w:sz w:val="20"/>
          <w:szCs w:val="20"/>
          <w:color w:val="auto"/>
        </w:rPr>
      </w:pP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8"/>
                <w:szCs w:val="18"/>
                <w:color w:val="auto"/>
              </w:rPr>
              <w:t>December 31, 2025</w:t>
            </w:r>
          </w:p>
        </w:tc>
      </w:tr>
      <w:tr>
        <w:trPr>
          <w:trHeight w:val="203"/>
        </w:trPr>
        <w:tc>
          <w:tcPr>
            <w:tcW w:w="4060" w:type="dxa"/>
            <w:vAlign w:val="bottom"/>
          </w:tcPr>
          <w:p>
            <w:pPr>
              <w:spacing w:after="0"/>
              <w:rPr>
                <w:sz w:val="17"/>
                <w:szCs w:val="17"/>
                <w:color w:val="auto"/>
              </w:rPr>
            </w:pPr>
          </w:p>
        </w:tc>
        <w:tc>
          <w:tcPr>
            <w:tcW w:w="1540" w:type="dxa"/>
            <w:vAlign w:val="bottom"/>
            <w:gridSpan w:val="2"/>
          </w:tcPr>
          <w:p>
            <w:pPr>
              <w:jc w:val="center"/>
              <w:ind w:right="40"/>
              <w:spacing w:after="0" w:line="203" w:lineRule="exact"/>
              <w:rPr>
                <w:sz w:val="20"/>
                <w:szCs w:val="20"/>
                <w:color w:val="auto"/>
              </w:rPr>
            </w:pPr>
            <w:r>
              <w:rPr>
                <w:rFonts w:ascii="Arial" w:cs="Arial" w:eastAsia="Arial" w:hAnsi="Arial"/>
                <w:sz w:val="18"/>
                <w:szCs w:val="18"/>
                <w:color w:val="auto"/>
                <w:w w:val="91"/>
              </w:rPr>
              <w:t>Maturity dates by</w:t>
            </w:r>
          </w:p>
        </w:tc>
        <w:tc>
          <w:tcPr>
            <w:tcW w:w="240" w:type="dxa"/>
            <w:vAlign w:val="bottom"/>
          </w:tcPr>
          <w:p>
            <w:pPr>
              <w:spacing w:after="0"/>
              <w:rPr>
                <w:sz w:val="17"/>
                <w:szCs w:val="17"/>
                <w:color w:val="auto"/>
              </w:rPr>
            </w:pPr>
          </w:p>
        </w:tc>
        <w:tc>
          <w:tcPr>
            <w:tcW w:w="1240" w:type="dxa"/>
            <w:vAlign w:val="bottom"/>
          </w:tcPr>
          <w:p>
            <w:pPr>
              <w:jc w:val="right"/>
              <w:ind w:right="351"/>
              <w:spacing w:after="0" w:line="203" w:lineRule="exact"/>
              <w:rPr>
                <w:sz w:val="20"/>
                <w:szCs w:val="20"/>
                <w:color w:val="auto"/>
              </w:rPr>
            </w:pPr>
            <w:r>
              <w:rPr>
                <w:rFonts w:ascii="Arial" w:cs="Arial" w:eastAsia="Arial" w:hAnsi="Arial"/>
                <w:sz w:val="18"/>
                <w:szCs w:val="18"/>
                <w:color w:val="auto"/>
              </w:rPr>
              <w:t>Amount</w:t>
            </w:r>
          </w:p>
        </w:tc>
        <w:tc>
          <w:tcPr>
            <w:tcW w:w="60" w:type="dxa"/>
            <w:vAlign w:val="bottom"/>
          </w:tcPr>
          <w:p>
            <w:pPr>
              <w:spacing w:after="0"/>
              <w:rPr>
                <w:sz w:val="17"/>
                <w:szCs w:val="17"/>
                <w:color w:val="auto"/>
              </w:rPr>
            </w:pPr>
          </w:p>
        </w:tc>
        <w:tc>
          <w:tcPr>
            <w:tcW w:w="1500" w:type="dxa"/>
            <w:vAlign w:val="bottom"/>
          </w:tcPr>
          <w:p>
            <w:pPr>
              <w:jc w:val="right"/>
              <w:ind w:right="31"/>
              <w:spacing w:after="0" w:line="203" w:lineRule="exact"/>
              <w:rPr>
                <w:sz w:val="20"/>
                <w:szCs w:val="20"/>
                <w:color w:val="auto"/>
              </w:rPr>
            </w:pPr>
            <w:r>
              <w:rPr>
                <w:rFonts w:ascii="Arial" w:cs="Arial" w:eastAsia="Arial" w:hAnsi="Arial"/>
                <w:sz w:val="18"/>
                <w:szCs w:val="18"/>
                <w:color w:val="auto"/>
                <w:w w:val="97"/>
              </w:rPr>
              <w:t>Average effective</w:t>
            </w:r>
          </w:p>
        </w:tc>
      </w:tr>
      <w:tr>
        <w:trPr>
          <w:trHeight w:val="238"/>
        </w:trPr>
        <w:tc>
          <w:tcPr>
            <w:tcW w:w="4060" w:type="dxa"/>
            <w:vAlign w:val="bottom"/>
          </w:tcPr>
          <w:p>
            <w:pPr>
              <w:spacing w:after="0"/>
              <w:rPr>
                <w:sz w:val="20"/>
                <w:szCs w:val="20"/>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fiscal year</w:t>
            </w:r>
          </w:p>
        </w:tc>
        <w:tc>
          <w:tcPr>
            <w:tcW w:w="240" w:type="dxa"/>
            <w:vAlign w:val="bottom"/>
          </w:tcPr>
          <w:p>
            <w:pPr>
              <w:spacing w:after="0"/>
              <w:rPr>
                <w:sz w:val="20"/>
                <w:szCs w:val="20"/>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(In millions)</w:t>
            </w:r>
          </w:p>
        </w:tc>
        <w:tc>
          <w:tcPr>
            <w:tcW w:w="60" w:type="dxa"/>
            <w:vAlign w:val="bottom"/>
          </w:tcPr>
          <w:p>
            <w:pPr>
              <w:spacing w:after="0"/>
              <w:rPr>
                <w:sz w:val="20"/>
                <w:szCs w:val="20"/>
                <w:color w:val="auto"/>
              </w:rPr>
            </w:pPr>
          </w:p>
        </w:tc>
        <w:tc>
          <w:tcPr>
            <w:tcW w:w="1500" w:type="dxa"/>
            <w:vAlign w:val="bottom"/>
          </w:tcPr>
          <w:p>
            <w:pPr>
              <w:jc w:val="right"/>
              <w:ind w:right="251"/>
              <w:spacing w:after="0"/>
              <w:rPr>
                <w:sz w:val="20"/>
                <w:szCs w:val="20"/>
                <w:color w:val="auto"/>
              </w:rPr>
            </w:pPr>
            <w:r>
              <w:rPr>
                <w:rFonts w:ascii="Arial" w:cs="Arial" w:eastAsia="Arial" w:hAnsi="Arial"/>
                <w:sz w:val="18"/>
                <w:szCs w:val="18"/>
                <w:color w:val="auto"/>
              </w:rPr>
              <w:t>interest rate</w:t>
            </w:r>
          </w:p>
        </w:tc>
      </w:tr>
      <w:tr>
        <w:trPr>
          <w:trHeight w:val="235"/>
        </w:trPr>
        <w:tc>
          <w:tcPr>
            <w:tcW w:w="4060" w:type="dxa"/>
            <w:vAlign w:val="bottom"/>
          </w:tcPr>
          <w:p>
            <w:pPr>
              <w:ind w:left="60"/>
              <w:spacing w:after="0"/>
              <w:rPr>
                <w:sz w:val="20"/>
                <w:szCs w:val="20"/>
                <w:color w:val="auto"/>
              </w:rPr>
            </w:pPr>
            <w:r>
              <w:rPr>
                <w:rFonts w:ascii="Arial" w:cs="Arial" w:eastAsia="Arial" w:hAnsi="Arial"/>
                <w:sz w:val="18"/>
                <w:szCs w:val="18"/>
                <w:b w:val="1"/>
                <w:bCs w:val="1"/>
                <w:color w:val="auto"/>
              </w:rPr>
              <w:t>Long-term borrowings</w:t>
            </w:r>
          </w:p>
        </w:tc>
        <w:tc>
          <w:tcPr>
            <w:tcW w:w="14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60"/>
        </w:trPr>
        <w:tc>
          <w:tcPr>
            <w:tcW w:w="4060" w:type="dxa"/>
            <w:vAlign w:val="bottom"/>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Unsecured debt</w:t>
            </w:r>
          </w:p>
        </w:tc>
        <w:tc>
          <w:tcPr>
            <w:tcW w:w="14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2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500" w:type="dxa"/>
            <w:vAlign w:val="bottom"/>
            <w:shd w:val="clear" w:color="auto" w:fill="E6E6E6"/>
          </w:tcPr>
          <w:p>
            <w:pPr>
              <w:spacing w:after="0"/>
              <w:rPr>
                <w:sz w:val="22"/>
                <w:szCs w:val="22"/>
                <w:color w:val="auto"/>
              </w:rPr>
            </w:pPr>
          </w:p>
        </w:tc>
      </w:tr>
      <w:tr>
        <w:trPr>
          <w:trHeight w:val="242"/>
        </w:trPr>
        <w:tc>
          <w:tcPr>
            <w:tcW w:w="4060" w:type="dxa"/>
            <w:vAlign w:val="bottom"/>
            <w:tcBorders>
              <w:bottom w:val="single" w:sz="8" w:color="E6E6E6"/>
            </w:tcBorders>
          </w:tcPr>
          <w:p>
            <w:pPr>
              <w:ind w:left="300"/>
              <w:spacing w:after="0"/>
              <w:rPr>
                <w:sz w:val="20"/>
                <w:szCs w:val="20"/>
                <w:color w:val="auto"/>
              </w:rPr>
            </w:pPr>
            <w:r>
              <w:rPr>
                <w:rFonts w:ascii="Arial" w:cs="Arial" w:eastAsia="Arial" w:hAnsi="Arial"/>
                <w:sz w:val="18"/>
                <w:szCs w:val="18"/>
                <w:color w:val="auto"/>
              </w:rPr>
              <w:t>Fixed</w:t>
            </w:r>
          </w:p>
        </w:tc>
        <w:tc>
          <w:tcPr>
            <w:tcW w:w="14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2029</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56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5.61 %</w:t>
            </w:r>
          </w:p>
        </w:tc>
      </w:tr>
      <w:tr>
        <w:trPr>
          <w:trHeight w:val="242"/>
        </w:trPr>
        <w:tc>
          <w:tcPr>
            <w:tcW w:w="4060" w:type="dxa"/>
            <w:vAlign w:val="bottom"/>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Total unsecured debt</w:t>
            </w:r>
          </w:p>
        </w:tc>
        <w:tc>
          <w:tcPr>
            <w:tcW w:w="14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E6E6E6"/>
          </w:tcPr>
          <w:p>
            <w:pPr>
              <w:spacing w:after="0"/>
              <w:rPr>
                <w:sz w:val="21"/>
                <w:szCs w:val="21"/>
                <w:color w:val="auto"/>
              </w:rPr>
            </w:pPr>
          </w:p>
        </w:tc>
        <w:tc>
          <w:tcPr>
            <w:tcW w:w="1500" w:type="dxa"/>
            <w:vAlign w:val="bottom"/>
            <w:shd w:val="clear" w:color="auto" w:fill="E6E6E6"/>
          </w:tcPr>
          <w:p>
            <w:pPr>
              <w:spacing w:after="0"/>
              <w:rPr>
                <w:sz w:val="21"/>
                <w:szCs w:val="21"/>
                <w:color w:val="auto"/>
              </w:rPr>
            </w:pPr>
          </w:p>
        </w:tc>
      </w:tr>
      <w:tr>
        <w:trPr>
          <w:trHeight w:val="246"/>
        </w:trPr>
        <w:tc>
          <w:tcPr>
            <w:tcW w:w="40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Secured debt</w:t>
            </w: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9"/>
        </w:trPr>
        <w:tc>
          <w:tcPr>
            <w:tcW w:w="40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Fixed</w:t>
            </w:r>
          </w:p>
        </w:tc>
        <w:tc>
          <w:tcPr>
            <w:tcW w:w="1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2029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6,000</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4.79 %</w:t>
            </w:r>
          </w:p>
        </w:tc>
      </w:tr>
      <w:tr>
        <w:trPr>
          <w:trHeight w:val="242"/>
        </w:trPr>
        <w:tc>
          <w:tcPr>
            <w:tcW w:w="4060" w:type="dxa"/>
            <w:vAlign w:val="bottom"/>
            <w:tcBorders>
              <w:bottom w:val="single" w:sz="8" w:color="E6E6E6"/>
            </w:tcBorders>
          </w:tcPr>
          <w:p>
            <w:pPr>
              <w:ind w:left="300"/>
              <w:spacing w:after="0"/>
              <w:rPr>
                <w:sz w:val="20"/>
                <w:szCs w:val="20"/>
                <w:color w:val="auto"/>
              </w:rPr>
            </w:pPr>
            <w:r>
              <w:rPr>
                <w:rFonts w:ascii="Arial" w:cs="Arial" w:eastAsia="Arial" w:hAnsi="Arial"/>
                <w:sz w:val="18"/>
                <w:szCs w:val="18"/>
                <w:color w:val="auto"/>
              </w:rPr>
              <w:t>Variable</w:t>
            </w:r>
          </w:p>
        </w:tc>
        <w:tc>
          <w:tcPr>
            <w:tcW w:w="14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2026 - 2030</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56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7.10 %</w:t>
            </w:r>
          </w:p>
        </w:tc>
      </w:tr>
      <w:tr>
        <w:trPr>
          <w:trHeight w:val="292"/>
        </w:trPr>
        <w:tc>
          <w:tcPr>
            <w:tcW w:w="4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Total secured debt</w:t>
            </w:r>
          </w:p>
        </w:tc>
        <w:tc>
          <w:tcPr>
            <w:tcW w:w="14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10,255</w:t>
            </w:r>
          </w:p>
        </w:tc>
        <w:tc>
          <w:tcPr>
            <w:tcW w:w="60" w:type="dxa"/>
            <w:vAlign w:val="bottom"/>
            <w:tcBorders>
              <w:bottom w:val="single" w:sz="8" w:color="E6E6E6"/>
            </w:tcBorders>
            <w:shd w:val="clear" w:color="auto" w:fill="E6E6E6"/>
          </w:tcPr>
          <w:p>
            <w:pPr>
              <w:spacing w:after="0"/>
              <w:rPr>
                <w:sz w:val="24"/>
                <w:szCs w:val="24"/>
                <w:color w:val="auto"/>
              </w:rPr>
            </w:pPr>
          </w:p>
        </w:tc>
        <w:tc>
          <w:tcPr>
            <w:tcW w:w="1500" w:type="dxa"/>
            <w:vAlign w:val="bottom"/>
            <w:tcBorders>
              <w:bottom w:val="single" w:sz="8" w:color="E6E6E6"/>
            </w:tcBorders>
            <w:shd w:val="clear" w:color="auto" w:fill="E6E6E6"/>
          </w:tcPr>
          <w:p>
            <w:pPr>
              <w:spacing w:after="0"/>
              <w:rPr>
                <w:sz w:val="24"/>
                <w:szCs w:val="24"/>
                <w:color w:val="auto"/>
              </w:rPr>
            </w:pPr>
          </w:p>
        </w:tc>
      </w:tr>
      <w:tr>
        <w:trPr>
          <w:trHeight w:val="295"/>
        </w:trPr>
        <w:tc>
          <w:tcPr>
            <w:tcW w:w="4060" w:type="dxa"/>
            <w:vAlign w:val="bottom"/>
          </w:tcPr>
          <w:p>
            <w:pPr>
              <w:ind w:left="60"/>
              <w:spacing w:after="0"/>
              <w:rPr>
                <w:sz w:val="20"/>
                <w:szCs w:val="20"/>
                <w:color w:val="auto"/>
              </w:rPr>
            </w:pPr>
            <w:r>
              <w:rPr>
                <w:rFonts w:ascii="Arial" w:cs="Arial" w:eastAsia="Arial" w:hAnsi="Arial"/>
                <w:sz w:val="18"/>
                <w:szCs w:val="18"/>
                <w:color w:val="auto"/>
              </w:rPr>
              <w:t>Total debt</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12,755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9"/>
        </w:trPr>
        <w:tc>
          <w:tcPr>
            <w:tcW w:w="40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Less: amounts due within one year</w:t>
            </w:r>
          </w:p>
        </w:tc>
        <w:tc>
          <w:tcPr>
            <w:tcW w:w="14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r>
      <w:tr>
        <w:trPr>
          <w:trHeight w:val="302"/>
        </w:trPr>
        <w:tc>
          <w:tcPr>
            <w:tcW w:w="4060" w:type="dxa"/>
            <w:vAlign w:val="bottom"/>
            <w:tcBorders>
              <w:bottom w:val="single" w:sz="8" w:color="E6E6E6"/>
            </w:tcBorders>
          </w:tcPr>
          <w:p>
            <w:pPr>
              <w:ind w:left="300"/>
              <w:spacing w:after="0"/>
              <w:rPr>
                <w:sz w:val="20"/>
                <w:szCs w:val="20"/>
                <w:color w:val="auto"/>
              </w:rPr>
            </w:pPr>
            <w:r>
              <w:rPr>
                <w:rFonts w:ascii="Arial" w:cs="Arial" w:eastAsia="Arial" w:hAnsi="Arial"/>
                <w:sz w:val="18"/>
                <w:szCs w:val="18"/>
                <w:color w:val="auto"/>
              </w:rPr>
              <w:t>Total other</w:t>
            </w:r>
            <w:r>
              <w:rPr>
                <w:rFonts w:ascii="Arial" w:cs="Arial" w:eastAsia="Arial" w:hAnsi="Arial"/>
                <w:sz w:val="11"/>
                <w:szCs w:val="11"/>
                <w:color w:val="auto"/>
              </w:rPr>
              <w:t>(1)</w:t>
            </w:r>
          </w:p>
        </w:tc>
        <w:tc>
          <w:tcPr>
            <w:tcW w:w="14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E6E6E6"/>
            </w:tcBorders>
          </w:tcPr>
          <w:p>
            <w:pPr>
              <w:spacing w:after="0"/>
              <w:rPr>
                <w:sz w:val="24"/>
                <w:szCs w:val="24"/>
                <w:color w:val="auto"/>
              </w:rPr>
            </w:pPr>
          </w:p>
        </w:tc>
        <w:tc>
          <w:tcPr>
            <w:tcW w:w="1500" w:type="dxa"/>
            <w:vAlign w:val="bottom"/>
            <w:tcBorders>
              <w:bottom w:val="single" w:sz="8" w:color="E6E6E6"/>
            </w:tcBorders>
          </w:tcPr>
          <w:p>
            <w:pPr>
              <w:spacing w:after="0"/>
              <w:rPr>
                <w:sz w:val="24"/>
                <w:szCs w:val="24"/>
                <w:color w:val="auto"/>
              </w:rPr>
            </w:pPr>
          </w:p>
        </w:tc>
      </w:tr>
      <w:tr>
        <w:trPr>
          <w:trHeight w:val="312"/>
        </w:trPr>
        <w:tc>
          <w:tcPr>
            <w:tcW w:w="4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 Long-term borrowings</w:t>
            </w:r>
          </w:p>
        </w:tc>
        <w:tc>
          <w:tcPr>
            <w:tcW w:w="14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12,484</w:t>
            </w:r>
          </w:p>
        </w:tc>
        <w:tc>
          <w:tcPr>
            <w:tcW w:w="60" w:type="dxa"/>
            <w:vAlign w:val="bottom"/>
            <w:tcBorders>
              <w:bottom w:val="single" w:sz="8" w:color="E6E6E6"/>
            </w:tcBorders>
            <w:shd w:val="clear" w:color="auto" w:fill="E6E6E6"/>
          </w:tcPr>
          <w:p>
            <w:pPr>
              <w:spacing w:after="0"/>
              <w:rPr>
                <w:sz w:val="24"/>
                <w:szCs w:val="24"/>
                <w:color w:val="auto"/>
              </w:rPr>
            </w:pPr>
          </w:p>
        </w:tc>
        <w:tc>
          <w:tcPr>
            <w:tcW w:w="150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-1662430</wp:posOffset>
            </wp:positionV>
            <wp:extent cx="96837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-1021080</wp:posOffset>
            </wp:positionV>
            <wp:extent cx="96837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-822960</wp:posOffset>
            </wp:positionV>
            <wp:extent cx="96837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-229235</wp:posOffset>
            </wp:positionV>
            <wp:extent cx="96837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-43815</wp:posOffset>
            </wp:positionV>
            <wp:extent cx="96837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968375" cy="50800"/>
                    </a:xfrm>
                    <a:prstGeom prst="rect">
                      <a:avLst/>
                    </a:prstGeom>
                    <a:noFill/>
                  </pic:spPr>
                </pic:pic>
              </a:graphicData>
            </a:graphic>
          </wp:anchor>
        </w:drawing>
      </w:r>
    </w:p>
    <w:p>
      <w:pPr>
        <w:ind w:left="720" w:hanging="186"/>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8"/>
          <w:szCs w:val="18"/>
          <w:color w:val="auto"/>
        </w:rPr>
        <w:t>Includes $41 million of embedded derivative related to the Dollar Term Loans and deferred financing costs.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and Unsecured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2021, we issued senior secured notes with a principal amount of $4,500 million, at a fixed rate of 3.875% and maturity date of April 1, 2029 and senior unsecured notes with a principal amount of $2,500 million at a fixed rate of 5.250% with a maturity date of October 1, 2029.</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2024, we issued senior secured notes with a principal amount of $1,500 million at a fixed rate of 6.250% and a maturity date of April 1, 2029.</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Interest on all aforementioned secured and unsecured notes (collectively, the “Senior Notes”) is payable in cash on a semi-annual basis, with payments made in arrears on April 1 and October 1 of each calendar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Facilities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During 2021, we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us, at any time, subject to customary conditions, to request incremental term loans or incremental revolving credit commitments in an aggregate principal amount of up to (a) the greater of (1) $2,375 million and (2) an amount equal to 100% of our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72</w:t>
      </w:r>
    </w:p>
    <w:p>
      <w:pPr>
        <w:sectPr>
          <w:pgSz w:w="11880" w:h="15480" w:orient="portrait"/>
          <w:cols w:equalWidth="0" w:num="1">
            <w:col w:w="9800"/>
          </w:cols>
          <w:pgMar w:left="1040" w:top="521" w:right="1040" w:bottom="8" w:gutter="0" w:footer="0" w:header="0"/>
          <w:type w:val="continuous"/>
        </w:sectPr>
      </w:pPr>
    </w:p>
    <w:bookmarkStart w:id="73" w:name="page74"/>
    <w:bookmarkEnd w:id="73"/>
    <w:p>
      <w:pPr>
        <w:jc w:val="both"/>
        <w:spacing w:after="0" w:line="287" w:lineRule="auto"/>
        <w:rPr>
          <w:sz w:val="20"/>
          <w:szCs w:val="20"/>
          <w:color w:val="auto"/>
        </w:rPr>
      </w:pPr>
      <w:r>
        <w:rPr>
          <w:rFonts w:ascii="Arial" w:cs="Arial" w:eastAsia="Arial" w:hAnsi="Arial"/>
          <w:sz w:val="18"/>
          <w:szCs w:val="18"/>
          <w:color w:val="auto"/>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our debt ratios for the Euro Term Loans.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July 31, 2025, the Credit Agreement was amended to reduce the margin spread and to extend the maturity of certain obligations. Upon the amendment, all of the Dollar Term Loans are subject to a margin spread of SOFR plus 2.00%. The principal amount of the outstanding Dollar Term Loans equal to $4,074 million will mature on October 21, 2028, which remained unchanged, while an aggregate principal amount of the outstanding Dollar Term Loans equal to $3,500 million will mature on October 23, 2030, extended from the original maturity date.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December 18, 2025, we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connection with Credit Agreement amendments and the debt prepayments, the Company paid debt modification expenses of $6 and $24 for the years ended December 31, 2025 and 2024, respectively. The Company also incurred debt extinguishment losses of $58 and $32 for writing off unamortized issuing discounts and deferred financing costs associated with the debts repaid, for the years ended December 31, 2025 and 2024, respectively. These costs were included in Other (expense) income, net on the Consolidated Statements of Comprehensive Income.</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Dollar Term Loans require quarterly amortization payments of 0.25% of the amended principal due at each calendar quarter-end. These amortization payments were $76 million and $50 million for the years ended December 31, 2025 and 2024, respectively. The Euro Term Loans did not have any mandatory amortization payments.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Facilities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2021, certain lenders have provided us with commitments under a $1,000 million senior secured revolving credit facility under the Credit Agreement (the “Revolving Credit Facility,” together with the Dollar Term Loans, the “Senior Secured Credit Facilities”).</w:t>
      </w:r>
    </w:p>
    <w:p>
      <w:pPr>
        <w:spacing w:after="0" w:line="194"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March 28, 2025, we amended the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As of December 31, 2025 and 2024,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December 31, 2025 and 2024, availability under the Revolving Credit Facility was $947 million and $951 million, respectively, after taking into account outstanding letters of credit of $53 million and $49 million, respectively. We borrowed and repaid $179 million and $166 million under the Revolving Credit Facility during the years ended December 31, 2025 and 2024, respectively, which resulted in no amounts outstanding as of December 31, 2025 or 2024.</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Borrowings under the Revolving Credit Facility may be repaid and borrowed again, partially or wholly at any time, from time to time, as elected by us and interest is typically paid on a monthly or quarterly basis, depending on the interest period elected.</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73</w:t>
      </w:r>
    </w:p>
    <w:p>
      <w:pPr>
        <w:sectPr>
          <w:pgSz w:w="11880" w:h="15480" w:orient="portrait"/>
          <w:cols w:equalWidth="0" w:num="1">
            <w:col w:w="9800"/>
          </w:cols>
          <w:pgMar w:left="1040" w:top="530" w:right="1040" w:bottom="8"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Financial Covenant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springing financial covenant in the Credit Agreement and other ratios related to incurrence-based covenants (measured only upon the taking of certain actions, including the incurrence of additional indebtedness) under the Credit Agreement and the indentures governing our outstanding senior secured and unsecured notes are calculated in part based on financial measures similar to Adjusted EBITDA presented herein, which financial measures are determined at the Medline Borrower, LP (a fully-owned subsidiary of Medline Holdings)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$230 million and $197 million for the years ended December 31, 2025 and 2024, respectively. The springing financial covenant in the Credit Agreement requires compliance with a maximum ratio of consolidated first lien net indebtedness to Consolidated EBITDA (as defined in the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December 31, 2025 as we did not have any outstanding borrowings under the Revolving Credit Facility at such time, our ratio of consolidated first lien net indebtedness to consolidated EBITDA as of the last day of any applicable fiscal quarter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 Hedges of Interest Rate Risk</w:t>
      </w: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us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2025, we held interest rate swaps with a notional value of $1,000 million and interest rate caps with a notional value of $2,000 million, both with a maturity date of December 2026.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Receivable Agreement</w:t>
      </w: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Reorganization, we entered into a tax receivable agreement with certain of our pre-IPO owners that provides for the payment by Medline to such pre-IPO owners of 90% of certain tax benefits, if any, that Medline actually realizes, or is deemed to realize (calculated using certain assumptions), as a result of (i) our allocable share of existing tax basis in Medline Holdings’ assets acquired in the IPO, (ii) increases in our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our utilization of certain tax attributes (including any existing tax basis) of the Blocker Companies, which we acquired in connection with the IPO, and (iv) certain other tax benefits related to entering into the tax receivable agreement, including tax benefits attributable to payments under the tax receivable agreement. Sales or exchanges of Common Units by Unitholders to Medline are expected to result in increases in the tax basis of the assets of Medline Holdings. The existing tax basis, increases in existing tax basis, and the tax basis adjustments generated over time may increase (for tax purposes) depreciation and amortization deductions available to us and, therefore, may reduce the amount of tax that we would otherwise be required to pay in the future. Changes in the estimate of expected tax benefits Medline would realize and the amount payable under the tax receivable agreement as a result of changes in tax rates will be reflected in our Consolidated Statements of Comprehensive Income. As of December 31, 2025, we had recorded a tax receivable agreement liability of $3,542 million.</w:t>
      </w:r>
    </w:p>
    <w:p>
      <w:pPr>
        <w:sectPr>
          <w:pgSz w:w="11880" w:h="15480" w:orient="portrait"/>
          <w:cols w:equalWidth="0" w:num="1">
            <w:col w:w="9800"/>
          </w:cols>
          <w:pgMar w:left="1040" w:top="523"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74</w:t>
      </w:r>
    </w:p>
    <w:p>
      <w:pPr>
        <w:sectPr>
          <w:pgSz w:w="11880" w:h="15480" w:orient="portrait"/>
          <w:cols w:equalWidth="0" w:num="1">
            <w:col w:w="9800"/>
          </w:cols>
          <w:pgMar w:left="1040" w:top="523" w:right="1040" w:bottom="8" w:gutter="0" w:footer="0" w:header="0"/>
          <w:type w:val="continuous"/>
        </w:sectPr>
      </w:pPr>
    </w:p>
    <w:bookmarkStart w:id="75" w:name="page76"/>
    <w:bookmarkEnd w:id="75"/>
    <w:p>
      <w:pPr>
        <w:jc w:val="both"/>
        <w:spacing w:after="0" w:line="281" w:lineRule="auto"/>
        <w:rPr>
          <w:sz w:val="20"/>
          <w:szCs w:val="20"/>
          <w:color w:val="auto"/>
        </w:rPr>
      </w:pPr>
      <w:r>
        <w:rPr>
          <w:rFonts w:ascii="Arial" w:cs="Arial" w:eastAsia="Arial" w:hAnsi="Arial"/>
          <w:sz w:val="18"/>
          <w:szCs w:val="18"/>
          <w:color w:val="auto"/>
        </w:rPr>
        <w:t>We expect that the payments that we make under the tax receivable agreement will be substantial. Assuming: (i) a price of $42.00 per share of our Class A common stock, which was the closing price on December 31, 2025; (ii) a constant corporate tax rate of 25.7%; (iii) we had sufficient taxable income to fully utilize the tax benefits; and (iv) no material changes in tax law, if the Unitholders had exchanged all of the Common Units that they held on December 31, 2025, and assuming all Incentive Units had been converted to Common Units and subsequently exchanged for shares of Class A common stock at a price of $42.00 per share of Class A common stock as of such date, we would, as a result of such hypothetical exchange, have recorded an additional tax receivable agreement liability of approximately $7,458 million, generally payable over a 15-year period. We intend to fund the required payments under the tax receivable agreement from our pro rata share of distributions from Medline Holdings. Our ability to achieve benefits from existing tax basis, tax basis adjustments, or other tax attributes, and the payments to be made under the tax receivable agreement, will depend upon a number of factors, including the timing and amount of our future income.</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See Part I, “Item 1A—Risk Factors—Risks Related to Our Organizational Structure—Our tax receivable agreement confers benefits upon certain of our pre-IPO owners”, “—In certain cases, payments under the tax receivable agreement may significantly exceed the actual benefits Medline Inc. realizes in respect of the tax attributes subject to the tax receivable agreement,” and “—In certain cases, payments under the tax receivable agreement may significantly exceed the actual benefits Medline Inc. realizes in respect of the tax attributes subject to the tax receivable agreement,” Note 11—Tax Receivable Agreement, and Note 19—Related Party to our consolidated financial statements included under Part II, “Item 8—Financial Statements and Supplementary Data” of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approximate principal contractual obligations as of December 31, 2025:</w:t>
      </w:r>
    </w:p>
    <w:p>
      <w:pPr>
        <w:spacing w:after="0" w:line="273"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6"/>
              </w:rPr>
              <w:t>Noncurrent</w:t>
            </w:r>
          </w:p>
        </w:tc>
      </w:tr>
      <w:tr>
        <w:trPr>
          <w:trHeight w:val="302"/>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2"/>
        </w:trPr>
        <w:tc>
          <w:tcPr>
            <w:tcW w:w="3460" w:type="dxa"/>
            <w:vAlign w:val="bottom"/>
            <w:shd w:val="clear" w:color="auto" w:fill="E6E6E6"/>
          </w:tcPr>
          <w:p>
            <w:pPr>
              <w:ind w:left="60"/>
              <w:spacing w:after="0"/>
              <w:rPr>
                <w:sz w:val="20"/>
                <w:szCs w:val="20"/>
                <w:color w:val="auto"/>
              </w:rPr>
            </w:pPr>
            <w:r>
              <w:rPr>
                <w:rFonts w:ascii="Arial" w:cs="Arial" w:eastAsia="Arial" w:hAnsi="Arial"/>
                <w:sz w:val="18"/>
                <w:szCs w:val="18"/>
                <w:color w:val="auto"/>
              </w:rPr>
              <w:t>Long-term borrowings</w:t>
            </w:r>
          </w:p>
        </w:tc>
        <w:tc>
          <w:tcPr>
            <w:tcW w:w="320" w:type="dxa"/>
            <w:vAlign w:val="bottom"/>
            <w:gridSpan w:val="2"/>
            <w:shd w:val="clear" w:color="auto" w:fill="E6E6E6"/>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12,755</w:t>
            </w:r>
          </w:p>
        </w:tc>
        <w:tc>
          <w:tcPr>
            <w:tcW w:w="3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12,679</w:t>
            </w:r>
          </w:p>
        </w:tc>
      </w:tr>
      <w:tr>
        <w:trPr>
          <w:trHeight w:val="245"/>
        </w:trPr>
        <w:tc>
          <w:tcPr>
            <w:tcW w:w="3460" w:type="dxa"/>
            <w:vAlign w:val="bottom"/>
          </w:tcPr>
          <w:p>
            <w:pPr>
              <w:ind w:left="60"/>
              <w:spacing w:after="0"/>
              <w:rPr>
                <w:sz w:val="20"/>
                <w:szCs w:val="20"/>
                <w:color w:val="auto"/>
              </w:rPr>
            </w:pPr>
            <w:r>
              <w:rPr>
                <w:rFonts w:ascii="Arial" w:cs="Arial" w:eastAsia="Arial" w:hAnsi="Arial"/>
                <w:sz w:val="18"/>
                <w:szCs w:val="18"/>
                <w:color w:val="auto"/>
              </w:rPr>
              <w:t xml:space="preserve">Interest on borrowings </w:t>
            </w: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59"/>
        </w:trPr>
        <w:tc>
          <w:tcPr>
            <w:tcW w:w="3460" w:type="dxa"/>
            <w:vAlign w:val="bottom"/>
            <w:shd w:val="clear" w:color="auto" w:fill="E6E6E6"/>
          </w:tcPr>
          <w:p>
            <w:pPr>
              <w:ind w:left="6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1"/>
                <w:szCs w:val="11"/>
                <w:color w:val="auto"/>
              </w:rPr>
              <w:t>(2)</w:t>
            </w:r>
          </w:p>
        </w:tc>
        <w:tc>
          <w:tcPr>
            <w:tcW w:w="2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903</w:t>
            </w: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811</w:t>
            </w:r>
          </w:p>
        </w:tc>
      </w:tr>
      <w:tr>
        <w:trPr>
          <w:trHeight w:val="245"/>
        </w:trPr>
        <w:tc>
          <w:tcPr>
            <w:tcW w:w="3460" w:type="dxa"/>
            <w:vAlign w:val="bottom"/>
          </w:tcPr>
          <w:p>
            <w:pPr>
              <w:ind w:left="60"/>
              <w:spacing w:after="0"/>
              <w:rPr>
                <w:sz w:val="20"/>
                <w:szCs w:val="20"/>
                <w:color w:val="auto"/>
              </w:rPr>
            </w:pPr>
            <w:r>
              <w:rPr>
                <w:rFonts w:ascii="Arial" w:cs="Arial" w:eastAsia="Arial" w:hAnsi="Arial"/>
                <w:sz w:val="18"/>
                <w:szCs w:val="18"/>
                <w:color w:val="auto"/>
              </w:rPr>
              <w:t xml:space="preserve">Unconditional purchase obligations </w:t>
            </w: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67"/>
        </w:trPr>
        <w:tc>
          <w:tcPr>
            <w:tcW w:w="3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Pension obligations</w:t>
            </w:r>
          </w:p>
        </w:tc>
        <w:tc>
          <w:tcPr>
            <w:tcW w:w="2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67</w:t>
            </w:r>
          </w:p>
        </w:tc>
      </w:tr>
      <w:tr>
        <w:trPr>
          <w:trHeight w:val="195"/>
        </w:trPr>
        <w:tc>
          <w:tcPr>
            <w:tcW w:w="34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Pr>
          <w:p>
            <w:pPr>
              <w:spacing w:after="0"/>
              <w:rPr>
                <w:sz w:val="16"/>
                <w:szCs w:val="16"/>
                <w:color w:val="auto"/>
              </w:rPr>
            </w:pPr>
          </w:p>
        </w:tc>
        <w:tc>
          <w:tcPr>
            <w:tcW w:w="300" w:type="dxa"/>
            <w:vAlign w:val="bottom"/>
            <w:tcBorders>
              <w:bottom w:val="single" w:sz="8" w:color="auto"/>
            </w:tcBorders>
          </w:tcPr>
          <w:p>
            <w:pPr>
              <w:jc w:val="right"/>
              <w:ind w:right="91"/>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17,115</w:t>
            </w:r>
          </w:p>
        </w:tc>
        <w:tc>
          <w:tcPr>
            <w:tcW w:w="60" w:type="dxa"/>
            <w:vAlign w:val="bottom"/>
          </w:tcPr>
          <w:p>
            <w:pPr>
              <w:spacing w:after="0"/>
              <w:rPr>
                <w:sz w:val="16"/>
                <w:szCs w:val="16"/>
                <w:color w:val="auto"/>
              </w:rPr>
            </w:pPr>
          </w:p>
        </w:tc>
        <w:tc>
          <w:tcPr>
            <w:tcW w:w="280" w:type="dxa"/>
            <w:vAlign w:val="bottom"/>
            <w:tcBorders>
              <w:bottom w:val="single" w:sz="8" w:color="auto"/>
            </w:tcBorders>
          </w:tcPr>
          <w:p>
            <w:pPr>
              <w:jc w:val="right"/>
              <w:ind w:right="51"/>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988</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16,127</w:t>
            </w: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-191135</wp:posOffset>
            </wp:positionV>
            <wp:extent cx="273177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2731770" cy="25400"/>
                    </a:xfrm>
                    <a:prstGeom prst="rect">
                      <a:avLst/>
                    </a:prstGeom>
                    <a:noFill/>
                  </pic:spPr>
                </pic:pic>
              </a:graphicData>
            </a:graphic>
          </wp:anchor>
        </w:drawing>
      </w:r>
    </w:p>
    <w:p>
      <w:pPr>
        <w:spacing w:after="0" w:line="231" w:lineRule="exact"/>
        <w:rPr>
          <w:sz w:val="20"/>
          <w:szCs w:val="20"/>
          <w:color w:val="auto"/>
        </w:rPr>
      </w:pPr>
    </w:p>
    <w:p>
      <w:pPr>
        <w:jc w:val="both"/>
        <w:ind w:left="360" w:hanging="360"/>
        <w:spacing w:after="0" w:line="295" w:lineRule="auto"/>
        <w:tabs>
          <w:tab w:leader="none" w:pos="360" w:val="left"/>
        </w:tabs>
        <w:numPr>
          <w:ilvl w:val="0"/>
          <w:numId w:val="23"/>
        </w:numPr>
        <w:rPr>
          <w:rFonts w:ascii="Arial" w:cs="Arial" w:eastAsia="Arial" w:hAnsi="Arial"/>
          <w:sz w:val="10"/>
          <w:szCs w:val="10"/>
          <w:color w:val="auto"/>
        </w:rPr>
      </w:pPr>
      <w:r>
        <w:rPr>
          <w:rFonts w:ascii="Arial" w:cs="Arial" w:eastAsia="Arial" w:hAnsi="Arial"/>
          <w:sz w:val="16"/>
          <w:szCs w:val="16"/>
          <w:color w:val="auto"/>
        </w:rPr>
        <w:t>Interest payments on debt obligations are calculated for future periods using interest rates in effect as of December 31, 2025. Certain of these projected interest payments may differ in the future based on changes in reference rate index for variable debt or other factors or events. The projected interest payments only pertain to obligations and agreements outstanding at December 31, 2025. See Note 7—Credit Agreements and Borrowings to our audited consolidated financial statements included under Part II, “Item 8—Financial Statements and Supplementary Data” of this Annual Report for additional information.</w:t>
      </w:r>
    </w:p>
    <w:p>
      <w:pPr>
        <w:spacing w:after="0" w:line="152" w:lineRule="exact"/>
        <w:rPr>
          <w:rFonts w:ascii="Arial" w:cs="Arial" w:eastAsia="Arial" w:hAnsi="Arial"/>
          <w:sz w:val="10"/>
          <w:szCs w:val="10"/>
          <w:color w:val="auto"/>
        </w:rPr>
      </w:pPr>
    </w:p>
    <w:p>
      <w:pPr>
        <w:jc w:val="both"/>
        <w:ind w:left="360" w:hanging="360"/>
        <w:spacing w:after="0" w:line="271" w:lineRule="auto"/>
        <w:tabs>
          <w:tab w:leader="none" w:pos="360" w:val="left"/>
        </w:tabs>
        <w:numPr>
          <w:ilvl w:val="0"/>
          <w:numId w:val="23"/>
        </w:numPr>
        <w:rPr>
          <w:rFonts w:ascii="Arial" w:cs="Arial" w:eastAsia="Arial" w:hAnsi="Arial"/>
          <w:sz w:val="11"/>
          <w:szCs w:val="11"/>
          <w:color w:val="auto"/>
        </w:rPr>
      </w:pPr>
      <w:r>
        <w:rPr>
          <w:rFonts w:ascii="Arial" w:cs="Arial" w:eastAsia="Arial" w:hAnsi="Arial"/>
          <w:sz w:val="17"/>
          <w:szCs w:val="17"/>
          <w:color w:val="auto"/>
        </w:rPr>
        <w:t>We have operating leases for corporate offices, manufacturing and distribution facilities, vehicles, and equipment. Our leases have remaining terms ranging from less than 12 months to approximately 14 years, some of which may include options to extend or terminate the lease when it is reasonably certain and there is a significant economic incentive to exercise that option. As of December 31, 2025, our right-of-use assets related to operating leases were $432 million and our current and non-current operating lease liabilities were $66 million and $386 million, respectively. Also includes our future lease payments for executed operating lease agreements related to office spaces that have not yet commenced.</w:t>
      </w:r>
    </w:p>
    <w:p>
      <w:pPr>
        <w:spacing w:after="0" w:line="172" w:lineRule="exact"/>
        <w:rPr>
          <w:rFonts w:ascii="Arial" w:cs="Arial" w:eastAsia="Arial" w:hAnsi="Arial"/>
          <w:sz w:val="11"/>
          <w:szCs w:val="11"/>
          <w:color w:val="auto"/>
        </w:rPr>
      </w:pPr>
    </w:p>
    <w:p>
      <w:pPr>
        <w:ind w:left="360" w:hanging="360"/>
        <w:spacing w:after="0" w:line="309" w:lineRule="auto"/>
        <w:tabs>
          <w:tab w:leader="none" w:pos="360" w:val="left"/>
        </w:tabs>
        <w:numPr>
          <w:ilvl w:val="0"/>
          <w:numId w:val="23"/>
        </w:numPr>
        <w:rPr>
          <w:rFonts w:ascii="Arial" w:cs="Arial" w:eastAsia="Arial" w:hAnsi="Arial"/>
          <w:sz w:val="11"/>
          <w:szCs w:val="11"/>
          <w:color w:val="auto"/>
        </w:rPr>
      </w:pPr>
      <w:r>
        <w:rPr>
          <w:rFonts w:ascii="Arial" w:cs="Arial" w:eastAsia="Arial" w:hAnsi="Arial"/>
          <w:sz w:val="17"/>
          <w:szCs w:val="17"/>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Additionally, we have the contractual obligations under the tax receivable agreement to make payments to applicable pre-IPO owners of 90% of certain tax benefits, which are not reflected in the table set forth above. For further discussion of the tax receivable agreement, see Part II, “Item 7—Management’s Discussion and Analysis of Financial Condition and Results of Operations—Liquidity and Capital Resources—Tax Receivable Agreement.”</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75</w:t>
      </w:r>
    </w:p>
    <w:p>
      <w:pPr>
        <w:sectPr>
          <w:pgSz w:w="11880" w:h="15480" w:orient="portrait"/>
          <w:cols w:equalWidth="0" w:num="1">
            <w:col w:w="9800"/>
          </w:cols>
          <w:pgMar w:left="1040" w:top="530" w:right="1040" w:bottom="8"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auto"/>
        </w:rPr>
        <w:t>Off Balance Sheet Arrangements</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do not have guarantees or other off-balance sheet financing arrangements, including variable interest entities, of a magnitude that we believe could have a material impact on our financial condition or liquidity. See our audited Consolidated Financial Statements and related notes included under Part II, “Item 8—Financial Statements and Supplementary Data” of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1—Nature of Business and Significant Accounting Policies to our audited consolidated financial statements included under Part II, “Item 8—Financial Statements and Supplementary Data” of this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Allowances for Refunds and Credit Losses</w:t>
      </w: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25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Inventories are stated at the lower of cost or net realizable value. Cost is determined primarily by the LIFO cost method. For certain foreign subsidiaries, cost is determined using the first-in, first-out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76</w:t>
      </w:r>
    </w:p>
    <w:p>
      <w:pPr>
        <w:sectPr>
          <w:pgSz w:w="11880" w:h="15480" w:orient="portrait"/>
          <w:cols w:equalWidth="0" w:num="1">
            <w:col w:w="9800"/>
          </w:cols>
          <w:pgMar w:left="1040" w:top="521" w:right="1040" w:bottom="8"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i w:val="1"/>
          <w:iCs w:val="1"/>
          <w:color w:val="auto"/>
        </w:rPr>
        <w:t>Impairment of Goodwill and Indefinite-Lived Intangible Assets</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make certain estimates and judgments in impairment assessments of goodwill and indefinite-lived intangible assets. For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To perform a quantitative review for goodwill, we first estimate the fair value of our reporting unit. We consider all generally accepted valuation approaches to value a business or an entity, and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To perform a quantitative review for indefinite-lived intangible assets, we utilize the relief-from-royalty method for indefinite-lived trade names. The relief-from-royalty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annual impairment testing performed did not indicate any impairment of goodwill or indefinite-lived intangible assets for the years ended December 31, 2025 and 2024. For further information on the impairment test of goodwill or indefinite-lived intangible assets, see Note 1—Nature of Business and Significant Accounting Policies to our audited consolidated financial statements included under Part II, “Item 8—Financial Statements and Supplementary Data” of this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77</w:t>
      </w:r>
    </w:p>
    <w:p>
      <w:pPr>
        <w:sectPr>
          <w:pgSz w:w="11880" w:h="15480" w:orient="portrait"/>
          <w:cols w:equalWidth="0" w:num="1">
            <w:col w:w="9800"/>
          </w:cols>
          <w:pgMar w:left="1040" w:top="521" w:right="1040" w:bottom="8"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i w:val="1"/>
          <w:iCs w:val="1"/>
          <w:color w:val="auto"/>
        </w:rPr>
        <w:t>Tax Receivable Agreement</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detailed in Note 11—Tax Receivable Agreement to our audited consolidated financial statements included under Part II, “Item 8—Financial Statements and Supplementary Data” of this Annual Report, we are party to a tax receivable agreement which provides for the payment by Medline Inc. to applicable pre-IPO owners of 90% of certain tax benefits, if any, that Medline Inc. actually realizes, or is deemed to realize,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the Blocker Companies, which Medline Inc. acquired in connection with the Reorganization, and (iv) certain other tax benefits related to entering into the tax receivable agreement, including tax benefits attributable to payments under the tax receivable agreement.</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As of December 31, 2025, we have recognized a tax receivable agreement liability of $3,542 million for amounts due under the tax receivable agreement. The liability is determined based on the timing and amount of aggregate payments due under the tax receivable agreement, considering the income tax rates then applicable and the timing and terms of purchases or exchanges of Common Units (including the price of shares of Class A common stock at the time of any such purchase or exchange and the extent to which such transactions result in tax basis adjustments).If we do not generate sufficient taxable income in the aggregate over the term of the tax receivable agreement to utilize the tax benefits, then we are not required to make the related tax receivable agreement payments. Therefore, we would only recognize a liability for tax receivable agreement payments if we determine it is probable that we will generate sufficient future taxable income over the term of the tax receivable agreement to utilize the related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Income Taxes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the Reorganization and IPO, Medline Inc. acquired equity interest in Medline Holdings, the flow-through entity for U.S. federal tax purposes, and recognized a deferred tax liability for the difference between the U.S. GAAP financial reporting basis and the tax basis of our investment in Medline Holdings. In addition, we acquired certain tax attributes, including net operating loss and credit carryforwards, as well as interest expense carryforwards, and have recognized deferred tax assets relating to these amounts. A deferred tax asset was also recognized for the future tax benefits from tax receivable agreement payments.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Deferred tax assets and liabilities are recognized for future tax consequences attributable to differences between the financial statement carrying value of existing assets and liabilities and their respective tax bases. Deferred tax assets and liabilities are measured using enacted tax rates in effect for the year in which those temporary differences are expected to be recovered or settled. The effect of a change in tax rates on deferred tax assets and liabilities is recognized in income in the period in which the enactment date occurs.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are required to evaluate the realizability of our deferred tax assets by assessing the likelihood that our deferred tax assets will be recovered based on all available positive and negative evidence, including scheduled reversals of deferred tax liabilities, estimates of future taxable income, tax planning strategies and results of operations. When we determine that it is more likely than not that all or a portion of a deferred tax asset will not be realized, we record a valuation allowance against our deferred tax assets. Estimating future taxable income is inherently uncertain and requires judgment. As of December 31, 2025, we have recorded an immaterial valuation allowance against our deferred tax assets.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further information on deferred income taxes and provision for income taxes, see Note 12—Income Taxes to our audited consolidated financial statements included under Part II, “Item 8—Financial Statements and Supplementary Data” of this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 and Recently Issued Accounting Standards Not Yet Adopted</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For a discussion of recently adopted accounting standards and recently issued accounting standards not yet adopted, please see Note 1—Nature of Business and Significant Accounting Policies to our audited consolidated financial statements included under Part II, “Item 8—Financial Statements and Supplementary Data” of this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 Quantitative and Qualitative Disclosures About Market Risk</w:t>
      </w:r>
    </w:p>
    <w:p>
      <w:pPr>
        <w:sectPr>
          <w:pgSz w:w="11880" w:h="15480" w:orient="portrait"/>
          <w:cols w:equalWidth="0" w:num="1">
            <w:col w:w="9800"/>
          </w:cols>
          <w:pgMar w:left="1040" w:top="52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78</w:t>
      </w:r>
    </w:p>
    <w:p>
      <w:pPr>
        <w:sectPr>
          <w:pgSz w:w="11880" w:h="15480" w:orient="portrait"/>
          <w:cols w:equalWidth="0" w:num="1">
            <w:col w:w="9800"/>
          </w:cols>
          <w:pgMar w:left="1040" w:top="521" w:right="1040" w:bottom="8" w:gutter="0" w:footer="0" w:header="0"/>
          <w:type w:val="continuous"/>
        </w:sectPr>
      </w:pPr>
    </w:p>
    <w:bookmarkStart w:id="79" w:name="page80"/>
    <w:bookmarkEnd w:id="79"/>
    <w:p>
      <w:pPr>
        <w:jc w:val="both"/>
        <w:spacing w:after="0" w:line="278" w:lineRule="auto"/>
        <w:rPr>
          <w:sz w:val="20"/>
          <w:szCs w:val="20"/>
          <w:color w:val="auto"/>
        </w:rPr>
      </w:pPr>
      <w:r>
        <w:rPr>
          <w:rFonts w:ascii="Arial" w:cs="Arial" w:eastAsia="Arial" w:hAnsi="Arial"/>
          <w:sz w:val="20"/>
          <w:szCs w:val="20"/>
          <w:color w:val="auto"/>
        </w:rPr>
        <w:t>We are exposed to market risks in the ordinary course of our business from adverse changes in foreign currency exchange rates and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Exchange Rate Risks</w:t>
      </w:r>
    </w:p>
    <w:p>
      <w:pPr>
        <w:spacing w:after="0" w:line="25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 A 10% appreciation/depreciation in the Mexican peso against the U.S. dollar would have increased or decreased our expenses incurred and paid in the Mexican peso by approximately $35 million in the year ended December 31, 2025.</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of December 31, 2025, we had approximately $12,755 million of gross outstanding indebtedness including $4,255 million of borrowings at variable interest rates before considering deferred financing costs and embedded derivatives of $195 million. The borrowings under the Senior Secured Credit Facilities accrue interest at variable interest rates and thus are subject to interest rate risk.</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Borrowings under the Dollar Term Loans Facility bear interest at a floating rate per annum, based on the SOFR plus an applicable spread. As of December 31, 2025, we had $4,255 million outstanding under the Dollar Term Loans Facility, bearing interest at variable rates. Each change of 25 basis point in interest rates would result in a net change of $5.5 million in annual interest expense on term loan borrowing after considering hedging instruments.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Borrowings under the Revolving Credit Facility bear interest at various rates per annum, all of which float with relevant rate indices, i.e., SOFR. As of December 31, 2025, we do not have borrowings outstanding under the Revolving Credit Facility. Although we do not have any borrowings outstanding under our Revolving Credit Facility as of December 31, 2025, had the Revolving Credit Facility been fully drawn, each change of 25 basis point in interest rates would result in a $2.5 million change in annual interest expense on such outstanding borrowings under the Revolving Credit Facility.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5.9% from 7.1% for the year ended December 31, 2025, after consideration of the related hedging instruments.</w:t>
      </w:r>
    </w:p>
    <w:p>
      <w:pPr>
        <w:sectPr>
          <w:pgSz w:w="11880" w:h="15480" w:orient="portrait"/>
          <w:cols w:equalWidth="0" w:num="1">
            <w:col w:w="9800"/>
          </w:cols>
          <w:pgMar w:left="1040" w:top="530"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79</w:t>
      </w:r>
    </w:p>
    <w:p>
      <w:pPr>
        <w:sectPr>
          <w:pgSz w:w="11880" w:h="15480" w:orient="portrait"/>
          <w:cols w:equalWidth="0" w:num="1">
            <w:col w:w="9800"/>
          </w:cols>
          <w:pgMar w:left="1040" w:top="530" w:right="1040" w:bottom="8"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Item 8 - Financial Statements and Supplementary Data</w:t>
      </w:r>
    </w:p>
    <w:p>
      <w:pPr>
        <w:spacing w:after="0" w:line="245"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760" w:type="dxa"/>
            <w:vAlign w:val="bottom"/>
            <w:gridSpan w:val="9"/>
          </w:tcPr>
          <w:p>
            <w:pPr>
              <w:spacing w:after="0"/>
              <w:rPr>
                <w:sz w:val="20"/>
                <w:szCs w:val="20"/>
                <w:color w:val="auto"/>
              </w:rPr>
            </w:pPr>
            <w:r>
              <w:rPr>
                <w:rFonts w:ascii="Arial" w:cs="Arial" w:eastAsia="Arial" w:hAnsi="Arial"/>
                <w:sz w:val="18"/>
                <w:szCs w:val="18"/>
                <w:color w:val="auto"/>
              </w:rPr>
              <w:t>Review Report of Independent Registered Public Accounting Firm (PCAOB ID-42)</w:t>
            </w:r>
          </w:p>
        </w:tc>
        <w:tc>
          <w:tcPr>
            <w:tcW w:w="88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line="20" w:lineRule="exact"/>
              <w:rPr>
                <w:sz w:val="1"/>
                <w:szCs w:val="1"/>
                <w:color w:val="auto"/>
              </w:rPr>
            </w:pPr>
          </w:p>
        </w:tc>
      </w:tr>
      <w:tr>
        <w:trPr>
          <w:trHeight w:val="277"/>
        </w:trPr>
        <w:tc>
          <w:tcPr>
            <w:tcW w:w="5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Consolidated Balance Sheets as of December 31, 2025 and December 31, 2024</w:t>
            </w:r>
          </w:p>
        </w:tc>
        <w:tc>
          <w:tcPr>
            <w:tcW w:w="3100" w:type="dxa"/>
            <w:vAlign w:val="bottom"/>
            <w:gridSpan w:val="3"/>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Comprehensive Income for the Years Ended December 31, 2025, December 31, 2024 and</w:t>
            </w:r>
          </w:p>
        </w:tc>
        <w:tc>
          <w:tcPr>
            <w:tcW w:w="300" w:type="dxa"/>
            <w:vAlign w:val="bottom"/>
            <w:gridSpan w:val="2"/>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194"/>
        </w:trPr>
        <w:tc>
          <w:tcPr>
            <w:tcW w:w="8760" w:type="dxa"/>
            <w:vAlign w:val="bottom"/>
            <w:gridSpan w:val="9"/>
          </w:tcPr>
          <w:p>
            <w:pPr>
              <w:spacing w:after="0" w:line="194" w:lineRule="exact"/>
              <w:rPr>
                <w:sz w:val="20"/>
                <w:szCs w:val="20"/>
                <w:color w:val="auto"/>
              </w:rPr>
            </w:pPr>
            <w:r>
              <w:rPr>
                <w:rFonts w:ascii="Arial" w:cs="Arial" w:eastAsia="Arial" w:hAnsi="Arial"/>
                <w:sz w:val="18"/>
                <w:szCs w:val="18"/>
                <w:color w:val="auto"/>
              </w:rPr>
              <w:t>December 31, 2023</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7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Consolidated Statements of Stockholders’ Equity, Mezzanine Equity and Partners’ Capital for the Years Ended December</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194"/>
        </w:trPr>
        <w:tc>
          <w:tcPr>
            <w:tcW w:w="8760" w:type="dxa"/>
            <w:vAlign w:val="bottom"/>
            <w:gridSpan w:val="9"/>
          </w:tcPr>
          <w:p>
            <w:pPr>
              <w:spacing w:after="0" w:line="194" w:lineRule="exact"/>
              <w:rPr>
                <w:sz w:val="20"/>
                <w:szCs w:val="20"/>
                <w:color w:val="auto"/>
              </w:rPr>
            </w:pPr>
            <w:r>
              <w:rPr>
                <w:rFonts w:ascii="Arial" w:cs="Arial" w:eastAsia="Arial" w:hAnsi="Arial"/>
                <w:sz w:val="18"/>
                <w:szCs w:val="18"/>
                <w:color w:val="auto"/>
              </w:rPr>
              <w:t>31, 2025, December 31, 2024 and December 31, 2023</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760" w:type="dxa"/>
            <w:vAlign w:val="bottom"/>
            <w:gridSpan w:val="9"/>
          </w:tcPr>
          <w:p>
            <w:pPr>
              <w:spacing w:after="0"/>
              <w:rPr>
                <w:sz w:val="20"/>
                <w:szCs w:val="20"/>
                <w:color w:val="auto"/>
              </w:rPr>
            </w:pPr>
            <w:r>
              <w:rPr>
                <w:rFonts w:ascii="Arial" w:cs="Arial" w:eastAsia="Arial" w:hAnsi="Arial"/>
                <w:sz w:val="18"/>
                <w:szCs w:val="18"/>
                <w:color w:val="auto"/>
                <w:w w:val="90"/>
              </w:rPr>
              <w:t>Consolidated Statements of Cash Flows for the Years Ended December 31, 2025, December 31, 2024 and December 31,</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194"/>
        </w:trPr>
        <w:tc>
          <w:tcPr>
            <w:tcW w:w="3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8"/>
                <w:szCs w:val="18"/>
                <w:color w:val="auto"/>
                <w:w w:val="84"/>
              </w:rPr>
              <w:t>2023</w:t>
            </w:r>
          </w:p>
        </w:tc>
        <w:tc>
          <w:tcPr>
            <w:tcW w:w="10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76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701"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80</w:t>
      </w:r>
    </w:p>
    <w:p>
      <w:pPr>
        <w:sectPr>
          <w:pgSz w:w="11880" w:h="15480" w:orient="portrait"/>
          <w:cols w:equalWidth="0" w:num="1">
            <w:col w:w="9800"/>
          </w:cols>
          <w:pgMar w:left="1040" w:top="701" w:right="1040" w:bottom="8" w:gutter="0" w:footer="0" w:header="0"/>
          <w:type w:val="continuous"/>
        </w:sectPr>
      </w:pPr>
    </w:p>
    <w:bookmarkStart w:id="81" w:name="page82"/>
    <w:bookmarkEnd w:id="81"/>
    <w:p>
      <w:pPr>
        <w:ind w:left="24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Medline Inc.</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have audited the accompanying consolidated balance sheets of Medline Inc. (the Company) as of December 31, 2025 and 2024, the related consolidated statements of comprehensive income, stockholders’ equity, mezzanine equity and partners’ capital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81</w:t>
      </w:r>
    </w:p>
    <w:p>
      <w:pPr>
        <w:sectPr>
          <w:pgSz w:w="11880" w:h="15480" w:orient="portrait"/>
          <w:cols w:equalWidth="0" w:num="1">
            <w:col w:w="9800"/>
          </w:cols>
          <w:pgMar w:left="1040" w:top="1057" w:right="1040" w:bottom="0" w:gutter="0" w:footer="0" w:header="0"/>
        </w:sectPr>
      </w:pPr>
    </w:p>
    <w:bookmarkStart w:id="82" w:name="page83"/>
    <w:bookmarkEnd w:id="82"/>
    <w:p>
      <w:pPr>
        <w:ind w:left="1520"/>
        <w:spacing w:after="0"/>
        <w:rPr>
          <w:sz w:val="20"/>
          <w:szCs w:val="20"/>
          <w:color w:val="auto"/>
        </w:rPr>
      </w:pPr>
      <w:r>
        <w:rPr>
          <w:rFonts w:ascii="Arial" w:cs="Arial" w:eastAsia="Arial" w:hAnsi="Arial"/>
          <w:sz w:val="16"/>
          <w:szCs w:val="16"/>
          <w:b w:val="1"/>
          <w:bCs w:val="1"/>
          <w:i w:val="1"/>
          <w:iCs w:val="1"/>
          <w:color w:val="auto"/>
        </w:rPr>
        <w:t>Accrued customer rebates</w:t>
      </w:r>
    </w:p>
    <w:p>
      <w:pPr>
        <w:sectPr>
          <w:pgSz w:w="11880" w:h="15480" w:orient="portrait"/>
          <w:cols w:equalWidth="0" w:num="1">
            <w:col w:w="9780"/>
          </w:cols>
          <w:pgMar w:left="1060" w:top="1108" w:right="1040" w:bottom="8" w:gutter="0" w:footer="0" w:header="0"/>
        </w:sectPr>
      </w:pPr>
    </w:p>
    <w:p>
      <w:pPr>
        <w:spacing w:after="0" w:line="207"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640"/>
        <w:spacing w:after="0" w:line="267" w:lineRule="auto"/>
        <w:rPr>
          <w:sz w:val="20"/>
          <w:szCs w:val="20"/>
          <w:color w:val="auto"/>
        </w:rPr>
      </w:pPr>
      <w:r>
        <w:rPr>
          <w:rFonts w:ascii="Arial" w:cs="Arial" w:eastAsia="Arial" w:hAnsi="Arial"/>
          <w:sz w:val="19"/>
          <w:szCs w:val="19"/>
          <w:color w:val="auto"/>
        </w:rPr>
        <w:t>As disclosed in Note 1 to the consolidated financial statements under the caption “Revenue Recognition”, the Company’s product 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2025, the Company had $406 million in customer rebates and distributor chargebacks, of which a large portion relates to customer rebates.</w:t>
      </w:r>
    </w:p>
    <w:p>
      <w:pPr>
        <w:spacing w:after="0" w:line="75" w:lineRule="exact"/>
        <w:rPr>
          <w:sz w:val="20"/>
          <w:szCs w:val="20"/>
          <w:color w:val="auto"/>
        </w:rPr>
      </w:pPr>
    </w:p>
    <w:p>
      <w:pPr>
        <w:sectPr>
          <w:pgSz w:w="11880" w:h="15480" w:orient="portrait"/>
          <w:cols w:equalWidth="0" w:num="2">
            <w:col w:w="1120" w:space="400"/>
            <w:col w:w="8260"/>
          </w:cols>
          <w:pgMar w:left="1060" w:top="1108" w:right="1040" w:bottom="8" w:gutter="0" w:footer="0" w:header="0"/>
          <w:type w:val="continuous"/>
        </w:sectPr>
      </w:pPr>
    </w:p>
    <w:p>
      <w:pPr>
        <w:jc w:val="both"/>
        <w:ind w:left="1520" w:right="580"/>
        <w:spacing w:after="0" w:line="263" w:lineRule="auto"/>
        <w:rPr>
          <w:sz w:val="20"/>
          <w:szCs w:val="20"/>
          <w:color w:val="auto"/>
        </w:rPr>
      </w:pPr>
      <w:r>
        <w:rPr>
          <w:rFonts w:ascii="Arial" w:cs="Arial" w:eastAsia="Arial" w:hAnsi="Arial"/>
          <w:sz w:val="20"/>
          <w:szCs w:val="20"/>
          <w:color w:val="auto"/>
        </w:rPr>
        <w:t>Auditing the customer rebates liability was challenging due to the significant volume of transactions and data related to product gross sales, customer rebate rates, as well as historical rebate payments, that are used in determining the accrual balance.</w:t>
      </w:r>
    </w:p>
    <w:p>
      <w:pPr>
        <w:sectPr>
          <w:pgSz w:w="11880" w:h="15480" w:orient="portrait"/>
          <w:cols w:equalWidth="0" w:num="1">
            <w:col w:w="9780"/>
          </w:cols>
          <w:pgMar w:left="1060" w:top="1108" w:right="1040" w:bottom="8"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line="277" w:lineRule="auto"/>
        <w:rPr>
          <w:sz w:val="20"/>
          <w:szCs w:val="20"/>
          <w:color w:val="auto"/>
        </w:rPr>
      </w:pPr>
      <w:r>
        <w:rPr>
          <w:rFonts w:ascii="Arial" w:cs="Arial" w:eastAsia="Arial" w:hAnsi="Arial"/>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both"/>
        <w:ind w:right="640"/>
        <w:spacing w:after="0" w:line="280" w:lineRule="auto"/>
        <w:rPr>
          <w:sz w:val="20"/>
          <w:szCs w:val="20"/>
          <w:color w:val="auto"/>
        </w:rPr>
      </w:pPr>
      <w:r>
        <w:rPr>
          <w:rFonts w:ascii="Arial" w:cs="Arial" w:eastAsia="Arial" w:hAnsi="Arial"/>
          <w:sz w:val="18"/>
          <w:szCs w:val="18"/>
          <w:color w:val="auto"/>
        </w:rPr>
        <w:t>To test the Company’s customer rebate liability, our audit procedures included, among others, testing the completeness and accuracy of the underlying data used in the estimate, including, but not limited to, gross sales transactions, customer rebate rates, and historical rebate payments. We assessed the reasonableness of the data by corroborating payments to customer contracts and recalculated the variable consideration recognized based upon gross sales subject to the rebate and the executed rate per the customer contract and evaluated any differences. We recalculated the total variable consideration on gross sales and the related accrual based upon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settlements of customer rebates to assess the impact to the accrual at the balance sheet date and compared that to the Company’s estimate.</w:t>
      </w:r>
    </w:p>
    <w:p>
      <w:pPr>
        <w:spacing w:after="0" w:line="200" w:lineRule="exact"/>
        <w:rPr>
          <w:sz w:val="20"/>
          <w:szCs w:val="20"/>
          <w:color w:val="auto"/>
        </w:rPr>
      </w:pPr>
    </w:p>
    <w:p>
      <w:pPr>
        <w:sectPr>
          <w:pgSz w:w="11880" w:h="15480" w:orient="portrait"/>
          <w:cols w:equalWidth="0" w:num="2">
            <w:col w:w="1100" w:space="420"/>
            <w:col w:w="8260"/>
          </w:cols>
          <w:pgMar w:left="1060" w:top="1108" w:right="1040" w:bottom="8" w:gutter="0" w:footer="0" w:header="0"/>
          <w:type w:val="continuous"/>
        </w:sectPr>
      </w:pPr>
    </w:p>
    <w:p>
      <w:pPr>
        <w:spacing w:after="0" w:line="24" w:lineRule="exact"/>
        <w:rPr>
          <w:sz w:val="20"/>
          <w:szCs w:val="20"/>
          <w:color w:val="auto"/>
        </w:rPr>
      </w:pPr>
    </w:p>
    <w:p>
      <w:pPr>
        <w:ind w:left="1520"/>
        <w:spacing w:after="0"/>
        <w:rPr>
          <w:sz w:val="20"/>
          <w:szCs w:val="20"/>
          <w:color w:val="auto"/>
        </w:rPr>
      </w:pPr>
      <w:r>
        <w:rPr>
          <w:rFonts w:ascii="Arial" w:cs="Arial" w:eastAsia="Arial" w:hAnsi="Arial"/>
          <w:sz w:val="16"/>
          <w:szCs w:val="16"/>
          <w:b w:val="1"/>
          <w:bCs w:val="1"/>
          <w:i w:val="1"/>
          <w:iCs w:val="1"/>
          <w:color w:val="auto"/>
        </w:rPr>
        <w:t>Tax receivable agreement liability</w:t>
      </w:r>
    </w:p>
    <w:p>
      <w:pPr>
        <w:sectPr>
          <w:pgSz w:w="11880" w:h="15480" w:orient="portrait"/>
          <w:cols w:equalWidth="0" w:num="1">
            <w:col w:w="9780"/>
          </w:cols>
          <w:pgMar w:left="1060" w:top="1108" w:right="1040" w:bottom="8" w:gutter="0" w:footer="0" w:header="0"/>
          <w:type w:val="continuous"/>
        </w:sectPr>
      </w:pPr>
    </w:p>
    <w:p>
      <w:pPr>
        <w:spacing w:after="0" w:line="207"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640"/>
        <w:spacing w:after="0" w:line="266" w:lineRule="auto"/>
        <w:rPr>
          <w:sz w:val="20"/>
          <w:szCs w:val="20"/>
          <w:color w:val="auto"/>
        </w:rPr>
      </w:pPr>
      <w:r>
        <w:rPr>
          <w:rFonts w:ascii="Arial" w:cs="Arial" w:eastAsia="Arial" w:hAnsi="Arial"/>
          <w:sz w:val="19"/>
          <w:szCs w:val="19"/>
          <w:color w:val="auto"/>
        </w:rPr>
        <w:t>As disclosed in Note 1 and Note 11 to the consolidated financial statements under the captions “Tax Receivable Agreement”, in connection with the Company’s initial public offering (IPO), the Company entered into the Tax Receivable Agreement (TRA) with certain pre-IPO owners. The TRA provides for the payment by the Company to such pre-IPO owners of 90% of certain tax benefits, if any, that the Company actually realizes, or is deemed to realize. Management calculates the TRA liability by determining the tax basis subject to the TRA and applying an assumed income tax rate to the basis differences to calculate the tax benefits. As of December 31, 2025, the Company has a liability due to the pre-IPO owners under the TRA of $3,542 million.</w:t>
      </w:r>
    </w:p>
    <w:p>
      <w:pPr>
        <w:spacing w:after="0" w:line="78" w:lineRule="exact"/>
        <w:rPr>
          <w:sz w:val="20"/>
          <w:szCs w:val="20"/>
          <w:color w:val="auto"/>
        </w:rPr>
      </w:pPr>
    </w:p>
    <w:p>
      <w:pPr>
        <w:sectPr>
          <w:pgSz w:w="11880" w:h="15480" w:orient="portrait"/>
          <w:cols w:equalWidth="0" w:num="2">
            <w:col w:w="1120" w:space="400"/>
            <w:col w:w="8260"/>
          </w:cols>
          <w:pgMar w:left="1060" w:top="1108" w:right="1040" w:bottom="8" w:gutter="0" w:footer="0" w:header="0"/>
          <w:type w:val="continuous"/>
        </w:sectPr>
      </w:pPr>
    </w:p>
    <w:p>
      <w:pPr>
        <w:jc w:val="both"/>
        <w:ind w:left="1520" w:right="580"/>
        <w:spacing w:after="0" w:line="269" w:lineRule="auto"/>
        <w:rPr>
          <w:sz w:val="20"/>
          <w:szCs w:val="20"/>
          <w:color w:val="auto"/>
        </w:rPr>
      </w:pPr>
      <w:r>
        <w:rPr>
          <w:rFonts w:ascii="Arial" w:cs="Arial" w:eastAsia="Arial" w:hAnsi="Arial"/>
          <w:sz w:val="19"/>
          <w:szCs w:val="19"/>
          <w:color w:val="auto"/>
        </w:rPr>
        <w:t>Auditing the initial TRA liability was challenging due to the complexity of management’s determination of tax basis used as an input to the TRA liability, specifically: (i) Medline Inc.’s allocable share of existing tax basis in Medline Holdings’ assets acquired in the IPO and (ii) increases in Medline Inc.’s allocable share of existing tax basis and tax basis adjustments to the tangible and intangible assets of Medline Holdings as a result of sales or exchanges of Common Units in connection with or after the IPO.</w:t>
      </w:r>
    </w:p>
    <w:p>
      <w:pPr>
        <w:sectPr>
          <w:pgSz w:w="11880" w:h="15480" w:orient="portrait"/>
          <w:cols w:equalWidth="0" w:num="1">
            <w:col w:w="9780"/>
          </w:cols>
          <w:pgMar w:left="1060" w:top="1108" w:right="1040" w:bottom="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w:t>
      </w:r>
    </w:p>
    <w:p>
      <w:pPr>
        <w:sectPr>
          <w:pgSz w:w="11880" w:h="15480" w:orient="portrait"/>
          <w:cols w:equalWidth="0" w:num="1">
            <w:col w:w="9780"/>
          </w:cols>
          <w:pgMar w:left="1060" w:top="1108" w:right="1040" w:bottom="8" w:gutter="0" w:footer="0" w:header="0"/>
          <w:type w:val="continuous"/>
        </w:sectPr>
      </w:pPr>
    </w:p>
    <w:bookmarkStart w:id="83" w:name="page84"/>
    <w:bookmarkEnd w:id="83"/>
    <w:p>
      <w:pPr>
        <w:ind w:left="100"/>
        <w:spacing w:after="0" w:line="277" w:lineRule="auto"/>
        <w:rPr>
          <w:sz w:val="20"/>
          <w:szCs w:val="20"/>
          <w:color w:val="auto"/>
        </w:rPr>
      </w:pPr>
      <w:r>
        <w:rPr>
          <w:rFonts w:ascii="Arial" w:cs="Arial" w:eastAsia="Arial" w:hAnsi="Arial"/>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480"/>
        <w:spacing w:after="0" w:line="282" w:lineRule="auto"/>
        <w:rPr>
          <w:sz w:val="20"/>
          <w:szCs w:val="20"/>
          <w:color w:val="auto"/>
        </w:rPr>
      </w:pPr>
      <w:r>
        <w:rPr>
          <w:rFonts w:ascii="Arial" w:cs="Arial" w:eastAsia="Arial" w:hAnsi="Arial"/>
          <w:sz w:val="19"/>
          <w:szCs w:val="19"/>
          <w:color w:val="auto"/>
        </w:rPr>
        <w:t>To test the TRA liability, our audit procedures included inquiring of management and its external tax specialists, reviewing the tax receivable agreement to obtain an understanding of the TRA, and comparing the calculation to the TRA for consistency. With the support of income tax specialists, our testing included, among others, performing procedures to validate the existence, completeness, and accuracy of the underlying tax basis used in the calculation of the TRA liability, developing an independent calculation of the tax basis and comparing the independent calculation to management’s calculation to evaluate the reasonableness of the tax basis, and assessing management’s application of the tax laws.</w:t>
      </w:r>
    </w:p>
    <w:p>
      <w:pPr>
        <w:spacing w:after="0" w:line="200" w:lineRule="exact"/>
        <w:rPr>
          <w:sz w:val="20"/>
          <w:szCs w:val="20"/>
          <w:color w:val="auto"/>
        </w:rPr>
      </w:pPr>
    </w:p>
    <w:p>
      <w:pPr>
        <w:sectPr>
          <w:pgSz w:w="11880" w:h="15480" w:orient="portrait"/>
          <w:cols w:equalWidth="0" w:num="2">
            <w:col w:w="1220" w:space="420"/>
            <w:col w:w="8160"/>
          </w:cols>
          <w:pgMar w:left="1040" w:top="1113" w:right="10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2022.</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83</w:t>
      </w:r>
    </w:p>
    <w:p>
      <w:pPr>
        <w:sectPr>
          <w:pgSz w:w="11880" w:h="15480" w:orient="portrait"/>
          <w:cols w:equalWidth="0" w:num="1">
            <w:col w:w="9800"/>
          </w:cols>
          <w:pgMar w:left="1040" w:top="1113" w:right="104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291465</wp:posOffset>
                </wp:positionH>
                <wp:positionV relativeFrom="paragraph">
                  <wp:posOffset>73025</wp:posOffset>
                </wp:positionV>
                <wp:extent cx="622363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5pt,5.75pt" to="513pt,5.75pt" o:allowincell="f" strokecolor="#000000" strokeweight="1pt"/>
            </w:pict>
          </mc:Fallback>
        </mc:AlternateConten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vMerge w:val="restart"/>
          </w:tcPr>
          <w:p>
            <w:pPr>
              <w:ind w:left="60"/>
              <w:spacing w:after="0"/>
              <w:rPr>
                <w:sz w:val="20"/>
                <w:szCs w:val="20"/>
                <w:color w:val="auto"/>
              </w:rPr>
            </w:pPr>
            <w:r>
              <w:rPr>
                <w:rFonts w:ascii="Arial" w:cs="Arial" w:eastAsia="Arial" w:hAnsi="Arial"/>
                <w:sz w:val="17"/>
                <w:szCs w:val="17"/>
                <w:b w:val="1"/>
                <w:bCs w:val="1"/>
                <w:i w:val="1"/>
                <w:iCs w:val="1"/>
                <w:color w:val="auto"/>
              </w:rPr>
              <w:t>(in millions, except per share amounts)</w:t>
            </w:r>
          </w:p>
        </w:tc>
        <w:tc>
          <w:tcPr>
            <w:tcW w:w="160" w:type="dxa"/>
            <w:vAlign w:val="bottom"/>
          </w:tcPr>
          <w:p>
            <w:pPr>
              <w:spacing w:after="0"/>
              <w:rPr>
                <w:sz w:val="17"/>
                <w:szCs w:val="17"/>
                <w:color w:val="auto"/>
              </w:rPr>
            </w:pPr>
          </w:p>
        </w:tc>
        <w:tc>
          <w:tcPr>
            <w:tcW w:w="1620" w:type="dxa"/>
            <w:vAlign w:val="bottom"/>
          </w:tcPr>
          <w:p>
            <w:pPr>
              <w:jc w:val="right"/>
              <w:ind w:right="114"/>
              <w:spacing w:after="0"/>
              <w:rPr>
                <w:sz w:val="20"/>
                <w:szCs w:val="20"/>
                <w:color w:val="auto"/>
              </w:rPr>
            </w:pPr>
            <w:r>
              <w:rPr>
                <w:rFonts w:ascii="Arial" w:cs="Arial" w:eastAsia="Arial" w:hAnsi="Arial"/>
                <w:sz w:val="17"/>
                <w:szCs w:val="17"/>
                <w:color w:val="auto"/>
                <w:w w:val="93"/>
              </w:rPr>
              <w:t>As of 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114"/>
              <w:spacing w:after="0"/>
              <w:rPr>
                <w:sz w:val="20"/>
                <w:szCs w:val="20"/>
                <w:color w:val="auto"/>
              </w:rPr>
            </w:pPr>
            <w:r>
              <w:rPr>
                <w:rFonts w:ascii="Arial" w:cs="Arial" w:eastAsia="Arial" w:hAnsi="Arial"/>
                <w:sz w:val="17"/>
                <w:szCs w:val="17"/>
                <w:color w:val="auto"/>
                <w:w w:val="93"/>
              </w:rPr>
              <w:t>As of December 31,</w:t>
            </w:r>
          </w:p>
        </w:tc>
        <w:tc>
          <w:tcPr>
            <w:tcW w:w="0" w:type="dxa"/>
            <w:vAlign w:val="bottom"/>
          </w:tcPr>
          <w:p>
            <w:pPr>
              <w:spacing w:after="0"/>
              <w:rPr>
                <w:sz w:val="1"/>
                <w:szCs w:val="1"/>
                <w:color w:val="auto"/>
              </w:rPr>
            </w:pPr>
          </w:p>
        </w:tc>
      </w:tr>
      <w:tr>
        <w:trPr>
          <w:trHeight w:val="227"/>
        </w:trPr>
        <w:tc>
          <w:tcPr>
            <w:tcW w:w="7100" w:type="dxa"/>
            <w:vAlign w:val="bottom"/>
            <w:tcBorders>
              <w:bottom w:val="single" w:sz="8" w:color="E6E6E6"/>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2025</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19"/>
        </w:trPr>
        <w:tc>
          <w:tcPr>
            <w:tcW w:w="7100" w:type="dxa"/>
            <w:vAlign w:val="bottom"/>
            <w:shd w:val="clear" w:color="auto" w:fill="E6E6E6"/>
          </w:tcPr>
          <w:p>
            <w:pPr>
              <w:ind w:left="6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E6E6E6"/>
          </w:tcPr>
          <w:p>
            <w:pPr>
              <w:spacing w:after="0"/>
              <w:rPr>
                <w:sz w:val="19"/>
                <w:szCs w:val="19"/>
                <w:color w:val="auto"/>
              </w:rPr>
            </w:pPr>
          </w:p>
        </w:tc>
        <w:tc>
          <w:tcPr>
            <w:tcW w:w="16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6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tcPr>
          <w:p>
            <w:pPr>
              <w:ind w:left="6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1,939</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4"/>
        </w:trPr>
        <w:tc>
          <w:tcPr>
            <w:tcW w:w="7100" w:type="dxa"/>
            <w:vAlign w:val="bottom"/>
          </w:tcPr>
          <w:p>
            <w:pPr>
              <w:ind w:left="320"/>
              <w:spacing w:after="0"/>
              <w:rPr>
                <w:sz w:val="20"/>
                <w:szCs w:val="20"/>
                <w:color w:val="auto"/>
              </w:rPr>
            </w:pPr>
            <w:r>
              <w:rPr>
                <w:rFonts w:ascii="Arial" w:cs="Arial" w:eastAsia="Arial" w:hAnsi="Arial"/>
                <w:sz w:val="17"/>
                <w:szCs w:val="17"/>
                <w:color w:val="auto"/>
                <w:w w:val="94"/>
              </w:rPr>
              <w:t>Trade accounts receivable, net of allowance for credit losses of $152 and $108 as of December</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100" w:type="dxa"/>
            <w:vAlign w:val="bottom"/>
          </w:tcPr>
          <w:p>
            <w:pPr>
              <w:ind w:left="300"/>
              <w:spacing w:after="0"/>
              <w:rPr>
                <w:sz w:val="20"/>
                <w:szCs w:val="20"/>
                <w:color w:val="auto"/>
              </w:rPr>
            </w:pPr>
            <w:r>
              <w:rPr>
                <w:rFonts w:ascii="Arial" w:cs="Arial" w:eastAsia="Arial" w:hAnsi="Arial"/>
                <w:sz w:val="17"/>
                <w:szCs w:val="17"/>
                <w:color w:val="auto"/>
              </w:rPr>
              <w:t>31, 2025 and 2024, respectively</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3,533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3,219</w:t>
            </w:r>
          </w:p>
        </w:tc>
        <w:tc>
          <w:tcPr>
            <w:tcW w:w="0" w:type="dxa"/>
            <w:vAlign w:val="bottom"/>
          </w:tcPr>
          <w:p>
            <w:pPr>
              <w:spacing w:after="0"/>
              <w:rPr>
                <w:sz w:val="1"/>
                <w:szCs w:val="1"/>
                <w:color w:val="auto"/>
              </w:rPr>
            </w:pPr>
          </w:p>
        </w:tc>
      </w:tr>
      <w:tr>
        <w:trPr>
          <w:trHeight w:val="235"/>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4,769</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4,456</w:t>
            </w:r>
          </w:p>
        </w:tc>
        <w:tc>
          <w:tcPr>
            <w:tcW w:w="0" w:type="dxa"/>
            <w:vAlign w:val="bottom"/>
          </w:tcPr>
          <w:p>
            <w:pPr>
              <w:spacing w:after="0"/>
              <w:rPr>
                <w:sz w:val="1"/>
                <w:szCs w:val="1"/>
                <w:color w:val="auto"/>
              </w:rPr>
            </w:pPr>
          </w:p>
        </w:tc>
      </w:tr>
      <w:tr>
        <w:trPr>
          <w:trHeight w:val="219"/>
        </w:trPr>
        <w:tc>
          <w:tcPr>
            <w:tcW w:w="7100" w:type="dxa"/>
            <w:vAlign w:val="bottom"/>
            <w:tcBorders>
              <w:bottom w:val="single" w:sz="8" w:color="E6E6E6"/>
            </w:tcBorders>
          </w:tcPr>
          <w:p>
            <w:pPr>
              <w:ind w:left="28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18"/>
        </w:trPr>
        <w:tc>
          <w:tcPr>
            <w:tcW w:w="7100" w:type="dxa"/>
            <w:vAlign w:val="bottom"/>
            <w:shd w:val="clear" w:color="auto" w:fill="E6E6E6"/>
          </w:tcPr>
          <w:p>
            <w:pPr>
              <w:ind w:left="130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10,679</w:t>
            </w: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8,272</w:t>
            </w:r>
          </w:p>
        </w:tc>
        <w:tc>
          <w:tcPr>
            <w:tcW w:w="0" w:type="dxa"/>
            <w:vAlign w:val="bottom"/>
          </w:tcPr>
          <w:p>
            <w:pPr>
              <w:spacing w:after="0"/>
              <w:rPr>
                <w:sz w:val="1"/>
                <w:szCs w:val="1"/>
                <w:color w:val="auto"/>
              </w:rPr>
            </w:pPr>
          </w:p>
        </w:tc>
      </w:tr>
      <w:tr>
        <w:trPr>
          <w:trHeight w:val="226"/>
        </w:trPr>
        <w:tc>
          <w:tcPr>
            <w:tcW w:w="7100" w:type="dxa"/>
            <w:vAlign w:val="bottom"/>
          </w:tcPr>
          <w:p>
            <w:pPr>
              <w:ind w:left="6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4,778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4,595</w:t>
            </w: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60"/>
              <w:spacing w:after="0"/>
              <w:rPr>
                <w:sz w:val="20"/>
                <w:szCs w:val="20"/>
                <w:color w:val="auto"/>
              </w:rPr>
            </w:pPr>
            <w:r>
              <w:rPr>
                <w:rFonts w:ascii="Arial" w:cs="Arial" w:eastAsia="Arial" w:hAnsi="Arial"/>
                <w:sz w:val="17"/>
                <w:szCs w:val="17"/>
                <w:color w:val="auto"/>
              </w:rPr>
              <w:t>Other non-current assets</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8,079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8,065</w:t>
            </w: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13,893</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14,559</w:t>
            </w: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Deferred tax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 long-term assets</w:t>
            </w: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472</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188"/>
        </w:trPr>
        <w:tc>
          <w:tcPr>
            <w:tcW w:w="7100" w:type="dxa"/>
            <w:vAlign w:val="bottom"/>
            <w:tcBorders>
              <w:bottom w:val="single" w:sz="8" w:color="E6E6E6"/>
            </w:tcBorders>
          </w:tcPr>
          <w:p>
            <w:pPr>
              <w:ind w:left="1300"/>
              <w:spacing w:after="0" w:line="189" w:lineRule="exact"/>
              <w:rPr>
                <w:sz w:val="20"/>
                <w:szCs w:val="20"/>
                <w:color w:val="auto"/>
              </w:rPr>
            </w:pPr>
            <w:r>
              <w:rPr>
                <w:rFonts w:ascii="Arial" w:cs="Arial" w:eastAsia="Arial" w:hAnsi="Arial"/>
                <w:sz w:val="17"/>
                <w:szCs w:val="17"/>
                <w:color w:val="auto"/>
              </w:rPr>
              <w:t>Total other non-current assets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23,027</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23,111</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E6E6E6"/>
            </w:tcBorders>
            <w:shd w:val="clear" w:color="auto" w:fill="E6E6E6"/>
          </w:tcPr>
          <w:p>
            <w:pPr>
              <w:ind w:left="1300"/>
              <w:spacing w:after="0" w:line="189" w:lineRule="exact"/>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38,484</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35,978</w:t>
            </w:r>
          </w:p>
        </w:tc>
        <w:tc>
          <w:tcPr>
            <w:tcW w:w="0" w:type="dxa"/>
            <w:vAlign w:val="bottom"/>
          </w:tcPr>
          <w:p>
            <w:pPr>
              <w:spacing w:after="0"/>
              <w:rPr>
                <w:sz w:val="1"/>
                <w:szCs w:val="1"/>
                <w:color w:val="auto"/>
              </w:rPr>
            </w:pPr>
          </w:p>
        </w:tc>
      </w:tr>
      <w:tr>
        <w:trPr>
          <w:trHeight w:val="173"/>
        </w:trPr>
        <w:tc>
          <w:tcPr>
            <w:tcW w:w="7100" w:type="dxa"/>
            <w:vAlign w:val="bottom"/>
          </w:tcPr>
          <w:p>
            <w:pPr>
              <w:ind w:left="60"/>
              <w:spacing w:after="0" w:line="173" w:lineRule="exact"/>
              <w:rPr>
                <w:sz w:val="20"/>
                <w:szCs w:val="20"/>
                <w:color w:val="auto"/>
              </w:rPr>
            </w:pPr>
            <w:r>
              <w:rPr>
                <w:rFonts w:ascii="Arial" w:cs="Arial" w:eastAsia="Arial" w:hAnsi="Arial"/>
                <w:sz w:val="17"/>
                <w:szCs w:val="17"/>
                <w:b w:val="1"/>
                <w:bCs w:val="1"/>
                <w:color w:val="auto"/>
              </w:rPr>
              <w:t>LIABILITIES, MEZZANINE EQUITY AND STOCKHOLDERS' EQUITY / PARTNERS’</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60"/>
              <w:spacing w:after="0"/>
              <w:rPr>
                <w:sz w:val="20"/>
                <w:szCs w:val="20"/>
                <w:color w:val="auto"/>
              </w:rPr>
            </w:pPr>
            <w:r>
              <w:rPr>
                <w:rFonts w:ascii="Arial" w:cs="Arial" w:eastAsia="Arial" w:hAnsi="Arial"/>
                <w:sz w:val="17"/>
                <w:szCs w:val="17"/>
                <w:b w:val="1"/>
                <w:bCs w:val="1"/>
                <w:color w:val="auto"/>
              </w:rPr>
              <w:t>CAPITAL</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shd w:val="clear" w:color="auto" w:fill="E6E6E6"/>
          </w:tcPr>
          <w:p>
            <w:pPr>
              <w:ind w:left="6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Current portion of long-term borrowings and other short-term borrowings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961</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19"/>
        </w:trPr>
        <w:tc>
          <w:tcPr>
            <w:tcW w:w="7100" w:type="dxa"/>
            <w:vAlign w:val="bottom"/>
            <w:tcBorders>
              <w:bottom w:val="single" w:sz="8" w:color="E6E6E6"/>
            </w:tcBorders>
          </w:tcPr>
          <w:p>
            <w:pPr>
              <w:ind w:left="28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18"/>
        </w:trPr>
        <w:tc>
          <w:tcPr>
            <w:tcW w:w="7100" w:type="dxa"/>
            <w:vAlign w:val="bottom"/>
            <w:shd w:val="clear" w:color="auto" w:fill="E6E6E6"/>
          </w:tcPr>
          <w:p>
            <w:pPr>
              <w:ind w:left="130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2,490</w:t>
            </w: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2,440</w:t>
            </w:r>
          </w:p>
        </w:tc>
        <w:tc>
          <w:tcPr>
            <w:tcW w:w="0" w:type="dxa"/>
            <w:vAlign w:val="bottom"/>
          </w:tcPr>
          <w:p>
            <w:pPr>
              <w:spacing w:after="0"/>
              <w:rPr>
                <w:sz w:val="1"/>
                <w:szCs w:val="1"/>
                <w:color w:val="auto"/>
              </w:rPr>
            </w:pPr>
          </w:p>
        </w:tc>
      </w:tr>
      <w:tr>
        <w:trPr>
          <w:trHeight w:val="226"/>
        </w:trPr>
        <w:tc>
          <w:tcPr>
            <w:tcW w:w="7100" w:type="dxa"/>
            <w:vAlign w:val="bottom"/>
          </w:tcPr>
          <w:p>
            <w:pPr>
              <w:ind w:left="60"/>
              <w:spacing w:after="0"/>
              <w:rPr>
                <w:sz w:val="20"/>
                <w:szCs w:val="20"/>
                <w:color w:val="auto"/>
              </w:rPr>
            </w:pPr>
            <w:r>
              <w:rPr>
                <w:rFonts w:ascii="Arial" w:cs="Arial" w:eastAsia="Arial" w:hAnsi="Arial"/>
                <w:sz w:val="17"/>
                <w:szCs w:val="17"/>
                <w:color w:val="auto"/>
              </w:rPr>
              <w:t>Non-current liabilities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Long-term borrowings, less current portion</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12,484</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16,416</w:t>
            </w: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Tax receivable agreement liability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3,542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682</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188"/>
        </w:trPr>
        <w:tc>
          <w:tcPr>
            <w:tcW w:w="7100" w:type="dxa"/>
            <w:vAlign w:val="bottom"/>
            <w:tcBorders>
              <w:bottom w:val="single" w:sz="8" w:color="E6E6E6"/>
            </w:tcBorders>
          </w:tcPr>
          <w:p>
            <w:pPr>
              <w:ind w:left="1300"/>
              <w:spacing w:after="0" w:line="189" w:lineRule="exact"/>
              <w:rPr>
                <w:sz w:val="20"/>
                <w:szCs w:val="20"/>
                <w:color w:val="auto"/>
              </w:rPr>
            </w:pPr>
            <w:r>
              <w:rPr>
                <w:rFonts w:ascii="Arial" w:cs="Arial" w:eastAsia="Arial" w:hAnsi="Arial"/>
                <w:sz w:val="17"/>
                <w:szCs w:val="17"/>
                <w:color w:val="auto"/>
              </w:rPr>
              <w:t>Total non-current liabilities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16,708</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17,014</w:t>
            </w:r>
          </w:p>
        </w:tc>
        <w:tc>
          <w:tcPr>
            <w:tcW w:w="0" w:type="dxa"/>
            <w:vAlign w:val="bottom"/>
          </w:tcPr>
          <w:p>
            <w:pPr>
              <w:spacing w:after="0"/>
              <w:rPr>
                <w:sz w:val="1"/>
                <w:szCs w:val="1"/>
                <w:color w:val="auto"/>
              </w:rPr>
            </w:pPr>
          </w:p>
        </w:tc>
      </w:tr>
      <w:tr>
        <w:trPr>
          <w:trHeight w:val="228"/>
        </w:trPr>
        <w:tc>
          <w:tcPr>
            <w:tcW w:w="7100" w:type="dxa"/>
            <w:vAlign w:val="bottom"/>
            <w:tcBorders>
              <w:bottom w:val="single" w:sz="8" w:color="E6E6E6"/>
            </w:tcBorders>
            <w:shd w:val="clear" w:color="auto" w:fill="E6E6E6"/>
          </w:tcPr>
          <w:p>
            <w:pPr>
              <w:ind w:left="130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19,198</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19,454</w:t>
            </w:r>
          </w:p>
        </w:tc>
        <w:tc>
          <w:tcPr>
            <w:tcW w:w="0" w:type="dxa"/>
            <w:vAlign w:val="bottom"/>
          </w:tcPr>
          <w:p>
            <w:pPr>
              <w:spacing w:after="0"/>
              <w:rPr>
                <w:sz w:val="1"/>
                <w:szCs w:val="1"/>
                <w:color w:val="auto"/>
              </w:rPr>
            </w:pPr>
          </w:p>
        </w:tc>
      </w:tr>
      <w:tr>
        <w:trPr>
          <w:trHeight w:val="196"/>
        </w:trPr>
        <w:tc>
          <w:tcPr>
            <w:tcW w:w="7100" w:type="dxa"/>
            <w:vAlign w:val="bottom"/>
          </w:tcPr>
          <w:p>
            <w:pPr>
              <w:ind w:left="60"/>
              <w:spacing w:after="0"/>
              <w:rPr>
                <w:sz w:val="20"/>
                <w:szCs w:val="20"/>
                <w:color w:val="auto"/>
              </w:rPr>
            </w:pPr>
            <w:r>
              <w:rPr>
                <w:rFonts w:ascii="Arial" w:cs="Arial" w:eastAsia="Arial" w:hAnsi="Arial"/>
                <w:sz w:val="17"/>
                <w:szCs w:val="17"/>
                <w:color w:val="auto"/>
              </w:rPr>
              <w:t>Commitments and contingencies</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60"/>
              <w:spacing w:after="0"/>
              <w:rPr>
                <w:sz w:val="20"/>
                <w:szCs w:val="20"/>
                <w:color w:val="auto"/>
              </w:rPr>
            </w:pPr>
            <w:r>
              <w:rPr>
                <w:rFonts w:ascii="Arial" w:cs="Arial" w:eastAsia="Arial" w:hAnsi="Arial"/>
                <w:sz w:val="17"/>
                <w:szCs w:val="17"/>
                <w:color w:val="auto"/>
              </w:rPr>
              <w:t>Mezzanine equity</w:t>
            </w:r>
          </w:p>
        </w:tc>
        <w:tc>
          <w:tcPr>
            <w:tcW w:w="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26"/>
        </w:trPr>
        <w:tc>
          <w:tcPr>
            <w:tcW w:w="7100" w:type="dxa"/>
            <w:vAlign w:val="bottom"/>
          </w:tcPr>
          <w:p>
            <w:pPr>
              <w:ind w:left="60"/>
              <w:spacing w:after="0"/>
              <w:rPr>
                <w:sz w:val="20"/>
                <w:szCs w:val="20"/>
                <w:color w:val="auto"/>
              </w:rPr>
            </w:pPr>
            <w:r>
              <w:rPr>
                <w:rFonts w:ascii="Arial" w:cs="Arial" w:eastAsia="Arial" w:hAnsi="Arial"/>
                <w:sz w:val="17"/>
                <w:szCs w:val="17"/>
                <w:color w:val="auto"/>
              </w:rPr>
              <w:t>Stockholders’ equity / partners’ capital</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1"/>
              </w:rPr>
              <w:t>Class A common stock, par value $0.0001 per share; 50,000 shares authorized; 812 and no shares</w:t>
            </w: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6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issued and outstanding as of December 31, 2025 and 2024, respectively</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100" w:type="dxa"/>
            <w:vAlign w:val="bottom"/>
          </w:tcPr>
          <w:p>
            <w:pPr>
              <w:ind w:left="280"/>
              <w:spacing w:after="0"/>
              <w:rPr>
                <w:sz w:val="20"/>
                <w:szCs w:val="20"/>
                <w:color w:val="auto"/>
              </w:rPr>
            </w:pPr>
            <w:r>
              <w:rPr>
                <w:rFonts w:ascii="Arial" w:cs="Arial" w:eastAsia="Arial" w:hAnsi="Arial"/>
                <w:sz w:val="17"/>
                <w:szCs w:val="17"/>
                <w:color w:val="auto"/>
                <w:w w:val="91"/>
              </w:rPr>
              <w:t>Class B common stock, par value $0.0001 per share; 50,000 shares authorized; 502 and no shares</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100" w:type="dxa"/>
            <w:vAlign w:val="bottom"/>
          </w:tcPr>
          <w:p>
            <w:pPr>
              <w:ind w:left="280"/>
              <w:spacing w:after="0"/>
              <w:rPr>
                <w:sz w:val="20"/>
                <w:szCs w:val="20"/>
                <w:color w:val="auto"/>
              </w:rPr>
            </w:pPr>
            <w:r>
              <w:rPr>
                <w:rFonts w:ascii="Arial" w:cs="Arial" w:eastAsia="Arial" w:hAnsi="Arial"/>
                <w:sz w:val="17"/>
                <w:szCs w:val="17"/>
                <w:color w:val="auto"/>
              </w:rPr>
              <w:t>issued and outstanding as of December 31, 2025 and 2024, respectively</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w w:val="94"/>
              </w:rPr>
              <w:t>Preferred stock, par value $0.0001; 5,000 shares authorized; no shares issued and outstanding</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E6E6E6"/>
          </w:tcPr>
          <w:p>
            <w:pPr>
              <w:ind w:left="28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620" w:type="dxa"/>
            <w:vAlign w:val="bottom"/>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7100" w:type="dxa"/>
            <w:vAlign w:val="bottom"/>
          </w:tcPr>
          <w:p>
            <w:pPr>
              <w:ind w:left="280"/>
              <w:spacing w:after="0"/>
              <w:rPr>
                <w:sz w:val="20"/>
                <w:szCs w:val="20"/>
                <w:color w:val="auto"/>
              </w:rPr>
            </w:pPr>
            <w:r>
              <w:rPr>
                <w:rFonts w:ascii="Arial" w:cs="Arial" w:eastAsia="Arial" w:hAnsi="Arial"/>
                <w:sz w:val="17"/>
                <w:szCs w:val="17"/>
                <w:color w:val="auto"/>
              </w:rPr>
              <w:t>Partners’ capital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16,147</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27</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8"/>
        </w:trPr>
        <w:tc>
          <w:tcPr>
            <w:tcW w:w="7100" w:type="dxa"/>
            <w:vAlign w:val="bottom"/>
          </w:tcPr>
          <w:p>
            <w:pPr>
              <w:ind w:left="1300"/>
              <w:spacing w:after="0"/>
              <w:rPr>
                <w:sz w:val="20"/>
                <w:szCs w:val="20"/>
                <w:color w:val="auto"/>
              </w:rPr>
            </w:pPr>
            <w:r>
              <w:rPr>
                <w:rFonts w:ascii="Arial" w:cs="Arial" w:eastAsia="Arial" w:hAnsi="Arial"/>
                <w:sz w:val="17"/>
                <w:szCs w:val="17"/>
                <w:color w:val="auto"/>
              </w:rPr>
              <w:t>Total Medline Inc. stockholders’ equity / partners’ capital</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16,158</w:t>
            </w:r>
          </w:p>
        </w:tc>
        <w:tc>
          <w:tcPr>
            <w:tcW w:w="0" w:type="dxa"/>
            <w:vAlign w:val="bottom"/>
          </w:tcPr>
          <w:p>
            <w:pPr>
              <w:spacing w:after="0"/>
              <w:rPr>
                <w:sz w:val="1"/>
                <w:szCs w:val="1"/>
                <w:color w:val="auto"/>
              </w:rPr>
            </w:pPr>
          </w:p>
        </w:tc>
      </w:tr>
      <w:tr>
        <w:trPr>
          <w:trHeight w:val="239"/>
        </w:trPr>
        <w:tc>
          <w:tcPr>
            <w:tcW w:w="71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7"/>
                <w:szCs w:val="17"/>
                <w:color w:val="auto"/>
              </w:rPr>
              <w:t>Noncontrolling interests</w:t>
            </w: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8,549</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7100" w:type="dxa"/>
            <w:vAlign w:val="bottom"/>
            <w:tcBorders>
              <w:bottom w:val="single" w:sz="8" w:color="E6E6E6"/>
            </w:tcBorders>
          </w:tcPr>
          <w:p>
            <w:pPr>
              <w:ind w:left="1300"/>
              <w:spacing w:after="0" w:line="189" w:lineRule="exact"/>
              <w:rPr>
                <w:sz w:val="20"/>
                <w:szCs w:val="20"/>
                <w:color w:val="auto"/>
              </w:rPr>
            </w:pPr>
            <w:r>
              <w:rPr>
                <w:rFonts w:ascii="Arial" w:cs="Arial" w:eastAsia="Arial" w:hAnsi="Arial"/>
                <w:sz w:val="17"/>
                <w:szCs w:val="17"/>
                <w:color w:val="auto"/>
              </w:rPr>
              <w:t>Total stockholders’ equity / partners’ capital</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19,286</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16,158</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E6E6E6"/>
            </w:tcBorders>
            <w:shd w:val="clear" w:color="auto" w:fill="E6E6E6"/>
          </w:tcPr>
          <w:p>
            <w:pPr>
              <w:ind w:left="60"/>
              <w:spacing w:after="0" w:line="189" w:lineRule="exact"/>
              <w:rPr>
                <w:sz w:val="20"/>
                <w:szCs w:val="20"/>
                <w:color w:val="auto"/>
              </w:rPr>
            </w:pPr>
            <w:r>
              <w:rPr>
                <w:rFonts w:ascii="Arial" w:cs="Arial" w:eastAsia="Arial" w:hAnsi="Arial"/>
                <w:sz w:val="17"/>
                <w:szCs w:val="17"/>
                <w:color w:val="auto"/>
              </w:rPr>
              <w:t>Total liabilities, stockholders’ equity and mezzanine equity / partners’ capital</w:t>
            </w:r>
          </w:p>
        </w:tc>
        <w:tc>
          <w:tcPr>
            <w:tcW w:w="16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38,484</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E6E6E6"/>
          </w:tcPr>
          <w:p>
            <w:pPr>
              <w:jc w:val="right"/>
              <w:spacing w:after="0" w:line="189" w:lineRule="exact"/>
              <w:rPr>
                <w:sz w:val="20"/>
                <w:szCs w:val="20"/>
                <w:color w:val="auto"/>
              </w:rPr>
            </w:pPr>
            <w:r>
              <w:rPr>
                <w:rFonts w:ascii="Arial" w:cs="Arial" w:eastAsia="Arial" w:hAnsi="Arial"/>
                <w:sz w:val="17"/>
                <w:szCs w:val="17"/>
                <w:color w:val="auto"/>
              </w:rPr>
              <w:t>35,978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-6515735</wp:posOffset>
            </wp:positionV>
            <wp:extent cx="232600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-5510530</wp:posOffset>
            </wp:positionV>
            <wp:extent cx="23260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-4495800</wp:posOffset>
            </wp:positionV>
            <wp:extent cx="232600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-4351020</wp:posOffset>
            </wp:positionV>
            <wp:extent cx="232600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-4218305</wp:posOffset>
            </wp:positionV>
            <wp:extent cx="2326005"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2326005" cy="4953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-3345180</wp:posOffset>
            </wp:positionV>
            <wp:extent cx="232600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-2620645</wp:posOffset>
            </wp:positionV>
            <wp:extent cx="232600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-2475865</wp:posOffset>
            </wp:positionV>
            <wp:extent cx="232600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-2331085</wp:posOffset>
            </wp:positionV>
            <wp:extent cx="232600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-609600</wp:posOffset>
            </wp:positionV>
            <wp:extent cx="232600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-320040</wp:posOffset>
            </wp:positionV>
            <wp:extent cx="232600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-175260</wp:posOffset>
            </wp:positionV>
            <wp:extent cx="232600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2326005" cy="2540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-42545</wp:posOffset>
            </wp:positionV>
            <wp:extent cx="2326005"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232600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234950</wp:posOffset>
                </wp:positionH>
                <wp:positionV relativeFrom="paragraph">
                  <wp:posOffset>1284605</wp:posOffset>
                </wp:positionV>
                <wp:extent cx="62236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101.15pt" to="508.55pt,101.1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ectPr>
          <w:pgSz w:w="11880" w:h="15480" w:orient="portrait"/>
          <w:cols w:equalWidth="0" w:num="1">
            <w:col w:w="10720"/>
          </w:cols>
          <w:pgMar w:left="580" w:top="637" w:right="580" w:bottom="0" w:gutter="0" w:footer="0" w:header="0"/>
        </w:sectPr>
      </w:pPr>
    </w:p>
    <w:p>
      <w:pPr>
        <w:spacing w:after="0" w:line="53" w:lineRule="exact"/>
        <w:rPr>
          <w:sz w:val="20"/>
          <w:szCs w:val="20"/>
          <w:color w:val="auto"/>
        </w:rPr>
      </w:pPr>
    </w:p>
    <w:p>
      <w:pPr>
        <w:ind w:left="10000"/>
        <w:spacing w:after="0"/>
        <w:rPr>
          <w:sz w:val="20"/>
          <w:szCs w:val="20"/>
          <w:color w:val="auto"/>
        </w:rPr>
      </w:pPr>
      <w:r>
        <w:rPr>
          <w:rFonts w:ascii="Arial" w:cs="Arial" w:eastAsia="Arial" w:hAnsi="Arial"/>
          <w:sz w:val="10"/>
          <w:szCs w:val="10"/>
          <w:color w:val="auto"/>
        </w:rPr>
        <w:t>84</w:t>
      </w:r>
    </w:p>
    <w:p>
      <w:pPr>
        <w:sectPr>
          <w:pgSz w:w="11880" w:h="15480" w:orient="portrait"/>
          <w:cols w:equalWidth="0" w:num="1">
            <w:col w:w="10720"/>
          </w:cols>
          <w:pgMar w:left="580" w:top="637" w:right="58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146685</wp:posOffset>
                </wp:positionH>
                <wp:positionV relativeFrom="paragraph">
                  <wp:posOffset>148590</wp:posOffset>
                </wp:positionV>
                <wp:extent cx="62236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5pt,11.7pt" to="501.6pt,11.7pt" o:allowincell="f" strokecolor="#000000" strokeweight="1pt"/>
            </w:pict>
          </mc:Fallback>
        </mc:AlternateConten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309" w:lineRule="exact"/>
        <w:rPr>
          <w:sz w:val="20"/>
          <w:szCs w:val="20"/>
          <w:color w:val="auto"/>
        </w:rPr>
      </w:pPr>
    </w:p>
    <w:tbl>
      <w:tblPr>
        <w:tblLayout w:type="fixed"/>
        <w:tblInd w:w="1"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6"/>
              </w:rPr>
              <w:t>Year ended</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62"/>
        </w:trPr>
        <w:tc>
          <w:tcPr>
            <w:tcW w:w="53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 except per share earnings)</w:t>
            </w: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c>
          <w:tcPr>
            <w:tcW w:w="60" w:type="dxa"/>
            <w:vAlign w:val="bottom"/>
            <w:tcBorders>
              <w:bottom w:val="single" w:sz="8" w:color="E6E6E6"/>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2023</w:t>
            </w:r>
          </w:p>
        </w:tc>
      </w:tr>
      <w:tr>
        <w:trPr>
          <w:trHeight w:val="272"/>
        </w:trPr>
        <w:tc>
          <w:tcPr>
            <w:tcW w:w="534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sales</w:t>
            </w:r>
          </w:p>
        </w:tc>
        <w:tc>
          <w:tcPr>
            <w:tcW w:w="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28,432</w:t>
            </w:r>
          </w:p>
        </w:tc>
        <w:tc>
          <w:tcPr>
            <w:tcW w:w="30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25,507</w:t>
            </w:r>
          </w:p>
        </w:tc>
        <w:tc>
          <w:tcPr>
            <w:tcW w:w="6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23,231</w:t>
            </w:r>
          </w:p>
        </w:tc>
      </w:tr>
      <w:tr>
        <w:trPr>
          <w:trHeight w:val="282"/>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Cost of goods sold</w:t>
            </w: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20,914</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18,531</w:t>
            </w:r>
          </w:p>
        </w:tc>
        <w:tc>
          <w:tcPr>
            <w:tcW w:w="6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17,346</w:t>
            </w:r>
          </w:p>
        </w:tc>
      </w:tr>
      <w:tr>
        <w:trPr>
          <w:trHeight w:val="247"/>
        </w:trPr>
        <w:tc>
          <w:tcPr>
            <w:tcW w:w="534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6,976</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89"/>
        </w:trPr>
        <w:tc>
          <w:tcPr>
            <w:tcW w:w="53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5"/>
        </w:trPr>
        <w:tc>
          <w:tcPr>
            <w:tcW w:w="5340" w:type="dxa"/>
            <w:vAlign w:val="bottom"/>
          </w:tcPr>
          <w:p>
            <w:pPr>
              <w:ind w:left="60"/>
              <w:spacing w:after="0"/>
              <w:rPr>
                <w:sz w:val="20"/>
                <w:szCs w:val="20"/>
                <w:color w:val="auto"/>
              </w:rPr>
            </w:pPr>
            <w:r>
              <w:rPr>
                <w:rFonts w:ascii="Arial" w:cs="Arial" w:eastAsia="Arial" w:hAnsi="Arial"/>
                <w:sz w:val="18"/>
                <w:szCs w:val="18"/>
                <w:color w:val="auto"/>
              </w:rPr>
              <w:t>Operating expense</w:t>
            </w: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9"/>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4,524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4,108</w:t>
            </w: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3,867</w:t>
            </w:r>
          </w:p>
        </w:tc>
      </w:tr>
      <w:tr>
        <w:trPr>
          <w:trHeight w:val="275"/>
        </w:trPr>
        <w:tc>
          <w:tcPr>
            <w:tcW w:w="5340" w:type="dxa"/>
            <w:vAlign w:val="bottom"/>
          </w:tcPr>
          <w:p>
            <w:pPr>
              <w:ind w:left="52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79"/>
        </w:trPr>
        <w:tc>
          <w:tcPr>
            <w:tcW w:w="534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8"/>
                <w:szCs w:val="18"/>
                <w:color w:val="auto"/>
              </w:rPr>
              <w:t>Other operating expenses</w:t>
            </w: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w:t>
            </w:r>
          </w:p>
        </w:tc>
      </w:tr>
      <w:tr>
        <w:trPr>
          <w:trHeight w:val="262"/>
        </w:trPr>
        <w:tc>
          <w:tcPr>
            <w:tcW w:w="5340" w:type="dxa"/>
            <w:vAlign w:val="bottom"/>
            <w:tcBorders>
              <w:bottom w:val="single" w:sz="8" w:color="E6E6E6"/>
            </w:tcBorders>
          </w:tcPr>
          <w:p>
            <w:pPr>
              <w:ind w:left="520"/>
              <w:spacing w:after="0"/>
              <w:rPr>
                <w:sz w:val="20"/>
                <w:szCs w:val="20"/>
                <w:color w:val="auto"/>
              </w:rPr>
            </w:pPr>
            <w:r>
              <w:rPr>
                <w:rFonts w:ascii="Arial" w:cs="Arial" w:eastAsia="Arial" w:hAnsi="Arial"/>
                <w:sz w:val="18"/>
                <w:szCs w:val="18"/>
                <w:color w:val="auto"/>
              </w:rPr>
              <w:t>Total operating expense</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60" w:type="dxa"/>
            <w:vAlign w:val="bottom"/>
            <w:tcBorders>
              <w:bottom w:val="single" w:sz="8" w:color="E6E6E6"/>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r>
      <w:tr>
        <w:trPr>
          <w:trHeight w:val="272"/>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2,212</w:t>
            </w:r>
          </w:p>
        </w:tc>
        <w:tc>
          <w:tcPr>
            <w:tcW w:w="6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2,146</w:t>
            </w:r>
          </w:p>
        </w:tc>
        <w:tc>
          <w:tcPr>
            <w:tcW w:w="6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1,250</w:t>
            </w:r>
          </w:p>
        </w:tc>
      </w:tr>
      <w:tr>
        <w:trPr>
          <w:trHeight w:val="282"/>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2"/>
        </w:trPr>
        <w:tc>
          <w:tcPr>
            <w:tcW w:w="5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expense</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5"/>
        </w:trPr>
        <w:tc>
          <w:tcPr>
            <w:tcW w:w="5340" w:type="dxa"/>
            <w:vAlign w:val="bottom"/>
          </w:tcPr>
          <w:p>
            <w:pPr>
              <w:ind w:left="52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89"/>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Other (expense) income, net</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72"/>
        </w:trPr>
        <w:tc>
          <w:tcPr>
            <w:tcW w:w="5340" w:type="dxa"/>
            <w:vAlign w:val="bottom"/>
            <w:tcBorders>
              <w:bottom w:val="single" w:sz="8" w:color="E6E6E6"/>
            </w:tcBorders>
          </w:tcPr>
          <w:p>
            <w:pPr>
              <w:ind w:left="520"/>
              <w:spacing w:after="0"/>
              <w:rPr>
                <w:sz w:val="20"/>
                <w:szCs w:val="20"/>
                <w:color w:val="auto"/>
              </w:rPr>
            </w:pPr>
            <w:r>
              <w:rPr>
                <w:rFonts w:ascii="Arial" w:cs="Arial" w:eastAsia="Arial" w:hAnsi="Arial"/>
                <w:sz w:val="18"/>
                <w:szCs w:val="18"/>
                <w:color w:val="auto"/>
              </w:rPr>
              <w:t>Foreign exchange (loss) gain, net</w:t>
            </w: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80"/>
        </w:trPr>
        <w:tc>
          <w:tcPr>
            <w:tcW w:w="534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8"/>
                <w:szCs w:val="18"/>
                <w:color w:val="auto"/>
              </w:rPr>
              <w:t>Total other expense</w:t>
            </w: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(964)</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(900)</w:t>
            </w:r>
          </w:p>
        </w:tc>
        <w:tc>
          <w:tcPr>
            <w:tcW w:w="6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(986)</w:t>
            </w:r>
          </w:p>
        </w:tc>
      </w:tr>
      <w:tr>
        <w:trPr>
          <w:trHeight w:val="247"/>
        </w:trPr>
        <w:tc>
          <w:tcPr>
            <w:tcW w:w="5340" w:type="dxa"/>
            <w:vAlign w:val="bottom"/>
          </w:tcPr>
          <w:p>
            <w:pPr>
              <w:ind w:left="520"/>
              <w:spacing w:after="0"/>
              <w:rPr>
                <w:sz w:val="20"/>
                <w:szCs w:val="20"/>
                <w:color w:val="auto"/>
              </w:rPr>
            </w:pPr>
            <w:r>
              <w:rPr>
                <w:rFonts w:ascii="Arial" w:cs="Arial" w:eastAsia="Arial" w:hAnsi="Arial"/>
                <w:sz w:val="18"/>
                <w:szCs w:val="18"/>
                <w:b w:val="1"/>
                <w:bCs w:val="1"/>
                <w:color w:val="auto"/>
              </w:rPr>
              <w:t>Income before income taxes</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90"/>
        </w:trPr>
        <w:tc>
          <w:tcPr>
            <w:tcW w:w="53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2"/>
        </w:trPr>
        <w:tc>
          <w:tcPr>
            <w:tcW w:w="53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2"/>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b w:val="1"/>
                <w:bCs w:val="1"/>
                <w:color w:val="auto"/>
              </w:rPr>
              <w:t>Net income</w:t>
            </w: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234</w:t>
            </w:r>
          </w:p>
        </w:tc>
      </w:tr>
      <w:tr>
        <w:trPr>
          <w:trHeight w:val="272"/>
        </w:trPr>
        <w:tc>
          <w:tcPr>
            <w:tcW w:w="5340" w:type="dxa"/>
            <w:vAlign w:val="bottom"/>
            <w:tcBorders>
              <w:bottom w:val="single" w:sz="8" w:color="E6E6E6"/>
            </w:tcBorders>
          </w:tcPr>
          <w:p>
            <w:pPr>
              <w:ind w:left="520"/>
              <w:spacing w:after="0"/>
              <w:rPr>
                <w:sz w:val="20"/>
                <w:szCs w:val="20"/>
                <w:color w:val="auto"/>
              </w:rPr>
            </w:pPr>
            <w:r>
              <w:rPr>
                <w:rFonts w:ascii="Arial" w:cs="Arial" w:eastAsia="Arial" w:hAnsi="Arial"/>
                <w:sz w:val="18"/>
                <w:szCs w:val="18"/>
                <w:color w:val="auto"/>
              </w:rPr>
              <w:t>Net loss attributable to noncontrolling interests</w:t>
            </w: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2"/>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b w:val="1"/>
                <w:bCs w:val="1"/>
                <w:color w:val="auto"/>
              </w:rPr>
              <w:t>Net income attributable to Medline Inc.</w:t>
            </w:r>
          </w:p>
        </w:tc>
        <w:tc>
          <w:tcPr>
            <w:tcW w:w="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1,159</w:t>
            </w:r>
          </w:p>
        </w:tc>
        <w:tc>
          <w:tcPr>
            <w:tcW w:w="30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2"/>
        </w:trPr>
        <w:tc>
          <w:tcPr>
            <w:tcW w:w="534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loss per share attributable to Medline Inc.</w:t>
            </w:r>
            <w:r>
              <w:rPr>
                <w:rFonts w:ascii="Arial" w:cs="Arial" w:eastAsia="Arial" w:hAnsi="Arial"/>
                <w:sz w:val="11"/>
                <w:szCs w:val="11"/>
                <w:b w:val="1"/>
                <w:bCs w:val="1"/>
                <w:color w:val="auto"/>
              </w:rPr>
              <w:t>(1)</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5"/>
        </w:trPr>
        <w:tc>
          <w:tcPr>
            <w:tcW w:w="5340" w:type="dxa"/>
            <w:vAlign w:val="bottom"/>
          </w:tcPr>
          <w:p>
            <w:pPr>
              <w:ind w:left="520"/>
              <w:spacing w:after="0"/>
              <w:rPr>
                <w:sz w:val="20"/>
                <w:szCs w:val="20"/>
                <w:color w:val="auto"/>
              </w:rPr>
            </w:pPr>
            <w:r>
              <w:rPr>
                <w:rFonts w:ascii="Arial" w:cs="Arial" w:eastAsia="Arial" w:hAnsi="Arial"/>
                <w:sz w:val="18"/>
                <w:szCs w:val="18"/>
                <w:color w:val="auto"/>
              </w:rPr>
              <w:t>Basic and diluted</w:t>
            </w: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89"/>
        </w:trPr>
        <w:tc>
          <w:tcPr>
            <w:tcW w:w="53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5"/>
        </w:trPr>
        <w:tc>
          <w:tcPr>
            <w:tcW w:w="5340" w:type="dxa"/>
            <w:vAlign w:val="bottom"/>
          </w:tcPr>
          <w:p>
            <w:pPr>
              <w:ind w:left="60"/>
              <w:spacing w:after="0"/>
              <w:rPr>
                <w:sz w:val="20"/>
                <w:szCs w:val="20"/>
                <w:color w:val="auto"/>
              </w:rPr>
            </w:pPr>
            <w:r>
              <w:rPr>
                <w:rFonts w:ascii="Arial" w:cs="Arial" w:eastAsia="Arial" w:hAnsi="Arial"/>
                <w:sz w:val="18"/>
                <w:szCs w:val="18"/>
                <w:b w:val="1"/>
                <w:bCs w:val="1"/>
                <w:color w:val="auto"/>
                <w:w w:val="90"/>
              </w:rPr>
              <w:t>Weighted average number of Class A common shares outstanding</w:t>
            </w:r>
            <w:r>
              <w:rPr>
                <w:rFonts w:ascii="Arial" w:cs="Arial" w:eastAsia="Arial" w:hAnsi="Arial"/>
                <w:sz w:val="11"/>
                <w:szCs w:val="11"/>
                <w:b w:val="1"/>
                <w:bCs w:val="1"/>
                <w:color w:val="auto"/>
                <w:w w:val="90"/>
              </w:rPr>
              <w:t>(1)</w:t>
            </w: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9"/>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Basic and diluted</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N/A</w:t>
            </w:r>
          </w:p>
        </w:tc>
      </w:tr>
      <w:tr>
        <w:trPr>
          <w:trHeight w:val="282"/>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2"/>
        </w:trPr>
        <w:tc>
          <w:tcPr>
            <w:tcW w:w="5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comprehensive income (loss), net of tax</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75"/>
        </w:trPr>
        <w:tc>
          <w:tcPr>
            <w:tcW w:w="5340" w:type="dxa"/>
            <w:vAlign w:val="bottom"/>
          </w:tcPr>
          <w:p>
            <w:pPr>
              <w:ind w:left="520"/>
              <w:spacing w:after="0"/>
              <w:rPr>
                <w:sz w:val="20"/>
                <w:szCs w:val="20"/>
                <w:color w:val="auto"/>
              </w:rPr>
            </w:pPr>
            <w:r>
              <w:rPr>
                <w:rFonts w:ascii="Arial" w:cs="Arial" w:eastAsia="Arial" w:hAnsi="Arial"/>
                <w:sz w:val="18"/>
                <w:szCs w:val="18"/>
                <w:color w:val="auto"/>
              </w:rPr>
              <w:t>Retirement plan, net of tax</w:t>
            </w:r>
          </w:p>
        </w:tc>
        <w:tc>
          <w:tcPr>
            <w:tcW w:w="56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9"/>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Net unrealized loss on derivative instruments</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w:t>
            </w:r>
          </w:p>
        </w:tc>
      </w:tr>
      <w:tr>
        <w:trPr>
          <w:trHeight w:val="272"/>
        </w:trPr>
        <w:tc>
          <w:tcPr>
            <w:tcW w:w="5340" w:type="dxa"/>
            <w:vAlign w:val="bottom"/>
            <w:tcBorders>
              <w:bottom w:val="single" w:sz="8" w:color="E6E6E6"/>
            </w:tcBorders>
          </w:tcPr>
          <w:p>
            <w:pPr>
              <w:ind w:left="520"/>
              <w:spacing w:after="0"/>
              <w:rPr>
                <w:sz w:val="20"/>
                <w:szCs w:val="20"/>
                <w:color w:val="auto"/>
              </w:rPr>
            </w:pPr>
            <w:r>
              <w:rPr>
                <w:rFonts w:ascii="Arial" w:cs="Arial" w:eastAsia="Arial" w:hAnsi="Arial"/>
                <w:sz w:val="18"/>
                <w:szCs w:val="18"/>
                <w:color w:val="auto"/>
              </w:rPr>
              <w:t>Currency translation adjustment</w:t>
            </w: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2"/>
        </w:trPr>
        <w:tc>
          <w:tcPr>
            <w:tcW w:w="53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Total other comprehensive income (loss), net of tax</w:t>
            </w: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w:t>
            </w:r>
          </w:p>
        </w:tc>
      </w:tr>
      <w:tr>
        <w:trPr>
          <w:trHeight w:val="245"/>
        </w:trPr>
        <w:tc>
          <w:tcPr>
            <w:tcW w:w="5340" w:type="dxa"/>
            <w:vAlign w:val="bottom"/>
          </w:tcPr>
          <w:p>
            <w:pPr>
              <w:ind w:left="520"/>
              <w:spacing w:after="0"/>
              <w:rPr>
                <w:sz w:val="20"/>
                <w:szCs w:val="20"/>
                <w:color w:val="auto"/>
              </w:rPr>
            </w:pPr>
            <w:r>
              <w:rPr>
                <w:rFonts w:ascii="Arial" w:cs="Arial" w:eastAsia="Arial" w:hAnsi="Arial"/>
                <w:sz w:val="18"/>
                <w:szCs w:val="18"/>
                <w:b w:val="1"/>
                <w:bCs w:val="1"/>
                <w:color w:val="auto"/>
              </w:rPr>
              <w:t>Total comprehensive income</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111"/>
        </w:trPr>
        <w:tc>
          <w:tcPr>
            <w:tcW w:w="5340" w:type="dxa"/>
            <w:vAlign w:val="bottom"/>
            <w:shd w:val="clear" w:color="auto" w:fill="E6E6E6"/>
          </w:tcPr>
          <w:p>
            <w:pPr>
              <w:spacing w:after="0"/>
              <w:rPr>
                <w:sz w:val="9"/>
                <w:szCs w:val="9"/>
                <w:color w:val="auto"/>
              </w:rPr>
            </w:pPr>
          </w:p>
        </w:tc>
        <w:tc>
          <w:tcPr>
            <w:tcW w:w="56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560" w:type="dxa"/>
            <w:vAlign w:val="bottom"/>
            <w:shd w:val="clear" w:color="auto" w:fill="E6E6E6"/>
          </w:tcPr>
          <w:p>
            <w:pPr>
              <w:spacing w:after="0"/>
              <w:rPr>
                <w:sz w:val="9"/>
                <w:szCs w:val="9"/>
                <w:color w:val="auto"/>
              </w:rPr>
            </w:pPr>
          </w:p>
        </w:tc>
        <w:tc>
          <w:tcPr>
            <w:tcW w:w="980" w:type="dxa"/>
            <w:vAlign w:val="bottom"/>
            <w:shd w:val="clear" w:color="auto" w:fill="E6E6E6"/>
          </w:tcPr>
          <w:p>
            <w:pPr>
              <w:spacing w:after="0"/>
              <w:rPr>
                <w:sz w:val="9"/>
                <w:szCs w:val="9"/>
                <w:color w:val="auto"/>
              </w:rPr>
            </w:pPr>
          </w:p>
        </w:tc>
      </w:tr>
      <w:tr>
        <w:trPr>
          <w:trHeight w:val="242"/>
        </w:trPr>
        <w:tc>
          <w:tcPr>
            <w:tcW w:w="5340" w:type="dxa"/>
            <w:vAlign w:val="bottom"/>
            <w:tcBorders>
              <w:bottom w:val="single" w:sz="8" w:color="E6E6E6"/>
            </w:tcBorders>
          </w:tcPr>
          <w:p>
            <w:pPr>
              <w:ind w:left="520"/>
              <w:spacing w:after="0"/>
              <w:rPr>
                <w:sz w:val="20"/>
                <w:szCs w:val="20"/>
                <w:color w:val="auto"/>
              </w:rPr>
            </w:pPr>
            <w:r>
              <w:rPr>
                <w:rFonts w:ascii="Arial" w:cs="Arial" w:eastAsia="Arial" w:hAnsi="Arial"/>
                <w:sz w:val="18"/>
                <w:szCs w:val="18"/>
                <w:color w:val="auto"/>
              </w:rPr>
              <w:t>Comprehensive loss attributable to noncontrolling interests</w:t>
            </w: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534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8"/>
                <w:szCs w:val="18"/>
                <w:b w:val="1"/>
                <w:bCs w:val="1"/>
                <w:color w:val="auto"/>
              </w:rPr>
              <w:t>Comprehensive income attributable to Medline Inc.</w:t>
            </w:r>
          </w:p>
        </w:tc>
        <w:tc>
          <w:tcPr>
            <w:tcW w:w="5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1,023</w:t>
            </w:r>
          </w:p>
        </w:tc>
        <w:tc>
          <w:tcPr>
            <w:tcW w:w="6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-6867525</wp:posOffset>
            </wp:positionV>
            <wp:extent cx="301434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-6330315</wp:posOffset>
            </wp:positionV>
            <wp:extent cx="301434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-5255260</wp:posOffset>
            </wp:positionV>
            <wp:extent cx="301434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-5076190</wp:posOffset>
            </wp:positionV>
            <wp:extent cx="301434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-4001135</wp:posOffset>
            </wp:positionV>
            <wp:extent cx="301434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-3822065</wp:posOffset>
            </wp:positionV>
            <wp:extent cx="301434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-3284220</wp:posOffset>
            </wp:positionV>
            <wp:extent cx="301434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-2926080</wp:posOffset>
            </wp:positionV>
            <wp:extent cx="301434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-775970</wp:posOffset>
            </wp:positionV>
            <wp:extent cx="301434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-210185</wp:posOffset>
            </wp:positionV>
            <wp:extent cx="301434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-43815</wp:posOffset>
            </wp:positionV>
            <wp:extent cx="301434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3014345" cy="50800"/>
                    </a:xfrm>
                    <a:prstGeom prst="rect">
                      <a:avLst/>
                    </a:prstGeom>
                    <a:noFill/>
                  </pic:spPr>
                </pic:pic>
              </a:graphicData>
            </a:graphic>
          </wp:anchor>
        </w:drawing>
      </w:r>
    </w:p>
    <w:p>
      <w:pPr>
        <w:spacing w:after="0" w:line="27" w:lineRule="exact"/>
        <w:rPr>
          <w:sz w:val="20"/>
          <w:szCs w:val="20"/>
          <w:color w:val="auto"/>
        </w:rPr>
      </w:pPr>
    </w:p>
    <w:p>
      <w:pPr>
        <w:jc w:val="both"/>
        <w:ind w:left="1" w:hanging="1"/>
        <w:spacing w:after="0" w:line="266" w:lineRule="auto"/>
        <w:tabs>
          <w:tab w:leader="none" w:pos="151" w:val="left"/>
        </w:tabs>
        <w:numPr>
          <w:ilvl w:val="0"/>
          <w:numId w:val="24"/>
        </w:numPr>
        <w:rPr>
          <w:rFonts w:ascii="Arial" w:cs="Arial" w:eastAsia="Arial" w:hAnsi="Arial"/>
          <w:sz w:val="10"/>
          <w:szCs w:val="10"/>
          <w:color w:val="auto"/>
        </w:rPr>
      </w:pPr>
      <w:r>
        <w:rPr>
          <w:rFonts w:ascii="Arial" w:cs="Arial" w:eastAsia="Arial" w:hAnsi="Arial"/>
          <w:sz w:val="16"/>
          <w:szCs w:val="16"/>
          <w:color w:val="auto"/>
        </w:rPr>
        <w:t>Represents net loss per share of Class A common stock and weighted-average shares of Class A common stock outstanding for the period from December 17, 2025, the date after the SEC declared effective the Company's Registration Statement on S-1 filed in connection with its IPO, through December 31, 2025, the period following the reorganization transactions and initial public offering. See Note 1—Nature of Business and Significant Accounting Policies and Note 18— Net Income (Loss)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45085</wp:posOffset>
                </wp:positionH>
                <wp:positionV relativeFrom="paragraph">
                  <wp:posOffset>351790</wp:posOffset>
                </wp:positionV>
                <wp:extent cx="62236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pt,27.7pt" to="493.6pt,27.7pt" o:allowincell="f" strokecolor="#000000" strokeweight="1pt"/>
            </w:pict>
          </mc:Fallback>
        </mc:AlternateConten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See notes to consolidated financial statements.</w:t>
      </w:r>
    </w:p>
    <w:p>
      <w:pPr>
        <w:sectPr>
          <w:pgSz w:w="11880" w:h="15480" w:orient="portrait"/>
          <w:cols w:equalWidth="0" w:num="1">
            <w:col w:w="10261"/>
          </w:cols>
          <w:pgMar w:left="879" w:top="637" w:right="740" w:bottom="0" w:gutter="0" w:footer="0" w:header="0"/>
        </w:sectPr>
      </w:pPr>
    </w:p>
    <w:p>
      <w:pPr>
        <w:spacing w:after="0" w:line="53" w:lineRule="exact"/>
        <w:rPr>
          <w:sz w:val="20"/>
          <w:szCs w:val="20"/>
          <w:color w:val="auto"/>
        </w:rPr>
      </w:pPr>
    </w:p>
    <w:p>
      <w:pPr>
        <w:ind w:left="9701"/>
        <w:spacing w:after="0"/>
        <w:rPr>
          <w:sz w:val="20"/>
          <w:szCs w:val="20"/>
          <w:color w:val="auto"/>
        </w:rPr>
      </w:pPr>
      <w:r>
        <w:rPr>
          <w:rFonts w:ascii="Arial" w:cs="Arial" w:eastAsia="Arial" w:hAnsi="Arial"/>
          <w:sz w:val="10"/>
          <w:szCs w:val="10"/>
          <w:color w:val="auto"/>
        </w:rPr>
        <w:t>85</w:t>
      </w:r>
    </w:p>
    <w:p>
      <w:pPr>
        <w:sectPr>
          <w:pgSz w:w="11880" w:h="15480" w:orient="portrait"/>
          <w:cols w:equalWidth="0" w:num="1">
            <w:col w:w="10261"/>
          </w:cols>
          <w:pgMar w:left="879" w:top="637" w:right="740" w:bottom="0" w:gutter="0" w:footer="0" w:header="0"/>
          <w:type w:val="continuous"/>
        </w:sectPr>
      </w:pPr>
    </w:p>
    <w:bookmarkStart w:id="86" w:name="page87"/>
    <w:bookmarkEnd w:id="86"/>
    <w:p>
      <w:pPr>
        <w:jc w:val="center"/>
        <w:ind w:right="-25"/>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273685</wp:posOffset>
                </wp:positionH>
                <wp:positionV relativeFrom="paragraph">
                  <wp:posOffset>148590</wp:posOffset>
                </wp:positionV>
                <wp:extent cx="622363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11.7pt" to="511.6pt,11.7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CONSOLIDATED STATEMENTS OF STOCKHOLDERS' EQUITY, MEZZANINE EQUITY AND PARTNERS' CAPITAL</w:t>
      </w:r>
    </w:p>
    <w:p>
      <w:pPr>
        <w:spacing w:after="0" w:line="285"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143"/>
              <w:spacing w:after="0"/>
              <w:rPr>
                <w:sz w:val="20"/>
                <w:szCs w:val="20"/>
                <w:color w:val="auto"/>
              </w:rPr>
            </w:pPr>
            <w:r>
              <w:rPr>
                <w:rFonts w:ascii="Arial" w:cs="Arial" w:eastAsia="Arial" w:hAnsi="Arial"/>
                <w:sz w:val="15"/>
                <w:szCs w:val="15"/>
                <w:color w:val="auto"/>
                <w:w w:val="90"/>
              </w:rPr>
              <w:t>Year ended December 31, 2025</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83"/>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5"/>
                <w:szCs w:val="15"/>
                <w:color w:val="auto"/>
                <w:w w:val="99"/>
              </w:rPr>
              <w:t>Mezzanine</w:t>
            </w:r>
          </w:p>
        </w:tc>
        <w:tc>
          <w:tcPr>
            <w:tcW w:w="680" w:type="dxa"/>
            <w:vAlign w:val="bottom"/>
            <w:gridSpan w:val="2"/>
            <w:vMerge w:val="restart"/>
          </w:tcPr>
          <w:p>
            <w:pPr>
              <w:ind w:left="40"/>
              <w:spacing w:after="0"/>
              <w:rPr>
                <w:sz w:val="20"/>
                <w:szCs w:val="20"/>
                <w:color w:val="auto"/>
              </w:rPr>
            </w:pPr>
            <w:r>
              <w:rPr>
                <w:rFonts w:ascii="Arial" w:cs="Arial" w:eastAsia="Arial" w:hAnsi="Arial"/>
                <w:sz w:val="15"/>
                <w:szCs w:val="15"/>
                <w:color w:val="auto"/>
              </w:rPr>
              <w:t>Partners’</w:t>
            </w:r>
          </w:p>
        </w:tc>
        <w:tc>
          <w:tcPr>
            <w:tcW w:w="860" w:type="dxa"/>
            <w:vAlign w:val="bottom"/>
            <w:gridSpan w:val="2"/>
            <w:vMerge w:val="restart"/>
          </w:tcPr>
          <w:p>
            <w:pPr>
              <w:jc w:val="center"/>
              <w:ind w:left="183"/>
              <w:spacing w:after="0"/>
              <w:rPr>
                <w:sz w:val="20"/>
                <w:szCs w:val="20"/>
                <w:color w:val="auto"/>
              </w:rPr>
            </w:pPr>
            <w:r>
              <w:rPr>
                <w:rFonts w:ascii="Arial" w:cs="Arial" w:eastAsia="Arial" w:hAnsi="Arial"/>
                <w:sz w:val="15"/>
                <w:szCs w:val="15"/>
                <w:color w:val="auto"/>
                <w:w w:val="92"/>
              </w:rPr>
              <w:t>Class A</w:t>
            </w:r>
          </w:p>
        </w:tc>
        <w:tc>
          <w:tcPr>
            <w:tcW w:w="260" w:type="dxa"/>
            <w:vAlign w:val="bottom"/>
          </w:tcPr>
          <w:p>
            <w:pPr>
              <w:spacing w:after="0"/>
              <w:rPr>
                <w:sz w:val="16"/>
                <w:szCs w:val="16"/>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5"/>
                <w:szCs w:val="15"/>
                <w:color w:val="auto"/>
                <w:w w:val="92"/>
              </w:rPr>
              <w:t>Class B</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3"/>
              <w:spacing w:after="0"/>
              <w:rPr>
                <w:sz w:val="20"/>
                <w:szCs w:val="20"/>
                <w:color w:val="auto"/>
              </w:rPr>
            </w:pPr>
            <w:r>
              <w:rPr>
                <w:rFonts w:ascii="Arial" w:cs="Arial" w:eastAsia="Arial" w:hAnsi="Arial"/>
                <w:sz w:val="15"/>
                <w:szCs w:val="15"/>
                <w:color w:val="auto"/>
                <w:w w:val="94"/>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color w:val="auto"/>
                <w:w w:val="97"/>
              </w:rPr>
              <w:t>Stockholders’</w:t>
            </w: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80" w:type="dxa"/>
            <w:vAlign w:val="bottom"/>
            <w:gridSpan w:val="2"/>
          </w:tcPr>
          <w:p>
            <w:pPr>
              <w:ind w:left="60"/>
              <w:spacing w:after="0" w:line="155" w:lineRule="exact"/>
              <w:rPr>
                <w:sz w:val="20"/>
                <w:szCs w:val="20"/>
                <w:color w:val="auto"/>
              </w:rPr>
            </w:pPr>
            <w:r>
              <w:rPr>
                <w:rFonts w:ascii="Arial" w:cs="Arial" w:eastAsia="Arial" w:hAnsi="Arial"/>
                <w:sz w:val="15"/>
                <w:szCs w:val="15"/>
                <w:color w:val="auto"/>
              </w:rPr>
              <w:t>Additional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3"/>
              <w:spacing w:after="0" w:line="155" w:lineRule="exact"/>
              <w:rPr>
                <w:sz w:val="20"/>
                <w:szCs w:val="20"/>
                <w:color w:val="auto"/>
              </w:rPr>
            </w:pPr>
            <w:r>
              <w:rPr>
                <w:rFonts w:ascii="Arial" w:cs="Arial" w:eastAsia="Arial" w:hAnsi="Arial"/>
                <w:sz w:val="15"/>
                <w:szCs w:val="15"/>
                <w:color w:val="auto"/>
                <w:w w:val="90"/>
              </w:rPr>
              <w:t>Other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3"/>
              <w:spacing w:after="0" w:line="155" w:lineRule="exact"/>
              <w:rPr>
                <w:sz w:val="20"/>
                <w:szCs w:val="20"/>
                <w:color w:val="auto"/>
              </w:rPr>
            </w:pPr>
            <w:r>
              <w:rPr>
                <w:rFonts w:ascii="Arial" w:cs="Arial" w:eastAsia="Arial" w:hAnsi="Arial"/>
                <w:sz w:val="15"/>
                <w:szCs w:val="15"/>
                <w:color w:val="auto"/>
                <w:w w:val="95"/>
              </w:rPr>
              <w:t>Equity /</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143"/>
              <w:spacing w:after="0"/>
              <w:rPr>
                <w:sz w:val="20"/>
                <w:szCs w:val="20"/>
                <w:color w:val="auto"/>
              </w:rPr>
            </w:pPr>
            <w:r>
              <w:rPr>
                <w:rFonts w:ascii="Arial" w:cs="Arial" w:eastAsia="Arial" w:hAnsi="Arial"/>
                <w:sz w:val="15"/>
                <w:szCs w:val="15"/>
                <w:color w:val="auto"/>
              </w:rPr>
              <w:t>Equity</w:t>
            </w: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Capital</w:t>
            </w:r>
            <w:r>
              <w:rPr>
                <w:rFonts w:ascii="Arial" w:cs="Arial" w:eastAsia="Arial" w:hAnsi="Arial"/>
                <w:sz w:val="9"/>
                <w:szCs w:val="9"/>
                <w:color w:val="auto"/>
              </w:rPr>
              <w:t>(1)</w:t>
            </w: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3"/>
              </w:rPr>
              <w:t>Common Stock</w:t>
            </w: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3"/>
              </w:rPr>
              <w:t>Common Stock</w:t>
            </w:r>
          </w:p>
        </w:tc>
        <w:tc>
          <w:tcPr>
            <w:tcW w:w="140" w:type="dxa"/>
            <w:vAlign w:val="bottom"/>
          </w:tcPr>
          <w:p>
            <w:pPr>
              <w:spacing w:after="0"/>
              <w:rPr>
                <w:sz w:val="16"/>
                <w:szCs w:val="16"/>
                <w:color w:val="auto"/>
              </w:rPr>
            </w:pPr>
          </w:p>
        </w:tc>
        <w:tc>
          <w:tcPr>
            <w:tcW w:w="640" w:type="dxa"/>
            <w:vAlign w:val="bottom"/>
          </w:tcPr>
          <w:p>
            <w:pPr>
              <w:jc w:val="right"/>
              <w:ind w:right="83"/>
              <w:spacing w:after="0"/>
              <w:rPr>
                <w:sz w:val="20"/>
                <w:szCs w:val="20"/>
                <w:color w:val="auto"/>
              </w:rPr>
            </w:pPr>
            <w:r>
              <w:rPr>
                <w:rFonts w:ascii="Arial" w:cs="Arial" w:eastAsia="Arial" w:hAnsi="Arial"/>
                <w:sz w:val="15"/>
                <w:szCs w:val="15"/>
                <w:color w:val="auto"/>
                <w:w w:val="96"/>
              </w:rPr>
              <w:t>Paid-In</w:t>
            </w:r>
          </w:p>
        </w:tc>
        <w:tc>
          <w:tcPr>
            <w:tcW w:w="940" w:type="dxa"/>
            <w:vAlign w:val="bottom"/>
            <w:gridSpan w:val="2"/>
          </w:tcPr>
          <w:p>
            <w:pPr>
              <w:ind w:left="40"/>
              <w:spacing w:after="0"/>
              <w:rPr>
                <w:sz w:val="20"/>
                <w:szCs w:val="20"/>
                <w:color w:val="auto"/>
              </w:rPr>
            </w:pPr>
            <w:r>
              <w:rPr>
                <w:rFonts w:ascii="Arial" w:cs="Arial" w:eastAsia="Arial" w:hAnsi="Arial"/>
                <w:sz w:val="15"/>
                <w:szCs w:val="15"/>
                <w:color w:val="auto"/>
              </w:rPr>
              <w:t>Accumulated</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w w:val="95"/>
              </w:rPr>
              <w:t>Comprehensive</w:t>
            </w: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Noncontrolling</w:t>
            </w:r>
          </w:p>
        </w:tc>
        <w:tc>
          <w:tcPr>
            <w:tcW w:w="140" w:type="dxa"/>
            <w:vAlign w:val="bottom"/>
          </w:tcPr>
          <w:p>
            <w:pPr>
              <w:spacing w:after="0"/>
              <w:rPr>
                <w:sz w:val="16"/>
                <w:szCs w:val="16"/>
                <w:color w:val="auto"/>
              </w:rPr>
            </w:pPr>
          </w:p>
        </w:tc>
        <w:tc>
          <w:tcPr>
            <w:tcW w:w="800" w:type="dxa"/>
            <w:vAlign w:val="bottom"/>
          </w:tcPr>
          <w:p>
            <w:pPr>
              <w:jc w:val="center"/>
              <w:ind w:right="83"/>
              <w:spacing w:after="0"/>
              <w:rPr>
                <w:sz w:val="20"/>
                <w:szCs w:val="20"/>
                <w:color w:val="auto"/>
              </w:rPr>
            </w:pPr>
            <w:r>
              <w:rPr>
                <w:rFonts w:ascii="Arial" w:cs="Arial" w:eastAsia="Arial" w:hAnsi="Arial"/>
                <w:sz w:val="15"/>
                <w:szCs w:val="15"/>
                <w:color w:val="auto"/>
                <w:w w:val="93"/>
              </w:rPr>
              <w:t>Partners’</w:t>
            </w:r>
          </w:p>
        </w:tc>
        <w:tc>
          <w:tcPr>
            <w:tcW w:w="0" w:type="dxa"/>
            <w:vAlign w:val="bottom"/>
          </w:tcPr>
          <w:p>
            <w:pPr>
              <w:spacing w:after="0"/>
              <w:rPr>
                <w:sz w:val="1"/>
                <w:szCs w:val="1"/>
                <w:color w:val="auto"/>
              </w:rPr>
            </w:pPr>
          </w:p>
        </w:tc>
      </w:tr>
      <w:tr>
        <w:trPr>
          <w:trHeight w:val="235"/>
        </w:trPr>
        <w:tc>
          <w:tcPr>
            <w:tcW w:w="2100" w:type="dxa"/>
            <w:vAlign w:val="bottom"/>
            <w:tcBorders>
              <w:bottom w:val="single" w:sz="8" w:color="E6E6E6"/>
            </w:tcBorders>
            <w:gridSpan w:val="2"/>
          </w:tcPr>
          <w:p>
            <w:pPr>
              <w:ind w:left="40"/>
              <w:spacing w:after="0"/>
              <w:rPr>
                <w:sz w:val="20"/>
                <w:szCs w:val="20"/>
                <w:color w:val="auto"/>
              </w:rPr>
            </w:pPr>
            <w:r>
              <w:rPr>
                <w:rFonts w:ascii="Arial" w:cs="Arial" w:eastAsia="Arial" w:hAnsi="Arial"/>
                <w:sz w:val="15"/>
                <w:szCs w:val="15"/>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5"/>
                <w:szCs w:val="15"/>
                <w:color w:val="auto"/>
                <w:w w:val="96"/>
              </w:rPr>
              <w:t>Amount</w:t>
            </w:r>
          </w:p>
        </w:tc>
        <w:tc>
          <w:tcPr>
            <w:tcW w:w="6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Amount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Shares</w:t>
            </w: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Amount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Shares</w:t>
            </w: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Amount</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8"/>
              </w:rPr>
              <w:t>Capital</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Deficit</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3"/>
              </w:rPr>
              <w:t>Income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Interests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4"/>
              </w:rPr>
              <w:t>Capital</w:t>
            </w:r>
          </w:p>
        </w:tc>
        <w:tc>
          <w:tcPr>
            <w:tcW w:w="0" w:type="dxa"/>
            <w:vAlign w:val="bottom"/>
          </w:tcPr>
          <w:p>
            <w:pPr>
              <w:spacing w:after="0"/>
              <w:rPr>
                <w:sz w:val="1"/>
                <w:szCs w:val="1"/>
                <w:color w:val="auto"/>
              </w:rPr>
            </w:pPr>
          </w:p>
        </w:tc>
      </w:tr>
      <w:tr>
        <w:trPr>
          <w:trHeight w:val="201"/>
        </w:trPr>
        <w:tc>
          <w:tcPr>
            <w:tcW w:w="210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5"/>
                <w:szCs w:val="15"/>
                <w:color w:val="auto"/>
              </w:rPr>
              <w:t>Balance, January 1, 2025</w:t>
            </w:r>
          </w:p>
        </w:tc>
        <w:tc>
          <w:tcPr>
            <w:tcW w:w="12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E6E6E6"/>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366</w:t>
            </w:r>
          </w:p>
        </w:tc>
        <w:tc>
          <w:tcPr>
            <w:tcW w:w="120" w:type="dxa"/>
            <w:vAlign w:val="bottom"/>
            <w:tcBorders>
              <w:top w:val="single" w:sz="8" w:color="E6E6E6"/>
            </w:tcBorders>
            <w:shd w:val="clear" w:color="auto" w:fill="E6E6E6"/>
          </w:tcPr>
          <w:p>
            <w:pPr>
              <w:ind w:left="20"/>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E6E6E6"/>
            </w:tcBorders>
            <w:shd w:val="clear" w:color="auto" w:fill="E6E6E6"/>
          </w:tcPr>
          <w:p>
            <w:pPr>
              <w:jc w:val="right"/>
              <w:ind w:right="3"/>
              <w:spacing w:after="0"/>
              <w:rPr>
                <w:sz w:val="20"/>
                <w:szCs w:val="20"/>
                <w:color w:val="auto"/>
              </w:rPr>
            </w:pPr>
            <w:r>
              <w:rPr>
                <w:rFonts w:ascii="Arial" w:cs="Arial" w:eastAsia="Arial" w:hAnsi="Arial"/>
                <w:sz w:val="15"/>
                <w:szCs w:val="15"/>
                <w:color w:val="auto"/>
              </w:rPr>
              <w:t>16,147</w:t>
            </w:r>
          </w:p>
        </w:tc>
        <w:tc>
          <w:tcPr>
            <w:tcW w:w="520" w:type="dxa"/>
            <w:vAlign w:val="bottom"/>
            <w:tcBorders>
              <w:top w:val="single" w:sz="8" w:color="E6E6E6"/>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E6E6E6"/>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E6E6E6"/>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E6E6E6"/>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E6E6E6"/>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11</w:t>
            </w:r>
          </w:p>
        </w:tc>
        <w:tc>
          <w:tcPr>
            <w:tcW w:w="20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auto"/>
            </w:tcBorders>
            <w:shd w:val="clear" w:color="auto" w:fill="E6E6E6"/>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16,158</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Net income prior to</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reorganization transactions</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1,153</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1,153</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Other comprehensive income</w:t>
            </w:r>
          </w:p>
        </w:tc>
        <w:tc>
          <w:tcPr>
            <w:tcW w:w="120" w:type="dxa"/>
            <w:vAlign w:val="bottom"/>
            <w:shd w:val="clear" w:color="auto" w:fill="E6E6E6"/>
          </w:tcPr>
          <w:p>
            <w:pPr>
              <w:spacing w:after="0"/>
              <w:rPr>
                <w:sz w:val="17"/>
                <w:szCs w:val="17"/>
                <w:color w:val="auto"/>
              </w:rPr>
            </w:pPr>
          </w:p>
        </w:tc>
        <w:tc>
          <w:tcPr>
            <w:tcW w:w="680" w:type="dxa"/>
            <w:vAlign w:val="bottom"/>
            <w:tcBorders>
              <w:right w:val="single" w:sz="8" w:color="auto"/>
            </w:tcBorders>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prior to reorganization</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transactions</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31</w:t>
            </w: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w w:val="97"/>
              </w:rPr>
              <w:t>Distributions to partners prior to</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reorganization transactions</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(510)</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Reclass from liability-classified</w:t>
            </w:r>
          </w:p>
        </w:tc>
        <w:tc>
          <w:tcPr>
            <w:tcW w:w="120" w:type="dxa"/>
            <w:vAlign w:val="bottom"/>
            <w:shd w:val="clear" w:color="auto" w:fill="E6E6E6"/>
          </w:tcPr>
          <w:p>
            <w:pPr>
              <w:spacing w:after="0"/>
              <w:rPr>
                <w:sz w:val="17"/>
                <w:szCs w:val="17"/>
                <w:color w:val="auto"/>
              </w:rPr>
            </w:pPr>
          </w:p>
        </w:tc>
        <w:tc>
          <w:tcPr>
            <w:tcW w:w="680" w:type="dxa"/>
            <w:vAlign w:val="bottom"/>
            <w:tcBorders>
              <w:right w:val="single" w:sz="8" w:color="auto"/>
            </w:tcBorders>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units prior to reorganization</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transactions</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10</w:t>
            </w: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Units repurchased prior to</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reorganization transactions</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5"/>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w w:val="94"/>
              </w:rPr>
              <w:t>Stock-based compensation prior</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5"/>
                <w:szCs w:val="15"/>
                <w:color w:val="auto"/>
              </w:rPr>
              <w:t>to reorganization transactions</w:t>
            </w:r>
          </w:p>
        </w:tc>
        <w:tc>
          <w:tcPr>
            <w:tcW w:w="120" w:type="dxa"/>
            <w:vAlign w:val="bottom"/>
            <w:tcBorders>
              <w:bottom w:val="single" w:sz="8" w:color="auto"/>
            </w:tcBorders>
            <w:shd w:val="clear" w:color="auto" w:fill="E6E6E6"/>
          </w:tcPr>
          <w:p>
            <w:pPr>
              <w:spacing w:after="0"/>
              <w:rPr>
                <w:sz w:val="19"/>
                <w:szCs w:val="19"/>
                <w:color w:val="auto"/>
              </w:rPr>
            </w:pPr>
          </w:p>
        </w:tc>
        <w:tc>
          <w:tcPr>
            <w:tcW w:w="680" w:type="dxa"/>
            <w:vAlign w:val="bottom"/>
            <w:tcBorders>
              <w:bottom w:val="single" w:sz="8" w:color="auto"/>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E6E6E6"/>
          </w:tcPr>
          <w:p>
            <w:pPr>
              <w:spacing w:after="0"/>
              <w:rPr>
                <w:sz w:val="19"/>
                <w:szCs w:val="19"/>
                <w:color w:val="auto"/>
              </w:rPr>
            </w:pPr>
          </w:p>
        </w:tc>
        <w:tc>
          <w:tcPr>
            <w:tcW w:w="5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59</w:t>
            </w: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6E6E6"/>
          </w:tcPr>
          <w:p>
            <w:pPr>
              <w:spacing w:after="0"/>
              <w:rPr>
                <w:sz w:val="19"/>
                <w:szCs w:val="19"/>
                <w:color w:val="auto"/>
              </w:rPr>
            </w:pPr>
          </w:p>
        </w:tc>
        <w:tc>
          <w:tcPr>
            <w:tcW w:w="460" w:type="dxa"/>
            <w:vAlign w:val="bottom"/>
            <w:tcBorders>
              <w:bottom w:val="single" w:sz="8" w:color="auto"/>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6E6E6"/>
          </w:tcPr>
          <w:p>
            <w:pPr>
              <w:spacing w:after="0"/>
              <w:rPr>
                <w:sz w:val="19"/>
                <w:szCs w:val="19"/>
                <w:color w:val="auto"/>
              </w:rPr>
            </w:pPr>
          </w:p>
        </w:tc>
        <w:tc>
          <w:tcPr>
            <w:tcW w:w="64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1"/>
        </w:trPr>
        <w:tc>
          <w:tcPr>
            <w:tcW w:w="2100" w:type="dxa"/>
            <w:vAlign w:val="bottom"/>
            <w:tcBorders>
              <w:bottom w:val="single" w:sz="8" w:color="E6E6E6"/>
            </w:tcBorders>
            <w:gridSpan w:val="2"/>
          </w:tcPr>
          <w:p>
            <w:pPr>
              <w:ind w:left="40"/>
              <w:spacing w:after="0"/>
              <w:rPr>
                <w:sz w:val="20"/>
                <w:szCs w:val="20"/>
                <w:color w:val="auto"/>
              </w:rPr>
            </w:pPr>
            <w:r>
              <w:rPr>
                <w:rFonts w:ascii="Arial" w:cs="Arial" w:eastAsia="Arial" w:hAnsi="Arial"/>
                <w:sz w:val="15"/>
                <w:szCs w:val="15"/>
                <w:color w:val="auto"/>
              </w:rPr>
              <w:t>Balance, December 16, 2025</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367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16,830</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16,872</w:t>
            </w:r>
          </w:p>
        </w:tc>
        <w:tc>
          <w:tcPr>
            <w:tcW w:w="0" w:type="dxa"/>
            <w:vAlign w:val="bottom"/>
          </w:tcPr>
          <w:p>
            <w:pPr>
              <w:spacing w:after="0"/>
              <w:rPr>
                <w:sz w:val="1"/>
                <w:szCs w:val="1"/>
                <w:color w:val="auto"/>
              </w:rPr>
            </w:pPr>
          </w:p>
        </w:tc>
      </w:tr>
      <w:tr>
        <w:trPr>
          <w:trHeight w:val="17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Effect of the reorganization</w:t>
            </w:r>
          </w:p>
        </w:tc>
        <w:tc>
          <w:tcPr>
            <w:tcW w:w="120" w:type="dxa"/>
            <w:vAlign w:val="bottom"/>
            <w:shd w:val="clear" w:color="auto" w:fill="E6E6E6"/>
          </w:tcPr>
          <w:p>
            <w:pPr>
              <w:spacing w:after="0"/>
              <w:rPr>
                <w:sz w:val="15"/>
                <w:szCs w:val="15"/>
                <w:color w:val="auto"/>
              </w:rPr>
            </w:pPr>
          </w:p>
        </w:tc>
        <w:tc>
          <w:tcPr>
            <w:tcW w:w="680" w:type="dxa"/>
            <w:vAlign w:val="bottom"/>
            <w:tcBorders>
              <w:right w:val="single" w:sz="8" w:color="auto"/>
            </w:tcBorders>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560" w:type="dxa"/>
            <w:vAlign w:val="bottom"/>
            <w:shd w:val="clear" w:color="auto" w:fill="E6E6E6"/>
          </w:tcPr>
          <w:p>
            <w:pPr>
              <w:spacing w:after="0"/>
              <w:rPr>
                <w:sz w:val="15"/>
                <w:szCs w:val="15"/>
                <w:color w:val="auto"/>
              </w:rPr>
            </w:pPr>
          </w:p>
        </w:tc>
        <w:tc>
          <w:tcPr>
            <w:tcW w:w="52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54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64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76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94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8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transactions</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3"/>
              </w:rPr>
              <w:t>(16,830)</w:t>
            </w: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609</w:t>
            </w: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527</w:t>
            </w: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8,007</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w:t>
            </w: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9,206</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Issuance of Class A common</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stock, net of costs</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248</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7,008</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7,008</w:t>
            </w:r>
          </w:p>
        </w:tc>
        <w:tc>
          <w:tcPr>
            <w:tcW w:w="0" w:type="dxa"/>
            <w:vAlign w:val="bottom"/>
          </w:tcPr>
          <w:p>
            <w:pPr>
              <w:spacing w:after="0"/>
              <w:rPr>
                <w:sz w:val="1"/>
                <w:szCs w:val="1"/>
                <w:color w:val="auto"/>
              </w:rPr>
            </w:pPr>
          </w:p>
        </w:tc>
      </w:tr>
      <w:tr>
        <w:trPr>
          <w:trHeight w:val="215"/>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w w:val="99"/>
              </w:rPr>
              <w:t>Purchases of Class A common</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5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stock and redemptions of</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common units from pre-IPO</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owners</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(45)</w:t>
            </w: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(25)</w:t>
            </w: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(1,323)</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(647)</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(1,970)</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Exchange of common units for</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Class A common stock</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Tax receivable agreement</w:t>
            </w:r>
          </w:p>
        </w:tc>
        <w:tc>
          <w:tcPr>
            <w:tcW w:w="120" w:type="dxa"/>
            <w:vAlign w:val="bottom"/>
            <w:shd w:val="clear" w:color="auto" w:fill="E6E6E6"/>
          </w:tcPr>
          <w:p>
            <w:pPr>
              <w:spacing w:after="0"/>
              <w:rPr>
                <w:sz w:val="20"/>
                <w:szCs w:val="20"/>
                <w:color w:val="auto"/>
              </w:rPr>
            </w:pPr>
          </w:p>
        </w:tc>
        <w:tc>
          <w:tcPr>
            <w:tcW w:w="680" w:type="dxa"/>
            <w:vAlign w:val="bottom"/>
            <w:tcBorders>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20"/>
                <w:szCs w:val="20"/>
                <w:color w:val="auto"/>
              </w:rPr>
            </w:pPr>
          </w:p>
        </w:tc>
        <w:tc>
          <w:tcPr>
            <w:tcW w:w="5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6E6E6"/>
          </w:tcPr>
          <w:p>
            <w:pPr>
              <w:spacing w:after="0"/>
              <w:rPr>
                <w:sz w:val="20"/>
                <w:szCs w:val="20"/>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20"/>
                <w:szCs w:val="20"/>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20"/>
                <w:szCs w:val="20"/>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(3,542)</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20"/>
                <w:szCs w:val="20"/>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6E6"/>
          </w:tcPr>
          <w:p>
            <w:pPr>
              <w:spacing w:after="0"/>
              <w:rPr>
                <w:sz w:val="20"/>
                <w:szCs w:val="20"/>
                <w:color w:val="auto"/>
              </w:rPr>
            </w:pPr>
          </w:p>
        </w:tc>
        <w:tc>
          <w:tcPr>
            <w:tcW w:w="88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(3,542)</w:t>
            </w:r>
          </w:p>
        </w:tc>
        <w:tc>
          <w:tcPr>
            <w:tcW w:w="0" w:type="dxa"/>
            <w:vAlign w:val="bottom"/>
          </w:tcPr>
          <w:p>
            <w:pPr>
              <w:spacing w:after="0"/>
              <w:rPr>
                <w:sz w:val="1"/>
                <w:szCs w:val="1"/>
                <w:color w:val="auto"/>
              </w:rPr>
            </w:pPr>
          </w:p>
        </w:tc>
      </w:tr>
      <w:tr>
        <w:trPr>
          <w:trHeight w:val="187"/>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Recognition of deferred tax</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w w:val="98"/>
              </w:rPr>
              <w:t>assets from equity transactions</w:t>
            </w:r>
          </w:p>
        </w:tc>
        <w:tc>
          <w:tcPr>
            <w:tcW w:w="1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553</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195"/>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Net loss subsequent to</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reorganization transactions</w:t>
            </w:r>
          </w:p>
        </w:tc>
        <w:tc>
          <w:tcPr>
            <w:tcW w:w="120" w:type="dxa"/>
            <w:vAlign w:val="bottom"/>
            <w:shd w:val="clear" w:color="auto" w:fill="E6E6E6"/>
          </w:tcPr>
          <w:p>
            <w:pPr>
              <w:spacing w:after="0"/>
              <w:rPr>
                <w:sz w:val="18"/>
                <w:szCs w:val="18"/>
                <w:color w:val="auto"/>
              </w:rPr>
            </w:pPr>
          </w:p>
        </w:tc>
        <w:tc>
          <w:tcPr>
            <w:tcW w:w="680" w:type="dxa"/>
            <w:vAlign w:val="bottom"/>
            <w:tcBorders>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E6E6E6"/>
          </w:tcPr>
          <w:p>
            <w:pPr>
              <w:spacing w:after="0"/>
              <w:rPr>
                <w:sz w:val="18"/>
                <w:szCs w:val="18"/>
                <w:color w:val="auto"/>
              </w:rPr>
            </w:pPr>
          </w:p>
        </w:tc>
        <w:tc>
          <w:tcPr>
            <w:tcW w:w="5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E6E6E6"/>
          </w:tcPr>
          <w:p>
            <w:pPr>
              <w:spacing w:after="0"/>
              <w:rPr>
                <w:sz w:val="18"/>
                <w:szCs w:val="18"/>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460" w:type="dxa"/>
            <w:vAlign w:val="bottom"/>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0"/>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subsequent to reorganization</w:t>
            </w:r>
          </w:p>
        </w:tc>
        <w:tc>
          <w:tcPr>
            <w:tcW w:w="1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transactions</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Stock-based compensation</w:t>
            </w:r>
          </w:p>
        </w:tc>
        <w:tc>
          <w:tcPr>
            <w:tcW w:w="120" w:type="dxa"/>
            <w:vAlign w:val="bottom"/>
            <w:shd w:val="clear" w:color="auto" w:fill="E6E6E6"/>
          </w:tcPr>
          <w:p>
            <w:pPr>
              <w:spacing w:after="0"/>
              <w:rPr>
                <w:sz w:val="17"/>
                <w:szCs w:val="17"/>
                <w:color w:val="auto"/>
              </w:rPr>
            </w:pPr>
          </w:p>
        </w:tc>
        <w:tc>
          <w:tcPr>
            <w:tcW w:w="680" w:type="dxa"/>
            <w:vAlign w:val="bottom"/>
            <w:tcBorders>
              <w:right w:val="single" w:sz="8" w:color="auto"/>
            </w:tcBorders>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E6E6E6"/>
          </w:tcPr>
          <w:p>
            <w:pPr>
              <w:ind w:left="40"/>
              <w:spacing w:after="0"/>
              <w:rPr>
                <w:sz w:val="20"/>
                <w:szCs w:val="20"/>
                <w:color w:val="auto"/>
              </w:rPr>
            </w:pPr>
            <w:r>
              <w:rPr>
                <w:rFonts w:ascii="Arial" w:cs="Arial" w:eastAsia="Arial" w:hAnsi="Arial"/>
                <w:sz w:val="15"/>
                <w:szCs w:val="15"/>
                <w:color w:val="auto"/>
              </w:rPr>
              <w:t>subsequent to reorganization</w:t>
            </w:r>
          </w:p>
        </w:tc>
        <w:tc>
          <w:tcPr>
            <w:tcW w:w="120" w:type="dxa"/>
            <w:vAlign w:val="bottom"/>
            <w:shd w:val="clear" w:color="auto" w:fill="E6E6E6"/>
          </w:tcPr>
          <w:p>
            <w:pPr>
              <w:spacing w:after="0"/>
              <w:rPr>
                <w:sz w:val="16"/>
                <w:szCs w:val="16"/>
                <w:color w:val="auto"/>
              </w:rPr>
            </w:pPr>
          </w:p>
        </w:tc>
        <w:tc>
          <w:tcPr>
            <w:tcW w:w="680" w:type="dxa"/>
            <w:vAlign w:val="bottom"/>
            <w:tcBorders>
              <w:right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5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9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5"/>
                <w:szCs w:val="15"/>
                <w:color w:val="auto"/>
              </w:rPr>
              <w:t>transactions</w:t>
            </w:r>
          </w:p>
        </w:tc>
        <w:tc>
          <w:tcPr>
            <w:tcW w:w="120" w:type="dxa"/>
            <w:vAlign w:val="bottom"/>
            <w:tcBorders>
              <w:bottom w:val="single" w:sz="8" w:color="auto"/>
            </w:tcBorders>
            <w:shd w:val="clear" w:color="auto" w:fill="E6E6E6"/>
          </w:tcPr>
          <w:p>
            <w:pPr>
              <w:spacing w:after="0"/>
              <w:rPr>
                <w:sz w:val="19"/>
                <w:szCs w:val="19"/>
                <w:color w:val="auto"/>
              </w:rPr>
            </w:pPr>
          </w:p>
        </w:tc>
        <w:tc>
          <w:tcPr>
            <w:tcW w:w="680" w:type="dxa"/>
            <w:vAlign w:val="bottom"/>
            <w:tcBorders>
              <w:bottom w:val="single" w:sz="8" w:color="auto"/>
              <w:right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E6E6E6"/>
          </w:tcPr>
          <w:p>
            <w:pPr>
              <w:spacing w:after="0"/>
              <w:rPr>
                <w:sz w:val="19"/>
                <w:szCs w:val="19"/>
                <w:color w:val="auto"/>
              </w:rPr>
            </w:pPr>
          </w:p>
        </w:tc>
        <w:tc>
          <w:tcPr>
            <w:tcW w:w="5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6E6E6"/>
          </w:tcPr>
          <w:p>
            <w:pPr>
              <w:spacing w:after="0"/>
              <w:rPr>
                <w:sz w:val="19"/>
                <w:szCs w:val="19"/>
                <w:color w:val="auto"/>
              </w:rPr>
            </w:pPr>
          </w:p>
        </w:tc>
        <w:tc>
          <w:tcPr>
            <w:tcW w:w="460" w:type="dxa"/>
            <w:vAlign w:val="bottom"/>
            <w:tcBorders>
              <w:bottom w:val="single" w:sz="8" w:color="auto"/>
            </w:tcBorders>
            <w:shd w:val="clear" w:color="auto" w:fill="E6E6E6"/>
          </w:tcPr>
          <w:p>
            <w:pPr>
              <w:ind w:lef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E6E6E6"/>
          </w:tcPr>
          <w:p>
            <w:pPr>
              <w:spacing w:after="0"/>
              <w:rPr>
                <w:sz w:val="19"/>
                <w:szCs w:val="19"/>
                <w:color w:val="auto"/>
              </w:rPr>
            </w:pPr>
          </w:p>
        </w:tc>
        <w:tc>
          <w:tcPr>
            <w:tcW w:w="64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4</w:t>
            </w: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E6E6E6"/>
          </w:tcPr>
          <w:p>
            <w:pPr>
              <w:spacing w:after="0"/>
              <w:rPr>
                <w:sz w:val="19"/>
                <w:szCs w:val="19"/>
                <w:color w:val="auto"/>
              </w:rPr>
            </w:pPr>
          </w:p>
        </w:tc>
        <w:tc>
          <w:tcPr>
            <w:tcW w:w="88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color w:val="auto"/>
              </w:rPr>
              <w:t>2</w:t>
            </w:r>
          </w:p>
        </w:tc>
        <w:tc>
          <w:tcPr>
            <w:tcW w:w="14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0"/>
        </w:trPr>
        <w:tc>
          <w:tcPr>
            <w:tcW w:w="2100" w:type="dxa"/>
            <w:vAlign w:val="bottom"/>
            <w:gridSpan w:val="2"/>
          </w:tcPr>
          <w:p>
            <w:pPr>
              <w:ind w:left="40"/>
              <w:spacing w:after="0"/>
              <w:rPr>
                <w:sz w:val="20"/>
                <w:szCs w:val="20"/>
                <w:color w:val="auto"/>
              </w:rPr>
            </w:pPr>
            <w:r>
              <w:rPr>
                <w:rFonts w:ascii="Arial" w:cs="Arial" w:eastAsia="Arial" w:hAnsi="Arial"/>
                <w:sz w:val="15"/>
                <w:szCs w:val="15"/>
                <w:color w:val="auto"/>
              </w:rPr>
              <w:t>Balance, December 31, 2025</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812</w:t>
            </w:r>
          </w:p>
        </w:tc>
        <w:tc>
          <w:tcPr>
            <w:tcW w:w="340" w:type="dxa"/>
            <w:vAlign w:val="bottom"/>
          </w:tcPr>
          <w:p>
            <w:pPr>
              <w:ind w:left="40"/>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502</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10,717</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27</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8,549</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-5556885</wp:posOffset>
            </wp:positionV>
            <wp:extent cx="130619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1306195" cy="254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-5072380</wp:posOffset>
            </wp:positionV>
            <wp:extent cx="24136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2413635" cy="2540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-4925695</wp:posOffset>
            </wp:positionV>
            <wp:extent cx="130619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1306195" cy="2540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-3004185</wp:posOffset>
            </wp:positionV>
            <wp:extent cx="130619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1306195" cy="2540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-2858135</wp:posOffset>
            </wp:positionV>
            <wp:extent cx="130619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1306195" cy="2540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-177165</wp:posOffset>
            </wp:positionV>
            <wp:extent cx="130619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a:extLst>
                        <a:ext uri="{28A0092B-C50C-407E-A947-70E740481C1C}"/>
                      </a:extLst>
                    </a:blip>
                    <a:srcRect/>
                    <a:stretch>
                      <a:fillRect/>
                    </a:stretch>
                  </pic:blipFill>
                  <pic:spPr bwMode="auto">
                    <a:xfrm>
                      <a:off x="0" y="0"/>
                      <a:ext cx="1306195" cy="2540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-48895</wp:posOffset>
            </wp:positionV>
            <wp:extent cx="5460365" cy="622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5460365" cy="62230"/>
                    </a:xfrm>
                    <a:prstGeom prst="rect">
                      <a:avLst/>
                    </a:prstGeom>
                    <a:noFill/>
                  </pic:spPr>
                </pic:pic>
              </a:graphicData>
            </a:graphic>
          </wp:anchor>
        </w:drawing>
      </w:r>
    </w:p>
    <w:p>
      <w:pPr>
        <w:ind w:left="146" w:hanging="146"/>
        <w:spacing w:after="0"/>
        <w:tabs>
          <w:tab w:leader="none" w:pos="146" w:val="left"/>
        </w:tabs>
        <w:numPr>
          <w:ilvl w:val="0"/>
          <w:numId w:val="25"/>
        </w:numPr>
        <w:rPr>
          <w:rFonts w:ascii="Arial" w:cs="Arial" w:eastAsia="Arial" w:hAnsi="Arial"/>
          <w:sz w:val="10"/>
          <w:szCs w:val="10"/>
          <w:color w:val="auto"/>
        </w:rPr>
      </w:pPr>
      <w:r>
        <w:rPr>
          <w:rFonts w:ascii="Arial" w:cs="Arial" w:eastAsia="Arial" w:hAnsi="Arial"/>
          <w:sz w:val="15"/>
          <w:szCs w:val="15"/>
          <w:color w:val="auto"/>
        </w:rPr>
        <w:t>Reflects Partners’ Capital, net of Accumulated other comprehensive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213360</wp:posOffset>
                </wp:positionH>
                <wp:positionV relativeFrom="paragraph">
                  <wp:posOffset>2122805</wp:posOffset>
                </wp:positionV>
                <wp:extent cx="622363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pt,167.15pt" to="506.85pt,167.1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See notes to consolidated financial statements.</w:t>
      </w:r>
    </w:p>
    <w:p>
      <w:pPr>
        <w:spacing w:after="0" w:line="53" w:lineRule="exact"/>
        <w:rPr>
          <w:sz w:val="20"/>
          <w:szCs w:val="20"/>
          <w:color w:val="auto"/>
        </w:rPr>
      </w:pPr>
    </w:p>
    <w:p>
      <w:pPr>
        <w:ind w:left="9966"/>
        <w:spacing w:after="0"/>
        <w:rPr>
          <w:sz w:val="20"/>
          <w:szCs w:val="20"/>
          <w:color w:val="auto"/>
        </w:rPr>
      </w:pPr>
      <w:r>
        <w:rPr>
          <w:rFonts w:ascii="Arial" w:cs="Arial" w:eastAsia="Arial" w:hAnsi="Arial"/>
          <w:sz w:val="12"/>
          <w:szCs w:val="12"/>
          <w:color w:val="auto"/>
        </w:rPr>
        <w:t>86</w:t>
      </w:r>
    </w:p>
    <w:p>
      <w:pPr>
        <w:sectPr>
          <w:pgSz w:w="11880" w:h="15480" w:orient="portrait"/>
          <w:cols w:equalWidth="0" w:num="1">
            <w:col w:w="10646"/>
          </w:cols>
          <w:pgMar w:left="614" w:top="637" w:right="620" w:bottom="0" w:gutter="0" w:footer="0" w:header="0"/>
        </w:sectPr>
      </w:pPr>
    </w:p>
    <w:bookmarkStart w:id="87" w:name="page88"/>
    <w:bookmarkEnd w:id="87"/>
    <w:p>
      <w:pPr>
        <w:jc w:val="center"/>
        <w:ind w:right="-19"/>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269875</wp:posOffset>
                </wp:positionH>
                <wp:positionV relativeFrom="paragraph">
                  <wp:posOffset>148590</wp:posOffset>
                </wp:positionV>
                <wp:extent cx="622363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1.7pt" to="511.3pt,11.7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STOCKHOLDERS' EQUITY, MEZZANINE EQUITY AND PARTNERS' CAPITAL</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11"/>
          </w:tcPr>
          <w:p>
            <w:pPr>
              <w:ind w:left="100"/>
              <w:spacing w:after="0"/>
              <w:rPr>
                <w:sz w:val="20"/>
                <w:szCs w:val="20"/>
                <w:color w:val="auto"/>
              </w:rPr>
            </w:pPr>
            <w:r>
              <w:rPr>
                <w:rFonts w:ascii="Arial" w:cs="Arial" w:eastAsia="Arial" w:hAnsi="Arial"/>
                <w:sz w:val="15"/>
                <w:szCs w:val="15"/>
                <w:color w:val="auto"/>
                <w:w w:val="90"/>
              </w:rPr>
              <w:t>Year ended December 31, 2024</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11"/>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11"/>
          </w:tcPr>
          <w:p>
            <w:pPr>
              <w:ind w:left="200"/>
              <w:spacing w:after="0"/>
              <w:rPr>
                <w:sz w:val="20"/>
                <w:szCs w:val="20"/>
                <w:color w:val="auto"/>
              </w:rPr>
            </w:pPr>
            <w:r>
              <w:rPr>
                <w:rFonts w:ascii="Arial" w:cs="Arial" w:eastAsia="Arial" w:hAnsi="Arial"/>
                <w:sz w:val="15"/>
                <w:szCs w:val="15"/>
                <w:color w:val="auto"/>
              </w:rPr>
              <w:t>Mezzanine Equity</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10"/>
          </w:tcPr>
          <w:p>
            <w:pPr>
              <w:jc w:val="center"/>
              <w:ind w:left="23"/>
              <w:spacing w:after="0"/>
              <w:rPr>
                <w:sz w:val="20"/>
                <w:szCs w:val="20"/>
                <w:color w:val="auto"/>
              </w:rPr>
            </w:pPr>
            <w:r>
              <w:rPr>
                <w:rFonts w:ascii="Arial" w:cs="Arial" w:eastAsia="Arial" w:hAnsi="Arial"/>
                <w:sz w:val="15"/>
                <w:szCs w:val="15"/>
                <w:color w:val="auto"/>
                <w:w w:val="90"/>
              </w:rPr>
              <w:t>Partners' Capital</w:t>
            </w: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96"/>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5"/>
                <w:szCs w:val="15"/>
                <w:color w:val="auto"/>
                <w:w w:val="95"/>
              </w:rPr>
              <w:t>Total</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5"/>
                <w:szCs w:val="15"/>
                <w:color w:val="auto"/>
                <w:w w:val="94"/>
              </w:rPr>
              <w:t>Accumulated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4"/>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7"/>
          </w:tcPr>
          <w:p>
            <w:pPr>
              <w:jc w:val="center"/>
              <w:spacing w:after="0"/>
              <w:rPr>
                <w:sz w:val="20"/>
                <w:szCs w:val="20"/>
                <w:color w:val="auto"/>
              </w:rPr>
            </w:pPr>
            <w:r>
              <w:rPr>
                <w:rFonts w:ascii="Arial" w:cs="Arial" w:eastAsia="Arial" w:hAnsi="Arial"/>
                <w:sz w:val="15"/>
                <w:szCs w:val="15"/>
                <w:color w:val="auto"/>
                <w:w w:val="88"/>
              </w:rPr>
              <w:t>Stock-based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5"/>
                <w:szCs w:val="15"/>
                <w:color w:val="auto"/>
                <w:w w:val="93"/>
              </w:rPr>
              <w:t>Mezzanine</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5"/>
                <w:szCs w:val="15"/>
                <w:color w:val="auto"/>
                <w:w w:val="95"/>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Total</w:t>
            </w:r>
          </w:p>
        </w:tc>
      </w:tr>
      <w:tr>
        <w:trPr>
          <w:trHeight w:val="190"/>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color w:val="auto"/>
                <w:w w:val="92"/>
              </w:rPr>
              <w:t>Class A</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color w:val="auto"/>
                <w:w w:val="93"/>
              </w:rPr>
              <w:t>Compensation</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5"/>
                <w:szCs w:val="15"/>
                <w:color w:val="auto"/>
              </w:rPr>
              <w:t>Equity</w:t>
            </w:r>
          </w:p>
        </w:tc>
        <w:tc>
          <w:tcPr>
            <w:tcW w:w="1220" w:type="dxa"/>
            <w:vAlign w:val="bottom"/>
            <w:tcBorders>
              <w:bottom w:val="single" w:sz="8" w:color="auto"/>
            </w:tcBorders>
            <w:gridSpan w:val="6"/>
          </w:tcPr>
          <w:p>
            <w:pPr>
              <w:ind w:left="360"/>
              <w:spacing w:after="0"/>
              <w:rPr>
                <w:sz w:val="20"/>
                <w:szCs w:val="20"/>
                <w:color w:val="auto"/>
              </w:rPr>
            </w:pPr>
            <w:r>
              <w:rPr>
                <w:rFonts w:ascii="Arial" w:cs="Arial" w:eastAsia="Arial" w:hAnsi="Arial"/>
                <w:sz w:val="15"/>
                <w:szCs w:val="15"/>
                <w:color w:val="auto"/>
              </w:rPr>
              <w:t>Class A</w:t>
            </w:r>
          </w:p>
        </w:tc>
        <w:tc>
          <w:tcPr>
            <w:tcW w:w="40" w:type="dxa"/>
            <w:vAlign w:val="bottom"/>
          </w:tcPr>
          <w:p>
            <w:pPr>
              <w:spacing w:after="0"/>
              <w:rPr>
                <w:sz w:val="16"/>
                <w:szCs w:val="16"/>
                <w:color w:val="auto"/>
              </w:rPr>
            </w:pPr>
          </w:p>
        </w:tc>
        <w:tc>
          <w:tcPr>
            <w:tcW w:w="1140" w:type="dxa"/>
            <w:vAlign w:val="bottom"/>
            <w:tcBorders>
              <w:bottom w:val="single" w:sz="8" w:color="auto"/>
            </w:tcBorders>
            <w:gridSpan w:val="6"/>
          </w:tcPr>
          <w:p>
            <w:pPr>
              <w:ind w:left="340"/>
              <w:spacing w:after="0"/>
              <w:rPr>
                <w:sz w:val="20"/>
                <w:szCs w:val="20"/>
                <w:color w:val="auto"/>
              </w:rPr>
            </w:pPr>
            <w:r>
              <w:rPr>
                <w:rFonts w:ascii="Arial" w:cs="Arial" w:eastAsia="Arial" w:hAnsi="Arial"/>
                <w:sz w:val="15"/>
                <w:szCs w:val="15"/>
                <w:color w:val="auto"/>
              </w:rPr>
              <w:t>Class B</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ind w:left="120"/>
              <w:spacing w:after="0"/>
              <w:rPr>
                <w:sz w:val="20"/>
                <w:szCs w:val="20"/>
                <w:color w:val="auto"/>
              </w:rPr>
            </w:pPr>
            <w:r>
              <w:rPr>
                <w:rFonts w:ascii="Arial" w:cs="Arial" w:eastAsia="Arial" w:hAnsi="Arial"/>
                <w:sz w:val="15"/>
                <w:szCs w:val="15"/>
                <w:color w:val="auto"/>
              </w:rPr>
              <w:t>Class B CUPI</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5"/>
                <w:szCs w:val="15"/>
                <w:color w:val="auto"/>
                <w:w w:val="91"/>
              </w:rPr>
              <w:t>Comprehensive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3"/>
              </w:rPr>
              <w:t>Partners’</w:t>
            </w:r>
          </w:p>
        </w:tc>
      </w:tr>
      <w:tr>
        <w:trPr>
          <w:trHeight w:val="211"/>
        </w:trPr>
        <w:tc>
          <w:tcPr>
            <w:tcW w:w="1880" w:type="dxa"/>
            <w:vAlign w:val="bottom"/>
            <w:tcBorders>
              <w:bottom w:val="single" w:sz="8" w:color="E6E6E6"/>
            </w:tcBorders>
            <w:gridSpan w:val="3"/>
          </w:tcPr>
          <w:p>
            <w:pPr>
              <w:ind w:left="60"/>
              <w:spacing w:after="0"/>
              <w:rPr>
                <w:sz w:val="20"/>
                <w:szCs w:val="20"/>
                <w:color w:val="auto"/>
              </w:rPr>
            </w:pPr>
            <w:r>
              <w:rPr>
                <w:rFonts w:ascii="Arial" w:cs="Arial" w:eastAsia="Arial" w:hAnsi="Arial"/>
                <w:sz w:val="15"/>
                <w:szCs w:val="15"/>
                <w:b w:val="1"/>
                <w:bCs w:val="1"/>
                <w:i w:val="1"/>
                <w:iCs w:val="1"/>
                <w:color w:val="auto"/>
              </w:rPr>
              <w:t>(in millions)</w:t>
            </w: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rPr>
              <w:t>Units</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68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Units</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6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5"/>
                <w:szCs w:val="15"/>
                <w:color w:val="auto"/>
                <w:w w:val="96"/>
              </w:rPr>
              <w:t>Amount</w:t>
            </w: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Units</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Amount</w:t>
            </w:r>
          </w:p>
        </w:tc>
        <w:tc>
          <w:tcPr>
            <w:tcW w:w="4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Units</w:t>
            </w:r>
          </w:p>
        </w:tc>
        <w:tc>
          <w:tcPr>
            <w:tcW w:w="40" w:type="dxa"/>
            <w:vAlign w:val="bottom"/>
            <w:tcBorders>
              <w:bottom w:val="single" w:sz="8" w:color="E6E6E6"/>
            </w:tcBorders>
          </w:tcPr>
          <w:p>
            <w:pPr>
              <w:spacing w:after="0"/>
              <w:rPr>
                <w:sz w:val="18"/>
                <w:szCs w:val="18"/>
                <w:color w:val="auto"/>
              </w:rPr>
            </w:pPr>
          </w:p>
        </w:tc>
        <w:tc>
          <w:tcPr>
            <w:tcW w:w="6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3"/>
              </w:rPr>
              <w:t>Units</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6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color w:val="auto"/>
                <w:w w:val="93"/>
              </w:rPr>
              <w:t>Income</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Capital</w:t>
            </w:r>
          </w:p>
        </w:tc>
      </w:tr>
      <w:tr>
        <w:trPr>
          <w:trHeight w:val="220"/>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Balance, January 1, 2024</w:t>
            </w: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128</w:t>
            </w:r>
          </w:p>
        </w:tc>
        <w:tc>
          <w:tcPr>
            <w:tcW w:w="40" w:type="dxa"/>
            <w:vAlign w:val="bottom"/>
            <w:shd w:val="clear" w:color="auto" w:fill="E6E6E6"/>
          </w:tcPr>
          <w:p>
            <w:pPr>
              <w:spacing w:after="0"/>
              <w:rPr>
                <w:sz w:val="19"/>
                <w:szCs w:val="19"/>
                <w:color w:val="auto"/>
              </w:rPr>
            </w:pPr>
          </w:p>
        </w:tc>
        <w:tc>
          <w:tcPr>
            <w:tcW w:w="400" w:type="dxa"/>
            <w:vAlign w:val="bottom"/>
            <w:gridSpan w:val="3"/>
            <w:shd w:val="clear" w:color="auto" w:fill="E6E6E6"/>
          </w:tcPr>
          <w:p>
            <w:pPr>
              <w:ind w:left="120"/>
              <w:spacing w:after="0"/>
              <w:rPr>
                <w:sz w:val="20"/>
                <w:szCs w:val="20"/>
                <w:color w:val="auto"/>
              </w:rPr>
            </w:pPr>
            <w:r>
              <w:rPr>
                <w:rFonts w:ascii="Arial" w:cs="Arial" w:eastAsia="Arial" w:hAnsi="Arial"/>
                <w:sz w:val="15"/>
                <w:szCs w:val="15"/>
                <w:color w:val="auto"/>
              </w:rPr>
              <w:t>$</w:t>
            </w:r>
          </w:p>
        </w:tc>
        <w:tc>
          <w:tcPr>
            <w:tcW w:w="30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178</w:t>
            </w:r>
          </w:p>
        </w:tc>
        <w:tc>
          <w:tcPr>
            <w:tcW w:w="40" w:type="dxa"/>
            <w:vAlign w:val="bottom"/>
            <w:shd w:val="clear" w:color="auto" w:fill="E6E6E6"/>
          </w:tcPr>
          <w:p>
            <w:pPr>
              <w:spacing w:after="0"/>
              <w:rPr>
                <w:sz w:val="19"/>
                <w:szCs w:val="19"/>
                <w:color w:val="auto"/>
              </w:rPr>
            </w:pPr>
          </w:p>
        </w:tc>
        <w:tc>
          <w:tcPr>
            <w:tcW w:w="48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82</w:t>
            </w:r>
          </w:p>
        </w:tc>
        <w:tc>
          <w:tcPr>
            <w:tcW w:w="40" w:type="dxa"/>
            <w:vAlign w:val="bottom"/>
            <w:shd w:val="clear" w:color="auto" w:fill="E6E6E6"/>
          </w:tcPr>
          <w:p>
            <w:pPr>
              <w:spacing w:after="0"/>
              <w:rPr>
                <w:sz w:val="19"/>
                <w:szCs w:val="19"/>
                <w:color w:val="auto"/>
              </w:rPr>
            </w:pPr>
          </w:p>
        </w:tc>
        <w:tc>
          <w:tcPr>
            <w:tcW w:w="280" w:type="dxa"/>
            <w:vAlign w:val="bottom"/>
            <w:gridSpan w:val="3"/>
            <w:shd w:val="clear" w:color="auto" w:fill="E6E6E6"/>
          </w:tcPr>
          <w:p>
            <w:pPr>
              <w:ind w:left="120"/>
              <w:spacing w:after="0"/>
              <w:rPr>
                <w:sz w:val="20"/>
                <w:szCs w:val="20"/>
                <w:color w:val="auto"/>
              </w:rPr>
            </w:pPr>
            <w:r>
              <w:rPr>
                <w:rFonts w:ascii="Arial" w:cs="Arial" w:eastAsia="Arial" w:hAnsi="Arial"/>
                <w:sz w:val="15"/>
                <w:szCs w:val="15"/>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55</w:t>
            </w:r>
          </w:p>
        </w:tc>
        <w:tc>
          <w:tcPr>
            <w:tcW w:w="40" w:type="dxa"/>
            <w:vAlign w:val="bottom"/>
            <w:shd w:val="clear" w:color="auto" w:fill="E6E6E6"/>
          </w:tcPr>
          <w:p>
            <w:pPr>
              <w:spacing w:after="0"/>
              <w:rPr>
                <w:sz w:val="19"/>
                <w:szCs w:val="19"/>
                <w:color w:val="auto"/>
              </w:rPr>
            </w:pPr>
          </w:p>
        </w:tc>
        <w:tc>
          <w:tcPr>
            <w:tcW w:w="20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E6E6E6"/>
          </w:tcPr>
          <w:p>
            <w:pPr>
              <w:jc w:val="center"/>
              <w:ind w:left="263"/>
              <w:spacing w:after="0"/>
              <w:rPr>
                <w:sz w:val="20"/>
                <w:szCs w:val="20"/>
                <w:color w:val="auto"/>
              </w:rPr>
            </w:pPr>
            <w:r>
              <w:rPr>
                <w:rFonts w:ascii="Arial" w:cs="Arial" w:eastAsia="Arial" w:hAnsi="Arial"/>
                <w:sz w:val="15"/>
                <w:szCs w:val="15"/>
                <w:color w:val="auto"/>
                <w:w w:val="87"/>
              </w:rPr>
              <w:t>233</w:t>
            </w:r>
          </w:p>
        </w:tc>
        <w:tc>
          <w:tcPr>
            <w:tcW w:w="120" w:type="dxa"/>
            <w:vAlign w:val="bottom"/>
            <w:tcBorders>
              <w:right w:val="single" w:sz="8" w:color="auto"/>
            </w:tcBorders>
            <w:shd w:val="clear" w:color="auto" w:fill="E6E6E6"/>
          </w:tcPr>
          <w:p>
            <w:pPr>
              <w:spacing w:after="0"/>
              <w:rPr>
                <w:sz w:val="19"/>
                <w:szCs w:val="19"/>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16,723</w:t>
            </w:r>
          </w:p>
        </w:tc>
        <w:tc>
          <w:tcPr>
            <w:tcW w:w="40" w:type="dxa"/>
            <w:vAlign w:val="bottom"/>
            <w:shd w:val="clear" w:color="auto" w:fill="E6E6E6"/>
          </w:tcPr>
          <w:p>
            <w:pPr>
              <w:spacing w:after="0"/>
              <w:rPr>
                <w:sz w:val="19"/>
                <w:szCs w:val="19"/>
                <w:color w:val="auto"/>
              </w:rPr>
            </w:pPr>
          </w:p>
        </w:tc>
        <w:tc>
          <w:tcPr>
            <w:tcW w:w="64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w w:val="99"/>
              </w:rPr>
              <w:t>$ 16,422</w:t>
            </w:r>
          </w:p>
        </w:tc>
        <w:tc>
          <w:tcPr>
            <w:tcW w:w="40" w:type="dxa"/>
            <w:vAlign w:val="bottom"/>
            <w:shd w:val="clear" w:color="auto" w:fill="E6E6E6"/>
          </w:tcPr>
          <w:p>
            <w:pPr>
              <w:spacing w:after="0"/>
              <w:rPr>
                <w:sz w:val="19"/>
                <w:szCs w:val="19"/>
                <w:color w:val="auto"/>
              </w:rPr>
            </w:pP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754</w:t>
            </w:r>
          </w:p>
        </w:tc>
        <w:tc>
          <w:tcPr>
            <w:tcW w:w="60" w:type="dxa"/>
            <w:vAlign w:val="bottom"/>
            <w:shd w:val="clear" w:color="auto" w:fill="E6E6E6"/>
          </w:tcPr>
          <w:p>
            <w:pPr>
              <w:spacing w:after="0"/>
              <w:rPr>
                <w:sz w:val="19"/>
                <w:szCs w:val="19"/>
                <w:color w:val="auto"/>
              </w:rPr>
            </w:pPr>
          </w:p>
        </w:tc>
        <w:tc>
          <w:tcPr>
            <w:tcW w:w="320" w:type="dxa"/>
            <w:vAlign w:val="bottom"/>
            <w:gridSpan w:val="2"/>
            <w:shd w:val="clear" w:color="auto" w:fill="E6E6E6"/>
          </w:tcPr>
          <w:p>
            <w:pPr>
              <w:ind w:left="100"/>
              <w:spacing w:after="0"/>
              <w:rPr>
                <w:sz w:val="20"/>
                <w:szCs w:val="20"/>
                <w:color w:val="auto"/>
              </w:rPr>
            </w:pPr>
            <w:r>
              <w:rPr>
                <w:rFonts w:ascii="Arial" w:cs="Arial" w:eastAsia="Arial" w:hAnsi="Arial"/>
                <w:sz w:val="15"/>
                <w:szCs w:val="15"/>
                <w:color w:val="auto"/>
              </w:rPr>
              <w:t>$</w:t>
            </w:r>
          </w:p>
        </w:tc>
        <w:tc>
          <w:tcPr>
            <w:tcW w:w="30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87"/>
              </w:rPr>
              <w:t>108</w:t>
            </w:r>
          </w:p>
        </w:tc>
        <w:tc>
          <w:tcPr>
            <w:tcW w:w="40" w:type="dxa"/>
            <w:vAlign w:val="bottom"/>
            <w:shd w:val="clear" w:color="auto" w:fill="E6E6E6"/>
          </w:tcPr>
          <w:p>
            <w:pPr>
              <w:spacing w:after="0"/>
              <w:rPr>
                <w:sz w:val="19"/>
                <w:szCs w:val="19"/>
                <w:color w:val="auto"/>
              </w:rPr>
            </w:pPr>
          </w:p>
        </w:tc>
        <w:tc>
          <w:tcPr>
            <w:tcW w:w="480" w:type="dxa"/>
            <w:vAlign w:val="bottom"/>
            <w:gridSpan w:val="4"/>
            <w:shd w:val="clear" w:color="auto" w:fill="E6E6E6"/>
          </w:tcPr>
          <w:p>
            <w:pPr>
              <w:jc w:val="right"/>
              <w:spacing w:after="0"/>
              <w:rPr>
                <w:sz w:val="20"/>
                <w:szCs w:val="20"/>
                <w:color w:val="auto"/>
              </w:rPr>
            </w:pPr>
            <w:r>
              <w:rPr>
                <w:rFonts w:ascii="Arial" w:cs="Arial" w:eastAsia="Arial" w:hAnsi="Arial"/>
                <w:sz w:val="15"/>
                <w:szCs w:val="15"/>
                <w:color w:val="auto"/>
              </w:rPr>
              <w:t>23</w:t>
            </w:r>
          </w:p>
        </w:tc>
        <w:tc>
          <w:tcPr>
            <w:tcW w:w="40" w:type="dxa"/>
            <w:vAlign w:val="bottom"/>
            <w:shd w:val="clear" w:color="auto" w:fill="E6E6E6"/>
          </w:tcPr>
          <w:p>
            <w:pPr>
              <w:spacing w:after="0"/>
              <w:rPr>
                <w:sz w:val="19"/>
                <w:szCs w:val="19"/>
                <w:color w:val="auto"/>
              </w:rPr>
            </w:pPr>
          </w:p>
        </w:tc>
        <w:tc>
          <w:tcPr>
            <w:tcW w:w="360" w:type="dxa"/>
            <w:vAlign w:val="bottom"/>
            <w:gridSpan w:val="3"/>
            <w:shd w:val="clear" w:color="auto" w:fill="E6E6E6"/>
          </w:tcPr>
          <w:p>
            <w:pPr>
              <w:ind w:left="120"/>
              <w:spacing w:after="0"/>
              <w:rPr>
                <w:sz w:val="20"/>
                <w:szCs w:val="20"/>
                <w:color w:val="auto"/>
              </w:rPr>
            </w:pPr>
            <w:r>
              <w:rPr>
                <w:rFonts w:ascii="Arial" w:cs="Arial" w:eastAsia="Arial" w:hAnsi="Arial"/>
                <w:sz w:val="15"/>
                <w:szCs w:val="15"/>
                <w:color w:val="auto"/>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E6E6E6"/>
          </w:tcPr>
          <w:p>
            <w:pPr>
              <w:spacing w:after="0"/>
              <w:rPr>
                <w:sz w:val="19"/>
                <w:szCs w:val="19"/>
                <w:color w:val="auto"/>
              </w:rPr>
            </w:pPr>
          </w:p>
        </w:tc>
        <w:tc>
          <w:tcPr>
            <w:tcW w:w="260" w:type="dxa"/>
            <w:vAlign w:val="bottom"/>
            <w:gridSpan w:val="3"/>
            <w:shd w:val="clear" w:color="auto" w:fill="E6E6E6"/>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188</w:t>
            </w:r>
          </w:p>
        </w:tc>
        <w:tc>
          <w:tcPr>
            <w:tcW w:w="20" w:type="dxa"/>
            <w:vAlign w:val="bottom"/>
            <w:shd w:val="clear" w:color="auto" w:fill="E6E6E6"/>
          </w:tcPr>
          <w:p>
            <w:pPr>
              <w:spacing w:after="0"/>
              <w:rPr>
                <w:sz w:val="19"/>
                <w:szCs w:val="19"/>
                <w:color w:val="auto"/>
              </w:rPr>
            </w:pP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$ 16,744</w:t>
            </w:r>
          </w:p>
        </w:tc>
      </w:tr>
      <w:tr>
        <w:trPr>
          <w:trHeight w:val="223"/>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Net income</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Borders>
              <w:right w:val="single" w:sz="8" w:color="auto"/>
            </w:tcBorders>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1,104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1,163</w:t>
            </w:r>
          </w:p>
        </w:tc>
      </w:tr>
      <w:tr>
        <w:trPr>
          <w:trHeight w:val="238"/>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Other comprehensive loss</w:t>
            </w:r>
          </w:p>
        </w:tc>
        <w:tc>
          <w:tcPr>
            <w:tcW w:w="4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4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0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tcBorders>
              <w:right w:val="single" w:sz="8" w:color="auto"/>
            </w:tcBorders>
            <w:gridSpan w:val="2"/>
            <w:shd w:val="clear" w:color="auto" w:fill="E6E6E6"/>
          </w:tcPr>
          <w:p>
            <w:pPr>
              <w:jc w:val="right"/>
              <w:ind w:right="12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62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20"/>
                <w:szCs w:val="20"/>
                <w:color w:val="auto"/>
              </w:rPr>
            </w:pPr>
          </w:p>
        </w:tc>
        <w:tc>
          <w:tcPr>
            <w:tcW w:w="48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32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(177)</w:t>
            </w:r>
          </w:p>
        </w:tc>
        <w:tc>
          <w:tcPr>
            <w:tcW w:w="20" w:type="dxa"/>
            <w:vAlign w:val="bottom"/>
            <w:shd w:val="clear" w:color="auto" w:fill="E6E6E6"/>
          </w:tcPr>
          <w:p>
            <w:pPr>
              <w:spacing w:after="0"/>
              <w:rPr>
                <w:sz w:val="20"/>
                <w:szCs w:val="20"/>
                <w:color w:val="auto"/>
              </w:rPr>
            </w:pP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(177)</w:t>
            </w:r>
          </w:p>
        </w:tc>
      </w:tr>
      <w:tr>
        <w:trPr>
          <w:trHeight w:val="187"/>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Reclass from liability-</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classified units</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9</w:t>
            </w:r>
          </w:p>
        </w:tc>
      </w:tr>
      <w:tr>
        <w:trPr>
          <w:trHeight w:val="238"/>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Units repurchased</w:t>
            </w:r>
          </w:p>
        </w:tc>
        <w:tc>
          <w:tcPr>
            <w:tcW w:w="4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(5)</w:t>
            </w: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right w:val="single" w:sz="8" w:color="auto"/>
            </w:tcBorders>
            <w:shd w:val="clear" w:color="auto" w:fill="E6E6E6"/>
          </w:tcPr>
          <w:p>
            <w:pPr>
              <w:spacing w:after="0"/>
              <w:rPr>
                <w:sz w:val="20"/>
                <w:szCs w:val="20"/>
                <w:color w:val="auto"/>
              </w:rPr>
            </w:pPr>
          </w:p>
        </w:tc>
        <w:tc>
          <w:tcPr>
            <w:tcW w:w="5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62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(44)</w:t>
            </w:r>
          </w:p>
        </w:tc>
        <w:tc>
          <w:tcPr>
            <w:tcW w:w="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w:t>
            </w: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32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8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(18)</w:t>
            </w:r>
          </w:p>
        </w:tc>
      </w:tr>
      <w:tr>
        <w:trPr>
          <w:trHeight w:val="223"/>
        </w:trPr>
        <w:tc>
          <w:tcPr>
            <w:tcW w:w="1880" w:type="dxa"/>
            <w:vAlign w:val="bottom"/>
            <w:gridSpan w:val="3"/>
          </w:tcPr>
          <w:p>
            <w:pPr>
              <w:ind w:left="40"/>
              <w:spacing w:after="0"/>
              <w:rPr>
                <w:sz w:val="20"/>
                <w:szCs w:val="20"/>
                <w:color w:val="auto"/>
              </w:rPr>
            </w:pPr>
            <w:r>
              <w:rPr>
                <w:rFonts w:ascii="Arial" w:cs="Arial" w:eastAsia="Arial" w:hAnsi="Arial"/>
                <w:sz w:val="15"/>
                <w:szCs w:val="15"/>
                <w:color w:val="auto"/>
              </w:rPr>
              <w:t>Stock-based compensation</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53</w:t>
            </w:r>
          </w:p>
        </w:tc>
      </w:tr>
      <w:tr>
        <w:trPr>
          <w:trHeight w:val="198"/>
        </w:trPr>
        <w:tc>
          <w:tcPr>
            <w:tcW w:w="1880" w:type="dxa"/>
            <w:vAlign w:val="bottom"/>
            <w:gridSpan w:val="3"/>
            <w:shd w:val="clear" w:color="auto" w:fill="E6E6E6"/>
          </w:tcPr>
          <w:p>
            <w:pPr>
              <w:ind w:left="40"/>
              <w:spacing w:after="0"/>
              <w:rPr>
                <w:sz w:val="20"/>
                <w:szCs w:val="20"/>
                <w:color w:val="auto"/>
              </w:rPr>
            </w:pPr>
            <w:r>
              <w:rPr>
                <w:rFonts w:ascii="Arial" w:cs="Arial" w:eastAsia="Arial" w:hAnsi="Arial"/>
                <w:sz w:val="15"/>
                <w:szCs w:val="15"/>
                <w:color w:val="auto"/>
              </w:rPr>
              <w:t>Adjustment of puttable</w:t>
            </w:r>
          </w:p>
        </w:tc>
        <w:tc>
          <w:tcPr>
            <w:tcW w:w="4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120" w:type="dxa"/>
            <w:vAlign w:val="bottom"/>
            <w:tcBorders>
              <w:right w:val="single" w:sz="8" w:color="auto"/>
            </w:tcBorders>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r>
      <w:tr>
        <w:trPr>
          <w:trHeight w:val="184"/>
        </w:trPr>
        <w:tc>
          <w:tcPr>
            <w:tcW w:w="1880" w:type="dxa"/>
            <w:vAlign w:val="bottom"/>
            <w:gridSpan w:val="3"/>
            <w:shd w:val="clear" w:color="auto" w:fill="E6E6E6"/>
          </w:tcPr>
          <w:p>
            <w:pPr>
              <w:ind w:left="40"/>
              <w:spacing w:after="0"/>
              <w:rPr>
                <w:sz w:val="20"/>
                <w:szCs w:val="20"/>
                <w:color w:val="auto"/>
              </w:rPr>
            </w:pPr>
            <w:r>
              <w:rPr>
                <w:rFonts w:ascii="Arial" w:cs="Arial" w:eastAsia="Arial" w:hAnsi="Arial"/>
                <w:sz w:val="15"/>
                <w:szCs w:val="15"/>
                <w:color w:val="auto"/>
                <w:w w:val="96"/>
              </w:rPr>
              <w:t>common units to redemption</w:t>
            </w:r>
          </w:p>
        </w:tc>
        <w:tc>
          <w:tcPr>
            <w:tcW w:w="4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3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00" w:type="dxa"/>
            <w:vAlign w:val="bottom"/>
            <w:shd w:val="clear" w:color="auto" w:fill="E6E6E6"/>
          </w:tcPr>
          <w:p>
            <w:pPr>
              <w:spacing w:after="0"/>
              <w:rPr>
                <w:sz w:val="16"/>
                <w:szCs w:val="16"/>
                <w:color w:val="auto"/>
              </w:rPr>
            </w:pPr>
          </w:p>
        </w:tc>
        <w:tc>
          <w:tcPr>
            <w:tcW w:w="120" w:type="dxa"/>
            <w:vAlign w:val="bottom"/>
            <w:tcBorders>
              <w:right w:val="single" w:sz="8" w:color="auto"/>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r>
      <w:tr>
        <w:trPr>
          <w:trHeight w:val="217"/>
        </w:trPr>
        <w:tc>
          <w:tcPr>
            <w:tcW w:w="1880" w:type="dxa"/>
            <w:vAlign w:val="bottom"/>
            <w:gridSpan w:val="3"/>
            <w:shd w:val="clear" w:color="auto" w:fill="E6E6E6"/>
          </w:tcPr>
          <w:p>
            <w:pPr>
              <w:ind w:left="40"/>
              <w:spacing w:after="0"/>
              <w:rPr>
                <w:sz w:val="20"/>
                <w:szCs w:val="20"/>
                <w:color w:val="auto"/>
              </w:rPr>
            </w:pPr>
            <w:r>
              <w:rPr>
                <w:rFonts w:ascii="Arial" w:cs="Arial" w:eastAsia="Arial" w:hAnsi="Arial"/>
                <w:sz w:val="15"/>
                <w:szCs w:val="15"/>
                <w:color w:val="auto"/>
              </w:rPr>
              <w:t>value</w:t>
            </w:r>
          </w:p>
        </w:tc>
        <w:tc>
          <w:tcPr>
            <w:tcW w:w="4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58</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40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58</w:t>
            </w:r>
          </w:p>
        </w:tc>
        <w:tc>
          <w:tcPr>
            <w:tcW w:w="120" w:type="dxa"/>
            <w:vAlign w:val="bottom"/>
            <w:tcBorders>
              <w:right w:val="single" w:sz="8" w:color="auto"/>
            </w:tcBorders>
            <w:shd w:val="clear" w:color="auto" w:fill="E6E6E6"/>
          </w:tcPr>
          <w:p>
            <w:pPr>
              <w:spacing w:after="0"/>
              <w:rPr>
                <w:sz w:val="18"/>
                <w:szCs w:val="18"/>
                <w:color w:val="auto"/>
              </w:rPr>
            </w:pPr>
          </w:p>
        </w:tc>
        <w:tc>
          <w:tcPr>
            <w:tcW w:w="5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(58)</w:t>
            </w:r>
          </w:p>
        </w:tc>
        <w:tc>
          <w:tcPr>
            <w:tcW w:w="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48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4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32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(58)</w:t>
            </w:r>
          </w:p>
        </w:tc>
      </w:tr>
      <w:tr>
        <w:trPr>
          <w:trHeight w:val="190"/>
        </w:trPr>
        <w:tc>
          <w:tcPr>
            <w:tcW w:w="1880" w:type="dxa"/>
            <w:vAlign w:val="bottom"/>
            <w:gridSpan w:val="3"/>
          </w:tcPr>
          <w:p>
            <w:pPr>
              <w:ind w:left="40"/>
              <w:spacing w:after="0"/>
              <w:rPr>
                <w:sz w:val="20"/>
                <w:szCs w:val="20"/>
                <w:color w:val="auto"/>
              </w:rPr>
            </w:pPr>
            <w:r>
              <w:rPr>
                <w:rFonts w:ascii="Arial" w:cs="Arial" w:eastAsia="Arial" w:hAnsi="Arial"/>
                <w:sz w:val="15"/>
                <w:szCs w:val="15"/>
                <w:color w:val="auto"/>
              </w:rPr>
              <w:t>Adjustment of stock-based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4"/>
        </w:trPr>
        <w:tc>
          <w:tcPr>
            <w:tcW w:w="1880" w:type="dxa"/>
            <w:vAlign w:val="bottom"/>
            <w:gridSpan w:val="3"/>
          </w:tcPr>
          <w:p>
            <w:pPr>
              <w:ind w:left="40"/>
              <w:spacing w:after="0"/>
              <w:rPr>
                <w:sz w:val="20"/>
                <w:szCs w:val="20"/>
                <w:color w:val="auto"/>
              </w:rPr>
            </w:pPr>
            <w:r>
              <w:rPr>
                <w:rFonts w:ascii="Arial" w:cs="Arial" w:eastAsia="Arial" w:hAnsi="Arial"/>
                <w:sz w:val="15"/>
                <w:szCs w:val="15"/>
                <w:color w:val="auto"/>
                <w:w w:val="96"/>
              </w:rPr>
              <w:t>compensation to redemption</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1880" w:type="dxa"/>
            <w:vAlign w:val="bottom"/>
            <w:gridSpan w:val="3"/>
          </w:tcPr>
          <w:p>
            <w:pPr>
              <w:ind w:left="40"/>
              <w:spacing w:after="0"/>
              <w:rPr>
                <w:sz w:val="20"/>
                <w:szCs w:val="20"/>
                <w:color w:val="auto"/>
              </w:rPr>
            </w:pPr>
            <w:r>
              <w:rPr>
                <w:rFonts w:ascii="Arial" w:cs="Arial" w:eastAsia="Arial" w:hAnsi="Arial"/>
                <w:sz w:val="15"/>
                <w:szCs w:val="15"/>
                <w:color w:val="auto"/>
              </w:rPr>
              <w:t>value</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Borders>
              <w:right w:val="single" w:sz="8" w:color="auto"/>
            </w:tcBorders>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(57)</w:t>
            </w:r>
          </w:p>
        </w:tc>
      </w:tr>
      <w:tr>
        <w:trPr>
          <w:trHeight w:val="246"/>
        </w:trPr>
        <w:tc>
          <w:tcPr>
            <w:tcW w:w="188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15"/>
                <w:szCs w:val="15"/>
                <w:color w:val="auto"/>
              </w:rPr>
              <w:t>Distribution to partners</w:t>
            </w:r>
          </w:p>
        </w:tc>
        <w:tc>
          <w:tcPr>
            <w:tcW w:w="460" w:type="dxa"/>
            <w:vAlign w:val="bottom"/>
            <w:tcBorders>
              <w:bottom w:val="single" w:sz="8" w:color="auto"/>
            </w:tcBorders>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auto"/>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(9)</w:t>
            </w:r>
          </w:p>
        </w:tc>
        <w:tc>
          <w:tcPr>
            <w:tcW w:w="4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460" w:type="dxa"/>
            <w:vAlign w:val="bottom"/>
            <w:tcBorders>
              <w:bottom w:val="single" w:sz="8" w:color="auto"/>
            </w:tcBorders>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(8)</w:t>
            </w:r>
          </w:p>
        </w:tc>
        <w:tc>
          <w:tcPr>
            <w:tcW w:w="4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spacing w:after="0"/>
              <w:rPr>
                <w:sz w:val="21"/>
                <w:szCs w:val="21"/>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auto"/>
              <w:right w:val="single" w:sz="8" w:color="auto"/>
            </w:tcBorders>
            <w:shd w:val="clear" w:color="auto" w:fill="E6E6E6"/>
          </w:tcPr>
          <w:p>
            <w:pPr>
              <w:spacing w:after="0"/>
              <w:rPr>
                <w:sz w:val="21"/>
                <w:szCs w:val="21"/>
                <w:color w:val="auto"/>
              </w:rPr>
            </w:pPr>
          </w:p>
        </w:tc>
        <w:tc>
          <w:tcPr>
            <w:tcW w:w="540" w:type="dxa"/>
            <w:vAlign w:val="bottom"/>
            <w:tcBorders>
              <w:bottom w:val="single" w:sz="8" w:color="auto"/>
            </w:tcBorders>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gridSpan w:val="2"/>
            <w:shd w:val="clear" w:color="auto" w:fill="E6E6E6"/>
          </w:tcPr>
          <w:p>
            <w:pPr>
              <w:spacing w:after="0"/>
              <w:rPr>
                <w:sz w:val="21"/>
                <w:szCs w:val="21"/>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(1,435)</w:t>
            </w:r>
          </w:p>
        </w:tc>
        <w:tc>
          <w:tcPr>
            <w:tcW w:w="40" w:type="dxa"/>
            <w:vAlign w:val="bottom"/>
            <w:tcBorders>
              <w:bottom w:val="single" w:sz="8" w:color="auto"/>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480" w:type="dxa"/>
            <w:vAlign w:val="bottom"/>
            <w:tcBorders>
              <w:bottom w:val="single" w:sz="8" w:color="auto"/>
            </w:tcBorders>
            <w:gridSpan w:val="2"/>
            <w:shd w:val="clear" w:color="auto" w:fill="E6E6E6"/>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(64)</w:t>
            </w:r>
          </w:p>
        </w:tc>
        <w:tc>
          <w:tcPr>
            <w:tcW w:w="4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440" w:type="dxa"/>
            <w:vAlign w:val="bottom"/>
            <w:tcBorders>
              <w:bottom w:val="single" w:sz="8" w:color="auto"/>
            </w:tcBorders>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w:t>
            </w:r>
          </w:p>
        </w:tc>
        <w:tc>
          <w:tcPr>
            <w:tcW w:w="4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gridSpan w:val="2"/>
            <w:shd w:val="clear" w:color="auto" w:fill="E6E6E6"/>
          </w:tcPr>
          <w:p>
            <w:pPr>
              <w:jc w:val="right"/>
              <w:ind w:right="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E6E6E6"/>
            </w:tcBorders>
            <w:gridSpan w:val="2"/>
            <w:shd w:val="clear" w:color="auto" w:fill="E6E6E6"/>
          </w:tcPr>
          <w:p>
            <w:pPr>
              <w:spacing w:after="0"/>
              <w:rPr>
                <w:sz w:val="21"/>
                <w:szCs w:val="21"/>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(1,501)</w:t>
            </w:r>
          </w:p>
        </w:tc>
      </w:tr>
      <w:tr>
        <w:trPr>
          <w:trHeight w:val="213"/>
        </w:trPr>
        <w:tc>
          <w:tcPr>
            <w:tcW w:w="1880" w:type="dxa"/>
            <w:vAlign w:val="bottom"/>
            <w:gridSpan w:val="3"/>
          </w:tcPr>
          <w:p>
            <w:pPr>
              <w:ind w:left="40"/>
              <w:spacing w:after="0"/>
              <w:rPr>
                <w:sz w:val="20"/>
                <w:szCs w:val="20"/>
                <w:color w:val="auto"/>
              </w:rPr>
            </w:pPr>
            <w:r>
              <w:rPr>
                <w:rFonts w:ascii="Arial" w:cs="Arial" w:eastAsia="Arial" w:hAnsi="Arial"/>
                <w:sz w:val="15"/>
                <w:szCs w:val="15"/>
                <w:color w:val="auto"/>
                <w:w w:val="93"/>
              </w:rPr>
              <w:t>Balance, December 31, 2024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237</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color w:val="auto"/>
                <w:w w:val="87"/>
              </w:rPr>
              <w:t>366</w:t>
            </w:r>
          </w:p>
        </w:tc>
        <w:tc>
          <w:tcPr>
            <w:tcW w:w="1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16,723</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$ 15,976</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123</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23</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$ 16,158</w:t>
            </w:r>
          </w:p>
        </w:tc>
      </w:tr>
      <w:tr>
        <w:trPr>
          <w:trHeight w:val="710"/>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1"/>
          </w:tcPr>
          <w:p>
            <w:pPr>
              <w:ind w:left="80"/>
              <w:spacing w:after="0"/>
              <w:rPr>
                <w:sz w:val="20"/>
                <w:szCs w:val="20"/>
                <w:color w:val="auto"/>
              </w:rPr>
            </w:pPr>
            <w:r>
              <w:rPr>
                <w:rFonts w:ascii="Arial" w:cs="Arial" w:eastAsia="Arial" w:hAnsi="Arial"/>
                <w:sz w:val="15"/>
                <w:szCs w:val="15"/>
                <w:color w:val="auto"/>
                <w:w w:val="91"/>
              </w:rPr>
              <w:t>Year ended December 31, 2023</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11"/>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11"/>
          </w:tcPr>
          <w:p>
            <w:pPr>
              <w:ind w:left="160"/>
              <w:spacing w:after="0"/>
              <w:rPr>
                <w:sz w:val="20"/>
                <w:szCs w:val="20"/>
                <w:color w:val="auto"/>
              </w:rPr>
            </w:pPr>
            <w:r>
              <w:rPr>
                <w:rFonts w:ascii="Arial" w:cs="Arial" w:eastAsia="Arial" w:hAnsi="Arial"/>
                <w:sz w:val="15"/>
                <w:szCs w:val="15"/>
                <w:color w:val="auto"/>
              </w:rPr>
              <w:t>Mezzanine Equity</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5"/>
                <w:szCs w:val="15"/>
                <w:color w:val="auto"/>
                <w:w w:val="90"/>
              </w:rPr>
              <w:t>Partners' Capital</w:t>
            </w: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96"/>
        </w:trPr>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03"/>
              <w:spacing w:after="0"/>
              <w:rPr>
                <w:sz w:val="20"/>
                <w:szCs w:val="20"/>
                <w:color w:val="auto"/>
              </w:rPr>
            </w:pPr>
            <w:r>
              <w:rPr>
                <w:rFonts w:ascii="Arial" w:cs="Arial" w:eastAsia="Arial" w:hAnsi="Arial"/>
                <w:sz w:val="15"/>
                <w:szCs w:val="15"/>
                <w:color w:val="auto"/>
              </w:rPr>
              <w:t>Total</w:t>
            </w:r>
          </w:p>
        </w:tc>
        <w:tc>
          <w:tcPr>
            <w:tcW w:w="1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5"/>
                <w:szCs w:val="15"/>
                <w:color w:val="auto"/>
                <w:w w:val="94"/>
              </w:rPr>
              <w:t>Accumulated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4"/>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7"/>
          </w:tcPr>
          <w:p>
            <w:pPr>
              <w:ind w:left="160"/>
              <w:spacing w:after="0"/>
              <w:rPr>
                <w:sz w:val="20"/>
                <w:szCs w:val="20"/>
                <w:color w:val="auto"/>
              </w:rPr>
            </w:pPr>
            <w:r>
              <w:rPr>
                <w:rFonts w:ascii="Arial" w:cs="Arial" w:eastAsia="Arial" w:hAnsi="Arial"/>
                <w:sz w:val="15"/>
                <w:szCs w:val="15"/>
                <w:color w:val="auto"/>
              </w:rPr>
              <w:t>Stock-based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5"/>
                <w:szCs w:val="15"/>
                <w:color w:val="auto"/>
                <w:w w:val="90"/>
              </w:rPr>
              <w:t>Mezzanine</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Total</w:t>
            </w:r>
          </w:p>
        </w:tc>
      </w:tr>
      <w:tr>
        <w:trPr>
          <w:trHeight w:val="190"/>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center"/>
              <w:ind w:left="183"/>
              <w:spacing w:after="0"/>
              <w:rPr>
                <w:sz w:val="20"/>
                <w:szCs w:val="20"/>
                <w:color w:val="auto"/>
              </w:rPr>
            </w:pPr>
            <w:r>
              <w:rPr>
                <w:rFonts w:ascii="Arial" w:cs="Arial" w:eastAsia="Arial" w:hAnsi="Arial"/>
                <w:sz w:val="15"/>
                <w:szCs w:val="15"/>
                <w:color w:val="auto"/>
                <w:w w:val="92"/>
              </w:rPr>
              <w:t>Class A</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color w:val="auto"/>
              </w:rPr>
              <w:t>Compensation</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rPr>
              <w:t>Equity</w:t>
            </w:r>
          </w:p>
        </w:tc>
        <w:tc>
          <w:tcPr>
            <w:tcW w:w="120" w:type="dxa"/>
            <w:vAlign w:val="bottom"/>
            <w:tcBorders>
              <w:right w:val="single" w:sz="8" w:color="auto"/>
            </w:tcBorders>
          </w:tcPr>
          <w:p>
            <w:pPr>
              <w:spacing w:after="0"/>
              <w:rPr>
                <w:sz w:val="16"/>
                <w:szCs w:val="16"/>
                <w:color w:val="auto"/>
              </w:rPr>
            </w:pPr>
          </w:p>
        </w:tc>
        <w:tc>
          <w:tcPr>
            <w:tcW w:w="1180" w:type="dxa"/>
            <w:vAlign w:val="bottom"/>
            <w:tcBorders>
              <w:bottom w:val="single" w:sz="8" w:color="auto"/>
            </w:tcBorders>
            <w:gridSpan w:val="5"/>
          </w:tcPr>
          <w:p>
            <w:pPr>
              <w:jc w:val="right"/>
              <w:ind w:right="303"/>
              <w:spacing w:after="0"/>
              <w:rPr>
                <w:sz w:val="20"/>
                <w:szCs w:val="20"/>
                <w:color w:val="auto"/>
              </w:rPr>
            </w:pPr>
            <w:r>
              <w:rPr>
                <w:rFonts w:ascii="Arial" w:cs="Arial" w:eastAsia="Arial" w:hAnsi="Arial"/>
                <w:sz w:val="15"/>
                <w:szCs w:val="15"/>
                <w:color w:val="auto"/>
              </w:rPr>
              <w:t>Class A</w:t>
            </w: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ind w:left="300"/>
              <w:spacing w:after="0"/>
              <w:rPr>
                <w:sz w:val="20"/>
                <w:szCs w:val="20"/>
                <w:color w:val="auto"/>
              </w:rPr>
            </w:pPr>
            <w:r>
              <w:rPr>
                <w:rFonts w:ascii="Arial" w:cs="Arial" w:eastAsia="Arial" w:hAnsi="Arial"/>
                <w:sz w:val="15"/>
                <w:szCs w:val="15"/>
                <w:color w:val="auto"/>
                <w:w w:val="92"/>
              </w:rPr>
              <w:t>Class B</w:t>
            </w:r>
          </w:p>
        </w:tc>
        <w:tc>
          <w:tcPr>
            <w:tcW w:w="3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5"/>
                <w:szCs w:val="15"/>
                <w:color w:val="auto"/>
              </w:rPr>
              <w:t>Class B CUPI</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5"/>
                <w:szCs w:val="15"/>
                <w:color w:val="auto"/>
                <w:w w:val="91"/>
              </w:rPr>
              <w:t>Comprehensive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3"/>
              </w:rPr>
              <w:t>Partners’</w:t>
            </w:r>
          </w:p>
        </w:tc>
      </w:tr>
      <w:tr>
        <w:trPr>
          <w:trHeight w:val="211"/>
        </w:trPr>
        <w:tc>
          <w:tcPr>
            <w:tcW w:w="1860" w:type="dxa"/>
            <w:vAlign w:val="bottom"/>
            <w:tcBorders>
              <w:bottom w:val="single" w:sz="8" w:color="E6E6E6"/>
            </w:tcBorders>
            <w:gridSpan w:val="2"/>
          </w:tcPr>
          <w:p>
            <w:pPr>
              <w:ind w:left="60"/>
              <w:spacing w:after="0"/>
              <w:rPr>
                <w:sz w:val="20"/>
                <w:szCs w:val="20"/>
                <w:color w:val="auto"/>
              </w:rPr>
            </w:pPr>
            <w:r>
              <w:rPr>
                <w:rFonts w:ascii="Arial" w:cs="Arial" w:eastAsia="Arial" w:hAnsi="Arial"/>
                <w:sz w:val="15"/>
                <w:szCs w:val="15"/>
                <w:b w:val="1"/>
                <w:bCs w:val="1"/>
                <w:i w:val="1"/>
                <w:iCs w:val="1"/>
                <w:color w:val="auto"/>
              </w:rPr>
              <w:t>(in millions)</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Units</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Amount</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Units</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6"/>
              </w:rPr>
              <w:t>Amount</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6"/>
              </w:rPr>
              <w:t>Amount</w:t>
            </w:r>
          </w:p>
        </w:tc>
        <w:tc>
          <w:tcPr>
            <w:tcW w:w="120" w:type="dxa"/>
            <w:vAlign w:val="bottom"/>
            <w:tcBorders>
              <w:bottom w:val="single" w:sz="8" w:color="E6E6E6"/>
              <w:right w:val="single" w:sz="8" w:color="auto"/>
            </w:tcBorders>
          </w:tcPr>
          <w:p>
            <w:pPr>
              <w:spacing w:after="0"/>
              <w:rPr>
                <w:sz w:val="18"/>
                <w:szCs w:val="18"/>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Units</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Amount</w:t>
            </w:r>
          </w:p>
        </w:tc>
        <w:tc>
          <w:tcPr>
            <w:tcW w:w="4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Units</w:t>
            </w:r>
          </w:p>
        </w:tc>
        <w:tc>
          <w:tcPr>
            <w:tcW w:w="6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Amount</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Units</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Amount</w:t>
            </w: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color w:val="auto"/>
                <w:w w:val="97"/>
              </w:rPr>
              <w:t>Income</w:t>
            </w: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Capital</w:t>
            </w:r>
          </w:p>
        </w:tc>
      </w:tr>
      <w:tr>
        <w:trPr>
          <w:trHeight w:val="221"/>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Balance, January 1, 2023</w:t>
            </w:r>
          </w:p>
        </w:tc>
        <w:tc>
          <w:tcPr>
            <w:tcW w:w="42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128</w:t>
            </w:r>
          </w:p>
        </w:tc>
        <w:tc>
          <w:tcPr>
            <w:tcW w:w="40" w:type="dxa"/>
            <w:vAlign w:val="bottom"/>
            <w:shd w:val="clear" w:color="auto" w:fill="E6E6E6"/>
          </w:tcPr>
          <w:p>
            <w:pPr>
              <w:spacing w:after="0"/>
              <w:rPr>
                <w:sz w:val="19"/>
                <w:szCs w:val="19"/>
                <w:color w:val="auto"/>
              </w:rPr>
            </w:pPr>
          </w:p>
        </w:tc>
        <w:tc>
          <w:tcPr>
            <w:tcW w:w="400" w:type="dxa"/>
            <w:vAlign w:val="bottom"/>
            <w:gridSpan w:val="3"/>
            <w:shd w:val="clear" w:color="auto" w:fill="E6E6E6"/>
          </w:tcPr>
          <w:p>
            <w:pPr>
              <w:jc w:val="center"/>
              <w:ind w:right="83"/>
              <w:spacing w:after="0"/>
              <w:rPr>
                <w:sz w:val="20"/>
                <w:szCs w:val="20"/>
                <w:color w:val="auto"/>
              </w:rPr>
            </w:pPr>
            <w:r>
              <w:rPr>
                <w:rFonts w:ascii="Arial" w:cs="Arial" w:eastAsia="Arial" w:hAnsi="Arial"/>
                <w:sz w:val="15"/>
                <w:szCs w:val="15"/>
                <w:color w:val="auto"/>
                <w:w w:val="95"/>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w w:val="87"/>
              </w:rPr>
              <w:t>138</w:t>
            </w:r>
          </w:p>
        </w:tc>
        <w:tc>
          <w:tcPr>
            <w:tcW w:w="40" w:type="dxa"/>
            <w:vAlign w:val="bottom"/>
            <w:shd w:val="clear" w:color="auto" w:fill="E6E6E6"/>
          </w:tcPr>
          <w:p>
            <w:pPr>
              <w:spacing w:after="0"/>
              <w:rPr>
                <w:sz w:val="19"/>
                <w:szCs w:val="19"/>
                <w:color w:val="auto"/>
              </w:rPr>
            </w:pPr>
          </w:p>
        </w:tc>
        <w:tc>
          <w:tcPr>
            <w:tcW w:w="48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48</w:t>
            </w:r>
          </w:p>
        </w:tc>
        <w:tc>
          <w:tcPr>
            <w:tcW w:w="40" w:type="dxa"/>
            <w:vAlign w:val="bottom"/>
            <w:shd w:val="clear" w:color="auto" w:fill="E6E6E6"/>
          </w:tcPr>
          <w:p>
            <w:pPr>
              <w:spacing w:after="0"/>
              <w:rPr>
                <w:sz w:val="19"/>
                <w:szCs w:val="19"/>
                <w:color w:val="auto"/>
              </w:rPr>
            </w:pPr>
          </w:p>
        </w:tc>
        <w:tc>
          <w:tcPr>
            <w:tcW w:w="280" w:type="dxa"/>
            <w:vAlign w:val="bottom"/>
            <w:gridSpan w:val="3"/>
            <w:shd w:val="clear" w:color="auto" w:fill="E6E6E6"/>
          </w:tcPr>
          <w:p>
            <w:pPr>
              <w:jc w:val="center"/>
              <w:ind w:right="3"/>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18</w:t>
            </w:r>
          </w:p>
        </w:tc>
        <w:tc>
          <w:tcPr>
            <w:tcW w:w="40" w:type="dxa"/>
            <w:vAlign w:val="bottom"/>
            <w:shd w:val="clear" w:color="auto" w:fill="E6E6E6"/>
          </w:tcPr>
          <w:p>
            <w:pPr>
              <w:spacing w:after="0"/>
              <w:rPr>
                <w:sz w:val="19"/>
                <w:szCs w:val="19"/>
                <w:color w:val="auto"/>
              </w:rPr>
            </w:pPr>
          </w:p>
        </w:tc>
        <w:tc>
          <w:tcPr>
            <w:tcW w:w="20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156</w:t>
            </w:r>
          </w:p>
        </w:tc>
        <w:tc>
          <w:tcPr>
            <w:tcW w:w="120" w:type="dxa"/>
            <w:vAlign w:val="bottom"/>
            <w:tcBorders>
              <w:right w:val="single" w:sz="8" w:color="auto"/>
            </w:tcBorders>
            <w:shd w:val="clear" w:color="auto" w:fill="E6E6E6"/>
          </w:tcPr>
          <w:p>
            <w:pPr>
              <w:spacing w:after="0"/>
              <w:rPr>
                <w:sz w:val="19"/>
                <w:szCs w:val="19"/>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5"/>
                <w:szCs w:val="15"/>
                <w:color w:val="auto"/>
                <w:w w:val="91"/>
              </w:rPr>
              <w:t>16,723</w:t>
            </w:r>
          </w:p>
        </w:tc>
        <w:tc>
          <w:tcPr>
            <w:tcW w:w="40" w:type="dxa"/>
            <w:vAlign w:val="bottom"/>
            <w:shd w:val="clear" w:color="auto" w:fill="E6E6E6"/>
          </w:tcPr>
          <w:p>
            <w:pPr>
              <w:spacing w:after="0"/>
              <w:rPr>
                <w:sz w:val="19"/>
                <w:szCs w:val="19"/>
                <w:color w:val="auto"/>
              </w:rPr>
            </w:pPr>
          </w:p>
        </w:tc>
        <w:tc>
          <w:tcPr>
            <w:tcW w:w="640" w:type="dxa"/>
            <w:vAlign w:val="bottom"/>
            <w:gridSpan w:val="3"/>
            <w:shd w:val="clear" w:color="auto" w:fill="E6E6E6"/>
          </w:tcPr>
          <w:p>
            <w:pPr>
              <w:jc w:val="right"/>
              <w:ind w:right="3"/>
              <w:spacing w:after="0"/>
              <w:rPr>
                <w:sz w:val="20"/>
                <w:szCs w:val="20"/>
                <w:color w:val="auto"/>
              </w:rPr>
            </w:pPr>
            <w:r>
              <w:rPr>
                <w:rFonts w:ascii="Arial" w:cs="Arial" w:eastAsia="Arial" w:hAnsi="Arial"/>
                <w:sz w:val="15"/>
                <w:szCs w:val="15"/>
                <w:color w:val="auto"/>
                <w:w w:val="92"/>
              </w:rPr>
              <w:t>$ 16,290</w:t>
            </w:r>
          </w:p>
        </w:tc>
        <w:tc>
          <w:tcPr>
            <w:tcW w:w="40" w:type="dxa"/>
            <w:vAlign w:val="bottom"/>
            <w:shd w:val="clear" w:color="auto" w:fill="E6E6E6"/>
          </w:tcPr>
          <w:p>
            <w:pPr>
              <w:spacing w:after="0"/>
              <w:rPr>
                <w:sz w:val="19"/>
                <w:szCs w:val="19"/>
                <w:color w:val="auto"/>
              </w:rPr>
            </w:pP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680</w:t>
            </w:r>
          </w:p>
        </w:tc>
        <w:tc>
          <w:tcPr>
            <w:tcW w:w="60" w:type="dxa"/>
            <w:vAlign w:val="bottom"/>
            <w:shd w:val="clear" w:color="auto" w:fill="E6E6E6"/>
          </w:tcPr>
          <w:p>
            <w:pPr>
              <w:spacing w:after="0"/>
              <w:rPr>
                <w:sz w:val="19"/>
                <w:szCs w:val="19"/>
                <w:color w:val="auto"/>
              </w:rPr>
            </w:pPr>
          </w:p>
        </w:tc>
        <w:tc>
          <w:tcPr>
            <w:tcW w:w="320" w:type="dxa"/>
            <w:vAlign w:val="bottom"/>
            <w:gridSpan w:val="2"/>
            <w:shd w:val="clear" w:color="auto" w:fill="E6E6E6"/>
          </w:tcPr>
          <w:p>
            <w:pPr>
              <w:ind w:left="60"/>
              <w:spacing w:after="0"/>
              <w:rPr>
                <w:sz w:val="20"/>
                <w:szCs w:val="20"/>
                <w:color w:val="auto"/>
              </w:rPr>
            </w:pPr>
            <w:r>
              <w:rPr>
                <w:rFonts w:ascii="Arial" w:cs="Arial" w:eastAsia="Arial" w:hAnsi="Arial"/>
                <w:sz w:val="15"/>
                <w:szCs w:val="15"/>
                <w:color w:val="auto"/>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54</w:t>
            </w:r>
          </w:p>
        </w:tc>
        <w:tc>
          <w:tcPr>
            <w:tcW w:w="40" w:type="dxa"/>
            <w:vAlign w:val="bottom"/>
            <w:shd w:val="clear" w:color="auto" w:fill="E6E6E6"/>
          </w:tcPr>
          <w:p>
            <w:pPr>
              <w:spacing w:after="0"/>
              <w:rPr>
                <w:sz w:val="19"/>
                <w:szCs w:val="19"/>
                <w:color w:val="auto"/>
              </w:rPr>
            </w:pPr>
          </w:p>
        </w:tc>
        <w:tc>
          <w:tcPr>
            <w:tcW w:w="480" w:type="dxa"/>
            <w:vAlign w:val="bottom"/>
            <w:gridSpan w:val="4"/>
            <w:shd w:val="clear" w:color="auto" w:fill="E6E6E6"/>
          </w:tcPr>
          <w:p>
            <w:pPr>
              <w:jc w:val="right"/>
              <w:spacing w:after="0"/>
              <w:rPr>
                <w:sz w:val="20"/>
                <w:szCs w:val="20"/>
                <w:color w:val="auto"/>
              </w:rPr>
            </w:pPr>
            <w:r>
              <w:rPr>
                <w:rFonts w:ascii="Arial" w:cs="Arial" w:eastAsia="Arial" w:hAnsi="Arial"/>
                <w:sz w:val="15"/>
                <w:szCs w:val="15"/>
                <w:color w:val="auto"/>
              </w:rPr>
              <w:t>32</w:t>
            </w:r>
          </w:p>
        </w:tc>
        <w:tc>
          <w:tcPr>
            <w:tcW w:w="40" w:type="dxa"/>
            <w:vAlign w:val="bottom"/>
            <w:shd w:val="clear" w:color="auto" w:fill="E6E6E6"/>
          </w:tcPr>
          <w:p>
            <w:pPr>
              <w:spacing w:after="0"/>
              <w:rPr>
                <w:sz w:val="19"/>
                <w:szCs w:val="19"/>
                <w:color w:val="auto"/>
              </w:rPr>
            </w:pPr>
          </w:p>
        </w:tc>
        <w:tc>
          <w:tcPr>
            <w:tcW w:w="360" w:type="dxa"/>
            <w:vAlign w:val="bottom"/>
            <w:gridSpan w:val="3"/>
            <w:shd w:val="clear" w:color="auto" w:fill="E6E6E6"/>
          </w:tcPr>
          <w:p>
            <w:pPr>
              <w:ind w:left="80"/>
              <w:spacing w:after="0"/>
              <w:rPr>
                <w:sz w:val="20"/>
                <w:szCs w:val="20"/>
                <w:color w:val="auto"/>
              </w:rPr>
            </w:pPr>
            <w:r>
              <w:rPr>
                <w:rFonts w:ascii="Arial" w:cs="Arial" w:eastAsia="Arial" w:hAnsi="Arial"/>
                <w:sz w:val="15"/>
                <w:szCs w:val="15"/>
                <w:color w:val="auto"/>
              </w:rPr>
              <w:t>$</w:t>
            </w:r>
          </w:p>
        </w:tc>
        <w:tc>
          <w:tcPr>
            <w:tcW w:w="2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w:t>
            </w:r>
          </w:p>
        </w:tc>
        <w:tc>
          <w:tcPr>
            <w:tcW w:w="40" w:type="dxa"/>
            <w:vAlign w:val="bottom"/>
            <w:shd w:val="clear" w:color="auto" w:fill="E6E6E6"/>
          </w:tcPr>
          <w:p>
            <w:pPr>
              <w:spacing w:after="0"/>
              <w:rPr>
                <w:sz w:val="19"/>
                <w:szCs w:val="19"/>
                <w:color w:val="auto"/>
              </w:rPr>
            </w:pPr>
          </w:p>
        </w:tc>
        <w:tc>
          <w:tcPr>
            <w:tcW w:w="260" w:type="dxa"/>
            <w:vAlign w:val="bottom"/>
            <w:gridSpan w:val="3"/>
            <w:shd w:val="clear" w:color="auto" w:fill="E6E6E6"/>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262</w:t>
            </w:r>
          </w:p>
        </w:tc>
        <w:tc>
          <w:tcPr>
            <w:tcW w:w="20" w:type="dxa"/>
            <w:vAlign w:val="bottom"/>
            <w:shd w:val="clear" w:color="auto" w:fill="E6E6E6"/>
          </w:tcPr>
          <w:p>
            <w:pPr>
              <w:spacing w:after="0"/>
              <w:rPr>
                <w:sz w:val="19"/>
                <w:szCs w:val="19"/>
                <w:color w:val="auto"/>
              </w:rPr>
            </w:pP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$ 16,621</w:t>
            </w:r>
          </w:p>
        </w:tc>
      </w:tr>
      <w:tr>
        <w:trPr>
          <w:trHeight w:val="223"/>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Net income</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right w:val="single" w:sz="8" w:color="auto"/>
            </w:tcBorders>
            <w:gridSpan w:val="2"/>
          </w:tcPr>
          <w:p>
            <w:pPr>
              <w:jc w:val="center"/>
              <w:ind w:left="16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234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234</w:t>
            </w:r>
          </w:p>
        </w:tc>
      </w:tr>
      <w:tr>
        <w:trPr>
          <w:trHeight w:val="238"/>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Other comprehensive loss</w:t>
            </w:r>
          </w:p>
        </w:tc>
        <w:tc>
          <w:tcPr>
            <w:tcW w:w="46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34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46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40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20" w:type="dxa"/>
            <w:vAlign w:val="bottom"/>
            <w:tcBorders>
              <w:right w:val="single" w:sz="8" w:color="auto"/>
            </w:tcBorders>
            <w:gridSpan w:val="2"/>
            <w:shd w:val="clear" w:color="auto" w:fill="E6E6E6"/>
          </w:tcPr>
          <w:p>
            <w:pPr>
              <w:jc w:val="center"/>
              <w:ind w:left="16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62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20"/>
                <w:szCs w:val="20"/>
                <w:color w:val="auto"/>
              </w:rPr>
            </w:pPr>
          </w:p>
        </w:tc>
        <w:tc>
          <w:tcPr>
            <w:tcW w:w="48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34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44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320" w:type="dxa"/>
            <w:vAlign w:val="bottom"/>
            <w:gridSpan w:val="2"/>
            <w:shd w:val="clear" w:color="auto" w:fill="E6E6E6"/>
          </w:tcPr>
          <w:p>
            <w:pPr>
              <w:ind w:lef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5"/>
                <w:szCs w:val="15"/>
                <w:color w:val="auto"/>
              </w:rPr>
              <w:t>(74)</w:t>
            </w:r>
          </w:p>
        </w:tc>
        <w:tc>
          <w:tcPr>
            <w:tcW w:w="20" w:type="dxa"/>
            <w:vAlign w:val="bottom"/>
            <w:shd w:val="clear" w:color="auto" w:fill="E6E6E6"/>
          </w:tcPr>
          <w:p>
            <w:pPr>
              <w:spacing w:after="0"/>
              <w:rPr>
                <w:sz w:val="20"/>
                <w:szCs w:val="20"/>
                <w:color w:val="auto"/>
              </w:rPr>
            </w:pP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(74)</w:t>
            </w:r>
          </w:p>
        </w:tc>
      </w:tr>
      <w:tr>
        <w:trPr>
          <w:trHeight w:val="223"/>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Capital contribution</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right w:val="single" w:sz="8" w:color="auto"/>
            </w:tcBorders>
            <w:gridSpan w:val="2"/>
          </w:tcPr>
          <w:p>
            <w:pPr>
              <w:jc w:val="center"/>
              <w:ind w:left="16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84</w:t>
            </w:r>
          </w:p>
        </w:tc>
      </w:tr>
      <w:tr>
        <w:trPr>
          <w:trHeight w:val="411"/>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w w:val="99"/>
              </w:rPr>
              <w:t>Stock-based compensation</w:t>
            </w:r>
          </w:p>
        </w:tc>
        <w:tc>
          <w:tcPr>
            <w:tcW w:w="46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34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34</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0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tcBorders>
              <w:right w:val="single" w:sz="8" w:color="auto"/>
            </w:tcBorders>
            <w:gridSpan w:val="2"/>
            <w:shd w:val="clear" w:color="auto" w:fill="E6E6E6"/>
          </w:tcPr>
          <w:p>
            <w:pPr>
              <w:jc w:val="center"/>
              <w:ind w:left="16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5</w:t>
            </w:r>
          </w:p>
        </w:tc>
        <w:tc>
          <w:tcPr>
            <w:tcW w:w="40" w:type="dxa"/>
            <w:vAlign w:val="bottom"/>
            <w:shd w:val="clear" w:color="auto" w:fill="E6E6E6"/>
          </w:tcPr>
          <w:p>
            <w:pPr>
              <w:spacing w:after="0"/>
              <w:rPr>
                <w:sz w:val="24"/>
                <w:szCs w:val="24"/>
                <w:color w:val="auto"/>
              </w:rPr>
            </w:pPr>
          </w:p>
        </w:tc>
        <w:tc>
          <w:tcPr>
            <w:tcW w:w="46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74</w:t>
            </w: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300" w:type="dxa"/>
            <w:vAlign w:val="bottom"/>
            <w:shd w:val="clear" w:color="auto" w:fill="E6E6E6"/>
          </w:tcPr>
          <w:p>
            <w:pPr>
              <w:jc w:val="center"/>
              <w:spacing w:after="0"/>
              <w:rPr>
                <w:sz w:val="20"/>
                <w:szCs w:val="20"/>
                <w:color w:val="auto"/>
              </w:rPr>
            </w:pPr>
            <w:r>
              <w:rPr>
                <w:rFonts w:ascii="Arial" w:cs="Arial" w:eastAsia="Arial" w:hAnsi="Arial"/>
                <w:sz w:val="15"/>
                <w:szCs w:val="15"/>
                <w:color w:val="auto"/>
                <w:w w:val="95"/>
              </w:rPr>
              <w:t>54</w:t>
            </w:r>
          </w:p>
        </w:tc>
        <w:tc>
          <w:tcPr>
            <w:tcW w:w="40" w:type="dxa"/>
            <w:vAlign w:val="bottom"/>
            <w:shd w:val="clear" w:color="auto" w:fill="E6E6E6"/>
          </w:tcPr>
          <w:p>
            <w:pPr>
              <w:spacing w:after="0"/>
              <w:rPr>
                <w:sz w:val="24"/>
                <w:szCs w:val="24"/>
                <w:color w:val="auto"/>
              </w:rPr>
            </w:pPr>
          </w:p>
        </w:tc>
        <w:tc>
          <w:tcPr>
            <w:tcW w:w="480" w:type="dxa"/>
            <w:vAlign w:val="bottom"/>
            <w:gridSpan w:val="4"/>
            <w:shd w:val="clear" w:color="auto" w:fill="E6E6E6"/>
          </w:tcPr>
          <w:p>
            <w:pPr>
              <w:jc w:val="right"/>
              <w:spacing w:after="0"/>
              <w:rPr>
                <w:sz w:val="20"/>
                <w:szCs w:val="20"/>
                <w:color w:val="auto"/>
              </w:rPr>
            </w:pPr>
            <w:r>
              <w:rPr>
                <w:rFonts w:ascii="Arial" w:cs="Arial" w:eastAsia="Arial" w:hAnsi="Arial"/>
                <w:sz w:val="15"/>
                <w:szCs w:val="15"/>
                <w:color w:val="auto"/>
              </w:rPr>
              <w:t>(9)</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280" w:type="dxa"/>
            <w:vAlign w:val="bottom"/>
            <w:shd w:val="clear" w:color="auto" w:fill="E6E6E6"/>
          </w:tcPr>
          <w:p>
            <w:pPr>
              <w:ind w:left="80"/>
              <w:spacing w:after="0"/>
              <w:rPr>
                <w:sz w:val="20"/>
                <w:szCs w:val="20"/>
                <w:color w:val="auto"/>
              </w:rPr>
            </w:pPr>
            <w:r>
              <w:rPr>
                <w:rFonts w:ascii="Arial" w:cs="Arial" w:eastAsia="Arial" w:hAnsi="Arial"/>
                <w:sz w:val="15"/>
                <w:szCs w:val="15"/>
                <w:color w:val="auto"/>
              </w:rPr>
              <w:t>11</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6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70</w:t>
            </w:r>
          </w:p>
        </w:tc>
      </w:tr>
      <w:tr>
        <w:trPr>
          <w:trHeight w:val="190"/>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Adjustment of puttable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4"/>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common units to</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redemption value</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left="283"/>
              <w:spacing w:after="0"/>
              <w:rPr>
                <w:sz w:val="20"/>
                <w:szCs w:val="20"/>
                <w:color w:val="auto"/>
              </w:rPr>
            </w:pPr>
            <w:r>
              <w:rPr>
                <w:rFonts w:ascii="Arial" w:cs="Arial" w:eastAsia="Arial" w:hAnsi="Arial"/>
                <w:sz w:val="15"/>
                <w:szCs w:val="15"/>
                <w:color w:val="auto"/>
                <w:w w:val="95"/>
              </w:rPr>
              <w:t>40</w:t>
            </w:r>
          </w:p>
        </w:tc>
        <w:tc>
          <w:tcPr>
            <w:tcW w:w="120" w:type="dxa"/>
            <w:vAlign w:val="bottom"/>
            <w:tcBorders>
              <w:right w:val="single" w:sz="8" w:color="auto"/>
            </w:tcBorders>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Adjustment of stock-based</w:t>
            </w:r>
          </w:p>
        </w:tc>
        <w:tc>
          <w:tcPr>
            <w:tcW w:w="4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120" w:type="dxa"/>
            <w:vAlign w:val="bottom"/>
            <w:tcBorders>
              <w:right w:val="single" w:sz="8" w:color="auto"/>
            </w:tcBorders>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r>
      <w:tr>
        <w:trPr>
          <w:trHeight w:val="184"/>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compensation to</w:t>
            </w:r>
          </w:p>
        </w:tc>
        <w:tc>
          <w:tcPr>
            <w:tcW w:w="4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3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00" w:type="dxa"/>
            <w:vAlign w:val="bottom"/>
            <w:shd w:val="clear" w:color="auto" w:fill="E6E6E6"/>
          </w:tcPr>
          <w:p>
            <w:pPr>
              <w:spacing w:after="0"/>
              <w:rPr>
                <w:sz w:val="16"/>
                <w:szCs w:val="16"/>
                <w:color w:val="auto"/>
              </w:rPr>
            </w:pPr>
          </w:p>
        </w:tc>
        <w:tc>
          <w:tcPr>
            <w:tcW w:w="120" w:type="dxa"/>
            <w:vAlign w:val="bottom"/>
            <w:tcBorders>
              <w:right w:val="single" w:sz="8" w:color="auto"/>
            </w:tcBorders>
            <w:shd w:val="clear" w:color="auto" w:fill="E6E6E6"/>
          </w:tcPr>
          <w:p>
            <w:pPr>
              <w:spacing w:after="0"/>
              <w:rPr>
                <w:sz w:val="16"/>
                <w:szCs w:val="16"/>
                <w:color w:val="auto"/>
              </w:rPr>
            </w:pPr>
          </w:p>
        </w:tc>
        <w:tc>
          <w:tcPr>
            <w:tcW w:w="5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58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8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60" w:type="dxa"/>
            <w:vAlign w:val="bottom"/>
            <w:shd w:val="clear" w:color="auto" w:fill="E6E6E6"/>
          </w:tcPr>
          <w:p>
            <w:pPr>
              <w:spacing w:after="0"/>
              <w:rPr>
                <w:sz w:val="16"/>
                <w:szCs w:val="16"/>
                <w:color w:val="auto"/>
              </w:rPr>
            </w:pPr>
          </w:p>
        </w:tc>
      </w:tr>
      <w:tr>
        <w:trPr>
          <w:trHeight w:val="217"/>
        </w:trPr>
        <w:tc>
          <w:tcPr>
            <w:tcW w:w="1880" w:type="dxa"/>
            <w:vAlign w:val="bottom"/>
            <w:gridSpan w:val="3"/>
            <w:shd w:val="clear" w:color="auto" w:fill="E6E6E6"/>
          </w:tcPr>
          <w:p>
            <w:pPr>
              <w:ind w:left="60"/>
              <w:spacing w:after="0"/>
              <w:rPr>
                <w:sz w:val="20"/>
                <w:szCs w:val="20"/>
                <w:color w:val="auto"/>
              </w:rPr>
            </w:pPr>
            <w:r>
              <w:rPr>
                <w:rFonts w:ascii="Arial" w:cs="Arial" w:eastAsia="Arial" w:hAnsi="Arial"/>
                <w:sz w:val="15"/>
                <w:szCs w:val="15"/>
                <w:color w:val="auto"/>
              </w:rPr>
              <w:t>redemption value</w:t>
            </w:r>
          </w:p>
        </w:tc>
        <w:tc>
          <w:tcPr>
            <w:tcW w:w="46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34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w w:val="93"/>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46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5"/>
                <w:szCs w:val="15"/>
                <w:color w:val="auto"/>
              </w:rPr>
              <w:t>37</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00" w:type="dxa"/>
            <w:vAlign w:val="bottom"/>
            <w:shd w:val="clear" w:color="auto" w:fill="E6E6E6"/>
          </w:tcPr>
          <w:p>
            <w:pPr>
              <w:jc w:val="center"/>
              <w:ind w:left="283"/>
              <w:spacing w:after="0"/>
              <w:rPr>
                <w:sz w:val="20"/>
                <w:szCs w:val="20"/>
                <w:color w:val="auto"/>
              </w:rPr>
            </w:pPr>
            <w:r>
              <w:rPr>
                <w:rFonts w:ascii="Arial" w:cs="Arial" w:eastAsia="Arial" w:hAnsi="Arial"/>
                <w:sz w:val="15"/>
                <w:szCs w:val="15"/>
                <w:color w:val="auto"/>
                <w:w w:val="95"/>
              </w:rPr>
              <w:t>37</w:t>
            </w:r>
          </w:p>
        </w:tc>
        <w:tc>
          <w:tcPr>
            <w:tcW w:w="120" w:type="dxa"/>
            <w:vAlign w:val="bottom"/>
            <w:tcBorders>
              <w:right w:val="single" w:sz="8" w:color="auto"/>
            </w:tcBorders>
            <w:shd w:val="clear" w:color="auto" w:fill="E6E6E6"/>
          </w:tcPr>
          <w:p>
            <w:pPr>
              <w:spacing w:after="0"/>
              <w:rPr>
                <w:sz w:val="18"/>
                <w:szCs w:val="18"/>
                <w:color w:val="auto"/>
              </w:rPr>
            </w:pPr>
          </w:p>
        </w:tc>
        <w:tc>
          <w:tcPr>
            <w:tcW w:w="54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(37)</w:t>
            </w:r>
          </w:p>
        </w:tc>
        <w:tc>
          <w:tcPr>
            <w:tcW w:w="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480" w:type="dxa"/>
            <w:vAlign w:val="bottom"/>
            <w:gridSpan w:val="2"/>
            <w:shd w:val="clear" w:color="auto" w:fill="E6E6E6"/>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340" w:type="dxa"/>
            <w:vAlign w:val="bottom"/>
            <w:gridSpan w:val="2"/>
            <w:shd w:val="clear" w:color="auto" w:fill="E6E6E6"/>
          </w:tcPr>
          <w:p>
            <w:pPr>
              <w:jc w:val="center"/>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4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320" w:type="dxa"/>
            <w:vAlign w:val="bottom"/>
            <w:gridSpan w:val="2"/>
            <w:shd w:val="clear" w:color="auto" w:fill="E6E6E6"/>
          </w:tcPr>
          <w:p>
            <w:pPr>
              <w:ind w:left="80"/>
              <w:spacing w:after="0"/>
              <w:rPr>
                <w:sz w:val="20"/>
                <w:szCs w:val="20"/>
                <w:color w:val="auto"/>
              </w:rPr>
            </w:pPr>
            <w:r>
              <w:rPr>
                <w:rFonts w:ascii="Arial" w:cs="Arial" w:eastAsia="Arial" w:hAnsi="Arial"/>
                <w:sz w:val="15"/>
                <w:szCs w:val="15"/>
                <w:color w:val="auto"/>
              </w:rPr>
              <w:t>—</w:t>
            </w: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E6E6E6"/>
          </w:tcPr>
          <w:p>
            <w:pPr>
              <w:jc w:val="right"/>
              <w:spacing w:after="0"/>
              <w:rPr>
                <w:sz w:val="20"/>
                <w:szCs w:val="20"/>
                <w:color w:val="auto"/>
              </w:rPr>
            </w:pPr>
            <w:r>
              <w:rPr>
                <w:rFonts w:ascii="Arial" w:cs="Arial" w:eastAsia="Arial" w:hAnsi="Arial"/>
                <w:sz w:val="15"/>
                <w:szCs w:val="15"/>
                <w:color w:val="auto"/>
              </w:rPr>
              <w:t>(37)</w:t>
            </w:r>
          </w:p>
        </w:tc>
      </w:tr>
      <w:tr>
        <w:trPr>
          <w:trHeight w:val="221"/>
        </w:trPr>
        <w:tc>
          <w:tcPr>
            <w:tcW w:w="1880" w:type="dxa"/>
            <w:vAlign w:val="bottom"/>
            <w:gridSpan w:val="3"/>
          </w:tcPr>
          <w:p>
            <w:pPr>
              <w:ind w:left="60"/>
              <w:spacing w:after="0"/>
              <w:rPr>
                <w:sz w:val="20"/>
                <w:szCs w:val="20"/>
                <w:color w:val="auto"/>
              </w:rPr>
            </w:pPr>
            <w:r>
              <w:rPr>
                <w:rFonts w:ascii="Arial" w:cs="Arial" w:eastAsia="Arial" w:hAnsi="Arial"/>
                <w:sz w:val="15"/>
                <w:szCs w:val="15"/>
                <w:color w:val="auto"/>
              </w:rPr>
              <w:t>Distribution to partners</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right w:val="single" w:sz="8" w:color="auto"/>
            </w:tcBorders>
            <w:gridSpan w:val="2"/>
          </w:tcPr>
          <w:p>
            <w:pPr>
              <w:jc w:val="center"/>
              <w:ind w:left="16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(114)</w:t>
            </w:r>
          </w:p>
        </w:tc>
      </w:tr>
      <w:tr>
        <w:trPr>
          <w:trHeight w:val="177"/>
        </w:trPr>
        <w:tc>
          <w:tcPr>
            <w:tcW w:w="1860" w:type="dxa"/>
            <w:vAlign w:val="bottom"/>
            <w:tcBorders>
              <w:top w:val="single" w:sz="8" w:color="E6E6E6"/>
            </w:tcBorders>
            <w:gridSpan w:val="2"/>
            <w:shd w:val="clear" w:color="auto" w:fill="E6E6E6"/>
          </w:tcPr>
          <w:p>
            <w:pPr>
              <w:ind w:left="60"/>
              <w:spacing w:after="0"/>
              <w:rPr>
                <w:sz w:val="20"/>
                <w:szCs w:val="20"/>
                <w:color w:val="auto"/>
              </w:rPr>
            </w:pPr>
            <w:r>
              <w:rPr>
                <w:rFonts w:ascii="Arial" w:cs="Arial" w:eastAsia="Arial" w:hAnsi="Arial"/>
                <w:sz w:val="15"/>
                <w:szCs w:val="15"/>
                <w:color w:val="auto"/>
              </w:rPr>
              <w:t>Balance, December 31,</w:t>
            </w:r>
          </w:p>
        </w:tc>
        <w:tc>
          <w:tcPr>
            <w:tcW w:w="20" w:type="dxa"/>
            <w:vAlign w:val="bottom"/>
            <w:tcBorders>
              <w:top w:val="single" w:sz="8" w:color="auto"/>
            </w:tcBorders>
            <w:shd w:val="clear" w:color="auto" w:fill="E6E6E6"/>
          </w:tcPr>
          <w:p>
            <w:pPr>
              <w:spacing w:after="0"/>
              <w:rPr>
                <w:sz w:val="15"/>
                <w:szCs w:val="15"/>
                <w:color w:val="auto"/>
              </w:rPr>
            </w:pPr>
          </w:p>
        </w:tc>
        <w:tc>
          <w:tcPr>
            <w:tcW w:w="42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340" w:type="dxa"/>
            <w:vAlign w:val="bottom"/>
            <w:tcBorders>
              <w:top w:val="single" w:sz="8" w:color="auto"/>
            </w:tcBorders>
            <w:shd w:val="clear" w:color="auto" w:fill="E6E6E6"/>
          </w:tcPr>
          <w:p>
            <w:pPr>
              <w:spacing w:after="0"/>
              <w:rPr>
                <w:sz w:val="15"/>
                <w:szCs w:val="15"/>
                <w:color w:val="auto"/>
              </w:rPr>
            </w:pPr>
          </w:p>
        </w:tc>
        <w:tc>
          <w:tcPr>
            <w:tcW w:w="30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42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spacing w:after="0"/>
              <w:rPr>
                <w:sz w:val="15"/>
                <w:szCs w:val="15"/>
                <w:color w:val="auto"/>
              </w:rPr>
            </w:pPr>
          </w:p>
        </w:tc>
        <w:tc>
          <w:tcPr>
            <w:tcW w:w="36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600" w:type="dxa"/>
            <w:vAlign w:val="bottom"/>
            <w:tcBorders>
              <w:top w:val="single" w:sz="8" w:color="auto"/>
            </w:tcBorders>
            <w:shd w:val="clear" w:color="auto" w:fill="E6E6E6"/>
          </w:tcPr>
          <w:p>
            <w:pPr>
              <w:spacing w:after="0"/>
              <w:rPr>
                <w:sz w:val="15"/>
                <w:szCs w:val="15"/>
                <w:color w:val="auto"/>
              </w:rPr>
            </w:pPr>
          </w:p>
        </w:tc>
        <w:tc>
          <w:tcPr>
            <w:tcW w:w="120" w:type="dxa"/>
            <w:vAlign w:val="bottom"/>
            <w:tcBorders>
              <w:top w:val="single" w:sz="8" w:color="E6E6E6"/>
              <w:right w:val="single" w:sz="8" w:color="auto"/>
            </w:tcBorders>
            <w:shd w:val="clear" w:color="auto" w:fill="E6E6E6"/>
          </w:tcPr>
          <w:p>
            <w:pPr>
              <w:spacing w:after="0"/>
              <w:rPr>
                <w:sz w:val="15"/>
                <w:szCs w:val="15"/>
                <w:color w:val="auto"/>
              </w:rPr>
            </w:pPr>
          </w:p>
        </w:tc>
        <w:tc>
          <w:tcPr>
            <w:tcW w:w="50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58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420" w:type="dxa"/>
            <w:vAlign w:val="bottom"/>
            <w:tcBorders>
              <w:top w:val="single" w:sz="8" w:color="auto"/>
            </w:tcBorders>
            <w:shd w:val="clear" w:color="auto" w:fill="E6E6E6"/>
          </w:tcPr>
          <w:p>
            <w:pPr>
              <w:spacing w:after="0"/>
              <w:rPr>
                <w:sz w:val="15"/>
                <w:szCs w:val="15"/>
                <w:color w:val="auto"/>
              </w:rPr>
            </w:pPr>
          </w:p>
        </w:tc>
        <w:tc>
          <w:tcPr>
            <w:tcW w:w="6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280" w:type="dxa"/>
            <w:vAlign w:val="bottom"/>
            <w:tcBorders>
              <w:top w:val="single" w:sz="8" w:color="auto"/>
            </w:tcBorders>
            <w:shd w:val="clear" w:color="auto" w:fill="E6E6E6"/>
          </w:tcPr>
          <w:p>
            <w:pPr>
              <w:spacing w:after="0"/>
              <w:rPr>
                <w:sz w:val="15"/>
                <w:szCs w:val="15"/>
                <w:color w:val="auto"/>
              </w:rPr>
            </w:pPr>
          </w:p>
        </w:tc>
        <w:tc>
          <w:tcPr>
            <w:tcW w:w="30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40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300" w:type="dxa"/>
            <w:vAlign w:val="bottom"/>
            <w:tcBorders>
              <w:top w:val="single" w:sz="8" w:color="auto"/>
            </w:tcBorders>
            <w:shd w:val="clear" w:color="auto" w:fill="E6E6E6"/>
          </w:tcPr>
          <w:p>
            <w:pPr>
              <w:spacing w:after="0"/>
              <w:rPr>
                <w:sz w:val="15"/>
                <w:szCs w:val="15"/>
                <w:color w:val="auto"/>
              </w:rPr>
            </w:pPr>
          </w:p>
        </w:tc>
        <w:tc>
          <w:tcPr>
            <w:tcW w:w="28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auto"/>
            </w:tcBorders>
            <w:shd w:val="clear" w:color="auto" w:fill="E6E6E6"/>
          </w:tcPr>
          <w:p>
            <w:pPr>
              <w:spacing w:after="0"/>
              <w:rPr>
                <w:sz w:val="15"/>
                <w:szCs w:val="15"/>
                <w:color w:val="auto"/>
              </w:rPr>
            </w:pPr>
          </w:p>
        </w:tc>
        <w:tc>
          <w:tcPr>
            <w:tcW w:w="200" w:type="dxa"/>
            <w:vAlign w:val="bottom"/>
            <w:tcBorders>
              <w:top w:val="single" w:sz="8" w:color="auto"/>
            </w:tcBorders>
            <w:shd w:val="clear" w:color="auto" w:fill="E6E6E6"/>
          </w:tcPr>
          <w:p>
            <w:pPr>
              <w:spacing w:after="0"/>
              <w:rPr>
                <w:sz w:val="15"/>
                <w:szCs w:val="15"/>
                <w:color w:val="auto"/>
              </w:rPr>
            </w:pPr>
          </w:p>
        </w:tc>
        <w:tc>
          <w:tcPr>
            <w:tcW w:w="84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660" w:type="dxa"/>
            <w:vAlign w:val="bottom"/>
            <w:tcBorders>
              <w:top w:val="single" w:sz="8" w:color="auto"/>
            </w:tcBorders>
            <w:shd w:val="clear" w:color="auto" w:fill="E6E6E6"/>
          </w:tcPr>
          <w:p>
            <w:pPr>
              <w:spacing w:after="0"/>
              <w:rPr>
                <w:sz w:val="15"/>
                <w:szCs w:val="15"/>
                <w:color w:val="auto"/>
              </w:rPr>
            </w:pPr>
          </w:p>
        </w:tc>
      </w:tr>
      <w:tr>
        <w:trPr>
          <w:trHeight w:val="226"/>
        </w:trPr>
        <w:tc>
          <w:tcPr>
            <w:tcW w:w="18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color w:val="auto"/>
              </w:rPr>
              <w:t>2023</w:t>
            </w:r>
          </w:p>
        </w:tc>
        <w:tc>
          <w:tcPr>
            <w:tcW w:w="2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128</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auto"/>
            </w:tcBorders>
            <w:gridSpan w:val="2"/>
            <w:shd w:val="clear" w:color="auto" w:fill="E6E6E6"/>
          </w:tcPr>
          <w:p>
            <w:pPr>
              <w:jc w:val="center"/>
              <w:ind w:right="12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87"/>
              </w:rPr>
              <w:t>178</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46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82</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gridSpan w:val="2"/>
            <w:shd w:val="clear" w:color="auto" w:fill="E6E6E6"/>
          </w:tcPr>
          <w:p>
            <w:pPr>
              <w:jc w:val="center"/>
              <w:ind w:right="23"/>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55</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233</w:t>
            </w:r>
          </w:p>
        </w:tc>
        <w:tc>
          <w:tcPr>
            <w:tcW w:w="120" w:type="dxa"/>
            <w:vAlign w:val="bottom"/>
            <w:tcBorders>
              <w:bottom w:val="single" w:sz="8" w:color="E6E6E6"/>
              <w:right w:val="single" w:sz="8" w:color="auto"/>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91"/>
              </w:rPr>
              <w:t>16,723</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620" w:type="dxa"/>
            <w:vAlign w:val="bottom"/>
            <w:tcBorders>
              <w:bottom w:val="single" w:sz="8" w:color="auto"/>
            </w:tcBorders>
            <w:gridSpan w:val="2"/>
            <w:shd w:val="clear" w:color="auto" w:fill="E6E6E6"/>
          </w:tcPr>
          <w:p>
            <w:pPr>
              <w:jc w:val="right"/>
              <w:ind w:right="3"/>
              <w:spacing w:after="0"/>
              <w:rPr>
                <w:sz w:val="20"/>
                <w:szCs w:val="20"/>
                <w:color w:val="auto"/>
              </w:rPr>
            </w:pPr>
            <w:r>
              <w:rPr>
                <w:rFonts w:ascii="Arial" w:cs="Arial" w:eastAsia="Arial" w:hAnsi="Arial"/>
                <w:sz w:val="15"/>
                <w:szCs w:val="15"/>
                <w:color w:val="auto"/>
                <w:w w:val="88"/>
              </w:rPr>
              <w:t>$ 16,422</w:t>
            </w:r>
          </w:p>
        </w:tc>
        <w:tc>
          <w:tcPr>
            <w:tcW w:w="40" w:type="dxa"/>
            <w:vAlign w:val="bottom"/>
            <w:tcBorders>
              <w:bottom w:val="single" w:sz="8" w:color="E6E6E6"/>
            </w:tcBorders>
            <w:shd w:val="clear" w:color="auto" w:fill="E6E6E6"/>
          </w:tcPr>
          <w:p>
            <w:pPr>
              <w:spacing w:after="0"/>
              <w:rPr>
                <w:sz w:val="19"/>
                <w:szCs w:val="19"/>
                <w:color w:val="auto"/>
              </w:rPr>
            </w:pPr>
          </w:p>
        </w:tc>
        <w:tc>
          <w:tcPr>
            <w:tcW w:w="46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754</w:t>
            </w:r>
          </w:p>
        </w:tc>
        <w:tc>
          <w:tcPr>
            <w:tcW w:w="60" w:type="dxa"/>
            <w:vAlign w:val="bottom"/>
            <w:tcBorders>
              <w:bottom w:val="single" w:sz="8" w:color="E6E6E6"/>
            </w:tcBorders>
            <w:shd w:val="clear" w:color="auto" w:fill="E6E6E6"/>
          </w:tcPr>
          <w:p>
            <w:pPr>
              <w:spacing w:after="0"/>
              <w:rPr>
                <w:sz w:val="19"/>
                <w:szCs w:val="19"/>
                <w:color w:val="auto"/>
              </w:rPr>
            </w:pPr>
          </w:p>
        </w:tc>
        <w:tc>
          <w:tcPr>
            <w:tcW w:w="320" w:type="dxa"/>
            <w:vAlign w:val="bottom"/>
            <w:tcBorders>
              <w:bottom w:val="single" w:sz="8" w:color="auto"/>
            </w:tcBorders>
            <w:gridSpan w:val="2"/>
            <w:shd w:val="clear" w:color="auto" w:fill="E6E6E6"/>
          </w:tcPr>
          <w:p>
            <w:pPr>
              <w:ind w:left="6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w w:val="87"/>
              </w:rPr>
              <w:t>108</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460" w:type="dxa"/>
            <w:vAlign w:val="bottom"/>
            <w:tcBorders>
              <w:bottom w:val="single" w:sz="8" w:color="auto"/>
            </w:tcBorders>
            <w:gridSpan w:val="3"/>
            <w:shd w:val="clear" w:color="auto" w:fill="E6E6E6"/>
          </w:tcPr>
          <w:p>
            <w:pPr>
              <w:jc w:val="right"/>
              <w:spacing w:after="0"/>
              <w:rPr>
                <w:sz w:val="20"/>
                <w:szCs w:val="20"/>
                <w:color w:val="auto"/>
              </w:rPr>
            </w:pPr>
            <w:r>
              <w:rPr>
                <w:rFonts w:ascii="Arial" w:cs="Arial" w:eastAsia="Arial" w:hAnsi="Arial"/>
                <w:sz w:val="15"/>
                <w:szCs w:val="15"/>
                <w:color w:val="auto"/>
              </w:rPr>
              <w:t>23</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340" w:type="dxa"/>
            <w:vAlign w:val="bottom"/>
            <w:tcBorders>
              <w:bottom w:val="single" w:sz="8" w:color="auto"/>
            </w:tcBorders>
            <w:gridSpan w:val="2"/>
            <w:shd w:val="clear" w:color="auto" w:fill="E6E6E6"/>
          </w:tcPr>
          <w:p>
            <w:pPr>
              <w:ind w:left="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26</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gridSpan w:val="2"/>
            <w:shd w:val="clear" w:color="auto" w:fill="E6E6E6"/>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color w:val="auto"/>
              </w:rPr>
              <w:t>188</w:t>
            </w:r>
          </w:p>
        </w:tc>
        <w:tc>
          <w:tcPr>
            <w:tcW w:w="20" w:type="dxa"/>
            <w:vAlign w:val="bottom"/>
            <w:tcBorders>
              <w:bottom w:val="single" w:sz="8" w:color="E6E6E6"/>
            </w:tcBorders>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68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5"/>
                <w:szCs w:val="15"/>
                <w:color w:val="auto"/>
              </w:rPr>
              <w:t>$ 16,744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-5868035</wp:posOffset>
            </wp:positionV>
            <wp:extent cx="55886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0">
                      <a:extLst>
                        <a:ext uri="{28A0092B-C50C-407E-A947-70E740481C1C}"/>
                      </a:extLst>
                    </a:blip>
                    <a:srcRect/>
                    <a:stretch>
                      <a:fillRect/>
                    </a:stretch>
                  </pic:blipFill>
                  <pic:spPr bwMode="auto">
                    <a:xfrm>
                      <a:off x="0" y="0"/>
                      <a:ext cx="5588635" cy="2540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-5721985</wp:posOffset>
            </wp:positionV>
            <wp:extent cx="34931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1">
                      <a:extLst>
                        <a:ext uri="{28A0092B-C50C-407E-A947-70E740481C1C}"/>
                      </a:extLst>
                    </a:blip>
                    <a:srcRect/>
                    <a:stretch>
                      <a:fillRect/>
                    </a:stretch>
                  </pic:blipFill>
                  <pic:spPr bwMode="auto">
                    <a:xfrm>
                      <a:off x="0" y="0"/>
                      <a:ext cx="3493135" cy="2540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-5346700</wp:posOffset>
            </wp:positionV>
            <wp:extent cx="80327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2">
                      <a:extLst>
                        <a:ext uri="{28A0092B-C50C-407E-A947-70E740481C1C}"/>
                      </a:extLst>
                    </a:blip>
                    <a:srcRect/>
                    <a:stretch>
                      <a:fillRect/>
                    </a:stretch>
                  </pic:blipFill>
                  <pic:spPr bwMode="auto">
                    <a:xfrm>
                      <a:off x="0" y="0"/>
                      <a:ext cx="803275" cy="2540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-5200015</wp:posOffset>
            </wp:positionV>
            <wp:extent cx="55886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3">
                      <a:extLst>
                        <a:ext uri="{28A0092B-C50C-407E-A947-70E740481C1C}"/>
                      </a:extLst>
                    </a:blip>
                    <a:srcRect/>
                    <a:stretch>
                      <a:fillRect/>
                    </a:stretch>
                  </pic:blipFill>
                  <pic:spPr bwMode="auto">
                    <a:xfrm>
                      <a:off x="0" y="0"/>
                      <a:ext cx="5588635" cy="2540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-3315335</wp:posOffset>
            </wp:positionV>
            <wp:extent cx="55886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4">
                      <a:extLst>
                        <a:ext uri="{28A0092B-C50C-407E-A947-70E740481C1C}"/>
                      </a:extLst>
                    </a:blip>
                    <a:srcRect/>
                    <a:stretch>
                      <a:fillRect/>
                    </a:stretch>
                  </pic:blipFill>
                  <pic:spPr bwMode="auto">
                    <a:xfrm>
                      <a:off x="0" y="0"/>
                      <a:ext cx="5588635" cy="2540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-3181350</wp:posOffset>
            </wp:positionV>
            <wp:extent cx="373380"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373380" cy="4953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-2693035</wp:posOffset>
            </wp:positionV>
            <wp:extent cx="561594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6">
                      <a:extLst>
                        <a:ext uri="{28A0092B-C50C-407E-A947-70E740481C1C}"/>
                      </a:extLst>
                    </a:blip>
                    <a:srcRect/>
                    <a:stretch>
                      <a:fillRect/>
                    </a:stretch>
                  </pic:blipFill>
                  <pic:spPr bwMode="auto">
                    <a:xfrm>
                      <a:off x="0" y="0"/>
                      <a:ext cx="5615940" cy="2540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-2546985</wp:posOffset>
            </wp:positionV>
            <wp:extent cx="352044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a:extLst>
                        <a:ext uri="{28A0092B-C50C-407E-A947-70E740481C1C}"/>
                      </a:extLst>
                    </a:blip>
                    <a:srcRect/>
                    <a:stretch>
                      <a:fillRect/>
                    </a:stretch>
                  </pic:blipFill>
                  <pic:spPr bwMode="auto">
                    <a:xfrm>
                      <a:off x="0" y="0"/>
                      <a:ext cx="3520440" cy="2540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-2171700</wp:posOffset>
            </wp:positionV>
            <wp:extent cx="80327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a:extLst>
                        <a:ext uri="{28A0092B-C50C-407E-A947-70E740481C1C}"/>
                      </a:extLst>
                    </a:blip>
                    <a:srcRect/>
                    <a:stretch>
                      <a:fillRect/>
                    </a:stretch>
                  </pic:blipFill>
                  <pic:spPr bwMode="auto">
                    <a:xfrm>
                      <a:off x="0" y="0"/>
                      <a:ext cx="803275" cy="2540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-2025015</wp:posOffset>
            </wp:positionV>
            <wp:extent cx="561594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9">
                      <a:extLst>
                        <a:ext uri="{28A0092B-C50C-407E-A947-70E740481C1C}"/>
                      </a:extLst>
                    </a:blip>
                    <a:srcRect/>
                    <a:stretch>
                      <a:fillRect/>
                    </a:stretch>
                  </pic:blipFill>
                  <pic:spPr bwMode="auto">
                    <a:xfrm>
                      <a:off x="0" y="0"/>
                      <a:ext cx="5615940" cy="2540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-287020</wp:posOffset>
            </wp:positionV>
            <wp:extent cx="561594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
                      <a:extLst>
                        <a:ext uri="{28A0092B-C50C-407E-A947-70E740481C1C}"/>
                      </a:extLst>
                    </a:blip>
                    <a:srcRect/>
                    <a:stretch>
                      <a:fillRect/>
                    </a:stretch>
                  </pic:blipFill>
                  <pic:spPr bwMode="auto">
                    <a:xfrm>
                      <a:off x="0" y="0"/>
                      <a:ext cx="5615940" cy="2540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-42545</wp:posOffset>
            </wp:positionV>
            <wp:extent cx="5615940"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1">
                      <a:extLst>
                        <a:ext uri="{28A0092B-C50C-407E-A947-70E740481C1C}"/>
                      </a:extLst>
                    </a:blip>
                    <a:srcRect/>
                    <a:stretch>
                      <a:fillRect/>
                    </a:stretch>
                  </pic:blipFill>
                  <pic:spPr bwMode="auto">
                    <a:xfrm>
                      <a:off x="0" y="0"/>
                      <a:ext cx="561594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209550</wp:posOffset>
                </wp:positionH>
                <wp:positionV relativeFrom="paragraph">
                  <wp:posOffset>1781810</wp:posOffset>
                </wp:positionV>
                <wp:extent cx="622363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140.3pt" to="506.55pt,140.3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2"/>
          <w:szCs w:val="12"/>
          <w:color w:val="auto"/>
        </w:rPr>
        <w:t>87</w:t>
      </w:r>
    </w:p>
    <w:p>
      <w:pPr>
        <w:sectPr>
          <w:pgSz w:w="11880" w:h="15480" w:orient="portrait"/>
          <w:cols w:equalWidth="0" w:num="1">
            <w:col w:w="10640"/>
          </w:cols>
          <w:pgMar w:left="620" w:top="637" w:right="620" w:bottom="0" w:gutter="0" w:footer="0" w:header="0"/>
        </w:sectPr>
      </w:pPr>
    </w:p>
    <w:bookmarkStart w:id="88" w:name="page89"/>
    <w:bookmarkEnd w:id="88"/>
    <w:p>
      <w:pPr>
        <w:jc w:val="center"/>
        <w:ind w:right="180"/>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-43815</wp:posOffset>
                </wp:positionH>
                <wp:positionV relativeFrom="paragraph">
                  <wp:posOffset>148590</wp:posOffset>
                </wp:positionV>
                <wp:extent cx="6223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99pt,11.7pt" to="486.55pt,11.7pt" o:allowincell="f" strokecolor="#000000" strokeweight="1pt"/>
            </w:pict>
          </mc:Fallback>
        </mc:AlternateConten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Year ended</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180" w:type="dxa"/>
            <w:vAlign w:val="bottom"/>
            <w:gridSpan w:val="2"/>
          </w:tcPr>
          <w:p>
            <w:pPr>
              <w:jc w:val="right"/>
              <w:ind w:right="11"/>
              <w:spacing w:after="0" w:line="203" w:lineRule="exact"/>
              <w:rPr>
                <w:sz w:val="20"/>
                <w:szCs w:val="20"/>
                <w:color w:val="auto"/>
              </w:rPr>
            </w:pPr>
            <w:r>
              <w:rPr>
                <w:rFonts w:ascii="Arial" w:cs="Arial" w:eastAsia="Arial" w:hAnsi="Arial"/>
                <w:sz w:val="18"/>
                <w:szCs w:val="18"/>
                <w:color w:val="auto"/>
                <w:w w:val="93"/>
              </w:rPr>
              <w:t>December 31,</w:t>
            </w:r>
          </w:p>
        </w:tc>
        <w:tc>
          <w:tcPr>
            <w:tcW w:w="60" w:type="dxa"/>
            <w:vAlign w:val="bottom"/>
          </w:tcPr>
          <w:p>
            <w:pPr>
              <w:spacing w:after="0"/>
              <w:rPr>
                <w:sz w:val="17"/>
                <w:szCs w:val="17"/>
                <w:color w:val="auto"/>
              </w:rPr>
            </w:pPr>
          </w:p>
        </w:tc>
        <w:tc>
          <w:tcPr>
            <w:tcW w:w="118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11"/>
              <w:spacing w:after="0" w:line="203"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8"/>
        </w:trPr>
        <w:tc>
          <w:tcPr>
            <w:tcW w:w="6160" w:type="dxa"/>
            <w:vAlign w:val="bottom"/>
            <w:tcBorders>
              <w:bottom w:val="single" w:sz="8" w:color="E6E6E6"/>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2024</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8"/>
        </w:trPr>
        <w:tc>
          <w:tcPr>
            <w:tcW w:w="616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6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34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5"/>
        </w:trPr>
        <w:tc>
          <w:tcPr>
            <w:tcW w:w="6160" w:type="dxa"/>
            <w:vAlign w:val="bottom"/>
            <w:shd w:val="clear" w:color="auto" w:fill="E6E6E6"/>
          </w:tcPr>
          <w:p>
            <w:pPr>
              <w:ind w:left="300"/>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280" w:type="dxa"/>
            <w:vAlign w:val="bottom"/>
            <w:shd w:val="clear" w:color="auto" w:fill="E6E6E6"/>
          </w:tcPr>
          <w:p>
            <w:pPr>
              <w:spacing w:after="0"/>
              <w:rPr>
                <w:sz w:val="22"/>
                <w:szCs w:val="22"/>
                <w:color w:val="auto"/>
              </w:rPr>
            </w:pPr>
          </w:p>
        </w:tc>
        <w:tc>
          <w:tcPr>
            <w:tcW w:w="9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Embedded derivative on debt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Credit losses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Unrealized foreign exchange loss (gain), net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Amortization of inventory step-up</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Other non-cash adjustments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6160" w:type="dxa"/>
            <w:vAlign w:val="bottom"/>
          </w:tcPr>
          <w:p>
            <w:pPr>
              <w:ind w:left="300"/>
              <w:spacing w:after="0"/>
              <w:rPr>
                <w:sz w:val="20"/>
                <w:szCs w:val="20"/>
                <w:color w:val="auto"/>
              </w:rPr>
            </w:pPr>
            <w:r>
              <w:rPr>
                <w:rFonts w:ascii="Arial" w:cs="Arial" w:eastAsia="Arial" w:hAnsi="Arial"/>
                <w:sz w:val="18"/>
                <w:szCs w:val="18"/>
                <w:color w:val="auto"/>
              </w:rPr>
              <w:t>Changes in assets and liabilities, net of acquisitions: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Trade accounts receivable</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616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8"/>
        </w:trPr>
        <w:tc>
          <w:tcPr>
            <w:tcW w:w="6160" w:type="dxa"/>
            <w:vAlign w:val="bottom"/>
            <w:tcBorders>
              <w:bottom w:val="single" w:sz="8" w:color="E6E6E6"/>
            </w:tcBorders>
          </w:tcPr>
          <w:p>
            <w:pPr>
              <w:ind w:left="6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61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1,769</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7"/>
        </w:trPr>
        <w:tc>
          <w:tcPr>
            <w:tcW w:w="616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60" w:type="dxa"/>
            <w:vAlign w:val="bottom"/>
            <w:shd w:val="clear" w:color="auto" w:fill="E6E6E6"/>
          </w:tcPr>
          <w:p>
            <w:pPr>
              <w:ind w:left="420"/>
              <w:spacing w:after="0"/>
              <w:rPr>
                <w:sz w:val="20"/>
                <w:szCs w:val="20"/>
                <w:color w:val="auto"/>
              </w:rPr>
            </w:pPr>
            <w:r>
              <w:rPr>
                <w:rFonts w:ascii="Arial" w:cs="Arial" w:eastAsia="Arial" w:hAnsi="Arial"/>
                <w:sz w:val="18"/>
                <w:szCs w:val="18"/>
                <w:color w:val="auto"/>
              </w:rPr>
              <w:t>Purchases of property and equipment, net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6"/>
        </w:trPr>
        <w:tc>
          <w:tcPr>
            <w:tcW w:w="6160" w:type="dxa"/>
            <w:vAlign w:val="bottom"/>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420"/>
              <w:spacing w:after="0"/>
              <w:rPr>
                <w:sz w:val="20"/>
                <w:szCs w:val="20"/>
                <w:color w:val="auto"/>
              </w:rPr>
            </w:pPr>
            <w:r>
              <w:rPr>
                <w:rFonts w:ascii="Arial" w:cs="Arial" w:eastAsia="Arial" w:hAnsi="Arial"/>
                <w:sz w:val="18"/>
                <w:szCs w:val="18"/>
                <w:color w:val="auto"/>
              </w:rPr>
              <w:t>Cash paid for asset acquisitions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6160" w:type="dxa"/>
            <w:vAlign w:val="bottom"/>
            <w:tcBorders>
              <w:bottom w:val="single" w:sz="8" w:color="E6E6E6"/>
            </w:tcBorders>
          </w:tcPr>
          <w:p>
            <w:pPr>
              <w:ind w:left="42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61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(1,493)</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616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60" w:type="dxa"/>
            <w:vAlign w:val="bottom"/>
            <w:shd w:val="clear" w:color="auto" w:fill="E6E6E6"/>
          </w:tcPr>
          <w:p>
            <w:pPr>
              <w:ind w:left="360"/>
              <w:spacing w:after="0"/>
              <w:rPr>
                <w:sz w:val="20"/>
                <w:szCs w:val="20"/>
                <w:color w:val="auto"/>
              </w:rPr>
            </w:pPr>
            <w:r>
              <w:rPr>
                <w:rFonts w:ascii="Arial" w:cs="Arial" w:eastAsia="Arial" w:hAnsi="Arial"/>
                <w:sz w:val="18"/>
                <w:szCs w:val="18"/>
                <w:color w:val="auto"/>
                <w:w w:val="93"/>
              </w:rPr>
              <w:t>Proceeds from issuance of Class A common stock in initial public offering, net</w:t>
            </w:r>
          </w:p>
        </w:tc>
        <w:tc>
          <w:tcPr>
            <w:tcW w:w="28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6160" w:type="dxa"/>
            <w:vAlign w:val="bottom"/>
            <w:vMerge w:val="restart"/>
            <w:shd w:val="clear" w:color="auto" w:fill="E6E6E6"/>
          </w:tcPr>
          <w:p>
            <w:pPr>
              <w:ind w:left="360"/>
              <w:spacing w:after="0"/>
              <w:rPr>
                <w:sz w:val="20"/>
                <w:szCs w:val="20"/>
                <w:color w:val="auto"/>
              </w:rPr>
            </w:pPr>
            <w:r>
              <w:rPr>
                <w:rFonts w:ascii="Arial" w:cs="Arial" w:eastAsia="Arial" w:hAnsi="Arial"/>
                <w:sz w:val="18"/>
                <w:szCs w:val="18"/>
                <w:color w:val="auto"/>
              </w:rPr>
              <w:t>of underwriting discounts and commissions</w:t>
            </w:r>
          </w:p>
        </w:tc>
        <w:tc>
          <w:tcPr>
            <w:tcW w:w="280" w:type="dxa"/>
            <w:vAlign w:val="bottom"/>
            <w:shd w:val="clear" w:color="auto" w:fill="E6E6E6"/>
          </w:tcPr>
          <w:p>
            <w:pPr>
              <w:spacing w:after="0"/>
              <w:rPr>
                <w:sz w:val="10"/>
                <w:szCs w:val="10"/>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7,048</w:t>
            </w:r>
          </w:p>
        </w:tc>
        <w:tc>
          <w:tcPr>
            <w:tcW w:w="60" w:type="dxa"/>
            <w:vAlign w:val="bottom"/>
            <w:shd w:val="clear" w:color="auto" w:fill="E6E6E6"/>
          </w:tcPr>
          <w:p>
            <w:pPr>
              <w:spacing w:after="0"/>
              <w:rPr>
                <w:sz w:val="10"/>
                <w:szCs w:val="10"/>
                <w:color w:val="auto"/>
              </w:rPr>
            </w:pPr>
          </w:p>
        </w:tc>
        <w:tc>
          <w:tcPr>
            <w:tcW w:w="160" w:type="dxa"/>
            <w:vAlign w:val="bottom"/>
            <w:shd w:val="clear" w:color="auto" w:fill="E6E6E6"/>
          </w:tcPr>
          <w:p>
            <w:pPr>
              <w:spacing w:after="0"/>
              <w:rPr>
                <w:sz w:val="10"/>
                <w:szCs w:val="10"/>
                <w:color w:val="auto"/>
              </w:rPr>
            </w:pPr>
          </w:p>
        </w:tc>
        <w:tc>
          <w:tcPr>
            <w:tcW w:w="1020" w:type="dxa"/>
            <w:vAlign w:val="bottom"/>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4"/>
        </w:trPr>
        <w:tc>
          <w:tcPr>
            <w:tcW w:w="6160" w:type="dxa"/>
            <w:vAlign w:val="bottom"/>
            <w:vMerge w:val="continue"/>
            <w:shd w:val="clear" w:color="auto" w:fill="E6E6E6"/>
          </w:tcPr>
          <w:p>
            <w:pPr>
              <w:spacing w:after="0"/>
              <w:rPr>
                <w:sz w:val="10"/>
                <w:szCs w:val="10"/>
                <w:color w:val="auto"/>
              </w:rPr>
            </w:pPr>
          </w:p>
        </w:tc>
        <w:tc>
          <w:tcPr>
            <w:tcW w:w="280" w:type="dxa"/>
            <w:vAlign w:val="bottom"/>
            <w:shd w:val="clear" w:color="auto" w:fill="E6E6E6"/>
          </w:tcPr>
          <w:p>
            <w:pPr>
              <w:spacing w:after="0"/>
              <w:rPr>
                <w:sz w:val="10"/>
                <w:szCs w:val="10"/>
                <w:color w:val="auto"/>
              </w:rPr>
            </w:pPr>
          </w:p>
        </w:tc>
        <w:tc>
          <w:tcPr>
            <w:tcW w:w="900" w:type="dxa"/>
            <w:vAlign w:val="bottom"/>
            <w:vMerge w:val="continue"/>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160" w:type="dxa"/>
            <w:vAlign w:val="bottom"/>
            <w:shd w:val="clear" w:color="auto" w:fill="E6E6E6"/>
          </w:tcPr>
          <w:p>
            <w:pPr>
              <w:spacing w:after="0"/>
              <w:rPr>
                <w:sz w:val="10"/>
                <w:szCs w:val="10"/>
                <w:color w:val="auto"/>
              </w:rPr>
            </w:pPr>
          </w:p>
        </w:tc>
        <w:tc>
          <w:tcPr>
            <w:tcW w:w="1020" w:type="dxa"/>
            <w:vAlign w:val="bottom"/>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260" w:type="dxa"/>
            <w:vAlign w:val="bottom"/>
            <w:shd w:val="clear" w:color="auto" w:fill="E6E6E6"/>
          </w:tcPr>
          <w:p>
            <w:pPr>
              <w:spacing w:after="0"/>
              <w:rPr>
                <w:sz w:val="10"/>
                <w:szCs w:val="10"/>
                <w:color w:val="auto"/>
              </w:rPr>
            </w:pPr>
          </w:p>
        </w:tc>
        <w:tc>
          <w:tcPr>
            <w:tcW w:w="92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w w:val="95"/>
              </w:rPr>
              <w:t>Purchase of Class A common stock and redemptions of Common Units from</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6160" w:type="dxa"/>
            <w:vAlign w:val="bottom"/>
            <w:vMerge w:val="restart"/>
          </w:tcPr>
          <w:p>
            <w:pPr>
              <w:ind w:left="360"/>
              <w:spacing w:after="0"/>
              <w:rPr>
                <w:sz w:val="20"/>
                <w:szCs w:val="20"/>
                <w:color w:val="auto"/>
              </w:rPr>
            </w:pPr>
            <w:r>
              <w:rPr>
                <w:rFonts w:ascii="Arial" w:cs="Arial" w:eastAsia="Arial" w:hAnsi="Arial"/>
                <w:sz w:val="18"/>
                <w:szCs w:val="18"/>
                <w:color w:val="auto"/>
              </w:rPr>
              <w:t>Pre-IPO owners</w:t>
            </w:r>
          </w:p>
        </w:tc>
        <w:tc>
          <w:tcPr>
            <w:tcW w:w="2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(1,970)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61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6160" w:type="dxa"/>
            <w:vAlign w:val="bottom"/>
            <w:shd w:val="clear" w:color="auto" w:fill="E6E6E6"/>
          </w:tcPr>
          <w:p>
            <w:pPr>
              <w:ind w:left="360"/>
              <w:spacing w:after="0"/>
              <w:rPr>
                <w:sz w:val="20"/>
                <w:szCs w:val="20"/>
                <w:color w:val="auto"/>
              </w:rPr>
            </w:pPr>
            <w:r>
              <w:rPr>
                <w:rFonts w:ascii="Arial" w:cs="Arial" w:eastAsia="Arial" w:hAnsi="Arial"/>
                <w:sz w:val="18"/>
                <w:szCs w:val="18"/>
                <w:color w:val="auto"/>
              </w:rPr>
              <w:t>Payment for offering costs</w:t>
            </w:r>
          </w:p>
        </w:tc>
        <w:tc>
          <w:tcPr>
            <w:tcW w:w="28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Pr>
          <w:p>
            <w:pPr>
              <w:ind w:left="360"/>
              <w:spacing w:after="0"/>
              <w:rPr>
                <w:sz w:val="20"/>
                <w:szCs w:val="20"/>
                <w:color w:val="auto"/>
              </w:rPr>
            </w:pPr>
            <w:r>
              <w:rPr>
                <w:rFonts w:ascii="Arial" w:cs="Arial" w:eastAsia="Arial" w:hAnsi="Arial"/>
                <w:sz w:val="18"/>
                <w:szCs w:val="18"/>
                <w:color w:val="auto"/>
              </w:rPr>
              <w:t>Proceeds from long-term borrowings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360"/>
              <w:spacing w:after="0"/>
              <w:rPr>
                <w:sz w:val="20"/>
                <w:szCs w:val="20"/>
                <w:color w:val="auto"/>
              </w:rPr>
            </w:pPr>
            <w:r>
              <w:rPr>
                <w:rFonts w:ascii="Arial" w:cs="Arial" w:eastAsia="Arial" w:hAnsi="Arial"/>
                <w:sz w:val="18"/>
                <w:szCs w:val="18"/>
                <w:color w:val="auto"/>
              </w:rPr>
              <w:t>Repayment for long-term borrowings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(11,661)</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(15,995)</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6"/>
        </w:trPr>
        <w:tc>
          <w:tcPr>
            <w:tcW w:w="6160" w:type="dxa"/>
            <w:vAlign w:val="bottom"/>
          </w:tcPr>
          <w:p>
            <w:pPr>
              <w:ind w:left="360"/>
              <w:spacing w:after="0"/>
              <w:rPr>
                <w:sz w:val="20"/>
                <w:szCs w:val="20"/>
                <w:color w:val="auto"/>
              </w:rPr>
            </w:pPr>
            <w:r>
              <w:rPr>
                <w:rFonts w:ascii="Arial" w:cs="Arial" w:eastAsia="Arial" w:hAnsi="Arial"/>
                <w:sz w:val="18"/>
                <w:szCs w:val="18"/>
                <w:color w:val="auto"/>
              </w:rPr>
              <w:t>Repayments under lines of credit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360"/>
              <w:spacing w:after="0"/>
              <w:rPr>
                <w:sz w:val="20"/>
                <w:szCs w:val="20"/>
                <w:color w:val="auto"/>
              </w:rPr>
            </w:pPr>
            <w:r>
              <w:rPr>
                <w:rFonts w:ascii="Arial" w:cs="Arial" w:eastAsia="Arial" w:hAnsi="Arial"/>
                <w:sz w:val="18"/>
                <w:szCs w:val="18"/>
                <w:color w:val="auto"/>
              </w:rPr>
              <w:t>Proceeds from lines of credit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160" w:type="dxa"/>
            <w:vAlign w:val="bottom"/>
          </w:tcPr>
          <w:p>
            <w:pPr>
              <w:ind w:left="360"/>
              <w:spacing w:after="0"/>
              <w:rPr>
                <w:sz w:val="20"/>
                <w:szCs w:val="20"/>
                <w:color w:val="auto"/>
              </w:rPr>
            </w:pPr>
            <w:r>
              <w:rPr>
                <w:rFonts w:ascii="Arial" w:cs="Arial" w:eastAsia="Arial" w:hAnsi="Arial"/>
                <w:sz w:val="18"/>
                <w:szCs w:val="18"/>
                <w:color w:val="auto"/>
              </w:rPr>
              <w:t>Payment for debt issuance cost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160" w:type="dxa"/>
            <w:vAlign w:val="bottom"/>
            <w:shd w:val="clear" w:color="auto" w:fill="E6E6E6"/>
          </w:tcPr>
          <w:p>
            <w:pPr>
              <w:ind w:left="360"/>
              <w:spacing w:after="0"/>
              <w:rPr>
                <w:sz w:val="20"/>
                <w:szCs w:val="20"/>
                <w:color w:val="auto"/>
              </w:rPr>
            </w:pPr>
            <w:r>
              <w:rPr>
                <w:rFonts w:ascii="Arial" w:cs="Arial" w:eastAsia="Arial" w:hAnsi="Arial"/>
                <w:sz w:val="18"/>
                <w:szCs w:val="18"/>
                <w:color w:val="auto"/>
              </w:rPr>
              <w:t>Payment towards Class B unit repurchases</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160" w:type="dxa"/>
            <w:vAlign w:val="bottom"/>
            <w:tcBorders>
              <w:bottom w:val="single" w:sz="8" w:color="E6E6E6"/>
            </w:tcBorders>
          </w:tcPr>
          <w:p>
            <w:pPr>
              <w:ind w:left="360"/>
              <w:spacing w:after="0"/>
              <w:rPr>
                <w:sz w:val="20"/>
                <w:szCs w:val="20"/>
                <w:color w:val="auto"/>
              </w:rPr>
            </w:pPr>
            <w:r>
              <w:rPr>
                <w:rFonts w:ascii="Arial" w:cs="Arial" w:eastAsia="Arial" w:hAnsi="Arial"/>
                <w:sz w:val="18"/>
                <w:szCs w:val="18"/>
                <w:color w:val="auto"/>
              </w:rPr>
              <w:t>Distributions to partners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8"/>
        </w:trPr>
        <w:tc>
          <w:tcPr>
            <w:tcW w:w="61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399</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(1,613)</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2"/>
        </w:trPr>
        <w:tc>
          <w:tcPr>
            <w:tcW w:w="6160" w:type="dxa"/>
            <w:vAlign w:val="bottom"/>
            <w:tcBorders>
              <w:bottom w:val="single" w:sz="8" w:color="E6E6E6"/>
            </w:tcBorders>
          </w:tcPr>
          <w:p>
            <w:pPr>
              <w:ind w:left="360"/>
              <w:spacing w:after="0"/>
              <w:rPr>
                <w:sz w:val="20"/>
                <w:szCs w:val="20"/>
                <w:color w:val="auto"/>
              </w:rPr>
            </w:pPr>
            <w:r>
              <w:rPr>
                <w:rFonts w:ascii="Arial" w:cs="Arial" w:eastAsia="Arial" w:hAnsi="Arial"/>
                <w:sz w:val="18"/>
                <w:szCs w:val="18"/>
                <w:color w:val="auto"/>
                <w:w w:val="87"/>
              </w:rPr>
              <w:t>Effect of exchange rate changes on cash and cash equivalents and restricted cash</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616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2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1,692</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8"/>
        </w:trPr>
        <w:tc>
          <w:tcPr>
            <w:tcW w:w="616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8"/>
        </w:trPr>
        <w:tc>
          <w:tcPr>
            <w:tcW w:w="61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28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1,942</w:t>
            </w:r>
          </w:p>
        </w:tc>
        <w:tc>
          <w:tcPr>
            <w:tcW w:w="6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bottom w:val="single" w:sz="8" w:color="E6E6E6"/>
            </w:tcBorders>
            <w:gridSpan w:val="2"/>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-6807835</wp:posOffset>
            </wp:positionV>
            <wp:extent cx="236410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-3780790</wp:posOffset>
            </wp:positionV>
            <wp:extent cx="236410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3">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-2875915</wp:posOffset>
            </wp:positionV>
            <wp:extent cx="23641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4">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-782320</wp:posOffset>
            </wp:positionV>
            <wp:extent cx="236410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5">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-471170</wp:posOffset>
            </wp:positionV>
            <wp:extent cx="236410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6">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-169545</wp:posOffset>
            </wp:positionV>
            <wp:extent cx="236410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7">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-18415</wp:posOffset>
            </wp:positionV>
            <wp:extent cx="236410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8">
                      <a:extLst>
                        <a:ext uri="{28A0092B-C50C-407E-A947-70E740481C1C}"/>
                      </a:extLst>
                    </a:blip>
                    <a:srcRect/>
                    <a:stretch>
                      <a:fillRect/>
                    </a:stretch>
                  </pic:blipFill>
                  <pic:spPr bwMode="auto">
                    <a:xfrm>
                      <a:off x="0" y="0"/>
                      <a:ext cx="236410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-43815</wp:posOffset>
                </wp:positionH>
                <wp:positionV relativeFrom="paragraph">
                  <wp:posOffset>916940</wp:posOffset>
                </wp:positionV>
                <wp:extent cx="62230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99pt,72.2pt" to="486.55pt,72.2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ectPr>
          <w:pgSz w:w="11880" w:h="15480" w:orient="portrait"/>
          <w:cols w:equalWidth="0" w:num="1">
            <w:col w:w="9840"/>
          </w:cols>
          <w:pgMar w:left="1020" w:top="676" w:right="1020" w:bottom="0" w:gutter="0" w:footer="0" w:header="0"/>
        </w:sectPr>
      </w:pPr>
    </w:p>
    <w:p>
      <w:pPr>
        <w:spacing w:after="0" w:line="53" w:lineRule="exact"/>
        <w:rPr>
          <w:sz w:val="20"/>
          <w:szCs w:val="20"/>
          <w:color w:val="auto"/>
        </w:rPr>
      </w:pPr>
    </w:p>
    <w:p>
      <w:pPr>
        <w:ind w:left="9560"/>
        <w:spacing w:after="0"/>
        <w:rPr>
          <w:sz w:val="20"/>
          <w:szCs w:val="20"/>
          <w:color w:val="auto"/>
        </w:rPr>
      </w:pPr>
      <w:r>
        <w:rPr>
          <w:rFonts w:ascii="Arial" w:cs="Arial" w:eastAsia="Arial" w:hAnsi="Arial"/>
          <w:sz w:val="10"/>
          <w:szCs w:val="10"/>
          <w:color w:val="auto"/>
        </w:rPr>
        <w:t>88</w:t>
      </w:r>
    </w:p>
    <w:p>
      <w:pPr>
        <w:sectPr>
          <w:pgSz w:w="11880" w:h="15480" w:orient="portrait"/>
          <w:cols w:equalWidth="0" w:num="1">
            <w:col w:w="9840"/>
          </w:cols>
          <w:pgMar w:left="1020" w:top="676" w:right="1020" w:bottom="0" w:gutter="0" w:footer="0" w:header="0"/>
          <w:type w:val="continuous"/>
        </w:sectPr>
      </w:pPr>
    </w:p>
    <w:bookmarkStart w:id="89" w:name="page90"/>
    <w:bookmarkEnd w:id="89"/>
    <w:p>
      <w:pPr>
        <w:jc w:val="center"/>
        <w:ind w:right="60"/>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148590</wp:posOffset>
                </wp:positionV>
                <wp:extent cx="62230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7pt" to="489.55pt,11.7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CONSOLIDATED STATEMENTS OF CASH FLOWS (Continued)</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Year ended</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180" w:type="dxa"/>
            <w:vAlign w:val="bottom"/>
            <w:gridSpan w:val="2"/>
          </w:tcPr>
          <w:p>
            <w:pPr>
              <w:jc w:val="right"/>
              <w:ind w:right="11"/>
              <w:spacing w:after="0" w:line="203" w:lineRule="exact"/>
              <w:rPr>
                <w:sz w:val="20"/>
                <w:szCs w:val="20"/>
                <w:color w:val="auto"/>
              </w:rPr>
            </w:pPr>
            <w:r>
              <w:rPr>
                <w:rFonts w:ascii="Arial" w:cs="Arial" w:eastAsia="Arial" w:hAnsi="Arial"/>
                <w:sz w:val="18"/>
                <w:szCs w:val="18"/>
                <w:color w:val="auto"/>
                <w:w w:val="93"/>
              </w:rPr>
              <w:t>December 31,</w:t>
            </w:r>
          </w:p>
        </w:tc>
        <w:tc>
          <w:tcPr>
            <w:tcW w:w="60" w:type="dxa"/>
            <w:vAlign w:val="bottom"/>
          </w:tcPr>
          <w:p>
            <w:pPr>
              <w:spacing w:after="0"/>
              <w:rPr>
                <w:sz w:val="17"/>
                <w:szCs w:val="17"/>
                <w:color w:val="auto"/>
              </w:rPr>
            </w:pPr>
          </w:p>
        </w:tc>
        <w:tc>
          <w:tcPr>
            <w:tcW w:w="118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7"/>
                <w:szCs w:val="17"/>
                <w:color w:val="auto"/>
              </w:rPr>
            </w:pPr>
          </w:p>
        </w:tc>
        <w:tc>
          <w:tcPr>
            <w:tcW w:w="1200" w:type="dxa"/>
            <w:vAlign w:val="bottom"/>
            <w:gridSpan w:val="2"/>
          </w:tcPr>
          <w:p>
            <w:pPr>
              <w:jc w:val="right"/>
              <w:ind w:right="11"/>
              <w:spacing w:after="0" w:line="203"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56"/>
        </w:trPr>
        <w:tc>
          <w:tcPr>
            <w:tcW w:w="604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7"/>
        </w:trPr>
        <w:tc>
          <w:tcPr>
            <w:tcW w:w="6040" w:type="dxa"/>
            <w:vAlign w:val="bottom"/>
          </w:tcPr>
          <w:p>
            <w:pPr>
              <w:ind w:left="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E6E6E6"/>
          </w:tcPr>
          <w:p>
            <w:pPr>
              <w:ind w:left="420"/>
              <w:spacing w:after="0"/>
              <w:rPr>
                <w:sz w:val="20"/>
                <w:szCs w:val="20"/>
                <w:color w:val="auto"/>
              </w:rPr>
            </w:pPr>
            <w:r>
              <w:rPr>
                <w:rFonts w:ascii="Arial" w:cs="Arial" w:eastAsia="Arial" w:hAnsi="Arial"/>
                <w:sz w:val="18"/>
                <w:szCs w:val="18"/>
                <w:color w:val="auto"/>
              </w:rPr>
              <w:t>Cash payments for interest on borrowings</w:t>
            </w:r>
          </w:p>
        </w:tc>
        <w:tc>
          <w:tcPr>
            <w:tcW w:w="28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1,022</w:t>
            </w:r>
          </w:p>
        </w:tc>
        <w:tc>
          <w:tcPr>
            <w:tcW w:w="340" w:type="dxa"/>
            <w:vAlign w:val="bottom"/>
            <w:gridSpan w:val="2"/>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6"/>
        </w:trPr>
        <w:tc>
          <w:tcPr>
            <w:tcW w:w="6040" w:type="dxa"/>
            <w:vAlign w:val="bottom"/>
          </w:tcPr>
          <w:p>
            <w:pPr>
              <w:ind w:left="420"/>
              <w:spacing w:after="0"/>
              <w:rPr>
                <w:sz w:val="20"/>
                <w:szCs w:val="20"/>
                <w:color w:val="auto"/>
              </w:rPr>
            </w:pPr>
            <w:r>
              <w:rPr>
                <w:rFonts w:ascii="Arial" w:cs="Arial" w:eastAsia="Arial" w:hAnsi="Arial"/>
                <w:sz w:val="18"/>
                <w:szCs w:val="18"/>
                <w:color w:val="auto"/>
              </w:rPr>
              <w:t>Cash received from interest rate hedging activities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0"/>
        </w:trPr>
        <w:tc>
          <w:tcPr>
            <w:tcW w:w="6040" w:type="dxa"/>
            <w:vAlign w:val="bottom"/>
            <w:shd w:val="clear" w:color="auto" w:fill="E6E6E6"/>
          </w:tcPr>
          <w:p>
            <w:pPr>
              <w:ind w:left="420"/>
              <w:spacing w:after="0"/>
              <w:rPr>
                <w:sz w:val="20"/>
                <w:szCs w:val="20"/>
                <w:color w:val="auto"/>
              </w:rPr>
            </w:pPr>
            <w:r>
              <w:rPr>
                <w:rFonts w:ascii="Arial" w:cs="Arial" w:eastAsia="Arial" w:hAnsi="Arial"/>
                <w:sz w:val="18"/>
                <w:szCs w:val="18"/>
                <w:color w:val="auto"/>
              </w:rPr>
              <w:t>Cash payments for income taxes, net</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5"/>
        </w:trPr>
        <w:tc>
          <w:tcPr>
            <w:tcW w:w="6040" w:type="dxa"/>
            <w:vAlign w:val="bottom"/>
          </w:tcPr>
          <w:p>
            <w:pPr>
              <w:ind w:left="420"/>
              <w:spacing w:after="0"/>
              <w:rPr>
                <w:sz w:val="20"/>
                <w:szCs w:val="20"/>
                <w:color w:val="auto"/>
              </w:rPr>
            </w:pPr>
            <w:r>
              <w:rPr>
                <w:rFonts w:ascii="Arial" w:cs="Arial" w:eastAsia="Arial" w:hAnsi="Arial"/>
                <w:sz w:val="18"/>
                <w:szCs w:val="18"/>
                <w:color w:val="auto"/>
              </w:rPr>
              <w:t>Operating cash flows paid for operating leases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0"/>
        </w:trPr>
        <w:tc>
          <w:tcPr>
            <w:tcW w:w="6040" w:type="dxa"/>
            <w:vAlign w:val="bottom"/>
            <w:shd w:val="clear" w:color="auto" w:fill="E6E6E6"/>
          </w:tcPr>
          <w:p>
            <w:pPr>
              <w:ind w:left="420"/>
              <w:spacing w:after="0"/>
              <w:rPr>
                <w:sz w:val="20"/>
                <w:szCs w:val="20"/>
                <w:color w:val="auto"/>
              </w:rPr>
            </w:pPr>
            <w:r>
              <w:rPr>
                <w:rFonts w:ascii="Arial" w:cs="Arial" w:eastAsia="Arial" w:hAnsi="Arial"/>
                <w:sz w:val="18"/>
                <w:szCs w:val="18"/>
                <w:color w:val="auto"/>
                <w:w w:val="89"/>
              </w:rPr>
              <w:t>Right-of-use operating lease assets obtained in exchange for lease obligations</w:t>
            </w:r>
          </w:p>
        </w:tc>
        <w:tc>
          <w:tcPr>
            <w:tcW w:w="2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6"/>
        </w:trPr>
        <w:tc>
          <w:tcPr>
            <w:tcW w:w="6040" w:type="dxa"/>
            <w:vAlign w:val="bottom"/>
          </w:tcPr>
          <w:p>
            <w:pPr>
              <w:ind w:left="420"/>
              <w:spacing w:after="0"/>
              <w:rPr>
                <w:sz w:val="20"/>
                <w:szCs w:val="20"/>
                <w:color w:val="auto"/>
              </w:rPr>
            </w:pPr>
            <w:r>
              <w:rPr>
                <w:rFonts w:ascii="Arial" w:cs="Arial" w:eastAsia="Arial" w:hAnsi="Arial"/>
                <w:sz w:val="18"/>
                <w:szCs w:val="18"/>
                <w:color w:val="auto"/>
              </w:rPr>
              <w:t>Non-cash purchases of property, plant and equipment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0"/>
        </w:trPr>
        <w:tc>
          <w:tcPr>
            <w:tcW w:w="6040" w:type="dxa"/>
            <w:vAlign w:val="bottom"/>
            <w:shd w:val="clear" w:color="auto" w:fill="E6E6E6"/>
          </w:tcPr>
          <w:p>
            <w:pPr>
              <w:ind w:left="420"/>
              <w:spacing w:after="0"/>
              <w:rPr>
                <w:sz w:val="20"/>
                <w:szCs w:val="20"/>
                <w:color w:val="auto"/>
              </w:rPr>
            </w:pPr>
            <w:r>
              <w:rPr>
                <w:rFonts w:ascii="Arial" w:cs="Arial" w:eastAsia="Arial" w:hAnsi="Arial"/>
                <w:sz w:val="18"/>
                <w:szCs w:val="18"/>
                <w:color w:val="auto"/>
              </w:rPr>
              <w:t>Recognition of tax receivable agreement liability</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3,542</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040" w:type="dxa"/>
            <w:vAlign w:val="bottom"/>
          </w:tcPr>
          <w:p>
            <w:pPr>
              <w:ind w:left="420"/>
              <w:spacing w:after="0"/>
              <w:rPr>
                <w:sz w:val="20"/>
                <w:szCs w:val="20"/>
                <w:color w:val="auto"/>
              </w:rPr>
            </w:pPr>
            <w:r>
              <w:rPr>
                <w:rFonts w:ascii="Arial" w:cs="Arial" w:eastAsia="Arial" w:hAnsi="Arial"/>
                <w:sz w:val="18"/>
                <w:szCs w:val="18"/>
                <w:color w:val="auto"/>
              </w:rPr>
              <w:t>Recognition of deferred tax assets from equity transactions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040" w:type="dxa"/>
            <w:vAlign w:val="bottom"/>
            <w:shd w:val="clear" w:color="auto" w:fill="E6E6E6"/>
          </w:tcPr>
          <w:p>
            <w:pPr>
              <w:ind w:left="420"/>
              <w:spacing w:after="0"/>
              <w:rPr>
                <w:sz w:val="20"/>
                <w:szCs w:val="20"/>
                <w:color w:val="auto"/>
              </w:rPr>
            </w:pPr>
            <w:r>
              <w:rPr>
                <w:rFonts w:ascii="Arial" w:cs="Arial" w:eastAsia="Arial" w:hAnsi="Arial"/>
                <w:sz w:val="18"/>
                <w:szCs w:val="18"/>
                <w:color w:val="auto"/>
              </w:rPr>
              <w:t>Non-cash capital contribution</w:t>
            </w:r>
          </w:p>
        </w:tc>
        <w:tc>
          <w:tcPr>
            <w:tcW w:w="28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-1841500</wp:posOffset>
            </wp:positionV>
            <wp:extent cx="236410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9">
                      <a:extLst>
                        <a:ext uri="{28A0092B-C50C-407E-A947-70E740481C1C}"/>
                      </a:extLst>
                    </a:blip>
                    <a:srcRect/>
                    <a:stretch>
                      <a:fillRect/>
                    </a:stretch>
                  </pic:blipFill>
                  <pic:spPr bwMode="auto">
                    <a:xfrm>
                      <a:off x="0" y="0"/>
                      <a:ext cx="2364105" cy="2540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-1549400</wp:posOffset>
            </wp:positionV>
            <wp:extent cx="236410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0">
                      <a:extLst>
                        <a:ext uri="{28A0092B-C50C-407E-A947-70E740481C1C}"/>
                      </a:extLst>
                    </a:blip>
                    <a:srcRect/>
                    <a:stretch>
                      <a:fillRect/>
                    </a:stretch>
                  </pic:blipFill>
                  <pic:spPr bwMode="auto">
                    <a:xfrm>
                      <a:off x="0" y="0"/>
                      <a:ext cx="236410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188595</wp:posOffset>
                </wp:positionV>
                <wp:extent cx="6223000" cy="33020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330200"/>
                        </a:xfrm>
                        <a:prstGeom prst="rect">
                          <a:avLst/>
                        </a:prstGeom>
                        <a:solidFill>
                          <a:srgbClr val="E6E6E6"/>
                        </a:solidFill>
                      </wps:spPr>
                      <wps:bodyPr/>
                    </wps:wsp>
                  </a:graphicData>
                </a:graphic>
              </wp:anchor>
            </w:drawing>
          </mc:Choice>
          <mc:Fallback>
            <w:pict>
              <v:rect id="Shape 93" o:spid="_x0000_s1118" style="position:absolute;margin-left:-0.4499pt;margin-top:14.85pt;width:490pt;height: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188595</wp:posOffset>
                </wp:positionV>
                <wp:extent cx="6223000" cy="49022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90220"/>
                        </a:xfrm>
                        <a:prstGeom prst="rect">
                          <a:avLst/>
                        </a:prstGeom>
                        <a:solidFill>
                          <a:srgbClr val="FFFFFF"/>
                        </a:solidFill>
                      </wps:spPr>
                      <wps:bodyPr/>
                    </wps:wsp>
                  </a:graphicData>
                </a:graphic>
              </wp:anchor>
            </w:drawing>
          </mc:Choice>
          <mc:Fallback>
            <w:pict>
              <v:rect id="Shape 94" o:spid="_x0000_s1119" style="position:absolute;margin-left:-0.4499pt;margin-top:14.85pt;width:490pt;height:3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87" w:lineRule="exact"/>
        <w:rPr>
          <w:sz w:val="20"/>
          <w:szCs w:val="20"/>
          <w:color w:val="auto"/>
        </w:rPr>
      </w:pPr>
    </w:p>
    <w:p>
      <w:pPr>
        <w:ind w:left="40" w:right="100"/>
        <w:spacing w:after="0" w:line="278" w:lineRule="auto"/>
        <w:rPr>
          <w:sz w:val="20"/>
          <w:szCs w:val="20"/>
          <w:color w:val="auto"/>
        </w:rPr>
      </w:pPr>
      <w:r>
        <w:rPr>
          <w:rFonts w:ascii="Arial" w:cs="Arial" w:eastAsia="Arial" w:hAnsi="Arial"/>
          <w:sz w:val="20"/>
          <w:szCs w:val="20"/>
          <w:color w:val="auto"/>
        </w:rPr>
        <w:t>The following table provides reconciliation of cash, cash equivalents and restricted cash shown above to the amounts reported within the Consolidated Balance Sheets as of December 31,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Year ended</w:t>
            </w:r>
          </w:p>
        </w:tc>
        <w:tc>
          <w:tcPr>
            <w:tcW w:w="780" w:type="dxa"/>
            <w:vAlign w:val="bottom"/>
            <w:tcBorders>
              <w:bottom w:val="single" w:sz="8" w:color="auto"/>
            </w:tcBorders>
          </w:tcPr>
          <w:p>
            <w:pPr>
              <w:spacing w:after="0"/>
              <w:rPr>
                <w:sz w:val="20"/>
                <w:szCs w:val="20"/>
                <w:color w:val="auto"/>
              </w:rPr>
            </w:pPr>
          </w:p>
        </w:tc>
      </w:tr>
      <w:tr>
        <w:trPr>
          <w:trHeight w:val="232"/>
        </w:trPr>
        <w:tc>
          <w:tcPr>
            <w:tcW w:w="6540" w:type="dxa"/>
            <w:vAlign w:val="bottom"/>
            <w:tcBorders>
              <w:bottom w:val="single" w:sz="8" w:color="E6E6E6"/>
            </w:tcBorders>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87"/>
              </w:rPr>
              <w:t>December 31, 2025</w:t>
            </w:r>
          </w:p>
        </w:tc>
        <w:tc>
          <w:tcPr>
            <w:tcW w:w="60" w:type="dxa"/>
            <w:vAlign w:val="bottom"/>
            <w:tcBorders>
              <w:bottom w:val="single" w:sz="8" w:color="E6E6E6"/>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r>
      <w:tr>
        <w:trPr>
          <w:trHeight w:val="228"/>
        </w:trPr>
        <w:tc>
          <w:tcPr>
            <w:tcW w:w="6540" w:type="dxa"/>
            <w:vAlign w:val="bottom"/>
            <w:shd w:val="clear" w:color="auto" w:fill="E6E6E6"/>
          </w:tcPr>
          <w:p>
            <w:pPr>
              <w:ind w:left="4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1,939</w:t>
            </w:r>
          </w:p>
        </w:tc>
        <w:tc>
          <w:tcPr>
            <w:tcW w:w="60" w:type="dxa"/>
            <w:vAlign w:val="bottom"/>
            <w:shd w:val="clear" w:color="auto" w:fill="E6E6E6"/>
          </w:tcPr>
          <w:p>
            <w:pPr>
              <w:spacing w:after="0"/>
              <w:rPr>
                <w:sz w:val="19"/>
                <w:szCs w:val="19"/>
                <w:color w:val="auto"/>
              </w:rPr>
            </w:pPr>
          </w:p>
        </w:tc>
        <w:tc>
          <w:tcPr>
            <w:tcW w:w="74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199</w:t>
            </w:r>
          </w:p>
        </w:tc>
      </w:tr>
      <w:tr>
        <w:trPr>
          <w:trHeight w:val="228"/>
        </w:trPr>
        <w:tc>
          <w:tcPr>
            <w:tcW w:w="6540" w:type="dxa"/>
            <w:vAlign w:val="bottom"/>
            <w:tcBorders>
              <w:bottom w:val="single" w:sz="8" w:color="E6E6E6"/>
            </w:tcBorders>
          </w:tcPr>
          <w:p>
            <w:pPr>
              <w:ind w:left="400"/>
              <w:spacing w:after="0"/>
              <w:rPr>
                <w:sz w:val="20"/>
                <w:szCs w:val="20"/>
                <w:color w:val="auto"/>
              </w:rPr>
            </w:pPr>
            <w:r>
              <w:rPr>
                <w:rFonts w:ascii="Arial" w:cs="Arial" w:eastAsia="Arial" w:hAnsi="Arial"/>
                <w:sz w:val="18"/>
                <w:szCs w:val="18"/>
                <w:color w:val="auto"/>
              </w:rPr>
              <w:t>Restricted cash included in other current assets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8"/>
        </w:trPr>
        <w:tc>
          <w:tcPr>
            <w:tcW w:w="65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8"/>
                <w:szCs w:val="18"/>
                <w:b w:val="1"/>
                <w:bCs w:val="1"/>
                <w:color w:val="auto"/>
              </w:rPr>
              <w:t>Cash, cash equivalents and restricted cash</w:t>
            </w: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1,942</w:t>
            </w:r>
          </w:p>
        </w:tc>
        <w:tc>
          <w:tcPr>
            <w:tcW w:w="60" w:type="dxa"/>
            <w:vAlign w:val="bottom"/>
            <w:tcBorders>
              <w:bottom w:val="single" w:sz="8" w:color="E6E6E6"/>
            </w:tcBorders>
            <w:shd w:val="clear" w:color="auto" w:fill="E6E6E6"/>
          </w:tcPr>
          <w:p>
            <w:pPr>
              <w:spacing w:after="0"/>
              <w:rPr>
                <w:sz w:val="18"/>
                <w:szCs w:val="18"/>
                <w:color w:val="auto"/>
              </w:rPr>
            </w:pPr>
          </w:p>
        </w:tc>
        <w:tc>
          <w:tcPr>
            <w:tcW w:w="7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-471170</wp:posOffset>
            </wp:positionV>
            <wp:extent cx="20904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1">
                      <a:extLst>
                        <a:ext uri="{28A0092B-C50C-407E-A947-70E740481C1C}"/>
                      </a:extLst>
                    </a:blip>
                    <a:srcRect/>
                    <a:stretch>
                      <a:fillRect/>
                    </a:stretch>
                  </pic:blipFill>
                  <pic:spPr bwMode="auto">
                    <a:xfrm>
                      <a:off x="0" y="0"/>
                      <a:ext cx="2090420" cy="2540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-169545</wp:posOffset>
            </wp:positionV>
            <wp:extent cx="20904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2">
                      <a:extLst>
                        <a:ext uri="{28A0092B-C50C-407E-A947-70E740481C1C}"/>
                      </a:extLst>
                    </a:blip>
                    <a:srcRect/>
                    <a:stretch>
                      <a:fillRect/>
                    </a:stretch>
                  </pic:blipFill>
                  <pic:spPr bwMode="auto">
                    <a:xfrm>
                      <a:off x="0" y="0"/>
                      <a:ext cx="2090420" cy="2540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-18415</wp:posOffset>
            </wp:positionV>
            <wp:extent cx="20904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3">
                      <a:extLst>
                        <a:ext uri="{28A0092B-C50C-407E-A947-70E740481C1C}"/>
                      </a:extLst>
                    </a:blip>
                    <a:srcRect/>
                    <a:stretch>
                      <a:fillRect/>
                    </a:stretch>
                  </pic:blipFill>
                  <pic:spPr bwMode="auto">
                    <a:xfrm>
                      <a:off x="0" y="0"/>
                      <a:ext cx="209042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4415155</wp:posOffset>
                </wp:positionV>
                <wp:extent cx="62230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47.65pt" to="489.55pt,347.6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notes to consolidated financial statements.</w:t>
      </w:r>
    </w:p>
    <w:p>
      <w:pPr>
        <w:sectPr>
          <w:pgSz w:w="11880" w:h="15480" w:orient="portrait"/>
          <w:cols w:equalWidth="0" w:num="1">
            <w:col w:w="9840"/>
          </w:cols>
          <w:pgMar w:left="960" w:top="676" w:right="1080" w:bottom="0" w:gutter="0" w:footer="0" w:header="0"/>
        </w:sectPr>
      </w:pPr>
    </w:p>
    <w:p>
      <w:pPr>
        <w:spacing w:after="0" w:line="53" w:lineRule="exact"/>
        <w:rPr>
          <w:sz w:val="20"/>
          <w:szCs w:val="20"/>
          <w:color w:val="auto"/>
        </w:rPr>
      </w:pPr>
    </w:p>
    <w:p>
      <w:pPr>
        <w:ind w:left="9620"/>
        <w:spacing w:after="0"/>
        <w:rPr>
          <w:sz w:val="20"/>
          <w:szCs w:val="20"/>
          <w:color w:val="auto"/>
        </w:rPr>
      </w:pPr>
      <w:r>
        <w:rPr>
          <w:rFonts w:ascii="Arial" w:cs="Arial" w:eastAsia="Arial" w:hAnsi="Arial"/>
          <w:sz w:val="10"/>
          <w:szCs w:val="10"/>
          <w:color w:val="auto"/>
        </w:rPr>
        <w:t>89</w:t>
      </w:r>
    </w:p>
    <w:p>
      <w:pPr>
        <w:sectPr>
          <w:pgSz w:w="11880" w:h="15480" w:orient="portrait"/>
          <w:cols w:equalWidth="0" w:num="1">
            <w:col w:w="9840"/>
          </w:cols>
          <w:pgMar w:left="960" w:top="676" w:right="108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2280" w:firstLine="2284"/>
        <w:spacing w:after="0" w:line="453" w:lineRule="auto"/>
        <w:rPr>
          <w:sz w:val="20"/>
          <w:szCs w:val="20"/>
          <w:color w:val="auto"/>
        </w:rPr>
      </w:pPr>
      <w:r>
        <w:rPr>
          <w:rFonts w:ascii="Arial" w:cs="Arial" w:eastAsia="Arial" w:hAnsi="Arial"/>
          <w:sz w:val="20"/>
          <w:szCs w:val="20"/>
          <w:b w:val="1"/>
          <w:bCs w:val="1"/>
          <w:color w:val="auto"/>
        </w:rPr>
        <w:t>NOTES TO CONSOLIDATED FINANCIAL STATEMENTS NOTE 1 - NATURE OF BUSINESS AND SIGNIFICANT ACCOUNTING POLICIES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Nature of Business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Medline Inc., a Delaware corporation formed on November 6, 2024, is a holding company, and its material assets are its equity interests held directly or indirectly through wholly owned subsidiaries in Medline Holdings, LP (“Medline Holdings”), and its subsidiaries (together, the “Company” or “Medline”). The Company is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December 16, 2025, the Securities and Exchange Commission declared effective the Company’s Registration Statement on Form S-1 filed in connection with its initial public offering (the “IPO”). The Company’s Class A common stock started trading on The Nasdaq Global Select Market on December 17, 2025. On December 18, 2025, the Company completed the IPO of its Class A common stock in which the Company issued and sold 248,439,654 shares of Class A common stock (including shares issued pursuant to the exercise in full of the underwriters’ option to purchase additional shares) for cash consideration of $29.00 per share. The IPO generated net proceeds of approximately $7,048 million after deducting underwriting discounts and commissions of approximately $157 million, but before deducting offering expenses of approximately $40 million. The Company used the proceeds (net of underwriting discounts and commissions) from the issuance of 179,000,000 shares ($5,078 million) in the IPO to purchase an equivalent number of newly issued Common Units from Medline Holdings, which Medline Holdings has in turn used $731 million of which to repay in full all outstanding Euro Term Loans (as defined herein) and $3,292 million of which to repay a portion of the outstanding USD Term Loans (as defined herein) which matures in 2028. The Company will use the remaining net proceed for general corporate purposes and to bear all of the expenses of the IPO. The Company has used the proceeds (net of underwriting discounts and commissions) from the issuance of 37,034,482 shares ($1,051 million) and the issuance of 32,405,172 shares ($919 million) pursuant to the exercise in full by the underwriters of their option to purchase additional shares in the IPO to purchase or redeem an equivalent aggregate number of shares of Class A common stock and Common Units from certain pre-IPO owners.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Reorganization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December 16, 2025, prior to the completion of the IPO, the Company executed several reorganization transactions (the “Reorganization”) and amended and restated Limited Partnership Agreement of Medline Holdings (the “LP Agreement”), resulting in the following:</w:t>
      </w:r>
    </w:p>
    <w:p>
      <w:pPr>
        <w:spacing w:after="0" w:line="194" w:lineRule="exact"/>
        <w:rPr>
          <w:sz w:val="20"/>
          <w:szCs w:val="20"/>
          <w:color w:val="auto"/>
        </w:rPr>
      </w:pPr>
    </w:p>
    <w:p>
      <w:pPr>
        <w:ind w:left="720" w:hanging="364"/>
        <w:spacing w:after="0" w:line="278"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Medline Inc. became the general partner of Medline Holdings with 100% of the voting power and control of Medline Holdings.</w:t>
      </w:r>
    </w:p>
    <w:p>
      <w:pPr>
        <w:spacing w:after="0" w:line="1" w:lineRule="exact"/>
        <w:rPr>
          <w:rFonts w:ascii="Arial" w:cs="Arial" w:eastAsia="Arial" w:hAnsi="Arial"/>
          <w:sz w:val="20"/>
          <w:szCs w:val="20"/>
          <w:color w:val="auto"/>
        </w:rPr>
      </w:pPr>
    </w:p>
    <w:p>
      <w:pPr>
        <w:jc w:val="both"/>
        <w:ind w:left="720" w:hanging="364"/>
        <w:spacing w:after="0" w:line="272"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outstanding Class A units and Class B catch-up profits interests units (“CUPIs”) of Medline Holdings were either (1) reclassified into Common Units, a new class of partnership interest of Medline Holdings, or (2) directly or indirectly exchanged for vested shares of Class A common stock and restricted stock units (“RSUs”) of Medline Inc. The holders of Common Units were also allocated shares of Class B common stock of Medline Inc. on a one-for-one basis with the number of their Common Units.</w:t>
      </w:r>
    </w:p>
    <w:p>
      <w:pPr>
        <w:spacing w:after="0" w:line="9" w:lineRule="exact"/>
        <w:rPr>
          <w:rFonts w:ascii="Arial" w:cs="Arial" w:eastAsia="Arial" w:hAnsi="Arial"/>
          <w:sz w:val="19"/>
          <w:szCs w:val="19"/>
          <w:color w:val="auto"/>
        </w:rPr>
      </w:pPr>
    </w:p>
    <w:p>
      <w:pPr>
        <w:jc w:val="both"/>
        <w:ind w:left="720" w:hanging="364"/>
        <w:spacing w:after="0" w:line="258"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outstanding Class B units of Medline Holdings were either (1) reclassified into Incentive Units, a new class of partnership interest of Medline Holdings, or (2) directly or indirectly exchanged for vested shares of Class A common stock of Medline Inc., in the case of vested Class B units, and restricted stock awards (“RSAs”), RSUs, and options of Medline Inc., in the case of unvested Class B units.</w:t>
      </w:r>
    </w:p>
    <w:p>
      <w:pPr>
        <w:spacing w:after="0" w:line="20" w:lineRule="exact"/>
        <w:rPr>
          <w:rFonts w:ascii="Arial" w:cs="Arial" w:eastAsia="Arial" w:hAnsi="Arial"/>
          <w:sz w:val="20"/>
          <w:szCs w:val="20"/>
          <w:color w:val="auto"/>
        </w:rPr>
      </w:pPr>
    </w:p>
    <w:p>
      <w:pPr>
        <w:ind w:left="720" w:hanging="364"/>
        <w:spacing w:after="0" w:line="278"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Holders of Incentive Units (“Incentive Unitholders”) have the right to exchange their vested Incentive Units for Common Units at the exchange rate defined by the amended LP Agreement.</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90</w:t>
      </w:r>
    </w:p>
    <w:p>
      <w:pPr>
        <w:sectPr>
          <w:pgSz w:w="11880" w:h="15480" w:orient="portrait"/>
          <w:cols w:equalWidth="0" w:num="1">
            <w:col w:w="9800"/>
          </w:cols>
          <w:pgMar w:left="1040" w:top="676" w:right="1040" w:bottom="8"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SIGNIFICANT ACCOUNTING POLICIES (Continued)</w:t>
      </w:r>
    </w:p>
    <w:p>
      <w:pPr>
        <w:spacing w:after="0" w:line="178" w:lineRule="exact"/>
        <w:rPr>
          <w:sz w:val="20"/>
          <w:szCs w:val="20"/>
          <w:color w:val="auto"/>
        </w:rPr>
      </w:pPr>
    </w:p>
    <w:p>
      <w:pPr>
        <w:ind w:left="720" w:hanging="364"/>
        <w:spacing w:after="0" w:line="278"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Recognition of noncontrolling interests due to the pre-IPO owners retaining an economic interest in Medline Holdings related to Common Units and Incentive Units.</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After the Reorganization, Medline Inc.’s sole material asset is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have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 and Consolidation</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consolidated financial statements and accompanying notes are prepared in accordance with United States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20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consolidated financial statements include the financial statements of the Company, all entities that are wholly-owned by the Company and all entities in which the Company has a controlling financial interest. All intercompany transactions and balances have been eliminated. A noncontrolling interest in a consolidated subsidiary represents the portion of the equity (net assets) in a subsidiary not attributable, directly or indirectly, to the Company. Noncontrolling interests are presented as a separate component of equity in the Consolidated Balance Sheets and the presentation of net income (loss) is modified to present earnings and other comprehensive income (loss) attributed to controlling and noncontrolling interests.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reclassified certain prior period amounts in the Consolidated Balance Sheets and Consolidated Statements of Cash Flows to conform to the current year’s presentation. The changes relate to the inclusion of an immaterial financial statement line item within another line item for presentation purposes. The change did not have an impact on the Company’s financial condition, operating results,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Fiscal Periods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Company’s fiscal year begins on January 1 and ends on December 31. The fiscal quarters are based on a four-four-five-week calendar with periods ending on the Saturday of the last week in the quarter, with the exception of December 31, which is always the fiscal year end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5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tax receivable agreement, deferred tax valuations, depreciation and amortization, actuarial assumptions, and fair value allocations related to business combinations. Actual results could differ from those estimates.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91</w:t>
      </w:r>
    </w:p>
    <w:p>
      <w:pPr>
        <w:sectPr>
          <w:pgSz w:w="11880" w:h="15480" w:orient="portrait"/>
          <w:cols w:equalWidth="0" w:num="1">
            <w:col w:w="9800"/>
          </w:cols>
          <w:pgMar w:left="1040" w:top="676" w:right="1040" w:bottom="8"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Cash and Cash Equivalents</w:t>
      </w:r>
    </w:p>
    <w:p>
      <w:pPr>
        <w:spacing w:after="0" w:line="1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Restricted cash represents cash balances restricted as to withdrawal or use and are included in Other current assets on the Consolidated Balance Sheets. As of December 31, 2025, restricted cash was not material. As of December 31, 2024, restricted cash includes $47 million held in an escrow account related to settlement for ethylene oxide sterilization (“EtO”) litigation. See Note 13—Commitments and Contingencies for additional information on EtO related claims and litigation.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increases in the LIFO reserve of $83 million, $53 million, and $61 million in the years ended December 31, 2025, 2024 and 2023, respectively, all within Cost of goods sold in the Consolidated Statements of Comprehensive Income. For certain foreign subsidiaries, cost is determined using the first-in, first-out (“FIFO”) method. The LIFO method was used to value approximately 89% of the Company’s inventories for both December 31, 2025 and 2024. Estimated provisions are established for slow-moving and obsolete inventory based on historical and forecasted sales trends. Rebates received from vendors relating to the purchase or distribution of inventory are considered product discounts and are accounted for as a reduction in the cost of inventory and are recognized when the inventory is sold.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Net of Allowance for Credit Losses</w:t>
      </w:r>
    </w:p>
    <w:p>
      <w:pPr>
        <w:spacing w:after="0" w:line="25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Accounts receivable are carried at amortized cost less an allowance for credit losses. Credit losses are determined utilizing a forward-looking model and are recognized in accordance with Accounting Standard Codification (“ASC”) 326 Financial Instruments -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Company charges interest on overdue receivables and evaluates the collection of this interest. Net interest on overdue receivables was not material as of December 31, 2025, 2024 and 2023. Accounts receivable are written off when deemed uncollectible. Recoveries of accounts receivable previously written off are recorded when received. The Company does not reduce customer rebates from accounts receivable as right of set-off does not exist, and therefore, they are classified separately under Accrued expenses and Other Current Liabilities. See Note 6— Accrued Expenses and Other Current Liabilities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diversifies the concentration of its cash by maintaining deposits with a number of major banks and investing in money market funds. The Company has a primary customer base within the healthcare industry, which is subject to volatility. Generally, the Company does not require collateral from its customers. The Company performs regular credit evaluations of the Company’s customers’ financial conditions and maintains reserves for expected losses through the established allowance for credit losses.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92</w:t>
      </w:r>
    </w:p>
    <w:p>
      <w:pPr>
        <w:sectPr>
          <w:pgSz w:w="11880" w:h="15480" w:orient="portrait"/>
          <w:cols w:equalWidth="0" w:num="1">
            <w:col w:w="9800"/>
          </w:cols>
          <w:pgMar w:left="1040" w:top="676" w:right="1040" w:bottom="8"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Research and Development Expenses</w:t>
      </w:r>
    </w:p>
    <w:p>
      <w:pPr>
        <w:spacing w:after="0" w:line="15"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Research and development expenses are charged to earnings as incurred. Research and development costs for the years ended December 31, 2025, 2024 and 2023 were $80 million, $67 million and $60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Property, plant, and equipment are stated at cost less accumulated depreciation and amortization, using straight-line method over estimated useful lives. Fully depreciated assets remain on the books until disposal, at which point, the costs and accumulated depreciation are removed, and any resulting gain or loss is recognized in net income. Maintenance and repairs are expensed as incurred, while significant renewals are capitalized. Leasehold improvements are amortized over the shorter of their useful life or lease term.</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Asset Class</w:t>
            </w:r>
          </w:p>
        </w:tc>
        <w:tc>
          <w:tcPr>
            <w:tcW w:w="40" w:type="dxa"/>
            <w:vAlign w:val="bottom"/>
          </w:tcPr>
          <w:p>
            <w:pPr>
              <w:spacing w:after="0"/>
              <w:rPr>
                <w:sz w:val="20"/>
                <w:szCs w:val="20"/>
                <w:color w:val="auto"/>
              </w:rPr>
            </w:pPr>
          </w:p>
        </w:tc>
        <w:tc>
          <w:tcPr>
            <w:tcW w:w="4880" w:type="dxa"/>
            <w:vAlign w:val="bottom"/>
            <w:tcBorders>
              <w:bottom w:val="single" w:sz="8" w:color="auto"/>
            </w:tcBorders>
          </w:tcPr>
          <w:p>
            <w:pPr>
              <w:jc w:val="right"/>
              <w:ind w:right="1931"/>
              <w:spacing w:after="0"/>
              <w:rPr>
                <w:sz w:val="20"/>
                <w:szCs w:val="20"/>
                <w:color w:val="auto"/>
              </w:rPr>
            </w:pPr>
            <w:r>
              <w:rPr>
                <w:rFonts w:ascii="Arial" w:cs="Arial" w:eastAsia="Arial" w:hAnsi="Arial"/>
                <w:sz w:val="18"/>
                <w:szCs w:val="18"/>
                <w:b w:val="1"/>
                <w:bCs w:val="1"/>
                <w:color w:val="auto"/>
              </w:rPr>
              <w:t>Useful Life</w:t>
            </w:r>
          </w:p>
        </w:tc>
      </w:tr>
      <w:tr>
        <w:trPr>
          <w:trHeight w:val="183"/>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tcPr>
          <w:p>
            <w:pPr>
              <w:spacing w:after="0"/>
              <w:rPr>
                <w:sz w:val="15"/>
                <w:szCs w:val="15"/>
                <w:color w:val="auto"/>
              </w:rPr>
            </w:pPr>
          </w:p>
        </w:tc>
      </w:tr>
      <w:tr>
        <w:trPr>
          <w:trHeight w:val="282"/>
        </w:trPr>
        <w:tc>
          <w:tcPr>
            <w:tcW w:w="4880" w:type="dxa"/>
            <w:vAlign w:val="bottom"/>
            <w:shd w:val="clear" w:color="auto" w:fill="E6E6E6"/>
          </w:tcPr>
          <w:p>
            <w:pPr>
              <w:ind w:left="60"/>
              <w:spacing w:after="0"/>
              <w:rPr>
                <w:sz w:val="20"/>
                <w:szCs w:val="20"/>
                <w:color w:val="auto"/>
              </w:rPr>
            </w:pPr>
            <w:r>
              <w:rPr>
                <w:rFonts w:ascii="Arial" w:cs="Arial" w:eastAsia="Arial" w:hAnsi="Arial"/>
                <w:sz w:val="18"/>
                <w:szCs w:val="18"/>
                <w:color w:val="auto"/>
              </w:rPr>
              <w:t>Buildings and Improvements - Owned</w:t>
            </w:r>
          </w:p>
        </w:tc>
        <w:tc>
          <w:tcPr>
            <w:tcW w:w="40" w:type="dxa"/>
            <w:vAlign w:val="bottom"/>
            <w:shd w:val="clear" w:color="auto" w:fill="E6E6E6"/>
          </w:tcPr>
          <w:p>
            <w:pPr>
              <w:spacing w:after="0"/>
              <w:rPr>
                <w:sz w:val="24"/>
                <w:szCs w:val="24"/>
                <w:color w:val="auto"/>
              </w:rPr>
            </w:pPr>
          </w:p>
        </w:tc>
        <w:tc>
          <w:tcPr>
            <w:tcW w:w="4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15-40 years</w:t>
            </w:r>
          </w:p>
        </w:tc>
      </w:tr>
      <w:tr>
        <w:trPr>
          <w:trHeight w:val="275"/>
        </w:trPr>
        <w:tc>
          <w:tcPr>
            <w:tcW w:w="4880" w:type="dxa"/>
            <w:vAlign w:val="bottom"/>
          </w:tcPr>
          <w:p>
            <w:pPr>
              <w:ind w:left="60"/>
              <w:spacing w:after="0"/>
              <w:rPr>
                <w:sz w:val="20"/>
                <w:szCs w:val="20"/>
                <w:color w:val="auto"/>
              </w:rPr>
            </w:pPr>
            <w:r>
              <w:rPr>
                <w:rFonts w:ascii="Arial" w:cs="Arial" w:eastAsia="Arial" w:hAnsi="Arial"/>
                <w:sz w:val="18"/>
                <w:szCs w:val="18"/>
                <w:color w:val="auto"/>
              </w:rPr>
              <w:t>Building Improvements - Leased</w:t>
            </w:r>
          </w:p>
        </w:tc>
        <w:tc>
          <w:tcPr>
            <w:tcW w:w="40" w:type="dxa"/>
            <w:vAlign w:val="bottom"/>
          </w:tcPr>
          <w:p>
            <w:pPr>
              <w:spacing w:after="0"/>
              <w:rPr>
                <w:sz w:val="23"/>
                <w:szCs w:val="23"/>
                <w:color w:val="auto"/>
              </w:rPr>
            </w:pPr>
          </w:p>
        </w:tc>
        <w:tc>
          <w:tcPr>
            <w:tcW w:w="4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Shorter of 10 years/Remaining lease term</w:t>
            </w:r>
          </w:p>
        </w:tc>
      </w:tr>
      <w:tr>
        <w:trPr>
          <w:trHeight w:val="289"/>
        </w:trPr>
        <w:tc>
          <w:tcPr>
            <w:tcW w:w="4880" w:type="dxa"/>
            <w:vAlign w:val="bottom"/>
            <w:shd w:val="clear" w:color="auto" w:fill="E6E6E6"/>
          </w:tcPr>
          <w:p>
            <w:pPr>
              <w:ind w:left="60"/>
              <w:spacing w:after="0"/>
              <w:rPr>
                <w:sz w:val="20"/>
                <w:szCs w:val="20"/>
                <w:color w:val="auto"/>
              </w:rPr>
            </w:pPr>
            <w:r>
              <w:rPr>
                <w:rFonts w:ascii="Arial" w:cs="Arial" w:eastAsia="Arial" w:hAnsi="Arial"/>
                <w:sz w:val="18"/>
                <w:szCs w:val="18"/>
                <w:color w:val="auto"/>
              </w:rPr>
              <w:t>Land Improvements</w:t>
            </w:r>
          </w:p>
        </w:tc>
        <w:tc>
          <w:tcPr>
            <w:tcW w:w="40" w:type="dxa"/>
            <w:vAlign w:val="bottom"/>
            <w:shd w:val="clear" w:color="auto" w:fill="E6E6E6"/>
          </w:tcPr>
          <w:p>
            <w:pPr>
              <w:spacing w:after="0"/>
              <w:rPr>
                <w:sz w:val="24"/>
                <w:szCs w:val="24"/>
                <w:color w:val="auto"/>
              </w:rPr>
            </w:pPr>
          </w:p>
        </w:tc>
        <w:tc>
          <w:tcPr>
            <w:tcW w:w="4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 years</w:t>
            </w:r>
          </w:p>
        </w:tc>
      </w:tr>
      <w:tr>
        <w:trPr>
          <w:trHeight w:val="275"/>
        </w:trPr>
        <w:tc>
          <w:tcPr>
            <w:tcW w:w="4880" w:type="dxa"/>
            <w:vAlign w:val="bottom"/>
          </w:tcPr>
          <w:p>
            <w:pPr>
              <w:ind w:left="60"/>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23"/>
                <w:szCs w:val="23"/>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3-20 years</w:t>
            </w:r>
          </w:p>
        </w:tc>
      </w:tr>
      <w:tr>
        <w:trPr>
          <w:trHeight w:val="289"/>
        </w:trPr>
        <w:tc>
          <w:tcPr>
            <w:tcW w:w="4880" w:type="dxa"/>
            <w:vAlign w:val="bottom"/>
            <w:shd w:val="clear" w:color="auto" w:fill="E6E6E6"/>
          </w:tcPr>
          <w:p>
            <w:pPr>
              <w:ind w:left="60"/>
              <w:spacing w:after="0"/>
              <w:rPr>
                <w:sz w:val="20"/>
                <w:szCs w:val="20"/>
                <w:color w:val="auto"/>
              </w:rPr>
            </w:pPr>
            <w:r>
              <w:rPr>
                <w:rFonts w:ascii="Arial" w:cs="Arial" w:eastAsia="Arial" w:hAnsi="Arial"/>
                <w:sz w:val="18"/>
                <w:szCs w:val="18"/>
                <w:color w:val="auto"/>
              </w:rPr>
              <w:t>Computer Software</w:t>
            </w:r>
          </w:p>
        </w:tc>
        <w:tc>
          <w:tcPr>
            <w:tcW w:w="40" w:type="dxa"/>
            <w:vAlign w:val="bottom"/>
            <w:shd w:val="clear" w:color="auto" w:fill="E6E6E6"/>
          </w:tcPr>
          <w:p>
            <w:pPr>
              <w:spacing w:after="0"/>
              <w:rPr>
                <w:sz w:val="24"/>
                <w:szCs w:val="24"/>
                <w:color w:val="auto"/>
              </w:rPr>
            </w:pPr>
          </w:p>
        </w:tc>
        <w:tc>
          <w:tcPr>
            <w:tcW w:w="4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 years</w:t>
            </w:r>
          </w:p>
        </w:tc>
      </w:tr>
      <w:tr>
        <w:trPr>
          <w:trHeight w:val="275"/>
        </w:trPr>
        <w:tc>
          <w:tcPr>
            <w:tcW w:w="4880" w:type="dxa"/>
            <w:vAlign w:val="bottom"/>
          </w:tcPr>
          <w:p>
            <w:pPr>
              <w:ind w:left="60"/>
              <w:spacing w:after="0"/>
              <w:rPr>
                <w:sz w:val="20"/>
                <w:szCs w:val="20"/>
                <w:color w:val="auto"/>
              </w:rPr>
            </w:pPr>
            <w:r>
              <w:rPr>
                <w:rFonts w:ascii="Arial" w:cs="Arial" w:eastAsia="Arial" w:hAnsi="Arial"/>
                <w:sz w:val="18"/>
                <w:szCs w:val="18"/>
                <w:color w:val="auto"/>
              </w:rPr>
              <w:t>Furniture and Fixtures</w:t>
            </w:r>
          </w:p>
        </w:tc>
        <w:tc>
          <w:tcPr>
            <w:tcW w:w="40" w:type="dxa"/>
            <w:vAlign w:val="bottom"/>
          </w:tcPr>
          <w:p>
            <w:pPr>
              <w:spacing w:after="0"/>
              <w:rPr>
                <w:sz w:val="23"/>
                <w:szCs w:val="23"/>
                <w:color w:val="auto"/>
              </w:rPr>
            </w:pPr>
          </w:p>
        </w:tc>
        <w:tc>
          <w:tcPr>
            <w:tcW w:w="488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89"/>
        </w:trPr>
        <w:tc>
          <w:tcPr>
            <w:tcW w:w="4880" w:type="dxa"/>
            <w:vAlign w:val="bottom"/>
            <w:shd w:val="clear" w:color="auto" w:fill="E6E6E6"/>
          </w:tcPr>
          <w:p>
            <w:pPr>
              <w:ind w:left="60"/>
              <w:spacing w:after="0"/>
              <w:rPr>
                <w:sz w:val="20"/>
                <w:szCs w:val="20"/>
                <w:color w:val="auto"/>
              </w:rPr>
            </w:pPr>
            <w:r>
              <w:rPr>
                <w:rFonts w:ascii="Arial" w:cs="Arial" w:eastAsia="Arial" w:hAnsi="Arial"/>
                <w:sz w:val="18"/>
                <w:szCs w:val="18"/>
                <w:color w:val="auto"/>
              </w:rPr>
              <w:t>Auto and Trucks</w:t>
            </w:r>
          </w:p>
        </w:tc>
        <w:tc>
          <w:tcPr>
            <w:tcW w:w="40" w:type="dxa"/>
            <w:vAlign w:val="bottom"/>
            <w:shd w:val="clear" w:color="auto" w:fill="E6E6E6"/>
          </w:tcPr>
          <w:p>
            <w:pPr>
              <w:spacing w:after="0"/>
              <w:rPr>
                <w:sz w:val="24"/>
                <w:szCs w:val="24"/>
                <w:color w:val="auto"/>
              </w:rPr>
            </w:pPr>
          </w:p>
        </w:tc>
        <w:tc>
          <w:tcPr>
            <w:tcW w:w="4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5-7 years</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 ended December 31, 2025.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Goodwill represents the excess of the purchase price over the fair value of the identifiable assets acquired and liabilities assumed for a business combination.</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 See Note 5—Goodwill and Intangible Assets for additional information about the Company’s impairment assessment.</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93</w:t>
      </w:r>
    </w:p>
    <w:p>
      <w:pPr>
        <w:sectPr>
          <w:pgSz w:w="11880" w:h="15480" w:orient="portrait"/>
          <w:cols w:equalWidth="0" w:num="1">
            <w:col w:w="9800"/>
          </w:cols>
          <w:pgMar w:left="1040" w:top="676" w:right="1040" w:bottom="8"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Intangible Assets</w:t>
      </w:r>
    </w:p>
    <w:p>
      <w:pPr>
        <w:spacing w:after="0" w:line="1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Intangible assets are initially measured at fair value and consist of trade names, customer relationships and developed technology from acquisitions by the Company. The definite-lived intangible assets are amortized using the straight-line method over their estimated useful lives, which ranges from 2 - 21 years.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 and significant judgments and considers the weight of evidence and significance of all identified events and circumstances and most relevant drivers of fair value in determining whether it is more likely than not that the fair value of the indefinite-lived intangible asset is less than its carrying amount. If management concludes that it is more likely than not that the fair value is less than its carrying amount, the Company conducts a quantitative impairment test; otherwise, no further analysis is required.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quantitative test compares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 See Note 5—Goodwill and Intangible Assets for additional information about the Company’s impairment assessment.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5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Operating lease right-of-use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 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Company’s leases have remaining lease terms ranging from less than 12 months to approximately 14 years. The lease terms may include options to extend or terminate the lease when it is reasonably certain and there is a significant economic incentive to exercise that option.</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94</w:t>
      </w:r>
    </w:p>
    <w:p>
      <w:pPr>
        <w:sectPr>
          <w:pgSz w:w="11880" w:h="15480" w:orient="portrait"/>
          <w:cols w:equalWidth="0" w:num="1">
            <w:col w:w="9800"/>
          </w:cols>
          <w:pgMar w:left="1040" w:top="676" w:right="1040" w:bottom="8"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SIGNIFICANT ACCOUNTING POLICIES (Continued)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lessor, the Company enters into operating leases primarily for corporate offices and distribution facilities. The contracts generally do not contain options to purchase the underlying assets. Other contractual terms, including options to shorten or extend the lease term,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ASC 842, “Leases”. See Note 9—Leases for additional information on the Company’s leases.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5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judgment is generally not required to determine the timing of satisfying the performance obligation. Revenue is measured as the amount of consideration the Company expects to receive in exchange for those products. Shipping and handling costs include all delivery expenses as well as all costs to prepare the product for shipment to the customer, which are treated as fulfillment costs and primarily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4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judgment in determining the amounts by which to reduce revenue. Customer rebates typically represent the most significant component of variable consideration, with distributor chargebacks generally constituting the next largest category.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See Note 20—Segment Information for disaggregation of net sales by product category, geography, and sales office as the Company believes that it best depicts how the nature, amount, timing and uncertainty of net sales and cash flows are affected by economic factors.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Goods Sold</w:t>
      </w:r>
    </w:p>
    <w:p>
      <w:pPr>
        <w:spacing w:after="0" w:line="25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the Company’s distribution network are included in Selling, general and administrative expenses.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95</w:t>
      </w:r>
    </w:p>
    <w:p>
      <w:pPr>
        <w:sectPr>
          <w:pgSz w:w="11880" w:h="15480" w:orient="portrait"/>
          <w:cols w:equalWidth="0" w:num="1">
            <w:col w:w="9800"/>
          </w:cols>
          <w:pgMar w:left="1040" w:top="676" w:right="1040" w:bottom="8"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Stock-based Compensation</w:t>
      </w:r>
    </w:p>
    <w:p>
      <w:pPr>
        <w:spacing w:after="0" w:line="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issues stock-based awards to employees that are generally in the form RSUs, restricted stock awards (“RSAs”), stock options, or incentive units. These awards are generally equity classified. Compensation cost for equity awards is measured at their grant-date fair value. The grant date fair value of RSUs and RSAs is based on the fair value of the Company’s underlying common stock. The grant date fair value of stock options is estimated using the Black-Scholes option pricing model, which requires management to make assumptions with respect to the fair value of the Company’s equity award on the grant date, including the expected term of the award, the expected volatility of the Company’s stock calculated based on a period of time generally commensurate with the expected term of the award, risk-free interest rates and expected dividend yields of the Company’s stock. Generally, RSUs, RSAs, incentive units, and stock options have graded vesting. For graded vesting awards with service only conditions, the Company recognizes expense using the straight-line attribution method over the requisite service period. Forfeitures are accounted for as they occur.</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Additionally, stock-based compensation includes other stock-based awards, such as awards that include performance conditions and may be settled in restricted shares with time-based vesting. Awards with performance conditions are generally liability classified and remeasured at fair value through settlement. Upon settlement, these awards are reclassified as equity, and their fair value is finalized at the grant date.</w:t>
      </w:r>
    </w:p>
    <w:p>
      <w:pPr>
        <w:spacing w:after="0" w:line="199" w:lineRule="exact"/>
        <w:rPr>
          <w:sz w:val="20"/>
          <w:szCs w:val="20"/>
          <w:color w:val="auto"/>
        </w:rPr>
      </w:pPr>
    </w:p>
    <w:p>
      <w:pPr>
        <w:ind w:right="120"/>
        <w:spacing w:after="0" w:line="495" w:lineRule="auto"/>
        <w:rPr>
          <w:sz w:val="20"/>
          <w:szCs w:val="20"/>
          <w:color w:val="auto"/>
        </w:rPr>
      </w:pPr>
      <w:r>
        <w:rPr>
          <w:rFonts w:ascii="Arial" w:cs="Arial" w:eastAsia="Arial" w:hAnsi="Arial"/>
          <w:sz w:val="20"/>
          <w:szCs w:val="20"/>
          <w:color w:val="auto"/>
        </w:rPr>
        <w:t xml:space="preserve">See Note 17—Stock-based Compensation for a discussion of the Company’s stock-based compensation plans and awards. </w:t>
      </w:r>
      <w:r>
        <w:rPr>
          <w:rFonts w:ascii="Arial" w:cs="Arial" w:eastAsia="Arial" w:hAnsi="Arial"/>
          <w:sz w:val="20"/>
          <w:szCs w:val="20"/>
          <w:b w:val="1"/>
          <w:bCs w:val="1"/>
          <w:i w:val="1"/>
          <w:iCs w:val="1"/>
          <w:color w:val="auto"/>
        </w:rPr>
        <w:t>Net Income (loss) per Share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Basic net income (loss) per share is computed by dividing net income (loss) attributable to the Company by the weighted average number of common stock outstanding during the period. Diluted net income (loss) per unit is computed by dividing net earnings or losses attributable to the Company by the weighted-average shares outstanding during the period after adjusting for the impact of securities that would have a dilutive effect on net income (loss) per share. The treasury stock method is applied to equity incentive plans, while the if-converted method is used for instruments with conversion features.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All net income prior to the IPO was entirely allocable to partners of Medline Holdings. As a result of the Reorganization and IPO, the Company’s capital structure before and after IPO are not comparable, and the presentation of net income per share for the periods prior to the IPO is not meaningful and not presented herein. See Note 18—Net Income per Share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accounts for income taxes under the liability method in accordance with ASC 740, “Income Taxes”, and Deferred tax assets and liabilities are recognized for future tax consequences attributable to differences between the financial statement carrying value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The Company records any tax on Global Intangible Low-Taxed Income (“GILTI”) in the provision for income taxes in the year it is incurred.</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recognizes interest and penalties related to unrecognized tax benefits in interest and income tax expense, respectively. The Company had no amounts accrued for interest or penalties related to unrecognized tax benefits as of December 31, 2025 and 2024. The Company does not expect the total amount of unrecognized tax benefits to substantially change in the next 12 months.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96</w:t>
      </w:r>
    </w:p>
    <w:p>
      <w:pPr>
        <w:sectPr>
          <w:pgSz w:w="11880" w:h="15480" w:orient="portrait"/>
          <w:cols w:equalWidth="0" w:num="1">
            <w:col w:w="9800"/>
          </w:cols>
          <w:pgMar w:left="1040" w:top="676" w:right="1040" w:bottom="8"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Tax Receivable Agreement</w:t>
      </w:r>
    </w:p>
    <w:p>
      <w:pPr>
        <w:spacing w:after="0" w:line="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owners that provides for the payment by Medline Inc. to such pre-IPO owners of 90% of certain tax benefits, if any, that Medline Inc. realizes, or is deemed to realize. The Company recognizes obligations arising under the TRA in accordance with ASC 450, “Contingencies”. Obligations under the TRA are accrued when it is probable that a liability has been incurred and its amount is estimable. Liabilities associated with the TRA are classified as either current or noncurrent based on the expected date of payment and are presented in the Consolidated Balance Sheets under the captions Accrued expenses and other current liabilities and Tax receivable agreement liability, respectively. The exchange of partnership interest will result in an increase in TRA liabilities with a corresponding adjustment to Additional paid-in capital. Subsequent remeasurement of the TRA liabilities is recognized in the Consolidated Statements of Comprehensive Income as a component of Other (expense) income, net. See Note 11—Tax Receivable Agreement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contingencies</w:t>
      </w: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See Note 13—Commitments and Contingencies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25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Pension Plans</w:t>
      </w:r>
    </w:p>
    <w:p>
      <w:pPr>
        <w:spacing w:after="0" w:line="25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net of tax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97</w:t>
      </w:r>
    </w:p>
    <w:p>
      <w:pPr>
        <w:sectPr>
          <w:pgSz w:w="11880" w:h="15480" w:orient="portrait"/>
          <w:cols w:equalWidth="0" w:num="1">
            <w:col w:w="9800"/>
          </w:cols>
          <w:pgMar w:left="1040" w:top="676" w:right="1040" w:bottom="8"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Translation of Financial Statements of Foreign Subsidiaries</w:t>
      </w:r>
    </w:p>
    <w:p>
      <w:pPr>
        <w:spacing w:after="0" w:line="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Derivative financial instruments are used primarily to manage interest rate and foreign currency exchange exposures, and are recorded at fair value in the Company’s Consolidated Balance Sheets.</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 uses interest rate derivatives such as interest rate swaps and caps to add stability to interest expense and to manage its exposure to interest rate movements. The Company designates certain of its interest 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ASC 815, “Derivatives and Hedging”. For derivatives designated and qualified as cash flow hedges of interest rate risk, the gain or loss from the fair value change of the derivative is recorded in Accumulated other comprehensive income (loss) and subsequently reclassified into Interest expense, net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See Note 15—Derivatives and Hedging Activities Risk Management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155" w:lineRule="exact"/>
        <w:rPr>
          <w:sz w:val="20"/>
          <w:szCs w:val="20"/>
          <w:color w:val="auto"/>
        </w:rPr>
      </w:pPr>
    </w:p>
    <w:p>
      <w:pPr>
        <w:jc w:val="both"/>
        <w:ind w:left="540"/>
        <w:spacing w:after="0" w:line="278" w:lineRule="auto"/>
        <w:rPr>
          <w:sz w:val="20"/>
          <w:szCs w:val="20"/>
          <w:color w:val="auto"/>
        </w:rPr>
      </w:pPr>
      <w:r>
        <w:rPr>
          <w:rFonts w:ascii="Arial" w:cs="Arial" w:eastAsia="Arial" w:hAnsi="Arial"/>
          <w:sz w:val="20"/>
          <w:szCs w:val="20"/>
          <w:color w:val="auto"/>
        </w:rPr>
        <w:t>Level 1: Quoted prices (unadjusted) for identical assets or liabilities in active markets that the Company has the ability to access as of the measurement date.</w:t>
      </w:r>
    </w:p>
    <w:p>
      <w:pPr>
        <w:spacing w:after="0" w:line="140" w:lineRule="exact"/>
        <w:rPr>
          <w:sz w:val="20"/>
          <w:szCs w:val="20"/>
          <w:color w:val="auto"/>
        </w:rPr>
      </w:pPr>
    </w:p>
    <w:p>
      <w:pPr>
        <w:jc w:val="both"/>
        <w:ind w:left="540"/>
        <w:spacing w:after="0" w:line="263" w:lineRule="auto"/>
        <w:rPr>
          <w:sz w:val="20"/>
          <w:szCs w:val="20"/>
          <w:color w:val="auto"/>
        </w:rPr>
      </w:pPr>
      <w:r>
        <w:rPr>
          <w:rFonts w:ascii="Arial" w:cs="Arial" w:eastAsia="Arial" w:hAnsi="Arial"/>
          <w:sz w:val="20"/>
          <w:szCs w:val="20"/>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55" w:lineRule="exact"/>
        <w:rPr>
          <w:sz w:val="20"/>
          <w:szCs w:val="20"/>
          <w:color w:val="auto"/>
        </w:rPr>
      </w:pPr>
    </w:p>
    <w:p>
      <w:pPr>
        <w:jc w:val="both"/>
        <w:ind w:left="540"/>
        <w:spacing w:after="0" w:line="278" w:lineRule="auto"/>
        <w:rPr>
          <w:sz w:val="20"/>
          <w:szCs w:val="20"/>
          <w:color w:val="auto"/>
        </w:rPr>
      </w:pPr>
      <w:r>
        <w:rPr>
          <w:rFonts w:ascii="Arial" w:cs="Arial" w:eastAsia="Arial" w:hAnsi="Arial"/>
          <w:sz w:val="20"/>
          <w:szCs w:val="20"/>
          <w:color w:val="auto"/>
        </w:rPr>
        <w:t>Level 3: Significant unobservable inputs that reflect the Company’s own assumptions about the assumptions that market participants would use in pricing an asset or liability.</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carrying amount of financial instruments, including cash and cash equivalents, accounts receivable, notes receivable and accounts payable, approximates fair value due to the short maturities of these instruments.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98</w:t>
      </w:r>
    </w:p>
    <w:p>
      <w:pPr>
        <w:sectPr>
          <w:pgSz w:w="11880" w:h="15480" w:orient="portrait"/>
          <w:cols w:equalWidth="0" w:num="1">
            <w:col w:w="9800"/>
          </w:cols>
          <w:pgMar w:left="1040" w:top="676" w:right="1040" w:bottom="8"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right="1420"/>
        <w:spacing w:after="0" w:line="453" w:lineRule="auto"/>
        <w:rPr>
          <w:sz w:val="20"/>
          <w:szCs w:val="20"/>
          <w:color w:val="auto"/>
        </w:rPr>
      </w:pPr>
      <w:r>
        <w:rPr>
          <w:rFonts w:ascii="Arial" w:cs="Arial" w:eastAsia="Arial" w:hAnsi="Arial"/>
          <w:sz w:val="20"/>
          <w:szCs w:val="20"/>
          <w:b w:val="1"/>
          <w:bCs w:val="1"/>
          <w:color w:val="auto"/>
        </w:rPr>
        <w:t xml:space="preserve">NOTE 1 - NATURE OF BUSINESS AND SIGNIFICANT ACCOUNTING POLICIES (Continued) </w:t>
      </w:r>
      <w:r>
        <w:rPr>
          <w:rFonts w:ascii="Arial" w:cs="Arial" w:eastAsia="Arial" w:hAnsi="Arial"/>
          <w:sz w:val="20"/>
          <w:szCs w:val="20"/>
          <w:b w:val="1"/>
          <w:bCs w:val="1"/>
          <w:i w:val="1"/>
          <w:iCs w:val="1"/>
          <w:color w:val="auto"/>
        </w:rPr>
        <w:t>Recently Adopted Accounting Standards</w:t>
      </w:r>
    </w:p>
    <w:p>
      <w:pPr>
        <w:spacing w:after="0" w:line="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Company has adopted this standard on a prospective basis in 2025. See Note 12—Income Taxes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Standards Not Yet Adopted</w:t>
      </w:r>
    </w:p>
    <w:p>
      <w:pPr>
        <w:spacing w:after="0" w:line="2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December 2025, the FASB issued ASU 2025-12, Codification Improvements. ASU 2025-12 amends various areas of the ASC to (1) clarify, (2) correct errors, or (3) make minor improvements. The ASU intends to make the ASC easier to understand and apply in cases in which the original guidance may have been unclear. The ASU is effective for annual periods beginning after December 15, 2026, and interim periods within those annual periods. Early adoption is permitted. Entities may adopt the guidance using a prospective or retrospective approach. The Company expects adoption of this ASU would not have a material impact on the consolidated financial statements.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December 2025, the FASB issued ASU 2025-11, Interim Reporting (ASC 270): Narrow Scope Improvements. ASU 2025-11 clarifies existing interim disclosure requirements and the applicability of ASC 270 and does not expand or reduce interim disclosure requirements. The ASU also includes a disclosure principle that requires entities to disclose material events and changes occurring since the end of the most recent annual reporting period, which may be presented either on the face of the interim financial statements or in the accompanying notes. The ASU is effective for interim periods within annual periods beginning after December 15, 2027. Early adoption is permitted. Entities may adopt the guidance using a prospective or retrospective approach. The Company expects adoption of this ASU would not have a material impact on the interim consolidated financial statements.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December 2025, the FASB issued ASU 2025-10, Government Grants (ASC 832): Accounting for Government Grants Received by Business Entities. ASU 2025-10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amendments are effective for annual periods beginning after December 15, 2028, and interim periods within those annual periods. Early adoption is permitted. Entities may adopt the guidance using a prospective, retrospective, or modified transition approach. The Company is currently evaluating the impact of adopting this new standard on its consolidated financial statements.</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September 2025, the FASB issued ASU 2025-07, Derivatives and Hedging (ASC 815) and Revenue from Contracts with Customers (ASC 606): Derivatives Scope Refinements and Scope Clarification for Share-Based Noncash Consideration from a Customer in a Revenue Contract. ASU 2025-07 refines the scope of derivative accounting by excluding certain non-exchange-traded contracts with underlyings that are based on operations or activities specific to one of the parties to the contract. The scope exception does not apply to variables based on a market rate, market price, market index, the price, or performance of a financial asset or liability, contracts (or features) involving an issuer’s own equity or options on debt instruments. In addition, the amendments clarify that share-based noncash consideration received from a customer should be accounted for under the noncash consideration guidance in ASC 606. The amendments are effective for annual periods beginning after December 15, 2026, and interim periods within those annual periods. Early adoption is permitted. Entities may adopt the guidance either prospectively or on a modified retrospective basis. The Company expects adoption of this ASU would not have a material impact on the consolidated financial statements.</w:t>
      </w:r>
    </w:p>
    <w:p>
      <w:pPr>
        <w:sectPr>
          <w:pgSz w:w="11880" w:h="15480" w:orient="portrait"/>
          <w:cols w:equalWidth="0" w:num="1">
            <w:col w:w="9800"/>
          </w:cols>
          <w:pgMar w:left="1040" w:top="676" w:right="10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680"/>
        <w:spacing w:after="0"/>
        <w:rPr>
          <w:sz w:val="20"/>
          <w:szCs w:val="20"/>
          <w:color w:val="auto"/>
        </w:rPr>
      </w:pPr>
      <w:r>
        <w:rPr>
          <w:rFonts w:ascii="Arial" w:cs="Arial" w:eastAsia="Arial" w:hAnsi="Arial"/>
          <w:sz w:val="10"/>
          <w:szCs w:val="10"/>
          <w:color w:val="auto"/>
        </w:rPr>
        <w:t>99</w:t>
      </w:r>
    </w:p>
    <w:p>
      <w:pPr>
        <w:sectPr>
          <w:pgSz w:w="11880" w:h="15480" w:orient="portrait"/>
          <w:cols w:equalWidth="0" w:num="1">
            <w:col w:w="9800"/>
          </w:cols>
          <w:pgMar w:left="1040" w:top="676" w:right="1040" w:bottom="8"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SIGNIFICANT ACCOUNTING POLICIES (Continued)</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September 2025, the FASB issued ASU 2025-06, Intangibles-Goodwill and Other-Internal-Use Software (Subtopic 350-40): Targeted Improvements to the Accounting for Internal-Use Software. ASU 2025-06 updates the guidance for internal-use software by eliminating references to development stages and clarifying the criteria for capitalization. Under the new guidance, capitalization begins when (1) management authorizes and commits to funding the project and (2) it is probable that the project will be completed, and the software will be used as intended. The amendments are effective for annual periods beginning after December 15, 2027, and interim periods within those annual periods. Early adoption is permitted. Entities may adopt the guidance using a prospective, retrospective, or modified transition approach. The Company expects adoption of this ASU would not have a material impact on the consolidated financial statements.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2025, the FASB issued ASU 2025-05, Financial Instruments - Credit Losses (ASC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expects adoption of this ASU would not have a material impact on the consolidated financial statements.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November 2024, the FASB issued ASU 2024-03, Income Statement - Reporting Comprehensive Income - 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 2) 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Microtek</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On August 1, 2024, the Company acquired all of the outstanding shares of the global surgical solutions business of Ecolab (the “Microtek” business) pursuant to a share purchase agreement for $905 million cash consideration. The primary purpose of the business combination was to expand the Medline Brand business (defined in Note 20—Segment Information</w:t>
      </w:r>
      <w:r>
        <w:rPr>
          <w:rFonts w:ascii="Arial" w:cs="Arial" w:eastAsia="Arial" w:hAnsi="Arial"/>
          <w:sz w:val="19"/>
          <w:szCs w:val="19"/>
          <w:b w:val="1"/>
          <w:bCs w:val="1"/>
          <w:color w:val="auto"/>
        </w:rPr>
        <w:t>)</w:t>
      </w:r>
      <w:r>
        <w:rPr>
          <w:rFonts w:ascii="Arial" w:cs="Arial" w:eastAsia="Arial" w:hAnsi="Arial"/>
          <w:sz w:val="19"/>
          <w:szCs w:val="19"/>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acquisition met the requirements to be considered a business combination under ASC 805, “Business Combinations” (“ASC 805”) and was accounted for using the acquisition method of accounting. Results of operations of this acquired business are included in the Company’s consolidated financial statements beginning from the date of acquisition. The Microtek acquisition contributed $127 million of net sales and an immaterial amount of net income for the year ended December 31, 2024. The Company has allocated the purchase price to the tangible and identifiable intangible assets acquired and liabilities assumed based on their fair market values at the acquisition date as required under ASC 805.</w:t>
      </w:r>
    </w:p>
    <w:p>
      <w:pPr>
        <w:sectPr>
          <w:pgSz w:w="11880" w:h="15480" w:orient="portrait"/>
          <w:cols w:equalWidth="0" w:num="1">
            <w:col w:w="9800"/>
          </w:cols>
          <w:pgMar w:left="1040" w:top="67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100</w:t>
      </w:r>
    </w:p>
    <w:p>
      <w:pPr>
        <w:sectPr>
          <w:pgSz w:w="11880" w:h="15480" w:orient="portrait"/>
          <w:cols w:equalWidth="0" w:num="1">
            <w:col w:w="9800"/>
          </w:cols>
          <w:pgMar w:left="1040" w:top="676" w:right="104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ACQUISITIONS (Continued)</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During the year ended December 31, 2025, the Company recorded measurement period adjustments as a result of additional facts and circumstances that existed as of the acquisition date. Total net adjustments of $4 million were offset by an increase in goodwill acquired from $418 million to $422 million. The adjustments primarily relate to updated valuations of Trade accounts receivable, Inventories, Other long-term assets and Other long-term liabilities as well as a reclassification of $11 million from Other long-term liabilities to Accrued expenses and other current liabilities. In addition, an adjustment which decreased Trade accounts receivable also reduced the purchase price by $6 million. These adjustments did not have a material impact on the Consolidated Statements of Comprehensive Income.</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Company has allocated the final purchase price to the assets acquired and the liabilities assumed based on their fair values as of August 1, 2024 as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Amount</w:t>
            </w:r>
          </w:p>
        </w:tc>
      </w:tr>
      <w:tr>
        <w:trPr>
          <w:trHeight w:val="24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7"/>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8500" w:type="dxa"/>
            <w:vAlign w:val="bottom"/>
          </w:tcPr>
          <w:p>
            <w:pPr>
              <w:ind w:left="680"/>
              <w:spacing w:after="0"/>
              <w:rPr>
                <w:sz w:val="20"/>
                <w:szCs w:val="20"/>
                <w:color w:val="auto"/>
              </w:rPr>
            </w:pPr>
            <w:r>
              <w:rPr>
                <w:rFonts w:ascii="Arial" w:cs="Arial" w:eastAsia="Arial" w:hAnsi="Arial"/>
                <w:sz w:val="18"/>
                <w:szCs w:val="18"/>
                <w:color w:val="auto"/>
              </w:rPr>
              <w:t>Total identifiable net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62"/>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422</w:t>
            </w:r>
          </w:p>
        </w:tc>
      </w:tr>
      <w:tr>
        <w:trPr>
          <w:trHeight w:val="197"/>
        </w:trPr>
        <w:tc>
          <w:tcPr>
            <w:tcW w:w="8500" w:type="dxa"/>
            <w:vAlign w:val="bottom"/>
          </w:tcPr>
          <w:p>
            <w:pPr>
              <w:ind w:left="640"/>
              <w:spacing w:after="0" w:line="197" w:lineRule="exact"/>
              <w:rPr>
                <w:sz w:val="20"/>
                <w:szCs w:val="20"/>
                <w:color w:val="auto"/>
              </w:rPr>
            </w:pPr>
            <w:r>
              <w:rPr>
                <w:rFonts w:ascii="Arial" w:cs="Arial" w:eastAsia="Arial" w:hAnsi="Arial"/>
                <w:sz w:val="18"/>
                <w:szCs w:val="18"/>
                <w:b w:val="1"/>
                <w:bCs w:val="1"/>
                <w:color w:val="auto"/>
              </w:rPr>
              <w:t>Net assets acquired, at fair value</w:t>
            </w:r>
          </w:p>
        </w:tc>
        <w:tc>
          <w:tcPr>
            <w:tcW w:w="260" w:type="dxa"/>
            <w:vAlign w:val="bottom"/>
            <w:tcBorders>
              <w:bottom w:val="single" w:sz="8" w:color="auto"/>
            </w:tcBorders>
          </w:tcPr>
          <w:p>
            <w:pPr>
              <w:jc w:val="right"/>
              <w:ind w:right="31"/>
              <w:spacing w:after="0" w:line="197"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905</w:t>
            </w:r>
          </w:p>
        </w:tc>
      </w:tr>
      <w:tr>
        <w:trPr>
          <w:trHeight w:val="20"/>
        </w:trPr>
        <w:tc>
          <w:tcPr>
            <w:tcW w:w="8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-2275205</wp:posOffset>
            </wp:positionV>
            <wp:extent cx="8458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4">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-511810</wp:posOffset>
            </wp:positionV>
            <wp:extent cx="84582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5">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-191135</wp:posOffset>
            </wp:positionV>
            <wp:extent cx="8458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6">
                      <a:extLst>
                        <a:ext uri="{28A0092B-C50C-407E-A947-70E740481C1C}"/>
                      </a:extLst>
                    </a:blip>
                    <a:srcRect/>
                    <a:stretch>
                      <a:fillRect/>
                    </a:stretch>
                  </pic:blipFill>
                  <pic:spPr bwMode="auto">
                    <a:xfrm>
                      <a:off x="0" y="0"/>
                      <a:ext cx="845820" cy="25400"/>
                    </a:xfrm>
                    <a:prstGeom prst="rect">
                      <a:avLst/>
                    </a:prstGeom>
                    <a:noFill/>
                  </pic:spPr>
                </pic:pic>
              </a:graphicData>
            </a:graphic>
          </wp:anchor>
        </w:drawing>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excess of the purchase price over the fair value of the net identifiable tangible and intangible assets was recorded as goodwill. $427 million of the goodwill is estimated to be tax deductible over the amortizable period. Goodwill is comprised of expected synergies related to the combined operations, trade name, and customer relationships acquired in the business combination.</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At the date of acquisition, the fair values for trade name and developed technology were determined using the relief from royalty method and the fair value of customer relationships was determined using the distributor method. The Company considers the fair value of the intangible assets to be Level 3 measurements due to the significant estimates and assumptions used by management in establishing the fair value which includes discount rates, revenue growth and royalty rates. The identifiable intangible assets acquired subject to amortization have a weighted average useful life of 11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intangible assets acquired in the acquisition: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Amount</w:t>
            </w:r>
          </w:p>
        </w:tc>
        <w:tc>
          <w:tcPr>
            <w:tcW w:w="60" w:type="dxa"/>
            <w:vAlign w:val="bottom"/>
            <w:tcBorders>
              <w:bottom w:val="single" w:sz="8" w:color="E6E6E6"/>
            </w:tcBorders>
          </w:tcPr>
          <w:p>
            <w:pPr>
              <w:spacing w:after="0"/>
              <w:rPr>
                <w:sz w:val="20"/>
                <w:szCs w:val="20"/>
                <w:color w:val="auto"/>
              </w:rPr>
            </w:pPr>
          </w:p>
        </w:tc>
        <w:tc>
          <w:tcPr>
            <w:tcW w:w="17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Useful life</w:t>
            </w:r>
          </w:p>
        </w:tc>
      </w:tr>
      <w:tr>
        <w:trPr>
          <w:trHeight w:val="242"/>
        </w:trPr>
        <w:tc>
          <w:tcPr>
            <w:tcW w:w="6300" w:type="dxa"/>
            <w:vAlign w:val="bottom"/>
            <w:shd w:val="clear" w:color="auto" w:fill="E6E6E6"/>
          </w:tcPr>
          <w:p>
            <w:pPr>
              <w:ind w:left="60"/>
              <w:spacing w:after="0"/>
              <w:rPr>
                <w:sz w:val="20"/>
                <w:szCs w:val="20"/>
                <w:color w:val="auto"/>
              </w:rPr>
            </w:pPr>
            <w:r>
              <w:rPr>
                <w:rFonts w:ascii="Arial" w:cs="Arial" w:eastAsia="Arial" w:hAnsi="Arial"/>
                <w:sz w:val="18"/>
                <w:szCs w:val="18"/>
                <w:color w:val="auto"/>
              </w:rPr>
              <w:t>Trade Name</w:t>
            </w:r>
          </w:p>
        </w:tc>
        <w:tc>
          <w:tcPr>
            <w:tcW w:w="340" w:type="dxa"/>
            <w:vAlign w:val="bottom"/>
            <w:shd w:val="clear" w:color="auto" w:fill="E6E6E6"/>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E6E6E6"/>
          </w:tcPr>
          <w:p>
            <w:pPr>
              <w:spacing w:after="0"/>
              <w:rPr>
                <w:sz w:val="21"/>
                <w:szCs w:val="21"/>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Indefinite</w:t>
            </w:r>
          </w:p>
        </w:tc>
      </w:tr>
      <w:tr>
        <w:trPr>
          <w:trHeight w:val="245"/>
        </w:trPr>
        <w:tc>
          <w:tcPr>
            <w:tcW w:w="6300" w:type="dxa"/>
            <w:vAlign w:val="bottom"/>
          </w:tcPr>
          <w:p>
            <w:pPr>
              <w:ind w:left="6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67"/>
        </w:trPr>
        <w:tc>
          <w:tcPr>
            <w:tcW w:w="6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auto"/>
            </w:tcBorders>
            <w:shd w:val="clear" w:color="auto" w:fill="E6E6E6"/>
          </w:tcPr>
          <w:p>
            <w:pPr>
              <w:spacing w:after="0"/>
              <w:rPr>
                <w:sz w:val="23"/>
                <w:szCs w:val="23"/>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E6E6E6"/>
            </w:tcBorders>
            <w:shd w:val="clear" w:color="auto" w:fill="E6E6E6"/>
          </w:tcPr>
          <w:p>
            <w:pPr>
              <w:spacing w:after="0"/>
              <w:rPr>
                <w:sz w:val="23"/>
                <w:szCs w:val="23"/>
                <w:color w:val="auto"/>
              </w:rPr>
            </w:pPr>
          </w:p>
        </w:tc>
        <w:tc>
          <w:tcPr>
            <w:tcW w:w="1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 years</w:t>
            </w:r>
          </w:p>
        </w:tc>
      </w:tr>
      <w:tr>
        <w:trPr>
          <w:trHeight w:val="195"/>
        </w:trPr>
        <w:tc>
          <w:tcPr>
            <w:tcW w:w="6300" w:type="dxa"/>
            <w:vAlign w:val="bottom"/>
          </w:tcPr>
          <w:p>
            <w:pPr>
              <w:ind w:left="60"/>
              <w:spacing w:after="0" w:line="195"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1"/>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336</w:t>
            </w: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-672465</wp:posOffset>
            </wp:positionV>
            <wp:extent cx="223202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7">
                      <a:extLst>
                        <a:ext uri="{28A0092B-C50C-407E-A947-70E740481C1C}"/>
                      </a:extLst>
                    </a:blip>
                    <a:srcRect/>
                    <a:stretch>
                      <a:fillRect/>
                    </a:stretch>
                  </pic:blipFill>
                  <pic:spPr bwMode="auto">
                    <a:xfrm>
                      <a:off x="0" y="0"/>
                      <a:ext cx="2232025" cy="2540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-191135</wp:posOffset>
            </wp:positionV>
            <wp:extent cx="110998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8">
                      <a:extLst>
                        <a:ext uri="{28A0092B-C50C-407E-A947-70E740481C1C}"/>
                      </a:extLst>
                    </a:blip>
                    <a:srcRect/>
                    <a:stretch>
                      <a:fillRect/>
                    </a:stretch>
                  </pic:blipFill>
                  <pic:spPr bwMode="auto">
                    <a:xfrm>
                      <a:off x="0" y="0"/>
                      <a:ext cx="1109980" cy="254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101</w:t>
      </w:r>
    </w:p>
    <w:p>
      <w:pPr>
        <w:sectPr>
          <w:pgSz w:w="11880" w:h="15480" w:orient="portrait"/>
          <w:cols w:equalWidth="0" w:num="1">
            <w:col w:w="9800"/>
          </w:cols>
          <w:pgMar w:left="1040" w:top="637" w:right="1040" w:bottom="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ACQUISITIONS (Continued)</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following unaudited pro forma results were prepared using the acquisition method of accounting and were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fair value of the intangible assets acquired, incremental cost of sales related to the fair value adjustments on acquisition-date inventory, and the reclassification of acquisition-related costs incurred during the years ended December 31, 2024 and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jc w:val="right"/>
              <w:ind w:right="1551"/>
              <w:spacing w:after="0"/>
              <w:rPr>
                <w:sz w:val="20"/>
                <w:szCs w:val="20"/>
                <w:color w:val="auto"/>
              </w:rPr>
            </w:pPr>
            <w:r>
              <w:rPr>
                <w:rFonts w:ascii="Arial" w:cs="Arial" w:eastAsia="Arial" w:hAnsi="Arial"/>
                <w:sz w:val="18"/>
                <w:szCs w:val="18"/>
                <w:color w:val="auto"/>
              </w:rPr>
              <w:t>Year ended</w:t>
            </w:r>
          </w:p>
        </w:tc>
      </w:tr>
      <w:tr>
        <w:trPr>
          <w:trHeight w:val="232"/>
        </w:trPr>
        <w:tc>
          <w:tcPr>
            <w:tcW w:w="57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3"/>
              </w:rPr>
              <w:t>December 31, 2024</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3"/>
              </w:rPr>
              <w:t>December 31, 2023</w:t>
            </w:r>
          </w:p>
        </w:tc>
      </w:tr>
      <w:tr>
        <w:trPr>
          <w:trHeight w:val="242"/>
        </w:trPr>
        <w:tc>
          <w:tcPr>
            <w:tcW w:w="5700" w:type="dxa"/>
            <w:vAlign w:val="bottom"/>
            <w:shd w:val="clear" w:color="auto" w:fill="E6E6E6"/>
          </w:tcPr>
          <w:p>
            <w:pPr>
              <w:ind w:left="6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25,689</w:t>
            </w:r>
          </w:p>
        </w:tc>
        <w:tc>
          <w:tcPr>
            <w:tcW w:w="60" w:type="dxa"/>
            <w:vAlign w:val="bottom"/>
          </w:tcPr>
          <w:p>
            <w:pPr>
              <w:spacing w:after="0"/>
              <w:rPr>
                <w:sz w:val="21"/>
                <w:szCs w:val="21"/>
                <w:color w:val="auto"/>
              </w:rPr>
            </w:pP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23,588</w:t>
            </w:r>
          </w:p>
        </w:tc>
      </w:tr>
      <w:tr>
        <w:trPr>
          <w:trHeight w:val="239"/>
        </w:trPr>
        <w:tc>
          <w:tcPr>
            <w:tcW w:w="57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-483870</wp:posOffset>
            </wp:positionV>
            <wp:extent cx="130810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9">
                      <a:extLst>
                        <a:ext uri="{28A0092B-C50C-407E-A947-70E740481C1C}"/>
                      </a:extLst>
                    </a:blip>
                    <a:srcRect/>
                    <a:stretch>
                      <a:fillRect/>
                    </a:stretch>
                  </pic:blipFill>
                  <pic:spPr bwMode="auto">
                    <a:xfrm>
                      <a:off x="0" y="0"/>
                      <a:ext cx="1308100" cy="2540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-323850</wp:posOffset>
            </wp:positionV>
            <wp:extent cx="26282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0">
                      <a:extLst>
                        <a:ext uri="{28A0092B-C50C-407E-A947-70E740481C1C}"/>
                      </a:extLst>
                    </a:blip>
                    <a:srcRect/>
                    <a:stretch>
                      <a:fillRect/>
                    </a:stretch>
                  </pic:blipFill>
                  <pic:spPr bwMode="auto">
                    <a:xfrm>
                      <a:off x="0" y="0"/>
                      <a:ext cx="2628265" cy="25400"/>
                    </a:xfrm>
                    <a:prstGeom prst="rect">
                      <a:avLst/>
                    </a:prstGeom>
                    <a:noFill/>
                  </pic:spPr>
                </pic:pic>
              </a:graphicData>
            </a:graphic>
          </wp:anchor>
        </w:drawing>
      </w: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the year ended December 31, 2024, the Company incurred $25 million of incremental cost of sales from the fair value step-ups on acquired Microtek inventory that was sold in 2024. The Company also incurred $11 million of additional amortization expense from the fair values of identifiable intangible assets acquired. The unaudited pro forma combined financial information includes adjustments to reflect incremental amortization expense based on the fair values of the identifiable intangible assets acquired and some immaterial nonrecurring transaction expenses directly attributable to the acquisition.</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Acquisition-related costs for Microtek were included in Selling, general and administrative expenses in the Company’s Consolidated Statements of Comprehensive Income as incurred during the years ended December 31, 2025 and 2024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Sinclair Dental</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On February 1, 2024, the Company, through its indirect wholly-owned subsidiary Medline Canada, Corporation, acquired all the outstanding shares of Sinclair Dental Co. Ltd. (“Sinclair Dental”) pursuant to the terms of a share purchase agreement in exchange for $195 million cash consideration. The primary purpose of the acquisition was to expand Medline Supply Chain Solutions business (defined in Note 20—Segment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 The acquisition met the requirements to be considered a business combination under ASC 805 and was accounted for using the acquisition method of accounting. Results of operations of this acquired business are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102</w:t>
      </w:r>
    </w:p>
    <w:p>
      <w:pPr>
        <w:sectPr>
          <w:pgSz w:w="11880" w:h="15480" w:orient="portrait"/>
          <w:cols w:equalWidth="0" w:num="1">
            <w:col w:w="9800"/>
          </w:cols>
          <w:pgMar w:left="1040" w:top="637" w:right="104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ACQUISITIONS (Continued)</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Company has allocated the final purchase price to the assets acquired and the liabilities assumed based on their fair values as of February 1, 2024 as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Amount</w:t>
            </w:r>
          </w:p>
        </w:tc>
      </w:tr>
      <w:tr>
        <w:trPr>
          <w:trHeight w:val="24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7"/>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8500" w:type="dxa"/>
            <w:vAlign w:val="bottom"/>
          </w:tcPr>
          <w:p>
            <w:pPr>
              <w:ind w:left="680"/>
              <w:spacing w:after="0"/>
              <w:rPr>
                <w:sz w:val="20"/>
                <w:szCs w:val="20"/>
                <w:color w:val="auto"/>
              </w:rPr>
            </w:pPr>
            <w:r>
              <w:rPr>
                <w:rFonts w:ascii="Arial" w:cs="Arial" w:eastAsia="Arial" w:hAnsi="Arial"/>
                <w:sz w:val="18"/>
                <w:szCs w:val="18"/>
                <w:color w:val="auto"/>
              </w:rPr>
              <w:t>Total identifiable net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2"/>
        </w:trPr>
        <w:tc>
          <w:tcPr>
            <w:tcW w:w="85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87</w:t>
            </w:r>
          </w:p>
        </w:tc>
      </w:tr>
      <w:tr>
        <w:trPr>
          <w:trHeight w:val="197"/>
        </w:trPr>
        <w:tc>
          <w:tcPr>
            <w:tcW w:w="8500" w:type="dxa"/>
            <w:vAlign w:val="bottom"/>
          </w:tcPr>
          <w:p>
            <w:pPr>
              <w:ind w:left="640"/>
              <w:spacing w:after="0" w:line="197" w:lineRule="exact"/>
              <w:rPr>
                <w:sz w:val="20"/>
                <w:szCs w:val="20"/>
                <w:color w:val="auto"/>
              </w:rPr>
            </w:pPr>
            <w:r>
              <w:rPr>
                <w:rFonts w:ascii="Arial" w:cs="Arial" w:eastAsia="Arial" w:hAnsi="Arial"/>
                <w:sz w:val="18"/>
                <w:szCs w:val="18"/>
                <w:b w:val="1"/>
                <w:bCs w:val="1"/>
                <w:color w:val="auto"/>
              </w:rPr>
              <w:t>Net assets acquired, at fair value</w:t>
            </w:r>
          </w:p>
        </w:tc>
        <w:tc>
          <w:tcPr>
            <w:tcW w:w="260" w:type="dxa"/>
            <w:vAlign w:val="bottom"/>
            <w:tcBorders>
              <w:bottom w:val="single" w:sz="8" w:color="auto"/>
            </w:tcBorders>
          </w:tcPr>
          <w:p>
            <w:pPr>
              <w:jc w:val="right"/>
              <w:ind w:right="31"/>
              <w:spacing w:after="0" w:line="197"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195</w:t>
            </w:r>
          </w:p>
        </w:tc>
      </w:tr>
      <w:tr>
        <w:trPr>
          <w:trHeight w:val="20"/>
        </w:trPr>
        <w:tc>
          <w:tcPr>
            <w:tcW w:w="8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-2275205</wp:posOffset>
            </wp:positionV>
            <wp:extent cx="8458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1">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-511810</wp:posOffset>
            </wp:positionV>
            <wp:extent cx="8458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2">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-191135</wp:posOffset>
            </wp:positionV>
            <wp:extent cx="8458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3">
                      <a:extLst>
                        <a:ext uri="{28A0092B-C50C-407E-A947-70E740481C1C}"/>
                      </a:extLst>
                    </a:blip>
                    <a:srcRect/>
                    <a:stretch>
                      <a:fillRect/>
                    </a:stretch>
                  </pic:blipFill>
                  <pic:spPr bwMode="auto">
                    <a:xfrm>
                      <a:off x="0" y="0"/>
                      <a:ext cx="845820" cy="254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Amount</w:t>
            </w:r>
          </w:p>
        </w:tc>
        <w:tc>
          <w:tcPr>
            <w:tcW w:w="60" w:type="dxa"/>
            <w:vAlign w:val="bottom"/>
            <w:tcBorders>
              <w:bottom w:val="single" w:sz="8" w:color="E6E6E6"/>
            </w:tcBorders>
          </w:tcPr>
          <w:p>
            <w:pPr>
              <w:spacing w:after="0"/>
              <w:rPr>
                <w:sz w:val="21"/>
                <w:szCs w:val="21"/>
                <w:color w:val="auto"/>
              </w:rPr>
            </w:pPr>
          </w:p>
        </w:tc>
        <w:tc>
          <w:tcPr>
            <w:tcW w:w="17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Useful life</w:t>
            </w:r>
          </w:p>
        </w:tc>
      </w:tr>
      <w:tr>
        <w:trPr>
          <w:trHeight w:val="272"/>
        </w:trPr>
        <w:tc>
          <w:tcPr>
            <w:tcW w:w="6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Trade name</w:t>
            </w: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E6E6E6"/>
          </w:tcPr>
          <w:p>
            <w:pPr>
              <w:spacing w:after="0"/>
              <w:rPr>
                <w:sz w:val="23"/>
                <w:szCs w:val="23"/>
                <w:color w:val="auto"/>
              </w:rPr>
            </w:pPr>
          </w:p>
        </w:tc>
        <w:tc>
          <w:tcPr>
            <w:tcW w:w="1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 years</w:t>
            </w:r>
          </w:p>
        </w:tc>
      </w:tr>
      <w:tr>
        <w:trPr>
          <w:trHeight w:val="272"/>
        </w:trPr>
        <w:tc>
          <w:tcPr>
            <w:tcW w:w="628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E6E6E6"/>
            </w:tcBorders>
          </w:tcPr>
          <w:p>
            <w:pPr>
              <w:spacing w:after="0"/>
              <w:rPr>
                <w:sz w:val="23"/>
                <w:szCs w:val="23"/>
                <w:color w:val="auto"/>
              </w:rPr>
            </w:pPr>
          </w:p>
        </w:tc>
        <w:tc>
          <w:tcPr>
            <w:tcW w:w="17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14 years</w:t>
            </w:r>
          </w:p>
        </w:tc>
      </w:tr>
      <w:tr>
        <w:trPr>
          <w:trHeight w:val="282"/>
        </w:trPr>
        <w:tc>
          <w:tcPr>
            <w:tcW w:w="62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E6E6E6"/>
            </w:tcBorders>
            <w:shd w:val="clear" w:color="auto" w:fill="E6E6E6"/>
          </w:tcPr>
          <w:p>
            <w:pPr>
              <w:spacing w:after="0"/>
              <w:rPr>
                <w:sz w:val="24"/>
                <w:szCs w:val="24"/>
                <w:color w:val="auto"/>
              </w:rPr>
            </w:pPr>
          </w:p>
        </w:tc>
        <w:tc>
          <w:tcPr>
            <w:tcW w:w="172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-568325</wp:posOffset>
            </wp:positionV>
            <wp:extent cx="223202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4">
                      <a:extLst>
                        <a:ext uri="{28A0092B-C50C-407E-A947-70E740481C1C}"/>
                      </a:extLst>
                    </a:blip>
                    <a:srcRect/>
                    <a:stretch>
                      <a:fillRect/>
                    </a:stretch>
                  </pic:blipFill>
                  <pic:spPr bwMode="auto">
                    <a:xfrm>
                      <a:off x="0" y="0"/>
                      <a:ext cx="2232025" cy="254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-210185</wp:posOffset>
            </wp:positionV>
            <wp:extent cx="110998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5">
                      <a:extLst>
                        <a:ext uri="{28A0092B-C50C-407E-A947-70E740481C1C}"/>
                      </a:extLst>
                    </a:blip>
                    <a:srcRect/>
                    <a:stretch>
                      <a:fillRect/>
                    </a:stretch>
                  </pic:blipFill>
                  <pic:spPr bwMode="auto">
                    <a:xfrm>
                      <a:off x="0" y="0"/>
                      <a:ext cx="1109980" cy="254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-43815</wp:posOffset>
            </wp:positionV>
            <wp:extent cx="1109980"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6">
                      <a:extLst>
                        <a:ext uri="{28A0092B-C50C-407E-A947-70E740481C1C}"/>
                      </a:extLst>
                    </a:blip>
                    <a:srcRect/>
                    <a:stretch>
                      <a:fillRect/>
                    </a:stretch>
                  </pic:blipFill>
                  <pic:spPr bwMode="auto">
                    <a:xfrm>
                      <a:off x="0" y="0"/>
                      <a:ext cx="1109980" cy="508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Acquisition-related costs for Sinclair Dental were included in Selling, general and administrative expenses in the Company’s Consolidated Statements of Comprehensive Income as incurred during the year ended December 31, 2024 and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Medco</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million consisted of $33 million cash consideration and a contingent liability at a fair value of $20 million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103</w:t>
      </w:r>
    </w:p>
    <w:p>
      <w:pPr>
        <w:sectPr>
          <w:pgSz w:w="11880" w:h="15480" w:orient="portrait"/>
          <w:cols w:equalWidth="0" w:num="1">
            <w:col w:w="9800"/>
          </w:cols>
          <w:pgMar w:left="1040" w:top="637" w:right="104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ACQUISITIONS (Continued)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acquisition met the requirements to be considered a business combination under ASC 805 and was accounted for using the acquisition method of accounting. Results of operations of this acquired business are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maximum payout amount under the contingent liability is $35 million. The actual payout amount is based on the defined metrics for fiscal year 2024 and 2025 and will be paid over two years. The Company recorded the contingent liability of $20 million on the acquisition date with $8 million as Other current liabilities and $12 million as Other long-term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200" w:lineRule="exact"/>
        <w:rPr>
          <w:sz w:val="20"/>
          <w:szCs w:val="20"/>
          <w:color w:val="auto"/>
        </w:rPr>
      </w:pP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Company has allocated the final purchase price to the assets acquired and the liabilities assumed based on their fair values as of January 4, 2024 as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Amount</w:t>
            </w:r>
          </w:p>
        </w:tc>
      </w:tr>
      <w:tr>
        <w:trPr>
          <w:trHeight w:val="24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50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2"/>
        </w:trPr>
        <w:tc>
          <w:tcPr>
            <w:tcW w:w="85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8500" w:type="dxa"/>
            <w:vAlign w:val="bottom"/>
            <w:shd w:val="clear" w:color="auto" w:fill="E6E6E6"/>
          </w:tcPr>
          <w:p>
            <w:pPr>
              <w:ind w:left="680"/>
              <w:spacing w:after="0"/>
              <w:rPr>
                <w:sz w:val="20"/>
                <w:szCs w:val="20"/>
                <w:color w:val="auto"/>
              </w:rPr>
            </w:pPr>
            <w:r>
              <w:rPr>
                <w:rFonts w:ascii="Arial" w:cs="Arial" w:eastAsia="Arial" w:hAnsi="Arial"/>
                <w:sz w:val="18"/>
                <w:szCs w:val="18"/>
                <w:color w:val="auto"/>
              </w:rPr>
              <w:t>Total identifiable net assets</w:t>
            </w:r>
          </w:p>
        </w:tc>
        <w:tc>
          <w:tcPr>
            <w:tcW w:w="26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r>
      <w:tr>
        <w:trPr>
          <w:trHeight w:val="242"/>
        </w:trPr>
        <w:tc>
          <w:tcPr>
            <w:tcW w:w="850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2"/>
        </w:trPr>
        <w:tc>
          <w:tcPr>
            <w:tcW w:w="850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8"/>
                <w:szCs w:val="18"/>
                <w:b w:val="1"/>
                <w:bCs w:val="1"/>
                <w:color w:val="auto"/>
              </w:rPr>
              <w:t>Net assets acquired, at fair value</w:t>
            </w: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-1794510</wp:posOffset>
            </wp:positionV>
            <wp:extent cx="8458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7">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-511810</wp:posOffset>
            </wp:positionV>
            <wp:extent cx="8458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8">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-191135</wp:posOffset>
            </wp:positionV>
            <wp:extent cx="8458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9">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-43815</wp:posOffset>
            </wp:positionV>
            <wp:extent cx="84582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0">
                      <a:extLst>
                        <a:ext uri="{28A0092B-C50C-407E-A947-70E740481C1C}"/>
                      </a:extLst>
                    </a:blip>
                    <a:srcRect/>
                    <a:stretch>
                      <a:fillRect/>
                    </a:stretch>
                  </pic:blipFill>
                  <pic:spPr bwMode="auto">
                    <a:xfrm>
                      <a:off x="0" y="0"/>
                      <a:ext cx="845820" cy="508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Amount</w:t>
            </w:r>
          </w:p>
        </w:tc>
        <w:tc>
          <w:tcPr>
            <w:tcW w:w="60" w:type="dxa"/>
            <w:vAlign w:val="bottom"/>
            <w:tcBorders>
              <w:bottom w:val="single" w:sz="8" w:color="E6E6E6"/>
            </w:tcBorders>
          </w:tcPr>
          <w:p>
            <w:pPr>
              <w:spacing w:after="0"/>
              <w:rPr>
                <w:sz w:val="21"/>
                <w:szCs w:val="21"/>
                <w:color w:val="auto"/>
              </w:rPr>
            </w:pPr>
          </w:p>
        </w:tc>
        <w:tc>
          <w:tcPr>
            <w:tcW w:w="17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Useful life</w:t>
            </w:r>
          </w:p>
        </w:tc>
      </w:tr>
      <w:tr>
        <w:trPr>
          <w:trHeight w:val="252"/>
        </w:trPr>
        <w:tc>
          <w:tcPr>
            <w:tcW w:w="62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Trade name</w:t>
            </w:r>
          </w:p>
        </w:tc>
        <w:tc>
          <w:tcPr>
            <w:tcW w:w="360" w:type="dxa"/>
            <w:vAlign w:val="bottom"/>
            <w:tcBorders>
              <w:bottom w:val="single" w:sz="8" w:color="E6E6E6"/>
            </w:tcBorders>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1"/>
                <w:szCs w:val="21"/>
                <w:color w:val="auto"/>
              </w:rPr>
            </w:pPr>
          </w:p>
        </w:tc>
        <w:tc>
          <w:tcPr>
            <w:tcW w:w="1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 years</w:t>
            </w:r>
          </w:p>
        </w:tc>
      </w:tr>
      <w:tr>
        <w:trPr>
          <w:trHeight w:val="233"/>
        </w:trPr>
        <w:tc>
          <w:tcPr>
            <w:tcW w:w="6280" w:type="dxa"/>
            <w:vAlign w:val="bottom"/>
          </w:tcPr>
          <w:p>
            <w:pPr>
              <w:ind w:left="6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39"/>
        </w:trPr>
        <w:tc>
          <w:tcPr>
            <w:tcW w:w="6280" w:type="dxa"/>
            <w:vAlign w:val="bottom"/>
            <w:tcBorders>
              <w:bottom w:val="single" w:sz="8" w:color="E6E6E6"/>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1720" w:type="dxa"/>
            <w:vAlign w:val="bottom"/>
            <w:tcBorders>
              <w:bottom w:val="single" w:sz="8" w:color="E6E6E6"/>
            </w:tcBorders>
          </w:tcPr>
          <w:p>
            <w:pPr>
              <w:spacing w:after="0"/>
              <w:rPr>
                <w:sz w:val="3"/>
                <w:szCs w:val="3"/>
                <w:color w:val="auto"/>
              </w:rPr>
            </w:pPr>
          </w:p>
        </w:tc>
      </w:tr>
      <w:tr>
        <w:trPr>
          <w:trHeight w:val="282"/>
        </w:trPr>
        <w:tc>
          <w:tcPr>
            <w:tcW w:w="6280" w:type="dxa"/>
            <w:vAlign w:val="bottom"/>
            <w:tcBorders>
              <w:bottom w:val="single" w:sz="8" w:color="E6E6E6"/>
            </w:tcBorders>
            <w:shd w:val="clear" w:color="auto" w:fill="E6E6E6"/>
          </w:tcPr>
          <w:p>
            <w:pPr>
              <w:ind w:left="8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E6E6E6"/>
            </w:tcBorders>
            <w:shd w:val="clear" w:color="auto" w:fill="E6E6E6"/>
          </w:tcPr>
          <w:p>
            <w:pPr>
              <w:spacing w:after="0"/>
              <w:rPr>
                <w:sz w:val="24"/>
                <w:szCs w:val="24"/>
                <w:color w:val="auto"/>
              </w:rPr>
            </w:pPr>
          </w:p>
        </w:tc>
        <w:tc>
          <w:tcPr>
            <w:tcW w:w="172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-568325</wp:posOffset>
            </wp:positionV>
            <wp:extent cx="223202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1">
                      <a:extLst>
                        <a:ext uri="{28A0092B-C50C-407E-A947-70E740481C1C}"/>
                      </a:extLst>
                    </a:blip>
                    <a:srcRect/>
                    <a:stretch>
                      <a:fillRect/>
                    </a:stretch>
                  </pic:blipFill>
                  <pic:spPr bwMode="auto">
                    <a:xfrm>
                      <a:off x="0" y="0"/>
                      <a:ext cx="2232025" cy="254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-210185</wp:posOffset>
            </wp:positionV>
            <wp:extent cx="110998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2">
                      <a:extLst>
                        <a:ext uri="{28A0092B-C50C-407E-A947-70E740481C1C}"/>
                      </a:extLst>
                    </a:blip>
                    <a:srcRect/>
                    <a:stretch>
                      <a:fillRect/>
                    </a:stretch>
                  </pic:blipFill>
                  <pic:spPr bwMode="auto">
                    <a:xfrm>
                      <a:off x="0" y="0"/>
                      <a:ext cx="1109980" cy="254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-43815</wp:posOffset>
            </wp:positionV>
            <wp:extent cx="110998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3">
                      <a:extLst>
                        <a:ext uri="{28A0092B-C50C-407E-A947-70E740481C1C}"/>
                      </a:extLst>
                    </a:blip>
                    <a:srcRect/>
                    <a:stretch>
                      <a:fillRect/>
                    </a:stretch>
                  </pic:blipFill>
                  <pic:spPr bwMode="auto">
                    <a:xfrm>
                      <a:off x="0" y="0"/>
                      <a:ext cx="1109980" cy="508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Acquisition-related costs for United Medco were included in Selling, general and administrative expenses in the Company’s Consolidated Statements of Comprehensive Income as incurred during the year ended December 31, 2024 and were not material.</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104</w:t>
      </w:r>
    </w:p>
    <w:p>
      <w:pPr>
        <w:sectPr>
          <w:pgSz w:w="11880" w:h="15480" w:orient="portrait"/>
          <w:cols w:equalWidth="0" w:num="1">
            <w:col w:w="9800"/>
          </w:cols>
          <w:pgMar w:left="1040" w:top="637" w:right="104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INVENTORIES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Inventories consisted of the following as of:</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56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6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94"/>
              </w:rPr>
              <w:t>December 31, 2025</w:t>
            </w:r>
          </w:p>
        </w:tc>
        <w:tc>
          <w:tcPr>
            <w:tcW w:w="60" w:type="dxa"/>
            <w:vAlign w:val="bottom"/>
            <w:tcBorders>
              <w:bottom w:val="single" w:sz="8" w:color="E6E6E6"/>
            </w:tcBorders>
          </w:tcPr>
          <w:p>
            <w:pPr>
              <w:spacing w:after="0"/>
              <w:rPr>
                <w:sz w:val="21"/>
                <w:szCs w:val="2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r>
      <w:tr>
        <w:trPr>
          <w:trHeight w:val="272"/>
        </w:trPr>
        <w:tc>
          <w:tcPr>
            <w:tcW w:w="656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Raw materials and work in process, net</w:t>
            </w:r>
          </w:p>
        </w:tc>
        <w:tc>
          <w:tcPr>
            <w:tcW w:w="660" w:type="dxa"/>
            <w:vAlign w:val="bottom"/>
            <w:shd w:val="clear" w:color="auto" w:fill="E6E6E6"/>
          </w:tcPr>
          <w:p>
            <w:pPr>
              <w:jc w:val="right"/>
              <w:ind w:right="45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748</w:t>
            </w:r>
          </w:p>
        </w:tc>
        <w:tc>
          <w:tcPr>
            <w:tcW w:w="64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676</w:t>
            </w:r>
          </w:p>
        </w:tc>
      </w:tr>
      <w:tr>
        <w:trPr>
          <w:trHeight w:val="272"/>
        </w:trPr>
        <w:tc>
          <w:tcPr>
            <w:tcW w:w="656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color w:val="auto"/>
              </w:rPr>
              <w:t>Finished goods, net</w:t>
            </w:r>
          </w:p>
        </w:tc>
        <w:tc>
          <w:tcPr>
            <w:tcW w:w="6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60" w:type="dxa"/>
            <w:vAlign w:val="bottom"/>
            <w:tcBorders>
              <w:bottom w:val="single" w:sz="8" w:color="E6E6E6"/>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r>
      <w:tr>
        <w:trPr>
          <w:trHeight w:val="282"/>
        </w:trPr>
        <w:tc>
          <w:tcPr>
            <w:tcW w:w="6540" w:type="dxa"/>
            <w:vAlign w:val="bottom"/>
            <w:tcBorders>
              <w:bottom w:val="single" w:sz="8" w:color="E6E6E6"/>
            </w:tcBorders>
            <w:shd w:val="clear" w:color="auto" w:fill="E6E6E6"/>
          </w:tcPr>
          <w:p>
            <w:pPr>
              <w:ind w:left="1060"/>
              <w:spacing w:after="0"/>
              <w:rPr>
                <w:sz w:val="20"/>
                <w:szCs w:val="20"/>
                <w:color w:val="auto"/>
              </w:rPr>
            </w:pPr>
            <w:r>
              <w:rPr>
                <w:rFonts w:ascii="Arial" w:cs="Arial" w:eastAsia="Arial" w:hAnsi="Arial"/>
                <w:sz w:val="18"/>
                <w:szCs w:val="18"/>
                <w:b w:val="1"/>
                <w:bCs w:val="1"/>
                <w:color w:val="auto"/>
              </w:rPr>
              <w:t>Inventories, net</w:t>
            </w:r>
          </w:p>
        </w:tc>
        <w:tc>
          <w:tcPr>
            <w:tcW w:w="20" w:type="dxa"/>
            <w:vAlign w:val="bottom"/>
            <w:tcBorders>
              <w:bottom w:val="single" w:sz="8" w:color="auto"/>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jc w:val="right"/>
              <w:ind w:right="45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4,769</w:t>
            </w:r>
          </w:p>
        </w:tc>
        <w:tc>
          <w:tcPr>
            <w:tcW w:w="60" w:type="dxa"/>
            <w:vAlign w:val="bottom"/>
            <w:tcBorders>
              <w:bottom w:val="single" w:sz="8" w:color="E6E6E6"/>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-568325</wp:posOffset>
            </wp:positionV>
            <wp:extent cx="20904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4">
                      <a:extLst>
                        <a:ext uri="{28A0092B-C50C-407E-A947-70E740481C1C}"/>
                      </a:extLst>
                    </a:blip>
                    <a:srcRect/>
                    <a:stretch>
                      <a:fillRect/>
                    </a:stretch>
                  </pic:blipFill>
                  <pic:spPr bwMode="auto">
                    <a:xfrm>
                      <a:off x="0" y="0"/>
                      <a:ext cx="2090420" cy="2540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-210185</wp:posOffset>
            </wp:positionV>
            <wp:extent cx="20904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5">
                      <a:extLst>
                        <a:ext uri="{28A0092B-C50C-407E-A947-70E740481C1C}"/>
                      </a:extLst>
                    </a:blip>
                    <a:srcRect/>
                    <a:stretch>
                      <a:fillRect/>
                    </a:stretch>
                  </pic:blipFill>
                  <pic:spPr bwMode="auto">
                    <a:xfrm>
                      <a:off x="0" y="0"/>
                      <a:ext cx="2090420" cy="2540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-43815</wp:posOffset>
            </wp:positionV>
            <wp:extent cx="2090420"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6">
                      <a:extLst>
                        <a:ext uri="{28A0092B-C50C-407E-A947-70E740481C1C}"/>
                      </a:extLst>
                    </a:blip>
                    <a:srcRect/>
                    <a:stretch>
                      <a:fillRect/>
                    </a:stretch>
                  </pic:blipFill>
                  <pic:spPr bwMode="auto">
                    <a:xfrm>
                      <a:off x="0" y="0"/>
                      <a:ext cx="2090420" cy="508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If LIFO inventories had been valued on a current cost or FIFO basis, they would have been greater by $359 million and $276 million as of December 31, 2025 and 2024, respectively. The inventory reserve for obsolescence was $44 million and $35 million as of December 31, 2025 and 2024, respectively.</w:t>
      </w:r>
    </w:p>
    <w:p>
      <w:pPr>
        <w:spacing w:after="0" w:line="148" w:lineRule="exact"/>
        <w:rPr>
          <w:sz w:val="20"/>
          <w:szCs w:val="20"/>
          <w:color w:val="auto"/>
        </w:rPr>
      </w:pPr>
    </w:p>
    <w:p>
      <w:pPr>
        <w:ind w:right="4540"/>
        <w:spacing w:after="0" w:line="546" w:lineRule="auto"/>
        <w:rPr>
          <w:sz w:val="20"/>
          <w:szCs w:val="20"/>
          <w:color w:val="auto"/>
        </w:rPr>
      </w:pPr>
      <w:r>
        <w:rPr>
          <w:rFonts w:ascii="Arial" w:cs="Arial" w:eastAsia="Arial" w:hAnsi="Arial"/>
          <w:sz w:val="19"/>
          <w:szCs w:val="19"/>
          <w:b w:val="1"/>
          <w:bCs w:val="1"/>
          <w:color w:val="auto"/>
        </w:rPr>
        <w:t xml:space="preserve">NOTE 4 - PROPERTY, PLANT, AND EQUIPMENT </w:t>
      </w:r>
      <w:r>
        <w:rPr>
          <w:rFonts w:ascii="Arial" w:cs="Arial" w:eastAsia="Arial" w:hAnsi="Arial"/>
          <w:sz w:val="19"/>
          <w:szCs w:val="19"/>
          <w:color w:val="auto"/>
        </w:rPr>
        <w:t>Property, plant, and equipment, net consists of the following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6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2024</w:t>
            </w:r>
          </w:p>
        </w:tc>
      </w:tr>
      <w:tr>
        <w:trPr>
          <w:trHeight w:val="272"/>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Machinery, equipment, and fixtures</w:t>
            </w:r>
          </w:p>
        </w:tc>
        <w:tc>
          <w:tcPr>
            <w:tcW w:w="56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1,399</w:t>
            </w:r>
          </w:p>
        </w:tc>
        <w:tc>
          <w:tcPr>
            <w:tcW w:w="66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1,190</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Buildings and improvements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89"/>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Land and improvements</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621</w:t>
            </w: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640</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Vehicles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89"/>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Construction in progress</w:t>
            </w: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316</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9"/>
        </w:trPr>
        <w:tc>
          <w:tcPr>
            <w:tcW w:w="6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Computer software</w:t>
            </w:r>
          </w:p>
        </w:tc>
        <w:tc>
          <w:tcPr>
            <w:tcW w:w="5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w:t>
            </w:r>
          </w:p>
        </w:tc>
      </w:tr>
      <w:tr>
        <w:trPr>
          <w:trHeight w:val="265"/>
        </w:trPr>
        <w:tc>
          <w:tcPr>
            <w:tcW w:w="6660" w:type="dxa"/>
            <w:vAlign w:val="bottom"/>
          </w:tcPr>
          <w:p>
            <w:pPr>
              <w:ind w:left="940"/>
              <w:spacing w:after="0"/>
              <w:rPr>
                <w:sz w:val="20"/>
                <w:szCs w:val="20"/>
                <w:color w:val="auto"/>
              </w:rPr>
            </w:pPr>
            <w:r>
              <w:rPr>
                <w:rFonts w:ascii="Arial" w:cs="Arial" w:eastAsia="Arial" w:hAnsi="Arial"/>
                <w:sz w:val="18"/>
                <w:szCs w:val="18"/>
                <w:color w:val="auto"/>
              </w:rPr>
              <w:t>Total property, plant, and equipment</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5,456</w:t>
            </w:r>
          </w:p>
        </w:tc>
      </w:tr>
      <w:tr>
        <w:trPr>
          <w:trHeight w:val="319"/>
        </w:trPr>
        <w:tc>
          <w:tcPr>
            <w:tcW w:w="666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72"/>
        </w:trPr>
        <w:tc>
          <w:tcPr>
            <w:tcW w:w="66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60" w:type="dxa"/>
            <w:vAlign w:val="bottom"/>
            <w:tcBorders>
              <w:bottom w:val="single" w:sz="8" w:color="E6E6E6"/>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r>
      <w:tr>
        <w:trPr>
          <w:trHeight w:val="282"/>
        </w:trPr>
        <w:tc>
          <w:tcPr>
            <w:tcW w:w="6660" w:type="dxa"/>
            <w:vAlign w:val="bottom"/>
            <w:tcBorders>
              <w:bottom w:val="single" w:sz="8" w:color="E6E6E6"/>
            </w:tcBorders>
            <w:shd w:val="clear" w:color="auto" w:fill="E6E6E6"/>
          </w:tcPr>
          <w:p>
            <w:pPr>
              <w:ind w:left="940"/>
              <w:spacing w:after="0"/>
              <w:rPr>
                <w:sz w:val="20"/>
                <w:szCs w:val="20"/>
                <w:color w:val="auto"/>
              </w:rPr>
            </w:pPr>
            <w:r>
              <w:rPr>
                <w:rFonts w:ascii="Arial" w:cs="Arial" w:eastAsia="Arial" w:hAnsi="Arial"/>
                <w:sz w:val="18"/>
                <w:szCs w:val="18"/>
                <w:b w:val="1"/>
                <w:bCs w:val="1"/>
                <w:color w:val="auto"/>
              </w:rPr>
              <w:t>Property, plant, and equipment, net</w:t>
            </w:r>
          </w:p>
        </w:tc>
        <w:tc>
          <w:tcPr>
            <w:tcW w:w="56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4,778</w:t>
            </w:r>
          </w:p>
        </w:tc>
        <w:tc>
          <w:tcPr>
            <w:tcW w:w="6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-2020570</wp:posOffset>
            </wp:positionV>
            <wp:extent cx="202438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7">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-766445</wp:posOffset>
            </wp:positionV>
            <wp:extent cx="202438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8">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-210185</wp:posOffset>
            </wp:positionV>
            <wp:extent cx="202438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9">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-43815</wp:posOffset>
            </wp:positionV>
            <wp:extent cx="2024380"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0">
                      <a:extLst>
                        <a:ext uri="{28A0092B-C50C-407E-A947-70E740481C1C}"/>
                      </a:extLst>
                    </a:blip>
                    <a:srcRect/>
                    <a:stretch>
                      <a:fillRect/>
                    </a:stretch>
                  </pic:blipFill>
                  <pic:spPr bwMode="auto">
                    <a:xfrm>
                      <a:off x="0" y="0"/>
                      <a:ext cx="2024380" cy="50800"/>
                    </a:xfrm>
                    <a:prstGeom prst="rect">
                      <a:avLst/>
                    </a:prstGeom>
                    <a:noFill/>
                  </pic:spPr>
                </pic:pic>
              </a:graphicData>
            </a:graphic>
          </wp:anchor>
        </w:drawing>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Depreciation expense related to property, plant, and equipment for the years ended December 31, 2025, 2024 and 2023 was $307 million, $292 million, and $289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GOODWILL AND INTANGIBLE ASSETS</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2024, the Company reorganized operations to align around its two primary reportable segments, Medline Brand and Supply Chain Solutions. Subsequent to the reorganization, each of the reportable segments also represents a single reporting unit. See Note 20—Segment Information for additional information.</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2024, total goodwill of $8,070 million was allocated to the new reporting units based on their relative fair value with $6,716 million assigned to Medline Brand and $1,354 million assigned to Supply Chain Solutions. In conjunction with the change in reportable segments, the Company evaluated goodwill for impairment, both before and after the segment change and determined that the goodwill was not impaired.</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105</w:t>
      </w:r>
    </w:p>
    <w:p>
      <w:pPr>
        <w:sectPr>
          <w:pgSz w:w="11880" w:h="15480" w:orient="portrait"/>
          <w:cols w:equalWidth="0" w:num="1">
            <w:col w:w="9800"/>
          </w:cols>
          <w:pgMar w:left="1040" w:top="637" w:right="104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GOODWILL AND INTANGIBLE ASSETS (Continued)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carrying amount of Goodwill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0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Medline Brand</w:t>
            </w:r>
          </w:p>
        </w:tc>
        <w:tc>
          <w:tcPr>
            <w:tcW w:w="60" w:type="dxa"/>
            <w:vAlign w:val="bottom"/>
            <w:tcBorders>
              <w:bottom w:val="single" w:sz="8" w:color="E6E6E6"/>
            </w:tcBorders>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Supply Chain Solutions</w:t>
            </w:r>
          </w:p>
        </w:tc>
        <w:tc>
          <w:tcPr>
            <w:tcW w:w="60" w:type="dxa"/>
            <w:vAlign w:val="bottom"/>
            <w:tcBorders>
              <w:bottom w:val="single" w:sz="8" w:color="E6E6E6"/>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Total</w:t>
            </w:r>
          </w:p>
        </w:tc>
      </w:tr>
      <w:tr>
        <w:trPr>
          <w:trHeight w:val="272"/>
        </w:trPr>
        <w:tc>
          <w:tcPr>
            <w:tcW w:w="43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Balance, December 31, 2023</w:t>
            </w:r>
          </w:p>
        </w:tc>
        <w:tc>
          <w:tcPr>
            <w:tcW w:w="240" w:type="dxa"/>
            <w:vAlign w:val="bottom"/>
            <w:shd w:val="clear" w:color="auto" w:fill="E6E6E6"/>
          </w:tcPr>
          <w:p>
            <w:pPr>
              <w:spacing w:after="0"/>
              <w:rPr>
                <w:sz w:val="23"/>
                <w:szCs w:val="23"/>
                <w:color w:val="auto"/>
              </w:rPr>
            </w:pPr>
          </w:p>
        </w:tc>
        <w:tc>
          <w:tcPr>
            <w:tcW w:w="15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740" w:type="dxa"/>
            <w:vAlign w:val="bottom"/>
            <w:shd w:val="clear" w:color="auto" w:fill="E6E6E6"/>
          </w:tcPr>
          <w:p>
            <w:pPr>
              <w:spacing w:after="0"/>
              <w:rPr>
                <w:sz w:val="23"/>
                <w:szCs w:val="23"/>
                <w:color w:val="auto"/>
              </w:rPr>
            </w:pPr>
          </w:p>
        </w:tc>
        <w:tc>
          <w:tcPr>
            <w:tcW w:w="1080" w:type="dxa"/>
            <w:vAlign w:val="bottom"/>
            <w:shd w:val="clear" w:color="auto" w:fill="E6E6E6"/>
          </w:tcPr>
          <w:p>
            <w:pPr>
              <w:spacing w:after="0"/>
              <w:rPr>
                <w:sz w:val="23"/>
                <w:szCs w:val="23"/>
                <w:color w:val="auto"/>
              </w:rPr>
            </w:pPr>
          </w:p>
        </w:tc>
        <w:tc>
          <w:tcPr>
            <w:tcW w:w="48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7,532</w:t>
            </w:r>
          </w:p>
        </w:tc>
      </w:tr>
      <w:tr>
        <w:trPr>
          <w:trHeight w:val="272"/>
        </w:trPr>
        <w:tc>
          <w:tcPr>
            <w:tcW w:w="430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color w:val="auto"/>
              </w:rPr>
              <w:t>Acquisitions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72"/>
        </w:trPr>
        <w:tc>
          <w:tcPr>
            <w:tcW w:w="43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Allocation to reporting segments</w:t>
            </w:r>
          </w:p>
        </w:tc>
        <w:tc>
          <w:tcPr>
            <w:tcW w:w="2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6,716</w:t>
            </w:r>
          </w:p>
        </w:tc>
        <w:tc>
          <w:tcPr>
            <w:tcW w:w="800" w:type="dxa"/>
            <w:vAlign w:val="bottom"/>
            <w:gridSpan w:val="2"/>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1,354</w:t>
            </w:r>
          </w:p>
        </w:tc>
        <w:tc>
          <w:tcPr>
            <w:tcW w:w="48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8,070</w:t>
            </w:r>
          </w:p>
        </w:tc>
      </w:tr>
      <w:tr>
        <w:trPr>
          <w:trHeight w:val="272"/>
        </w:trPr>
        <w:tc>
          <w:tcPr>
            <w:tcW w:w="430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2"/>
        </w:trPr>
        <w:tc>
          <w:tcPr>
            <w:tcW w:w="43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Balance, December 31, 2024</w:t>
            </w:r>
          </w:p>
        </w:tc>
        <w:tc>
          <w:tcPr>
            <w:tcW w:w="2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6,712</w:t>
            </w:r>
          </w:p>
        </w:tc>
        <w:tc>
          <w:tcPr>
            <w:tcW w:w="800" w:type="dxa"/>
            <w:vAlign w:val="bottom"/>
            <w:gridSpan w:val="2"/>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1,353</w:t>
            </w:r>
          </w:p>
        </w:tc>
        <w:tc>
          <w:tcPr>
            <w:tcW w:w="48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8,065</w:t>
            </w:r>
          </w:p>
        </w:tc>
      </w:tr>
      <w:tr>
        <w:trPr>
          <w:trHeight w:val="275"/>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Measurement period adjustments</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43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auto"/>
            </w:tcBorders>
            <w:shd w:val="clear" w:color="auto" w:fill="E6E6E6"/>
          </w:tcPr>
          <w:p>
            <w:pPr>
              <w:spacing w:after="0"/>
              <w:rPr>
                <w:sz w:val="24"/>
                <w:szCs w:val="24"/>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Balance, December 31, 2025</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6,724</w:t>
            </w:r>
          </w:p>
        </w:tc>
        <w:tc>
          <w:tcPr>
            <w:tcW w:w="800" w:type="dxa"/>
            <w:vAlign w:val="bottom"/>
            <w:gridSpan w:val="2"/>
          </w:tcPr>
          <w:p>
            <w:pPr>
              <w:jc w:val="right"/>
              <w:ind w:right="5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8,079</w:t>
            </w: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-1464310</wp:posOffset>
            </wp:positionV>
            <wp:extent cx="353314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1">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-1106170</wp:posOffset>
            </wp:positionV>
            <wp:extent cx="353314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2">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-747395</wp:posOffset>
            </wp:positionV>
            <wp:extent cx="353314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3">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-210185</wp:posOffset>
            </wp:positionV>
            <wp:extent cx="353314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4">
                      <a:extLst>
                        <a:ext uri="{28A0092B-C50C-407E-A947-70E740481C1C}"/>
                      </a:extLst>
                    </a:blip>
                    <a:srcRect/>
                    <a:stretch>
                      <a:fillRect/>
                    </a:stretch>
                  </pic:blipFill>
                  <pic:spPr bwMode="auto">
                    <a:xfrm>
                      <a:off x="0" y="0"/>
                      <a:ext cx="3533140" cy="2540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Identifiable intangible assets consist of the following as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8"/>
                <w:szCs w:val="18"/>
                <w:color w:val="auto"/>
                <w:w w:val="98"/>
              </w:rPr>
              <w:t>December 31, 2025</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9"/>
              </w:rPr>
              <w:t>December 31, 2024</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6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83"/>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1"/>
              <w:spacing w:after="0"/>
              <w:rPr>
                <w:sz w:val="20"/>
                <w:szCs w:val="20"/>
                <w:color w:val="auto"/>
              </w:rPr>
            </w:pPr>
            <w:r>
              <w:rPr>
                <w:rFonts w:ascii="Arial" w:cs="Arial" w:eastAsia="Arial" w:hAnsi="Arial"/>
                <w:sz w:val="18"/>
                <w:szCs w:val="18"/>
                <w:color w:val="auto"/>
                <w:w w:val="92"/>
              </w:rPr>
              <w:t>Net</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83"/>
              </w:rPr>
              <w:t>Gross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1"/>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4"/>
        </w:trPr>
        <w:tc>
          <w:tcPr>
            <w:tcW w:w="162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w w:val="94"/>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1"/>
              <w:spacing w:after="0"/>
              <w:rPr>
                <w:sz w:val="20"/>
                <w:szCs w:val="20"/>
                <w:color w:val="auto"/>
              </w:rPr>
            </w:pPr>
            <w:r>
              <w:rPr>
                <w:rFonts w:ascii="Arial" w:cs="Arial" w:eastAsia="Arial" w:hAnsi="Arial"/>
                <w:sz w:val="18"/>
                <w:szCs w:val="18"/>
                <w:color w:val="auto"/>
                <w:w w:val="91"/>
              </w:rPr>
              <w:t>Carrying</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w w:val="96"/>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8"/>
        </w:trPr>
        <w:tc>
          <w:tcPr>
            <w:tcW w:w="1620" w:type="dxa"/>
            <w:vAlign w:val="bottom"/>
            <w:tcBorders>
              <w:bottom w:val="single" w:sz="8" w:color="E6E6E6"/>
            </w:tcBorders>
            <w:vMerge w:val="continue"/>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6"/>
              </w:rPr>
              <w:t>Amount</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7"/>
              </w:rPr>
              <w:t>Amortization</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3"/>
              </w:rPr>
              <w:t>Amount</w:t>
            </w:r>
          </w:p>
        </w:tc>
        <w:tc>
          <w:tcPr>
            <w:tcW w:w="6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6"/>
              </w:rPr>
              <w:t>Amount</w:t>
            </w:r>
          </w:p>
        </w:tc>
        <w:tc>
          <w:tcPr>
            <w:tcW w:w="60" w:type="dxa"/>
            <w:vAlign w:val="bottom"/>
            <w:tcBorders>
              <w:bottom w:val="single" w:sz="8" w:color="E6E6E6"/>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Amortization</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33"/>
        </w:trPr>
        <w:tc>
          <w:tcPr>
            <w:tcW w:w="1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Finite-lived</w:t>
            </w:r>
          </w:p>
        </w:tc>
        <w:tc>
          <w:tcPr>
            <w:tcW w:w="9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620" w:type="dxa"/>
            <w:vAlign w:val="bottom"/>
          </w:tcPr>
          <w:p>
            <w:pPr>
              <w:ind w:left="60"/>
              <w:spacing w:after="0"/>
              <w:rPr>
                <w:sz w:val="20"/>
                <w:szCs w:val="20"/>
                <w:color w:val="auto"/>
              </w:rPr>
            </w:pPr>
            <w:r>
              <w:rPr>
                <w:rFonts w:ascii="Arial" w:cs="Arial" w:eastAsia="Arial" w:hAnsi="Arial"/>
                <w:sz w:val="18"/>
                <w:szCs w:val="18"/>
                <w:color w:val="auto"/>
              </w:rPr>
              <w:t>Customer</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tcPr>
          <w:p>
            <w:pPr>
              <w:ind w:left="60"/>
              <w:spacing w:after="0"/>
              <w:rPr>
                <w:sz w:val="20"/>
                <w:szCs w:val="20"/>
                <w:color w:val="auto"/>
              </w:rPr>
            </w:pPr>
            <w:r>
              <w:rPr>
                <w:rFonts w:ascii="Arial" w:cs="Arial" w:eastAsia="Arial" w:hAnsi="Arial"/>
                <w:sz w:val="18"/>
                <w:szCs w:val="18"/>
                <w:color w:val="auto"/>
              </w:rPr>
              <w:t>relationships</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10,692</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10,679</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60"/>
        </w:trPr>
        <w:tc>
          <w:tcPr>
            <w:tcW w:w="1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Trade names</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1620" w:type="dxa"/>
            <w:vAlign w:val="bottom"/>
          </w:tcPr>
          <w:p>
            <w:pPr>
              <w:ind w:left="60"/>
              <w:spacing w:after="0"/>
              <w:rPr>
                <w:sz w:val="20"/>
                <w:szCs w:val="20"/>
                <w:color w:val="auto"/>
              </w:rPr>
            </w:pPr>
            <w:r>
              <w:rPr>
                <w:rFonts w:ascii="Arial" w:cs="Arial" w:eastAsia="Arial" w:hAnsi="Arial"/>
                <w:sz w:val="18"/>
                <w:szCs w:val="18"/>
                <w:color w:val="auto"/>
              </w:rPr>
              <w:t>Developed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technology</w:t>
            </w:r>
          </w:p>
        </w:tc>
        <w:tc>
          <w:tcPr>
            <w:tcW w:w="9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3"/>
        </w:trPr>
        <w:tc>
          <w:tcPr>
            <w:tcW w:w="1620" w:type="dxa"/>
            <w:vAlign w:val="bottom"/>
            <w:shd w:val="clear" w:color="auto" w:fill="E6E6E6"/>
          </w:tcPr>
          <w:p>
            <w:pPr>
              <w:ind w:left="60"/>
              <w:spacing w:after="0" w:line="203" w:lineRule="exact"/>
              <w:rPr>
                <w:sz w:val="20"/>
                <w:szCs w:val="20"/>
                <w:color w:val="auto"/>
              </w:rPr>
            </w:pPr>
            <w:r>
              <w:rPr>
                <w:rFonts w:ascii="Arial" w:cs="Arial" w:eastAsia="Arial" w:hAnsi="Arial"/>
                <w:sz w:val="18"/>
                <w:szCs w:val="18"/>
                <w:color w:val="auto"/>
              </w:rPr>
              <w:t>Total finite-lived</w:t>
            </w:r>
          </w:p>
        </w:tc>
        <w:tc>
          <w:tcPr>
            <w:tcW w:w="9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2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12,884</w:t>
            </w:r>
          </w:p>
        </w:tc>
        <w:tc>
          <w:tcPr>
            <w:tcW w:w="400" w:type="dxa"/>
            <w:vAlign w:val="bottom"/>
            <w:gridSpan w:val="3"/>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(2,821)</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10,063</w:t>
            </w:r>
          </w:p>
        </w:tc>
        <w:tc>
          <w:tcPr>
            <w:tcW w:w="6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12,845</w:t>
            </w:r>
          </w:p>
        </w:tc>
        <w:tc>
          <w:tcPr>
            <w:tcW w:w="4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(2,116)</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13"/>
        </w:trPr>
        <w:tc>
          <w:tcPr>
            <w:tcW w:w="1620" w:type="dxa"/>
            <w:vAlign w:val="bottom"/>
          </w:tcPr>
          <w:p>
            <w:pPr>
              <w:ind w:left="60"/>
              <w:spacing w:after="0"/>
              <w:rPr>
                <w:sz w:val="20"/>
                <w:szCs w:val="20"/>
                <w:color w:val="auto"/>
              </w:rPr>
            </w:pPr>
            <w:r>
              <w:rPr>
                <w:rFonts w:ascii="Arial" w:cs="Arial" w:eastAsia="Arial" w:hAnsi="Arial"/>
                <w:sz w:val="18"/>
                <w:szCs w:val="18"/>
                <w:color w:val="auto"/>
                <w:w w:val="94"/>
              </w:rPr>
              <w:t>Indefinite-lived trade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names</w:t>
            </w:r>
          </w:p>
        </w:tc>
        <w:tc>
          <w:tcPr>
            <w:tcW w:w="94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60" w:type="dxa"/>
            <w:vAlign w:val="bottom"/>
            <w:tcBorders>
              <w:bottom w:val="single" w:sz="8" w:color="E6E6E6"/>
            </w:tcBorders>
          </w:tcPr>
          <w:p>
            <w:pPr>
              <w:spacing w:after="0"/>
              <w:rPr>
                <w:sz w:val="20"/>
                <w:szCs w:val="20"/>
                <w:color w:val="auto"/>
              </w:rPr>
            </w:pPr>
          </w:p>
        </w:tc>
        <w:tc>
          <w:tcPr>
            <w:tcW w:w="940" w:type="dxa"/>
            <w:vAlign w:val="bottom"/>
            <w:tcBorders>
              <w:bottom w:val="single" w:sz="8" w:color="E6E6E6"/>
            </w:tcBorders>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6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82"/>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w w:val="90"/>
              </w:rPr>
              <w:t>Intangible assets, net</w:t>
            </w:r>
          </w:p>
        </w:tc>
        <w:tc>
          <w:tcPr>
            <w:tcW w:w="9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16,714</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(2,821)</w:t>
            </w: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13,893</w:t>
            </w:r>
          </w:p>
        </w:tc>
        <w:tc>
          <w:tcPr>
            <w:tcW w:w="6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16,675</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(2,116)</w:t>
            </w:r>
          </w:p>
        </w:tc>
        <w:tc>
          <w:tcPr>
            <w:tcW w:w="6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-1851025</wp:posOffset>
            </wp:positionV>
            <wp:extent cx="521208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5">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-795020</wp:posOffset>
            </wp:positionV>
            <wp:extent cx="458025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6">
                      <a:extLst>
                        <a:ext uri="{28A0092B-C50C-407E-A947-70E740481C1C}"/>
                      </a:extLst>
                    </a:blip>
                    <a:srcRect/>
                    <a:stretch>
                      <a:fillRect/>
                    </a:stretch>
                  </pic:blipFill>
                  <pic:spPr bwMode="auto">
                    <a:xfrm>
                      <a:off x="0" y="0"/>
                      <a:ext cx="4580255" cy="254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-210185</wp:posOffset>
            </wp:positionV>
            <wp:extent cx="458025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7">
                      <a:extLst>
                        <a:ext uri="{28A0092B-C50C-407E-A947-70E740481C1C}"/>
                      </a:extLst>
                    </a:blip>
                    <a:srcRect/>
                    <a:stretch>
                      <a:fillRect/>
                    </a:stretch>
                  </pic:blipFill>
                  <pic:spPr bwMode="auto">
                    <a:xfrm>
                      <a:off x="0" y="0"/>
                      <a:ext cx="4580255" cy="254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-43815</wp:posOffset>
            </wp:positionV>
            <wp:extent cx="458025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8">
                      <a:extLst>
                        <a:ext uri="{28A0092B-C50C-407E-A947-70E740481C1C}"/>
                      </a:extLst>
                    </a:blip>
                    <a:srcRect/>
                    <a:stretch>
                      <a:fillRect/>
                    </a:stretch>
                  </pic:blipFill>
                  <pic:spPr bwMode="auto">
                    <a:xfrm>
                      <a:off x="0" y="0"/>
                      <a:ext cx="4580255" cy="50800"/>
                    </a:xfrm>
                    <a:prstGeom prst="rect">
                      <a:avLst/>
                    </a:prstGeom>
                    <a:noFill/>
                  </pic:spPr>
                </pic:pic>
              </a:graphicData>
            </a:graphic>
          </wp:anchor>
        </w:drawing>
      </w:r>
    </w:p>
    <w:p>
      <w:pPr>
        <w:spacing w:after="0" w:line="22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 carrying amount of intangible assets, net as of December 31, 2025 includes the final fair values for customer relationships, trade names and developed technology assets. See Note 2—Acquisitions for additional information.</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annual impairment testing performed did not indicate any impairment of goodwill or intangible assets for the years ended December 31, 2025, 2024, and 2023.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Estimated amortization expense for the next five years and thereafter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28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Total</w:t>
            </w:r>
          </w:p>
        </w:tc>
      </w:tr>
      <w:tr>
        <w:trPr>
          <w:trHeight w:val="272"/>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704</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89"/>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704</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89"/>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701</w:t>
            </w:r>
          </w:p>
        </w:tc>
      </w:tr>
      <w:tr>
        <w:trPr>
          <w:trHeight w:val="272"/>
        </w:trPr>
        <w:tc>
          <w:tcPr>
            <w:tcW w:w="828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82"/>
        </w:trPr>
        <w:tc>
          <w:tcPr>
            <w:tcW w:w="82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-210185</wp:posOffset>
            </wp:positionV>
            <wp:extent cx="9969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9">
                      <a:extLst>
                        <a:ext uri="{28A0092B-C50C-407E-A947-70E740481C1C}"/>
                      </a:extLst>
                    </a:blip>
                    <a:srcRect/>
                    <a:stretch>
                      <a:fillRect/>
                    </a:stretch>
                  </pic:blipFill>
                  <pic:spPr bwMode="auto">
                    <a:xfrm>
                      <a:off x="0" y="0"/>
                      <a:ext cx="996950" cy="2540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-43815</wp:posOffset>
            </wp:positionV>
            <wp:extent cx="99695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0">
                      <a:extLst>
                        <a:ext uri="{28A0092B-C50C-407E-A947-70E740481C1C}"/>
                      </a:extLst>
                    </a:blip>
                    <a:srcRect/>
                    <a:stretch>
                      <a:fillRect/>
                    </a:stretch>
                  </pic:blipFill>
                  <pic:spPr bwMode="auto">
                    <a:xfrm>
                      <a:off x="0" y="0"/>
                      <a:ext cx="996950" cy="50800"/>
                    </a:xfrm>
                    <a:prstGeom prst="rect">
                      <a:avLst/>
                    </a:prstGeom>
                    <a:noFill/>
                  </pic:spPr>
                </pic:pic>
              </a:graphicData>
            </a:graphic>
          </wp:anchor>
        </w:drawing>
      </w:r>
    </w:p>
    <w:p>
      <w:pPr>
        <w:sectPr>
          <w:pgSz w:w="11880" w:h="15480" w:orient="portrait"/>
          <w:cols w:equalWidth="0" w:num="1">
            <w:col w:w="9800"/>
          </w:cols>
          <w:pgMar w:left="1040" w:top="676" w:right="10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106</w:t>
      </w:r>
    </w:p>
    <w:p>
      <w:pPr>
        <w:sectPr>
          <w:pgSz w:w="11880" w:h="15480" w:orient="portrait"/>
          <w:cols w:equalWidth="0" w:num="1">
            <w:col w:w="9800"/>
          </w:cols>
          <w:pgMar w:left="1040" w:top="676" w:right="104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ACCRUED EXPENSES AND OTHER CURRENT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elements of accrued expenses and other current liabilities are as follows as of:</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6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1"/>
                <w:szCs w:val="21"/>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2024</w:t>
            </w:r>
          </w:p>
        </w:tc>
      </w:tr>
      <w:tr>
        <w:trPr>
          <w:trHeight w:val="272"/>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Payroll</w:t>
            </w:r>
          </w:p>
        </w:tc>
        <w:tc>
          <w:tcPr>
            <w:tcW w:w="60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E6E6E6"/>
          </w:tcPr>
          <w:p>
            <w:pPr>
              <w:spacing w:after="0"/>
              <w:rPr>
                <w:sz w:val="23"/>
                <w:szCs w:val="23"/>
                <w:color w:val="auto"/>
              </w:rPr>
            </w:pPr>
          </w:p>
        </w:tc>
        <w:tc>
          <w:tcPr>
            <w:tcW w:w="60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330</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Customer rebates and distributor chargebacks</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89"/>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Interest payable, net</w:t>
            </w: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163</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Indirect tax payable</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9"/>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Lease liability</w:t>
            </w: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r>
      <w:tr>
        <w:trPr>
          <w:trHeight w:val="275"/>
        </w:trPr>
        <w:tc>
          <w:tcPr>
            <w:tcW w:w="6660" w:type="dxa"/>
            <w:vAlign w:val="bottom"/>
          </w:tcPr>
          <w:p>
            <w:pPr>
              <w:ind w:left="60"/>
              <w:spacing w:after="0"/>
              <w:rPr>
                <w:sz w:val="20"/>
                <w:szCs w:val="20"/>
                <w:color w:val="auto"/>
              </w:rPr>
            </w:pPr>
            <w:r>
              <w:rPr>
                <w:rFonts w:ascii="Arial" w:cs="Arial" w:eastAsia="Arial" w:hAnsi="Arial"/>
                <w:sz w:val="18"/>
                <w:szCs w:val="18"/>
                <w:color w:val="auto"/>
              </w:rPr>
              <w:t>Litigation accrual (EtO)</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89"/>
        </w:trPr>
        <w:tc>
          <w:tcPr>
            <w:tcW w:w="666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Income taxes payable</w:t>
            </w: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72"/>
        </w:trPr>
        <w:tc>
          <w:tcPr>
            <w:tcW w:w="66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E6E6E6"/>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82"/>
        </w:trPr>
        <w:tc>
          <w:tcPr>
            <w:tcW w:w="6660" w:type="dxa"/>
            <w:vAlign w:val="bottom"/>
            <w:tcBorders>
              <w:bottom w:val="single" w:sz="8" w:color="E6E6E6"/>
            </w:tcBorders>
            <w:shd w:val="clear" w:color="auto" w:fill="E6E6E6"/>
          </w:tcPr>
          <w:p>
            <w:pPr>
              <w:ind w:left="9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6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-1643380</wp:posOffset>
            </wp:positionV>
            <wp:extent cx="202438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1">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-210185</wp:posOffset>
            </wp:positionV>
            <wp:extent cx="202438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2">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-43815</wp:posOffset>
            </wp:positionV>
            <wp:extent cx="202438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3">
                      <a:extLst>
                        <a:ext uri="{28A0092B-C50C-407E-A947-70E740481C1C}"/>
                      </a:extLst>
                    </a:blip>
                    <a:srcRect/>
                    <a:stretch>
                      <a:fillRect/>
                    </a:stretch>
                  </pic:blipFill>
                  <pic:spPr bwMode="auto">
                    <a:xfrm>
                      <a:off x="0" y="0"/>
                      <a:ext cx="2024380" cy="508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CREDIT AGREEMENTS AND BORROWINGS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portion of long-term borrowings and other short-term borrowings consists of the following as 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6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December 31, 2024</w:t>
            </w:r>
          </w:p>
        </w:tc>
      </w:tr>
      <w:tr>
        <w:trPr>
          <w:trHeight w:val="252"/>
        </w:trPr>
        <w:tc>
          <w:tcPr>
            <w:tcW w:w="6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 xml:space="preserve">Current portion of long-term debt </w:t>
            </w:r>
            <w:r>
              <w:rPr>
                <w:rFonts w:ascii="Arial" w:cs="Arial" w:eastAsia="Arial" w:hAnsi="Arial"/>
                <w:sz w:val="11"/>
                <w:szCs w:val="11"/>
                <w:color w:val="auto"/>
              </w:rPr>
              <w:t>(1)</w:t>
            </w:r>
          </w:p>
        </w:tc>
        <w:tc>
          <w:tcPr>
            <w:tcW w:w="7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780" w:type="dxa"/>
            <w:vAlign w:val="bottom"/>
            <w:tcBorders>
              <w:bottom w:val="single" w:sz="8" w:color="E6E6E6"/>
            </w:tcBorders>
            <w:gridSpan w:val="3"/>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76</w:t>
            </w:r>
          </w:p>
        </w:tc>
      </w:tr>
      <w:tr>
        <w:trPr>
          <w:trHeight w:val="249"/>
        </w:trPr>
        <w:tc>
          <w:tcPr>
            <w:tcW w:w="6660" w:type="dxa"/>
            <w:vAlign w:val="bottom"/>
          </w:tcPr>
          <w:p>
            <w:pPr>
              <w:ind w:left="60"/>
              <w:spacing w:after="0"/>
              <w:rPr>
                <w:sz w:val="20"/>
                <w:szCs w:val="20"/>
                <w:color w:val="auto"/>
              </w:rPr>
            </w:pPr>
            <w:r>
              <w:rPr>
                <w:rFonts w:ascii="Arial" w:cs="Arial" w:eastAsia="Arial" w:hAnsi="Arial"/>
                <w:sz w:val="18"/>
                <w:szCs w:val="18"/>
                <w:color w:val="auto"/>
              </w:rPr>
              <w:t>Other short-term debt</w:t>
            </w: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
        </w:trPr>
        <w:tc>
          <w:tcPr>
            <w:tcW w:w="6660" w:type="dxa"/>
            <w:vAlign w:val="bottom"/>
            <w:tcBorders>
              <w:bottom w:val="single" w:sz="8" w:color="E6E6E6"/>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2"/>
        </w:trPr>
        <w:tc>
          <w:tcPr>
            <w:tcW w:w="6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-568325</wp:posOffset>
            </wp:positionV>
            <wp:extent cx="202438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4">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-210185</wp:posOffset>
            </wp:positionV>
            <wp:extent cx="202438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5">
                      <a:extLst>
                        <a:ext uri="{28A0092B-C50C-407E-A947-70E740481C1C}"/>
                      </a:extLst>
                    </a:blip>
                    <a:srcRect/>
                    <a:stretch>
                      <a:fillRect/>
                    </a:stretch>
                  </pic:blipFill>
                  <pic:spPr bwMode="auto">
                    <a:xfrm>
                      <a:off x="0" y="0"/>
                      <a:ext cx="2024380" cy="2540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-43815</wp:posOffset>
            </wp:positionV>
            <wp:extent cx="2024380"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6">
                      <a:extLst>
                        <a:ext uri="{28A0092B-C50C-407E-A947-70E740481C1C}"/>
                      </a:extLst>
                    </a:blip>
                    <a:srcRect/>
                    <a:stretch>
                      <a:fillRect/>
                    </a:stretch>
                  </pic:blipFill>
                  <pic:spPr bwMode="auto">
                    <a:xfrm>
                      <a:off x="0" y="0"/>
                      <a:ext cx="2024380" cy="50800"/>
                    </a:xfrm>
                    <a:prstGeom prst="rect">
                      <a:avLst/>
                    </a:prstGeom>
                    <a:noFill/>
                  </pic:spPr>
                </pic:pic>
              </a:graphicData>
            </a:graphic>
          </wp:anchor>
        </w:drawing>
      </w:r>
    </w:p>
    <w:p>
      <w:pPr>
        <w:ind w:left="160" w:hanging="160"/>
        <w:spacing w:after="0"/>
        <w:tabs>
          <w:tab w:leader="none" w:pos="160" w:val="left"/>
        </w:tabs>
        <w:numPr>
          <w:ilvl w:val="0"/>
          <w:numId w:val="28"/>
        </w:numPr>
        <w:rPr>
          <w:rFonts w:ascii="Arial" w:cs="Arial" w:eastAsia="Arial" w:hAnsi="Arial"/>
          <w:sz w:val="12"/>
          <w:szCs w:val="12"/>
          <w:color w:val="auto"/>
        </w:rPr>
      </w:pPr>
      <w:r>
        <w:rPr>
          <w:rFonts w:ascii="Arial" w:cs="Arial" w:eastAsia="Arial" w:hAnsi="Arial"/>
          <w:sz w:val="18"/>
          <w:szCs w:val="18"/>
          <w:color w:val="auto"/>
        </w:rPr>
        <w:t>Consists of a portion of the secured Dollar Term Loans bearing variable interest rate.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long-term borrowings and the effective interest rates are summarized as follows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8"/>
                <w:szCs w:val="18"/>
                <w:color w:val="auto"/>
              </w:rPr>
              <w:t>December 31, 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December 31, 2024</w:t>
            </w:r>
          </w:p>
        </w:tc>
      </w:tr>
      <w:tr>
        <w:trPr>
          <w:trHeight w:val="227"/>
        </w:trPr>
        <w:tc>
          <w:tcPr>
            <w:tcW w:w="3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4"/>
        </w:trPr>
        <w:tc>
          <w:tcPr>
            <w:tcW w:w="322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Maturity dates</w:t>
            </w:r>
          </w:p>
        </w:tc>
        <w:tc>
          <w:tcPr>
            <w:tcW w:w="16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effective 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effective interest</w:t>
            </w:r>
          </w:p>
        </w:tc>
      </w:tr>
      <w:tr>
        <w:trPr>
          <w:trHeight w:val="237"/>
        </w:trPr>
        <w:tc>
          <w:tcPr>
            <w:tcW w:w="322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by fiscal year</w:t>
            </w:r>
          </w:p>
        </w:tc>
        <w:tc>
          <w:tcPr>
            <w:tcW w:w="1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w w:val="96"/>
              </w:rPr>
              <w:t>(in millions)</w:t>
            </w:r>
          </w:p>
        </w:tc>
        <w:tc>
          <w:tcPr>
            <w:tcW w:w="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3"/>
              </w:rPr>
              <w:t>rate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w w:val="96"/>
              </w:rPr>
              <w:t>(in millions)</w:t>
            </w: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rate</w:t>
            </w:r>
          </w:p>
        </w:tc>
      </w:tr>
      <w:tr>
        <w:trPr>
          <w:trHeight w:val="272"/>
        </w:trPr>
        <w:tc>
          <w:tcPr>
            <w:tcW w:w="32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Long-term borrowings</w:t>
            </w:r>
          </w:p>
        </w:tc>
        <w:tc>
          <w:tcPr>
            <w:tcW w:w="12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3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0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360" w:type="dxa"/>
            <w:vAlign w:val="bottom"/>
            <w:tcBorders>
              <w:top w:val="single" w:sz="8" w:color="auto"/>
            </w:tcBorders>
            <w:shd w:val="clear" w:color="auto" w:fill="E6E6E6"/>
          </w:tcPr>
          <w:p>
            <w:pPr>
              <w:spacing w:after="0"/>
              <w:rPr>
                <w:sz w:val="23"/>
                <w:szCs w:val="23"/>
                <w:color w:val="auto"/>
              </w:rPr>
            </w:pPr>
          </w:p>
        </w:tc>
      </w:tr>
      <w:tr>
        <w:trPr>
          <w:trHeight w:val="275"/>
        </w:trPr>
        <w:tc>
          <w:tcPr>
            <w:tcW w:w="32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Unsecured debt</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97"/>
        </w:trPr>
        <w:tc>
          <w:tcPr>
            <w:tcW w:w="3220" w:type="dxa"/>
            <w:vAlign w:val="bottom"/>
            <w:shd w:val="clear" w:color="auto" w:fill="E6E6E6"/>
          </w:tcPr>
          <w:p>
            <w:pPr>
              <w:ind w:left="340"/>
              <w:spacing w:after="0"/>
              <w:rPr>
                <w:sz w:val="20"/>
                <w:szCs w:val="20"/>
                <w:color w:val="auto"/>
              </w:rPr>
            </w:pPr>
            <w:r>
              <w:rPr>
                <w:rFonts w:ascii="Arial" w:cs="Arial" w:eastAsia="Arial" w:hAnsi="Arial"/>
                <w:sz w:val="18"/>
                <w:szCs w:val="18"/>
                <w:color w:val="auto"/>
              </w:rPr>
              <w:t>Fixed</w:t>
            </w:r>
          </w:p>
        </w:tc>
        <w:tc>
          <w:tcPr>
            <w:tcW w:w="12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2029</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2,500</w:t>
            </w:r>
          </w:p>
        </w:tc>
        <w:tc>
          <w:tcPr>
            <w:tcW w:w="14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5.61 %</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2,500</w:t>
            </w:r>
          </w:p>
        </w:tc>
        <w:tc>
          <w:tcPr>
            <w:tcW w:w="14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5.61 %</w:t>
            </w:r>
          </w:p>
        </w:tc>
      </w:tr>
      <w:tr>
        <w:trPr>
          <w:trHeight w:val="247"/>
        </w:trPr>
        <w:tc>
          <w:tcPr>
            <w:tcW w:w="322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Total unsecured debt</w:t>
            </w:r>
          </w:p>
        </w:tc>
        <w:tc>
          <w:tcPr>
            <w:tcW w:w="1200" w:type="dxa"/>
            <w:vAlign w:val="bottom"/>
            <w:tcBorders>
              <w:top w:val="single" w:sz="8" w:color="E6E6E6"/>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Borders>
              <w:top w:val="single" w:sz="8" w:color="E6E6E6"/>
            </w:tcBorders>
          </w:tcPr>
          <w:p>
            <w:pPr>
              <w:spacing w:after="0"/>
              <w:rPr>
                <w:sz w:val="21"/>
                <w:szCs w:val="21"/>
                <w:color w:val="auto"/>
              </w:rPr>
            </w:pPr>
          </w:p>
        </w:tc>
        <w:tc>
          <w:tcPr>
            <w:tcW w:w="1340" w:type="dxa"/>
            <w:vAlign w:val="bottom"/>
            <w:tcBorders>
              <w:top w:val="single" w:sz="8" w:color="E6E6E6"/>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Borders>
              <w:top w:val="single" w:sz="8" w:color="E6E6E6"/>
            </w:tcBorders>
          </w:tcPr>
          <w:p>
            <w:pPr>
              <w:spacing w:after="0"/>
              <w:rPr>
                <w:sz w:val="21"/>
                <w:szCs w:val="21"/>
                <w:color w:val="auto"/>
              </w:rPr>
            </w:pPr>
          </w:p>
        </w:tc>
        <w:tc>
          <w:tcPr>
            <w:tcW w:w="1360" w:type="dxa"/>
            <w:vAlign w:val="bottom"/>
            <w:tcBorders>
              <w:top w:val="single" w:sz="8" w:color="E6E6E6"/>
            </w:tcBorders>
          </w:tcPr>
          <w:p>
            <w:pPr>
              <w:spacing w:after="0"/>
              <w:rPr>
                <w:sz w:val="21"/>
                <w:szCs w:val="21"/>
                <w:color w:val="auto"/>
              </w:rPr>
            </w:pPr>
          </w:p>
        </w:tc>
      </w:tr>
      <w:tr>
        <w:trPr>
          <w:trHeight w:val="289"/>
        </w:trPr>
        <w:tc>
          <w:tcPr>
            <w:tcW w:w="3220" w:type="dxa"/>
            <w:vAlign w:val="bottom"/>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Secured debt</w:t>
            </w: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r>
      <w:tr>
        <w:trPr>
          <w:trHeight w:val="275"/>
        </w:trPr>
        <w:tc>
          <w:tcPr>
            <w:tcW w:w="3220" w:type="dxa"/>
            <w:vAlign w:val="bottom"/>
          </w:tcPr>
          <w:p>
            <w:pPr>
              <w:ind w:left="340"/>
              <w:spacing w:after="0"/>
              <w:rPr>
                <w:sz w:val="20"/>
                <w:szCs w:val="20"/>
                <w:color w:val="auto"/>
              </w:rPr>
            </w:pPr>
            <w:r>
              <w:rPr>
                <w:rFonts w:ascii="Arial" w:cs="Arial" w:eastAsia="Arial" w:hAnsi="Arial"/>
                <w:sz w:val="18"/>
                <w:szCs w:val="18"/>
                <w:color w:val="auto"/>
              </w:rPr>
              <w:t>Fixed</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4.79 %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4.66 %</w:t>
            </w:r>
          </w:p>
        </w:tc>
      </w:tr>
      <w:tr>
        <w:trPr>
          <w:trHeight w:val="289"/>
        </w:trPr>
        <w:tc>
          <w:tcPr>
            <w:tcW w:w="3220" w:type="dxa"/>
            <w:vAlign w:val="bottom"/>
            <w:shd w:val="clear" w:color="auto" w:fill="E6E6E6"/>
          </w:tcPr>
          <w:p>
            <w:pPr>
              <w:ind w:left="340"/>
              <w:spacing w:after="0"/>
              <w:rPr>
                <w:sz w:val="20"/>
                <w:szCs w:val="20"/>
                <w:color w:val="auto"/>
              </w:rPr>
            </w:pPr>
            <w:r>
              <w:rPr>
                <w:rFonts w:ascii="Arial" w:cs="Arial" w:eastAsia="Arial" w:hAnsi="Arial"/>
                <w:sz w:val="18"/>
                <w:szCs w:val="18"/>
                <w:color w:val="auto"/>
              </w:rPr>
              <w:t xml:space="preserve">Variable (euro-denominated) </w:t>
            </w:r>
            <w:r>
              <w:rPr>
                <w:rFonts w:ascii="Arial" w:cs="Arial" w:eastAsia="Arial" w:hAnsi="Arial"/>
                <w:sz w:val="11"/>
                <w:szCs w:val="11"/>
                <w:color w:val="auto"/>
              </w:rPr>
              <w:t>(1)</w:t>
            </w:r>
          </w:p>
        </w:tc>
        <w:tc>
          <w:tcPr>
            <w:tcW w:w="1260" w:type="dxa"/>
            <w:vAlign w:val="bottom"/>
            <w:gridSpan w:val="2"/>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645</w:t>
            </w:r>
          </w:p>
        </w:tc>
        <w:tc>
          <w:tcPr>
            <w:tcW w:w="14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6.68 %</w:t>
            </w:r>
          </w:p>
        </w:tc>
      </w:tr>
      <w:tr>
        <w:trPr>
          <w:trHeight w:val="272"/>
        </w:trPr>
        <w:tc>
          <w:tcPr>
            <w:tcW w:w="3220" w:type="dxa"/>
            <w:vAlign w:val="bottom"/>
            <w:tcBorders>
              <w:bottom w:val="single" w:sz="8" w:color="E6E6E6"/>
            </w:tcBorders>
          </w:tcPr>
          <w:p>
            <w:pPr>
              <w:ind w:left="340"/>
              <w:spacing w:after="0"/>
              <w:rPr>
                <w:sz w:val="20"/>
                <w:szCs w:val="20"/>
                <w:color w:val="auto"/>
              </w:rPr>
            </w:pPr>
            <w:r>
              <w:rPr>
                <w:rFonts w:ascii="Arial" w:cs="Arial" w:eastAsia="Arial" w:hAnsi="Arial"/>
                <w:sz w:val="18"/>
                <w:szCs w:val="18"/>
                <w:color w:val="auto"/>
              </w:rPr>
              <w:t>Variable</w:t>
            </w:r>
          </w:p>
        </w:tc>
        <w:tc>
          <w:tcPr>
            <w:tcW w:w="1200" w:type="dxa"/>
            <w:vAlign w:val="bottom"/>
            <w:tcBorders>
              <w:bottom w:val="single" w:sz="8" w:color="E6E6E6"/>
            </w:tcBorders>
          </w:tcPr>
          <w:p>
            <w:pPr>
              <w:jc w:val="center"/>
              <w:spacing w:after="0"/>
              <w:rPr>
                <w:sz w:val="20"/>
                <w:szCs w:val="20"/>
                <w:color w:val="auto"/>
              </w:rPr>
            </w:pPr>
            <w:r>
              <w:rPr>
                <w:rFonts w:ascii="Arial" w:cs="Arial" w:eastAsia="Arial" w:hAnsi="Arial"/>
                <w:sz w:val="18"/>
                <w:szCs w:val="18"/>
                <w:color w:val="auto"/>
                <w:w w:val="89"/>
              </w:rPr>
              <w:t>2026 - 2030</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40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7.10 %</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420" w:type="dxa"/>
            <w:vAlign w:val="bottom"/>
            <w:tcBorders>
              <w:bottom w:val="single" w:sz="8" w:color="E6E6E6"/>
            </w:tcBorders>
            <w:gridSpan w:val="2"/>
          </w:tcPr>
          <w:p>
            <w:pPr>
              <w:jc w:val="right"/>
              <w:spacing w:after="0"/>
              <w:rPr>
                <w:sz w:val="20"/>
                <w:szCs w:val="20"/>
                <w:color w:val="auto"/>
              </w:rPr>
            </w:pPr>
            <w:r>
              <w:rPr>
                <w:rFonts w:ascii="Arial" w:cs="Arial" w:eastAsia="Arial" w:hAnsi="Arial"/>
                <w:sz w:val="18"/>
                <w:szCs w:val="18"/>
                <w:color w:val="auto"/>
              </w:rPr>
              <w:t>8.74 %</w:t>
            </w:r>
          </w:p>
        </w:tc>
      </w:tr>
      <w:tr>
        <w:trPr>
          <w:trHeight w:val="280"/>
        </w:trPr>
        <w:tc>
          <w:tcPr>
            <w:tcW w:w="32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Total secured debt</w:t>
            </w:r>
          </w:p>
        </w:tc>
        <w:tc>
          <w:tcPr>
            <w:tcW w:w="12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10,255</w:t>
            </w:r>
          </w:p>
        </w:tc>
        <w:tc>
          <w:tcPr>
            <w:tcW w:w="6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14,257</w:t>
            </w:r>
          </w:p>
        </w:tc>
        <w:tc>
          <w:tcPr>
            <w:tcW w:w="6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spacing w:after="0"/>
              <w:rPr>
                <w:sz w:val="24"/>
                <w:szCs w:val="24"/>
                <w:color w:val="auto"/>
              </w:rPr>
            </w:pPr>
          </w:p>
        </w:tc>
      </w:tr>
      <w:tr>
        <w:trPr>
          <w:trHeight w:val="247"/>
        </w:trPr>
        <w:tc>
          <w:tcPr>
            <w:tcW w:w="3220" w:type="dxa"/>
            <w:vAlign w:val="bottom"/>
          </w:tcPr>
          <w:p>
            <w:pPr>
              <w:ind w:left="60"/>
              <w:spacing w:after="0"/>
              <w:rPr>
                <w:sz w:val="20"/>
                <w:szCs w:val="20"/>
                <w:color w:val="auto"/>
              </w:rPr>
            </w:pPr>
            <w:r>
              <w:rPr>
                <w:rFonts w:ascii="Arial" w:cs="Arial" w:eastAsia="Arial" w:hAnsi="Arial"/>
                <w:sz w:val="18"/>
                <w:szCs w:val="18"/>
                <w:b w:val="1"/>
                <w:bCs w:val="1"/>
                <w:color w:val="auto"/>
              </w:rPr>
              <w:t>Total debt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12,755</w:t>
            </w: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16,757</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3220" w:type="dxa"/>
            <w:vAlign w:val="bottom"/>
            <w:shd w:val="clear" w:color="auto" w:fill="E6E6E6"/>
          </w:tcPr>
          <w:p>
            <w:pPr>
              <w:ind w:left="340"/>
              <w:spacing w:after="0"/>
              <w:rPr>
                <w:sz w:val="20"/>
                <w:szCs w:val="20"/>
                <w:color w:val="auto"/>
              </w:rPr>
            </w:pPr>
            <w:r>
              <w:rPr>
                <w:rFonts w:ascii="Arial" w:cs="Arial" w:eastAsia="Arial" w:hAnsi="Arial"/>
                <w:sz w:val="18"/>
                <w:szCs w:val="18"/>
                <w:color w:val="auto"/>
              </w:rPr>
              <w:t>Less: amounts due within one year</w:t>
            </w: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r>
      <w:tr>
        <w:trPr>
          <w:trHeight w:val="272"/>
        </w:trPr>
        <w:tc>
          <w:tcPr>
            <w:tcW w:w="3220" w:type="dxa"/>
            <w:vAlign w:val="bottom"/>
            <w:tcBorders>
              <w:bottom w:val="single" w:sz="8" w:color="E6E6E6"/>
            </w:tcBorders>
          </w:tcPr>
          <w:p>
            <w:pPr>
              <w:ind w:left="340"/>
              <w:spacing w:after="0"/>
              <w:rPr>
                <w:sz w:val="20"/>
                <w:szCs w:val="20"/>
                <w:color w:val="auto"/>
              </w:rPr>
            </w:pPr>
            <w:r>
              <w:rPr>
                <w:rFonts w:ascii="Arial" w:cs="Arial" w:eastAsia="Arial" w:hAnsi="Arial"/>
                <w:sz w:val="18"/>
                <w:szCs w:val="18"/>
                <w:color w:val="auto"/>
              </w:rPr>
              <w:t xml:space="preserve">Total other </w:t>
            </w:r>
            <w:r>
              <w:rPr>
                <w:rFonts w:ascii="Arial" w:cs="Arial" w:eastAsia="Arial" w:hAnsi="Arial"/>
                <w:sz w:val="11"/>
                <w:szCs w:val="11"/>
                <w:color w:val="auto"/>
              </w:rPr>
              <w:t>(2)</w:t>
            </w:r>
          </w:p>
        </w:tc>
        <w:tc>
          <w:tcPr>
            <w:tcW w:w="120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E6E6E6"/>
            </w:tcBorders>
          </w:tcPr>
          <w:p>
            <w:pPr>
              <w:spacing w:after="0"/>
              <w:rPr>
                <w:sz w:val="23"/>
                <w:szCs w:val="23"/>
                <w:color w:val="auto"/>
              </w:rPr>
            </w:pPr>
          </w:p>
        </w:tc>
        <w:tc>
          <w:tcPr>
            <w:tcW w:w="134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bottom w:val="single" w:sz="8" w:color="E6E6E6"/>
            </w:tcBorders>
          </w:tcPr>
          <w:p>
            <w:pPr>
              <w:spacing w:after="0"/>
              <w:rPr>
                <w:sz w:val="23"/>
                <w:szCs w:val="23"/>
                <w:color w:val="auto"/>
              </w:rPr>
            </w:pPr>
          </w:p>
        </w:tc>
        <w:tc>
          <w:tcPr>
            <w:tcW w:w="1360" w:type="dxa"/>
            <w:vAlign w:val="bottom"/>
            <w:tcBorders>
              <w:bottom w:val="single" w:sz="8" w:color="E6E6E6"/>
            </w:tcBorders>
          </w:tcPr>
          <w:p>
            <w:pPr>
              <w:spacing w:after="0"/>
              <w:rPr>
                <w:sz w:val="23"/>
                <w:szCs w:val="23"/>
                <w:color w:val="auto"/>
              </w:rPr>
            </w:pPr>
          </w:p>
        </w:tc>
      </w:tr>
      <w:tr>
        <w:trPr>
          <w:trHeight w:val="282"/>
        </w:trPr>
        <w:tc>
          <w:tcPr>
            <w:tcW w:w="32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 Long-term borrowings</w:t>
            </w:r>
          </w:p>
        </w:tc>
        <w:tc>
          <w:tcPr>
            <w:tcW w:w="12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12,484</w:t>
            </w:r>
          </w:p>
        </w:tc>
        <w:tc>
          <w:tcPr>
            <w:tcW w:w="6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16,416</w:t>
            </w:r>
          </w:p>
        </w:tc>
        <w:tc>
          <w:tcPr>
            <w:tcW w:w="6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-2360295</wp:posOffset>
            </wp:positionV>
            <wp:extent cx="42030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7">
                      <a:extLst>
                        <a:ext uri="{28A0092B-C50C-407E-A947-70E740481C1C}"/>
                      </a:extLst>
                    </a:blip>
                    <a:srcRect/>
                    <a:stretch>
                      <a:fillRect/>
                    </a:stretch>
                  </pic:blipFill>
                  <pic:spPr bwMode="auto">
                    <a:xfrm>
                      <a:off x="0" y="0"/>
                      <a:ext cx="420306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-1822450</wp:posOffset>
            </wp:positionV>
            <wp:extent cx="80835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8">
                      <a:extLst>
                        <a:ext uri="{28A0092B-C50C-407E-A947-70E740481C1C}"/>
                      </a:extLst>
                    </a:blip>
                    <a:srcRect/>
                    <a:stretch>
                      <a:fillRect/>
                    </a:stretch>
                  </pic:blipFill>
                  <pic:spPr bwMode="auto">
                    <a:xfrm>
                      <a:off x="0" y="0"/>
                      <a:ext cx="808355" cy="254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-1822450</wp:posOffset>
            </wp:positionV>
            <wp:extent cx="78930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9">
                      <a:extLst>
                        <a:ext uri="{28A0092B-C50C-407E-A947-70E740481C1C}"/>
                      </a:extLst>
                    </a:blip>
                    <a:srcRect/>
                    <a:stretch>
                      <a:fillRect/>
                    </a:stretch>
                  </pic:blipFill>
                  <pic:spPr bwMode="auto">
                    <a:xfrm>
                      <a:off x="0" y="0"/>
                      <a:ext cx="78930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-927100</wp:posOffset>
            </wp:positionV>
            <wp:extent cx="80835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0">
                      <a:extLst>
                        <a:ext uri="{28A0092B-C50C-407E-A947-70E740481C1C}"/>
                      </a:extLst>
                    </a:blip>
                    <a:srcRect/>
                    <a:stretch>
                      <a:fillRect/>
                    </a:stretch>
                  </pic:blipFill>
                  <pic:spPr bwMode="auto">
                    <a:xfrm>
                      <a:off x="0" y="0"/>
                      <a:ext cx="808355" cy="254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-927100</wp:posOffset>
            </wp:positionV>
            <wp:extent cx="78930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1">
                      <a:extLst>
                        <a:ext uri="{28A0092B-C50C-407E-A947-70E740481C1C}"/>
                      </a:extLst>
                    </a:blip>
                    <a:srcRect/>
                    <a:stretch>
                      <a:fillRect/>
                    </a:stretch>
                  </pic:blipFill>
                  <pic:spPr bwMode="auto">
                    <a:xfrm>
                      <a:off x="0" y="0"/>
                      <a:ext cx="78930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-747395</wp:posOffset>
            </wp:positionV>
            <wp:extent cx="80835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2">
                      <a:extLst>
                        <a:ext uri="{28A0092B-C50C-407E-A947-70E740481C1C}"/>
                      </a:extLst>
                    </a:blip>
                    <a:srcRect/>
                    <a:stretch>
                      <a:fillRect/>
                    </a:stretch>
                  </pic:blipFill>
                  <pic:spPr bwMode="auto">
                    <a:xfrm>
                      <a:off x="0" y="0"/>
                      <a:ext cx="808355" cy="254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-747395</wp:posOffset>
            </wp:positionV>
            <wp:extent cx="78930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3">
                      <a:extLst>
                        <a:ext uri="{28A0092B-C50C-407E-A947-70E740481C1C}"/>
                      </a:extLst>
                    </a:blip>
                    <a:srcRect/>
                    <a:stretch>
                      <a:fillRect/>
                    </a:stretch>
                  </pic:blipFill>
                  <pic:spPr bwMode="auto">
                    <a:xfrm>
                      <a:off x="0" y="0"/>
                      <a:ext cx="78930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-210185</wp:posOffset>
            </wp:positionV>
            <wp:extent cx="80835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4">
                      <a:extLst>
                        <a:ext uri="{28A0092B-C50C-407E-A947-70E740481C1C}"/>
                      </a:extLst>
                    </a:blip>
                    <a:srcRect/>
                    <a:stretch>
                      <a:fillRect/>
                    </a:stretch>
                  </pic:blipFill>
                  <pic:spPr bwMode="auto">
                    <a:xfrm>
                      <a:off x="0" y="0"/>
                      <a:ext cx="808355" cy="254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-210185</wp:posOffset>
            </wp:positionV>
            <wp:extent cx="78930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5">
                      <a:extLst>
                        <a:ext uri="{28A0092B-C50C-407E-A947-70E740481C1C}"/>
                      </a:extLst>
                    </a:blip>
                    <a:srcRect/>
                    <a:stretch>
                      <a:fillRect/>
                    </a:stretch>
                  </pic:blipFill>
                  <pic:spPr bwMode="auto">
                    <a:xfrm>
                      <a:off x="0" y="0"/>
                      <a:ext cx="78930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80835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6">
                      <a:extLst>
                        <a:ext uri="{28A0092B-C50C-407E-A947-70E740481C1C}"/>
                      </a:extLst>
                    </a:blip>
                    <a:srcRect/>
                    <a:stretch>
                      <a:fillRect/>
                    </a:stretch>
                  </pic:blipFill>
                  <pic:spPr bwMode="auto">
                    <a:xfrm>
                      <a:off x="0" y="0"/>
                      <a:ext cx="808355" cy="5080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-43815</wp:posOffset>
            </wp:positionV>
            <wp:extent cx="78930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7">
                      <a:extLst>
                        <a:ext uri="{28A0092B-C50C-407E-A947-70E740481C1C}"/>
                      </a:extLst>
                    </a:blip>
                    <a:srcRect/>
                    <a:stretch>
                      <a:fillRect/>
                    </a:stretch>
                  </pic:blipFill>
                  <pic:spPr bwMode="auto">
                    <a:xfrm>
                      <a:off x="0" y="0"/>
                      <a:ext cx="789305" cy="50800"/>
                    </a:xfrm>
                    <a:prstGeom prst="rect">
                      <a:avLst/>
                    </a:prstGeom>
                    <a:noFill/>
                  </pic:spPr>
                </pic:pic>
              </a:graphicData>
            </a:graphic>
          </wp:anchor>
        </w:drawing>
      </w:r>
    </w:p>
    <w:p>
      <w:pPr>
        <w:ind w:left="180" w:hanging="180"/>
        <w:spacing w:after="0"/>
        <w:tabs>
          <w:tab w:leader="none" w:pos="180" w:val="left"/>
        </w:tabs>
        <w:numPr>
          <w:ilvl w:val="0"/>
          <w:numId w:val="29"/>
        </w:numPr>
        <w:rPr>
          <w:rFonts w:ascii="Arial" w:cs="Arial" w:eastAsia="Arial" w:hAnsi="Arial"/>
          <w:sz w:val="12"/>
          <w:szCs w:val="12"/>
          <w:color w:val="auto"/>
        </w:rPr>
      </w:pPr>
      <w:r>
        <w:rPr>
          <w:rFonts w:ascii="Arial" w:cs="Arial" w:eastAsia="Arial" w:hAnsi="Arial"/>
          <w:sz w:val="18"/>
          <w:szCs w:val="18"/>
          <w:color w:val="auto"/>
        </w:rPr>
        <w:t>Includes exchange rate adjustments.</w:t>
      </w:r>
    </w:p>
    <w:p>
      <w:pPr>
        <w:spacing w:after="0" w:line="6" w:lineRule="exact"/>
        <w:rPr>
          <w:rFonts w:ascii="Arial" w:cs="Arial" w:eastAsia="Arial" w:hAnsi="Arial"/>
          <w:sz w:val="12"/>
          <w:szCs w:val="12"/>
          <w:color w:val="auto"/>
        </w:rPr>
      </w:pPr>
    </w:p>
    <w:p>
      <w:pPr>
        <w:ind w:left="180" w:hanging="180"/>
        <w:spacing w:after="0"/>
        <w:tabs>
          <w:tab w:leader="none" w:pos="180" w:val="left"/>
        </w:tabs>
        <w:numPr>
          <w:ilvl w:val="0"/>
          <w:numId w:val="29"/>
        </w:numPr>
        <w:rPr>
          <w:rFonts w:ascii="Arial" w:cs="Arial" w:eastAsia="Arial" w:hAnsi="Arial"/>
          <w:sz w:val="12"/>
          <w:szCs w:val="12"/>
          <w:color w:val="auto"/>
        </w:rPr>
      </w:pPr>
      <w:r>
        <w:rPr>
          <w:rFonts w:ascii="Arial" w:cs="Arial" w:eastAsia="Arial" w:hAnsi="Arial"/>
          <w:sz w:val="18"/>
          <w:szCs w:val="18"/>
          <w:color w:val="auto"/>
        </w:rPr>
        <w:t>Includes $41 million of embedded derivative related to the Dollar Term Loans and deferred financing costs.</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107</w:t>
      </w:r>
    </w:p>
    <w:p>
      <w:pPr>
        <w:sectPr>
          <w:pgSz w:w="11880" w:h="15480" w:orient="portrait"/>
          <w:cols w:equalWidth="0" w:num="1">
            <w:col w:w="9800"/>
          </w:cols>
          <w:pgMar w:left="1040" w:top="637" w:right="1040" w:bottom="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CREDIT AGREEMENTS AND BORROWINGS (Continued)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and Unsecured Notes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2021, the Company issued senior secured notes with a principal amount of $4,500 million, at a fixed rate of 3.875% and maturity date of April 1, 2029 and senior unsecured notes with a principal amount of $2,500 million at a fixed rate of 5.250% with a maturity date of October 1, 2029.</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2024, the Company issued senior secured notes with a principal amount of $1,500 million at a fixed rate of 6.250% and a maturity date of April 1, 2029.</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Interest on all aforementioned senior secured and unsecured notes is payable in cash on a semi-annual basis, with payments made in arrears on April 1 and October 1 of each calendar year.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Facilities</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During 2021, the Company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the Company, at any time, subject to customary conditions, to request incremental term loans or incremental revolving credit commitments in an aggregate principal amount of up to (a) the greater of (1) $2,375 million and (2) an amount equal to 100% of the Company’s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the Company’s debt ratios for the Euro Term Loans.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July 31, 2025, the Credit Agreement was amended to reduce the margin spread and to extend the maturity of certain obligations. Pursuant to the amendment, all of the Dollar Term Loans are subject to a margin spread of SOFR plus 2.00%. The principal amount of the Dollar Term Loans equal to $4,074 million will mature on October 21, 2028, which remained unchanged, while the principal amount of the Dollar Term Loans equal to $3,500 million will mature on October 23, 2030, extended from the original maturity date.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December 18, 2025, the Company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connection with Credit Agreement amendments and the debt prepayments, the Company paid debt modification expenses of $6 and $24 for the years ended December 31, 2025 and 2024, respectively. The Company also incurred debt extinguishment losses of $58 and $32 for writing off unamortized issuing discounts and deferred financing costs associated with the debts repaid, for the years ended December 31, 2025 and 2024, respectively. These costs were included in Other (expense) income, net on the Consolidated Statements of Comprehensive Income.</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108</w:t>
      </w:r>
    </w:p>
    <w:p>
      <w:pPr>
        <w:sectPr>
          <w:pgSz w:w="11880" w:h="15480" w:orient="portrait"/>
          <w:cols w:equalWidth="0" w:num="1">
            <w:col w:w="9800"/>
          </w:cols>
          <w:pgMar w:left="1040" w:top="637" w:right="1040" w:bottom="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CREDIT AGREEMENTS AND BORROWINGS (Continued)</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Dollar Term Loans require quarterly amortization payments of 0.25% of the amended principal due at each calendar quarter-end. These amortization payments were $76 million and $50 million for the years ended December 31, 2025 and 2024, respectively. The Euro Term Loans did not have any mandatory amortization payments.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fair value of the Company’s long-term borrowings as of December 31, 2025 and 2024 was based on recent trades as reported by a third-party bond pricing service and summarized as follows. Due to the infrequency of trades, these inputs are considered to be Level 2 inputs.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w w:val="91"/>
              </w:rPr>
              <w:t>December 31, 2024</w:t>
            </w:r>
          </w:p>
        </w:tc>
      </w:tr>
      <w:tr>
        <w:trPr>
          <w:trHeight w:val="302"/>
        </w:trPr>
        <w:tc>
          <w:tcPr>
            <w:tcW w:w="5820" w:type="dxa"/>
            <w:vAlign w:val="bottom"/>
            <w:shd w:val="clear" w:color="auto" w:fill="E6E6E6"/>
          </w:tcPr>
          <w:p>
            <w:pPr>
              <w:ind w:left="60"/>
              <w:spacing w:after="0"/>
              <w:rPr>
                <w:sz w:val="20"/>
                <w:szCs w:val="20"/>
                <w:color w:val="auto"/>
              </w:rPr>
            </w:pPr>
            <w:r>
              <w:rPr>
                <w:rFonts w:ascii="Arial" w:cs="Arial" w:eastAsia="Arial" w:hAnsi="Arial"/>
                <w:sz w:val="18"/>
                <w:szCs w:val="18"/>
                <w:color w:val="auto"/>
              </w:rPr>
              <w:t>Dollar Term Loans</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4,276</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7,660</w:t>
            </w:r>
          </w:p>
        </w:tc>
      </w:tr>
      <w:tr>
        <w:trPr>
          <w:trHeight w:val="306"/>
        </w:trPr>
        <w:tc>
          <w:tcPr>
            <w:tcW w:w="5820" w:type="dxa"/>
            <w:vAlign w:val="bottom"/>
          </w:tcPr>
          <w:p>
            <w:pPr>
              <w:ind w:left="60"/>
              <w:spacing w:after="0"/>
              <w:rPr>
                <w:sz w:val="20"/>
                <w:szCs w:val="20"/>
                <w:color w:val="auto"/>
              </w:rPr>
            </w:pPr>
            <w:r>
              <w:rPr>
                <w:rFonts w:ascii="Arial" w:cs="Arial" w:eastAsia="Arial" w:hAnsi="Arial"/>
                <w:sz w:val="18"/>
                <w:szCs w:val="18"/>
                <w:color w:val="auto"/>
              </w:rPr>
              <w:t>Euro Term Loans</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647</w:t>
            </w:r>
          </w:p>
        </w:tc>
      </w:tr>
      <w:tr>
        <w:trPr>
          <w:trHeight w:val="318"/>
        </w:trPr>
        <w:tc>
          <w:tcPr>
            <w:tcW w:w="5820" w:type="dxa"/>
            <w:vAlign w:val="bottom"/>
            <w:shd w:val="clear" w:color="auto" w:fill="E6E6E6"/>
          </w:tcPr>
          <w:p>
            <w:pPr>
              <w:ind w:left="60"/>
              <w:spacing w:after="0"/>
              <w:rPr>
                <w:sz w:val="20"/>
                <w:szCs w:val="20"/>
                <w:color w:val="auto"/>
              </w:rPr>
            </w:pPr>
            <w:r>
              <w:rPr>
                <w:rFonts w:ascii="Arial" w:cs="Arial" w:eastAsia="Arial" w:hAnsi="Arial"/>
                <w:sz w:val="18"/>
                <w:szCs w:val="18"/>
                <w:color w:val="auto"/>
              </w:rPr>
              <w:t>3.875% fixed rate note</w:t>
            </w:r>
          </w:p>
        </w:tc>
        <w:tc>
          <w:tcPr>
            <w:tcW w:w="220" w:type="dxa"/>
            <w:vAlign w:val="bottom"/>
            <w:shd w:val="clear" w:color="auto" w:fill="E6E6E6"/>
          </w:tcPr>
          <w:p>
            <w:pPr>
              <w:spacing w:after="0"/>
              <w:rPr>
                <w:sz w:val="24"/>
                <w:szCs w:val="24"/>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4,399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4,166</w:t>
            </w:r>
          </w:p>
        </w:tc>
      </w:tr>
      <w:tr>
        <w:trPr>
          <w:trHeight w:val="306"/>
        </w:trPr>
        <w:tc>
          <w:tcPr>
            <w:tcW w:w="5820" w:type="dxa"/>
            <w:vAlign w:val="bottom"/>
          </w:tcPr>
          <w:p>
            <w:pPr>
              <w:ind w:left="60"/>
              <w:spacing w:after="0"/>
              <w:rPr>
                <w:sz w:val="20"/>
                <w:szCs w:val="20"/>
                <w:color w:val="auto"/>
              </w:rPr>
            </w:pPr>
            <w:r>
              <w:rPr>
                <w:rFonts w:ascii="Arial" w:cs="Arial" w:eastAsia="Arial" w:hAnsi="Arial"/>
                <w:sz w:val="18"/>
                <w:szCs w:val="18"/>
                <w:color w:val="auto"/>
              </w:rPr>
              <w:t>5.250% fixed rate note</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2,516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2,411</w:t>
            </w:r>
          </w:p>
        </w:tc>
      </w:tr>
      <w:tr>
        <w:trPr>
          <w:trHeight w:val="318"/>
        </w:trPr>
        <w:tc>
          <w:tcPr>
            <w:tcW w:w="5820" w:type="dxa"/>
            <w:vAlign w:val="bottom"/>
            <w:shd w:val="clear" w:color="auto" w:fill="E6E6E6"/>
          </w:tcPr>
          <w:p>
            <w:pPr>
              <w:ind w:left="60"/>
              <w:spacing w:after="0"/>
              <w:rPr>
                <w:sz w:val="20"/>
                <w:szCs w:val="20"/>
                <w:color w:val="auto"/>
              </w:rPr>
            </w:pPr>
            <w:r>
              <w:rPr>
                <w:rFonts w:ascii="Arial" w:cs="Arial" w:eastAsia="Arial" w:hAnsi="Arial"/>
                <w:sz w:val="18"/>
                <w:szCs w:val="18"/>
                <w:color w:val="auto"/>
              </w:rPr>
              <w:t>6.250% fixed rate note</w:t>
            </w:r>
          </w:p>
        </w:tc>
        <w:tc>
          <w:tcPr>
            <w:tcW w:w="220" w:type="dxa"/>
            <w:vAlign w:val="bottom"/>
            <w:shd w:val="clear" w:color="auto" w:fill="E6E6E6"/>
          </w:tcPr>
          <w:p>
            <w:pPr>
              <w:spacing w:after="0"/>
              <w:rPr>
                <w:sz w:val="24"/>
                <w:szCs w:val="24"/>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1,553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-1002030</wp:posOffset>
            </wp:positionV>
            <wp:extent cx="25527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8">
                      <a:extLst>
                        <a:ext uri="{28A0092B-C50C-407E-A947-70E740481C1C}"/>
                      </a:extLst>
                    </a:blip>
                    <a:srcRect/>
                    <a:stretch>
                      <a:fillRect/>
                    </a:stretch>
                  </pic:blipFill>
                  <pic:spPr bwMode="auto">
                    <a:xfrm>
                      <a:off x="0" y="0"/>
                      <a:ext cx="2552700" cy="25400"/>
                    </a:xfrm>
                    <a:prstGeom prst="rect">
                      <a:avLst/>
                    </a:prstGeom>
                    <a:noFill/>
                  </pic:spPr>
                </pic:pic>
              </a:graphicData>
            </a:graphic>
          </wp:anchor>
        </w:drawing>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indentures contain certain affirmative and negative covenants, which require, among other provisions, delivery of the consolidated financial statements to the relevant note holders. Compliance with the covenants does not significantly impact the Company’s operations. As of December 31, 2025, the Company was in compliance with all the covenants under the Credit Agreement.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Future aggregate principal amounts over the next five years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8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9"/>
              </w:rPr>
              <w:t>Annual Maturities</w:t>
            </w:r>
          </w:p>
        </w:tc>
      </w:tr>
      <w:tr>
        <w:trPr>
          <w:trHeight w:val="272"/>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E6E6E6"/>
          </w:tcPr>
          <w:p>
            <w:pPr>
              <w:jc w:val="right"/>
              <w:ind w:right="311"/>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9"/>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726</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8,535</w:t>
            </w:r>
          </w:p>
        </w:tc>
      </w:tr>
      <w:tr>
        <w:trPr>
          <w:trHeight w:val="279"/>
        </w:trPr>
        <w:tc>
          <w:tcPr>
            <w:tcW w:w="82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3,342</w:t>
            </w:r>
          </w:p>
        </w:tc>
      </w:tr>
      <w:tr>
        <w:trPr>
          <w:trHeight w:val="242"/>
        </w:trPr>
        <w:tc>
          <w:tcPr>
            <w:tcW w:w="8280" w:type="dxa"/>
            <w:vAlign w:val="bottom"/>
          </w:tcPr>
          <w:p>
            <w:pPr>
              <w:spacing w:after="0"/>
              <w:rPr>
                <w:sz w:val="21"/>
                <w:szCs w:val="21"/>
                <w:color w:val="auto"/>
              </w:rPr>
            </w:pPr>
          </w:p>
        </w:tc>
        <w:tc>
          <w:tcPr>
            <w:tcW w:w="5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12,755</w:t>
            </w:r>
          </w:p>
        </w:tc>
      </w:tr>
      <w:tr>
        <w:trPr>
          <w:trHeight w:val="20"/>
        </w:trPr>
        <w:tc>
          <w:tcPr>
            <w:tcW w:w="8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-1106170</wp:posOffset>
            </wp:positionV>
            <wp:extent cx="9969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9">
                      <a:extLst>
                        <a:ext uri="{28A0092B-C50C-407E-A947-70E740481C1C}"/>
                      </a:extLst>
                    </a:blip>
                    <a:srcRect/>
                    <a:stretch>
                      <a:fillRect/>
                    </a:stretch>
                  </pic:blipFill>
                  <pic:spPr bwMode="auto">
                    <a:xfrm>
                      <a:off x="0" y="0"/>
                      <a:ext cx="996950" cy="2540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-210185</wp:posOffset>
            </wp:positionV>
            <wp:extent cx="9969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0">
                      <a:extLst>
                        <a:ext uri="{28A0092B-C50C-407E-A947-70E740481C1C}"/>
                      </a:extLst>
                    </a:blip>
                    <a:srcRect/>
                    <a:stretch>
                      <a:fillRect/>
                    </a:stretch>
                  </pic:blipFill>
                  <pic:spPr bwMode="auto">
                    <a:xfrm>
                      <a:off x="0" y="0"/>
                      <a:ext cx="996950" cy="254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Revolving Credit Facilities</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During 2021, certain lenders provided the Company with commitments under a $1,000 million senior secured revolving credit facility under the Credit Agreement (the “Revolving Credit Facility”).</w:t>
      </w:r>
    </w:p>
    <w:p>
      <w:pPr>
        <w:spacing w:after="0" w:line="18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On March 28, 2025, the Company amended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109</w:t>
      </w:r>
    </w:p>
    <w:p>
      <w:pPr>
        <w:sectPr>
          <w:pgSz w:w="11880" w:h="15480" w:orient="portrait"/>
          <w:cols w:equalWidth="0" w:num="1">
            <w:col w:w="9800"/>
          </w:cols>
          <w:pgMar w:left="1040" w:top="637" w:right="1040" w:bottom="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CREDIT AGREEMENTS AND BORROWINGS (Continued)</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As of December 31, 2025 and 2024,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December 31, 2025 and 2024, availability under the Revolving Credit Facility was $947 million and $951 million, respectively, after taking into account outstanding letters of credit of $53 million and $49 million, respectively. The Company borrowed and repaid $179 million and $166 million under the Revolving Credit Facility during the years ended December 31, 2025 and 2024, respectively, which resulted in no amounts outstanding as of December 31, 2025 or 2024.</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Credit Agreement contains certain affirmative and negative covenants, which require, among other provisions, delivery of the consolidated financial statements to the relevant debt holders. As of December 31, 2025, the Company was in compliance with all covenants.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INTEREST EXPENSE, NET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components of Interest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7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6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4"/>
              </w:rPr>
              <w:t>December 31, 2025</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8"/>
              </w:rPr>
              <w:t>December 31, 2024</w:t>
            </w:r>
          </w:p>
        </w:tc>
        <w:tc>
          <w:tcPr>
            <w:tcW w:w="40" w:type="dxa"/>
            <w:vAlign w:val="bottom"/>
            <w:tcBorders>
              <w:bottom w:val="single" w:sz="8" w:color="E6E6E6"/>
            </w:tcBorders>
          </w:tcPr>
          <w:p>
            <w:pPr>
              <w:spacing w:after="0"/>
              <w:rPr>
                <w:sz w:val="20"/>
                <w:szCs w:val="20"/>
                <w:color w:val="auto"/>
              </w:rPr>
            </w:pPr>
          </w:p>
        </w:tc>
        <w:tc>
          <w:tcPr>
            <w:tcW w:w="16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4"/>
              </w:rPr>
              <w:t>December 31, 2023</w:t>
            </w:r>
          </w:p>
        </w:tc>
        <w:tc>
          <w:tcPr>
            <w:tcW w:w="20" w:type="dxa"/>
            <w:vAlign w:val="bottom"/>
            <w:tcBorders>
              <w:bottom w:val="single" w:sz="8" w:color="auto"/>
            </w:tcBorders>
          </w:tcPr>
          <w:p>
            <w:pPr>
              <w:spacing w:after="0"/>
              <w:rPr>
                <w:sz w:val="20"/>
                <w:szCs w:val="20"/>
                <w:color w:val="auto"/>
              </w:rPr>
            </w:pPr>
          </w:p>
        </w:tc>
      </w:tr>
      <w:tr>
        <w:trPr>
          <w:trHeight w:val="242"/>
        </w:trPr>
        <w:tc>
          <w:tcPr>
            <w:tcW w:w="474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(945)</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(1,144)</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620" w:type="dxa"/>
            <w:vAlign w:val="bottom"/>
            <w:shd w:val="clear" w:color="auto" w:fill="E6E6E6"/>
          </w:tcPr>
          <w:p>
            <w:pPr>
              <w:jc w:val="right"/>
              <w:ind w:right="3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(1,213)</w:t>
            </w:r>
          </w:p>
        </w:tc>
        <w:tc>
          <w:tcPr>
            <w:tcW w:w="20" w:type="dxa"/>
            <w:vAlign w:val="bottom"/>
            <w:shd w:val="clear" w:color="auto" w:fill="E6E6E6"/>
          </w:tcPr>
          <w:p>
            <w:pPr>
              <w:spacing w:after="0"/>
              <w:rPr>
                <w:sz w:val="21"/>
                <w:szCs w:val="21"/>
                <w:color w:val="auto"/>
              </w:rPr>
            </w:pPr>
          </w:p>
        </w:tc>
      </w:tr>
      <w:tr>
        <w:trPr>
          <w:trHeight w:val="242"/>
        </w:trPr>
        <w:tc>
          <w:tcPr>
            <w:tcW w:w="47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E6E6E6"/>
            </w:tcBorders>
          </w:tcPr>
          <w:p>
            <w:pPr>
              <w:spacing w:after="0"/>
              <w:rPr>
                <w:sz w:val="21"/>
                <w:szCs w:val="21"/>
                <w:color w:val="auto"/>
              </w:rPr>
            </w:pPr>
          </w:p>
        </w:tc>
      </w:tr>
      <w:tr>
        <w:trPr>
          <w:trHeight w:val="252"/>
        </w:trPr>
        <w:tc>
          <w:tcPr>
            <w:tcW w:w="4740" w:type="dxa"/>
            <w:vAlign w:val="bottom"/>
            <w:tcBorders>
              <w:bottom w:val="single" w:sz="8" w:color="E6E6E6"/>
            </w:tcBorders>
            <w:shd w:val="clear" w:color="auto" w:fill="E6E6E6"/>
          </w:tcPr>
          <w:p>
            <w:pPr>
              <w:ind w:left="940"/>
              <w:spacing w:after="0"/>
              <w:rPr>
                <w:sz w:val="20"/>
                <w:szCs w:val="20"/>
                <w:color w:val="auto"/>
              </w:rPr>
            </w:pPr>
            <w:r>
              <w:rPr>
                <w:rFonts w:ascii="Arial" w:cs="Arial" w:eastAsia="Arial" w:hAnsi="Arial"/>
                <w:sz w:val="18"/>
                <w:szCs w:val="18"/>
                <w:b w:val="1"/>
                <w:bCs w:val="1"/>
                <w:color w:val="auto"/>
              </w:rPr>
              <w:t>Interest expense, net</w:t>
            </w:r>
          </w:p>
        </w:tc>
        <w:tc>
          <w:tcPr>
            <w:tcW w:w="700" w:type="dxa"/>
            <w:vAlign w:val="bottom"/>
            <w:tcBorders>
              <w:bottom w:val="single" w:sz="8" w:color="auto"/>
            </w:tcBorders>
            <w:shd w:val="clear" w:color="auto" w:fill="E6E6E6"/>
          </w:tcPr>
          <w:p>
            <w:pPr>
              <w:jc w:val="right"/>
              <w:ind w:right="4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(812)</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(864)</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jc w:val="right"/>
              <w:ind w:right="39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(976)</w:t>
            </w:r>
          </w:p>
        </w:tc>
        <w:tc>
          <w:tcPr>
            <w:tcW w:w="20" w:type="dxa"/>
            <w:vAlign w:val="bottom"/>
            <w:tcBorders>
              <w:bottom w:val="single" w:sz="8" w:color="E6E6E6"/>
            </w:tcBorders>
            <w:shd w:val="clear" w:color="auto" w:fill="E6E6E6"/>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-511810</wp:posOffset>
            </wp:positionV>
            <wp:extent cx="324104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1">
                      <a:extLst>
                        <a:ext uri="{28A0092B-C50C-407E-A947-70E740481C1C}"/>
                      </a:extLst>
                    </a:blip>
                    <a:srcRect/>
                    <a:stretch>
                      <a:fillRect/>
                    </a:stretch>
                  </pic:blipFill>
                  <pic:spPr bwMode="auto">
                    <a:xfrm>
                      <a:off x="0" y="0"/>
                      <a:ext cx="3241040" cy="2540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-191135</wp:posOffset>
            </wp:positionV>
            <wp:extent cx="324104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2">
                      <a:extLst>
                        <a:ext uri="{28A0092B-C50C-407E-A947-70E740481C1C}"/>
                      </a:extLst>
                    </a:blip>
                    <a:srcRect/>
                    <a:stretch>
                      <a:fillRect/>
                    </a:stretch>
                  </pic:blipFill>
                  <pic:spPr bwMode="auto">
                    <a:xfrm>
                      <a:off x="0" y="0"/>
                      <a:ext cx="3241040" cy="2540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-43815</wp:posOffset>
            </wp:positionV>
            <wp:extent cx="3241040"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3">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LEASES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 Activities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components of lease cost: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8"/>
              </w:rPr>
              <w:t>Year ended</w:t>
            </w: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32"/>
        </w:trPr>
        <w:tc>
          <w:tcPr>
            <w:tcW w:w="49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2025</w:t>
            </w:r>
          </w:p>
        </w:tc>
        <w:tc>
          <w:tcPr>
            <w:tcW w:w="6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3"/>
              </w:rPr>
              <w:t>December 31, 2024</w:t>
            </w:r>
          </w:p>
        </w:tc>
        <w:tc>
          <w:tcPr>
            <w:tcW w:w="60" w:type="dxa"/>
            <w:vAlign w:val="bottom"/>
            <w:tcBorders>
              <w:bottom w:val="single" w:sz="8" w:color="E6E6E6"/>
            </w:tcBorders>
          </w:tcPr>
          <w:p>
            <w:pPr>
              <w:spacing w:after="0"/>
              <w:rPr>
                <w:sz w:val="20"/>
                <w:szCs w:val="20"/>
                <w:color w:val="auto"/>
              </w:rPr>
            </w:pPr>
          </w:p>
        </w:tc>
        <w:tc>
          <w:tcPr>
            <w:tcW w:w="15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2"/>
              </w:rPr>
              <w:t>December 31, 2023</w:t>
            </w:r>
          </w:p>
        </w:tc>
      </w:tr>
      <w:tr>
        <w:trPr>
          <w:trHeight w:val="272"/>
        </w:trPr>
        <w:tc>
          <w:tcPr>
            <w:tcW w:w="4920" w:type="dxa"/>
            <w:vAlign w:val="bottom"/>
            <w:shd w:val="clear" w:color="auto" w:fill="E6E6E6"/>
          </w:tcPr>
          <w:p>
            <w:pPr>
              <w:ind w:left="60"/>
              <w:spacing w:after="0"/>
              <w:rPr>
                <w:sz w:val="20"/>
                <w:szCs w:val="20"/>
                <w:color w:val="auto"/>
              </w:rPr>
            </w:pPr>
            <w:r>
              <w:rPr>
                <w:rFonts w:ascii="Arial" w:cs="Arial" w:eastAsia="Arial" w:hAnsi="Arial"/>
                <w:sz w:val="18"/>
                <w:szCs w:val="18"/>
                <w:color w:val="auto"/>
              </w:rPr>
              <w:t>Operating lease cost</w:t>
            </w:r>
          </w:p>
        </w:tc>
        <w:tc>
          <w:tcPr>
            <w:tcW w:w="680" w:type="dxa"/>
            <w:vAlign w:val="bottom"/>
            <w:shd w:val="clear" w:color="auto" w:fill="E6E6E6"/>
          </w:tcPr>
          <w:p>
            <w:pPr>
              <w:jc w:val="right"/>
              <w:ind w:right="451"/>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w:t>
            </w:r>
          </w:p>
        </w:tc>
        <w:tc>
          <w:tcPr>
            <w:tcW w:w="800" w:type="dxa"/>
            <w:vAlign w:val="bottom"/>
            <w:gridSpan w:val="2"/>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w:t>
            </w:r>
          </w:p>
        </w:tc>
      </w:tr>
      <w:tr>
        <w:trPr>
          <w:trHeight w:val="275"/>
        </w:trPr>
        <w:tc>
          <w:tcPr>
            <w:tcW w:w="4920" w:type="dxa"/>
            <w:vAlign w:val="bottom"/>
          </w:tcPr>
          <w:p>
            <w:pPr>
              <w:ind w:left="60"/>
              <w:spacing w:after="0"/>
              <w:rPr>
                <w:sz w:val="20"/>
                <w:szCs w:val="20"/>
                <w:color w:val="auto"/>
              </w:rPr>
            </w:pPr>
            <w:r>
              <w:rPr>
                <w:rFonts w:ascii="Arial" w:cs="Arial" w:eastAsia="Arial" w:hAnsi="Arial"/>
                <w:sz w:val="18"/>
                <w:szCs w:val="18"/>
                <w:color w:val="auto"/>
              </w:rPr>
              <w:t>Variable lease cost</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4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Short-term lease cost</w:t>
            </w:r>
          </w:p>
        </w:tc>
        <w:tc>
          <w:tcPr>
            <w:tcW w:w="6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4920" w:type="dxa"/>
            <w:vAlign w:val="bottom"/>
          </w:tcPr>
          <w:p>
            <w:pPr>
              <w:ind w:left="940"/>
              <w:spacing w:after="0"/>
              <w:rPr>
                <w:sz w:val="20"/>
                <w:szCs w:val="20"/>
                <w:color w:val="auto"/>
              </w:rPr>
            </w:pPr>
            <w:r>
              <w:rPr>
                <w:rFonts w:ascii="Arial" w:cs="Arial" w:eastAsia="Arial" w:hAnsi="Arial"/>
                <w:sz w:val="18"/>
                <w:szCs w:val="18"/>
                <w:b w:val="1"/>
                <w:bCs w:val="1"/>
                <w:color w:val="auto"/>
              </w:rPr>
              <w:t>Total lease cost</w:t>
            </w:r>
          </w:p>
        </w:tc>
        <w:tc>
          <w:tcPr>
            <w:tcW w:w="68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800" w:type="dxa"/>
            <w:vAlign w:val="bottom"/>
            <w:gridSpan w:val="2"/>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89"/>
        </w:trPr>
        <w:tc>
          <w:tcPr>
            <w:tcW w:w="492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r>
      <w:tr>
        <w:trPr>
          <w:trHeight w:val="272"/>
        </w:trPr>
        <w:tc>
          <w:tcPr>
            <w:tcW w:w="492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Sublease income</w:t>
            </w:r>
          </w:p>
        </w:tc>
        <w:tc>
          <w:tcPr>
            <w:tcW w:w="6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E6E6E6"/>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82"/>
        </w:trPr>
        <w:tc>
          <w:tcPr>
            <w:tcW w:w="4920" w:type="dxa"/>
            <w:vAlign w:val="bottom"/>
            <w:tcBorders>
              <w:bottom w:val="single" w:sz="8" w:color="E6E6E6"/>
            </w:tcBorders>
            <w:shd w:val="clear" w:color="auto" w:fill="E6E6E6"/>
          </w:tcPr>
          <w:p>
            <w:pPr>
              <w:ind w:left="940"/>
              <w:spacing w:after="0"/>
              <w:rPr>
                <w:sz w:val="20"/>
                <w:szCs w:val="20"/>
                <w:color w:val="auto"/>
              </w:rPr>
            </w:pPr>
            <w:r>
              <w:rPr>
                <w:rFonts w:ascii="Arial" w:cs="Arial" w:eastAsia="Arial" w:hAnsi="Arial"/>
                <w:sz w:val="18"/>
                <w:szCs w:val="18"/>
                <w:b w:val="1"/>
                <w:bCs w:val="1"/>
                <w:color w:val="auto"/>
              </w:rPr>
              <w:t>Total lease cost, net</w:t>
            </w:r>
          </w:p>
        </w:tc>
        <w:tc>
          <w:tcPr>
            <w:tcW w:w="680" w:type="dxa"/>
            <w:vAlign w:val="bottom"/>
            <w:tcBorders>
              <w:bottom w:val="single" w:sz="8" w:color="auto"/>
            </w:tcBorders>
            <w:shd w:val="clear" w:color="auto" w:fill="E6E6E6"/>
          </w:tcPr>
          <w:p>
            <w:pPr>
              <w:jc w:val="right"/>
              <w:ind w:right="4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-1285240</wp:posOffset>
            </wp:positionV>
            <wp:extent cx="31280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4">
                      <a:extLst>
                        <a:ext uri="{28A0092B-C50C-407E-A947-70E740481C1C}"/>
                      </a:extLst>
                    </a:blip>
                    <a:srcRect/>
                    <a:stretch>
                      <a:fillRect/>
                    </a:stretch>
                  </pic:blipFill>
                  <pic:spPr bwMode="auto">
                    <a:xfrm>
                      <a:off x="0" y="0"/>
                      <a:ext cx="3128010" cy="2540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-747395</wp:posOffset>
            </wp:positionV>
            <wp:extent cx="31280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5">
                      <a:extLst>
                        <a:ext uri="{28A0092B-C50C-407E-A947-70E740481C1C}"/>
                      </a:extLst>
                    </a:blip>
                    <a:srcRect/>
                    <a:stretch>
                      <a:fillRect/>
                    </a:stretch>
                  </pic:blipFill>
                  <pic:spPr bwMode="auto">
                    <a:xfrm>
                      <a:off x="0" y="0"/>
                      <a:ext cx="3128010" cy="2540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-210185</wp:posOffset>
            </wp:positionV>
            <wp:extent cx="31280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6">
                      <a:extLst>
                        <a:ext uri="{28A0092B-C50C-407E-A947-70E740481C1C}"/>
                      </a:extLst>
                    </a:blip>
                    <a:srcRect/>
                    <a:stretch>
                      <a:fillRect/>
                    </a:stretch>
                  </pic:blipFill>
                  <pic:spPr bwMode="auto">
                    <a:xfrm>
                      <a:off x="0" y="0"/>
                      <a:ext cx="3128010" cy="2540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-43815</wp:posOffset>
            </wp:positionV>
            <wp:extent cx="312801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7">
                      <a:extLst>
                        <a:ext uri="{28A0092B-C50C-407E-A947-70E740481C1C}"/>
                      </a:extLst>
                    </a:blip>
                    <a:srcRect/>
                    <a:stretch>
                      <a:fillRect/>
                    </a:stretch>
                  </pic:blipFill>
                  <pic:spPr bwMode="auto">
                    <a:xfrm>
                      <a:off x="0" y="0"/>
                      <a:ext cx="3128010" cy="50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cost primarily includes payments for operating expenses, maintenance, electricity and property taxes.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lease-related assets and liabilities recorded on the Consolidated Balance Sheets:</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110</w:t>
      </w:r>
    </w:p>
    <w:p>
      <w:pPr>
        <w:sectPr>
          <w:pgSz w:w="11880" w:h="15480" w:orient="portrait"/>
          <w:cols w:equalWidth="0" w:num="1">
            <w:col w:w="9800"/>
          </w:cols>
          <w:pgMar w:left="1040" w:top="637" w:right="1040" w:bottom="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LEASES (Continued)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4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Consolidated Balance Sheets captions:</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r>
      <w:tr>
        <w:trPr>
          <w:trHeight w:val="272"/>
        </w:trPr>
        <w:tc>
          <w:tcPr>
            <w:tcW w:w="324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Operating leases:</w:t>
            </w:r>
          </w:p>
        </w:tc>
        <w:tc>
          <w:tcPr>
            <w:tcW w:w="3440" w:type="dxa"/>
            <w:vAlign w:val="bottom"/>
            <w:shd w:val="clear" w:color="auto" w:fill="E6E6E6"/>
          </w:tcPr>
          <w:p>
            <w:pPr>
              <w:spacing w:after="0"/>
              <w:rPr>
                <w:sz w:val="23"/>
                <w:szCs w:val="23"/>
                <w:color w:val="auto"/>
              </w:rPr>
            </w:pPr>
          </w:p>
        </w:tc>
        <w:tc>
          <w:tcPr>
            <w:tcW w:w="66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660" w:type="dxa"/>
            <w:vAlign w:val="bottom"/>
            <w:shd w:val="clear" w:color="auto" w:fill="E6E6E6"/>
          </w:tcPr>
          <w:p>
            <w:pPr>
              <w:spacing w:after="0"/>
              <w:rPr>
                <w:sz w:val="23"/>
                <w:szCs w:val="23"/>
                <w:color w:val="auto"/>
              </w:rPr>
            </w:pPr>
          </w:p>
        </w:tc>
        <w:tc>
          <w:tcPr>
            <w:tcW w:w="860" w:type="dxa"/>
            <w:vAlign w:val="bottom"/>
            <w:shd w:val="clear" w:color="auto" w:fill="E6E6E6"/>
          </w:tcPr>
          <w:p>
            <w:pPr>
              <w:spacing w:after="0"/>
              <w:rPr>
                <w:sz w:val="23"/>
                <w:szCs w:val="23"/>
                <w:color w:val="auto"/>
              </w:rPr>
            </w:pPr>
          </w:p>
        </w:tc>
      </w:tr>
      <w:tr>
        <w:trPr>
          <w:trHeight w:val="275"/>
        </w:trPr>
        <w:tc>
          <w:tcPr>
            <w:tcW w:w="3240" w:type="dxa"/>
            <w:vAlign w:val="bottom"/>
          </w:tcPr>
          <w:p>
            <w:pPr>
              <w:ind w:left="60"/>
              <w:spacing w:after="0"/>
              <w:rPr>
                <w:sz w:val="20"/>
                <w:szCs w:val="20"/>
                <w:color w:val="auto"/>
              </w:rPr>
            </w:pPr>
            <w:r>
              <w:rPr>
                <w:rFonts w:ascii="Arial" w:cs="Arial" w:eastAsia="Arial" w:hAnsi="Arial"/>
                <w:sz w:val="18"/>
                <w:szCs w:val="18"/>
                <w:color w:val="auto"/>
              </w:rPr>
              <w:t>Operating lease right-of-use assets</w:t>
            </w:r>
          </w:p>
        </w:tc>
        <w:tc>
          <w:tcPr>
            <w:tcW w:w="344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6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89"/>
        </w:trPr>
        <w:tc>
          <w:tcPr>
            <w:tcW w:w="3240" w:type="dxa"/>
            <w:vAlign w:val="bottom"/>
            <w:shd w:val="clear" w:color="auto" w:fill="E6E6E6"/>
          </w:tcPr>
          <w:p>
            <w:pPr>
              <w:spacing w:after="0"/>
              <w:rPr>
                <w:sz w:val="24"/>
                <w:szCs w:val="24"/>
                <w:color w:val="auto"/>
              </w:rPr>
            </w:pPr>
          </w:p>
        </w:tc>
        <w:tc>
          <w:tcPr>
            <w:tcW w:w="344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r>
      <w:tr>
        <w:trPr>
          <w:trHeight w:val="275"/>
        </w:trPr>
        <w:tc>
          <w:tcPr>
            <w:tcW w:w="3240" w:type="dxa"/>
            <w:vAlign w:val="bottom"/>
          </w:tcPr>
          <w:p>
            <w:pPr>
              <w:ind w:left="60"/>
              <w:spacing w:after="0"/>
              <w:rPr>
                <w:sz w:val="20"/>
                <w:szCs w:val="20"/>
                <w:color w:val="auto"/>
              </w:rPr>
            </w:pPr>
            <w:r>
              <w:rPr>
                <w:rFonts w:ascii="Arial" w:cs="Arial" w:eastAsia="Arial" w:hAnsi="Arial"/>
                <w:sz w:val="18"/>
                <w:szCs w:val="18"/>
                <w:color w:val="auto"/>
                <w:w w:val="92"/>
              </w:rPr>
              <w:t>Current portion of operating lease liabilities</w:t>
            </w:r>
          </w:p>
        </w:tc>
        <w:tc>
          <w:tcPr>
            <w:tcW w:w="3440" w:type="dxa"/>
            <w:vAlign w:val="bottom"/>
          </w:tcPr>
          <w:p>
            <w:pPr>
              <w:ind w:left="60"/>
              <w:spacing w:after="0"/>
              <w:rPr>
                <w:sz w:val="20"/>
                <w:szCs w:val="20"/>
                <w:color w:val="auto"/>
              </w:rPr>
            </w:pPr>
            <w:r>
              <w:rPr>
                <w:rFonts w:ascii="Arial" w:cs="Arial" w:eastAsia="Arial" w:hAnsi="Arial"/>
                <w:sz w:val="18"/>
                <w:szCs w:val="18"/>
                <w:color w:val="auto"/>
                <w:w w:val="92"/>
              </w:rPr>
              <w:t>Accrued expenses and other current liabilities</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32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Long-term operating lease liabilities</w:t>
            </w:r>
          </w:p>
        </w:tc>
        <w:tc>
          <w:tcPr>
            <w:tcW w:w="3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 long-term liabilities</w:t>
            </w:r>
          </w:p>
        </w:tc>
        <w:tc>
          <w:tcPr>
            <w:tcW w:w="6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386</w:t>
            </w:r>
          </w:p>
        </w:tc>
        <w:tc>
          <w:tcPr>
            <w:tcW w:w="6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329</w:t>
            </w:r>
          </w:p>
        </w:tc>
      </w:tr>
      <w:tr>
        <w:trPr>
          <w:trHeight w:val="224"/>
        </w:trPr>
        <w:tc>
          <w:tcPr>
            <w:tcW w:w="3240" w:type="dxa"/>
            <w:vAlign w:val="bottom"/>
          </w:tcPr>
          <w:p>
            <w:pPr>
              <w:ind w:left="60"/>
              <w:spacing w:after="0"/>
              <w:rPr>
                <w:sz w:val="20"/>
                <w:szCs w:val="20"/>
                <w:color w:val="auto"/>
              </w:rPr>
            </w:pPr>
            <w:r>
              <w:rPr>
                <w:rFonts w:ascii="Arial" w:cs="Arial" w:eastAsia="Arial" w:hAnsi="Arial"/>
                <w:sz w:val="18"/>
                <w:szCs w:val="18"/>
                <w:b w:val="1"/>
                <w:bCs w:val="1"/>
                <w:color w:val="auto"/>
              </w:rPr>
              <w:t>Total operating lease liabilities</w:t>
            </w:r>
          </w:p>
        </w:tc>
        <w:tc>
          <w:tcPr>
            <w:tcW w:w="344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452</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3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-1106170</wp:posOffset>
            </wp:positionV>
            <wp:extent cx="20059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8">
                      <a:extLst>
                        <a:ext uri="{28A0092B-C50C-407E-A947-70E740481C1C}"/>
                      </a:extLst>
                    </a:blip>
                    <a:srcRect/>
                    <a:stretch>
                      <a:fillRect/>
                    </a:stretch>
                  </pic:blipFill>
                  <pic:spPr bwMode="auto">
                    <a:xfrm>
                      <a:off x="0" y="0"/>
                      <a:ext cx="2005965" cy="25400"/>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-210185</wp:posOffset>
            </wp:positionV>
            <wp:extent cx="20059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9">
                      <a:extLst>
                        <a:ext uri="{28A0092B-C50C-407E-A947-70E740481C1C}"/>
                      </a:extLst>
                    </a:blip>
                    <a:srcRect/>
                    <a:stretch>
                      <a:fillRect/>
                    </a:stretch>
                  </pic:blipFill>
                  <pic:spPr bwMode="auto">
                    <a:xfrm>
                      <a:off x="0" y="0"/>
                      <a:ext cx="2005965" cy="254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Company’s operating leases have a weighted-average remaining lease term of 7 years for both December 31, 2025 and 2024. The weighted-average discount rate of the Company’s operating leases is 7% and 8% for December 31, 2025 and 2024, respectively.</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Future lease annual operating lease payments under non-cancelable leases over the next five years and thereafter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8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Total</w:t>
            </w:r>
          </w:p>
        </w:tc>
      </w:tr>
      <w:tr>
        <w:trPr>
          <w:trHeight w:val="272"/>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9"/>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w:t>
            </w: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9"/>
        </w:trPr>
        <w:tc>
          <w:tcPr>
            <w:tcW w:w="8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3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w:t>
            </w:r>
          </w:p>
        </w:tc>
      </w:tr>
      <w:tr>
        <w:trPr>
          <w:trHeight w:val="272"/>
        </w:trPr>
        <w:tc>
          <w:tcPr>
            <w:tcW w:w="828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72"/>
        </w:trPr>
        <w:tc>
          <w:tcPr>
            <w:tcW w:w="8280" w:type="dxa"/>
            <w:vAlign w:val="bottom"/>
            <w:shd w:val="clear" w:color="auto" w:fill="E6E6E6"/>
          </w:tcPr>
          <w:p>
            <w:pPr>
              <w:ind w:left="1120"/>
              <w:spacing w:after="0"/>
              <w:rPr>
                <w:sz w:val="20"/>
                <w:szCs w:val="20"/>
                <w:color w:val="auto"/>
              </w:rPr>
            </w:pPr>
            <w:r>
              <w:rPr>
                <w:rFonts w:ascii="Arial" w:cs="Arial" w:eastAsia="Arial" w:hAnsi="Arial"/>
                <w:sz w:val="18"/>
                <w:szCs w:val="18"/>
                <w:color w:val="auto"/>
              </w:rPr>
              <w:t>Total future lease payments</w:t>
            </w: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591</w:t>
            </w:r>
          </w:p>
        </w:tc>
      </w:tr>
      <w:tr>
        <w:trPr>
          <w:trHeight w:val="282"/>
        </w:trPr>
        <w:tc>
          <w:tcPr>
            <w:tcW w:w="8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1"/>
        </w:trPr>
        <w:tc>
          <w:tcPr>
            <w:tcW w:w="82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(139)</w:t>
            </w:r>
          </w:p>
        </w:tc>
      </w:tr>
      <w:tr>
        <w:trPr>
          <w:trHeight w:val="224"/>
        </w:trPr>
        <w:tc>
          <w:tcPr>
            <w:tcW w:w="8280" w:type="dxa"/>
            <w:vAlign w:val="bottom"/>
          </w:tcPr>
          <w:p>
            <w:pPr>
              <w:ind w:left="1120"/>
              <w:spacing w:after="0"/>
              <w:rPr>
                <w:sz w:val="20"/>
                <w:szCs w:val="20"/>
                <w:color w:val="auto"/>
              </w:rPr>
            </w:pPr>
            <w:r>
              <w:rPr>
                <w:rFonts w:ascii="Arial" w:cs="Arial" w:eastAsia="Arial" w:hAnsi="Arial"/>
                <w:sz w:val="18"/>
                <w:szCs w:val="18"/>
                <w:b w:val="1"/>
                <w:bCs w:val="1"/>
                <w:color w:val="auto"/>
              </w:rPr>
              <w:t>Present value of future lease payments</w:t>
            </w:r>
          </w:p>
        </w:tc>
        <w:tc>
          <w:tcPr>
            <w:tcW w:w="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8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-1822450</wp:posOffset>
            </wp:positionV>
            <wp:extent cx="9969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0">
                      <a:extLst>
                        <a:ext uri="{28A0092B-C50C-407E-A947-70E740481C1C}"/>
                      </a:extLst>
                    </a:blip>
                    <a:srcRect/>
                    <a:stretch>
                      <a:fillRect/>
                    </a:stretch>
                  </pic:blipFill>
                  <pic:spPr bwMode="auto">
                    <a:xfrm>
                      <a:off x="0" y="0"/>
                      <a:ext cx="996950" cy="2540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-747395</wp:posOffset>
            </wp:positionV>
            <wp:extent cx="9969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1">
                      <a:extLst>
                        <a:ext uri="{28A0092B-C50C-407E-A947-70E740481C1C}"/>
                      </a:extLst>
                    </a:blip>
                    <a:srcRect/>
                    <a:stretch>
                      <a:fillRect/>
                    </a:stretch>
                  </pic:blipFill>
                  <pic:spPr bwMode="auto">
                    <a:xfrm>
                      <a:off x="0" y="0"/>
                      <a:ext cx="996950" cy="2540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-210185</wp:posOffset>
            </wp:positionV>
            <wp:extent cx="9969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2">
                      <a:extLst>
                        <a:ext uri="{28A0092B-C50C-407E-A947-70E740481C1C}"/>
                      </a:extLst>
                    </a:blip>
                    <a:srcRect/>
                    <a:stretch>
                      <a:fillRect/>
                    </a:stretch>
                  </pic:blipFill>
                  <pic:spPr bwMode="auto">
                    <a:xfrm>
                      <a:off x="0" y="0"/>
                      <a:ext cx="996950" cy="25400"/>
                    </a:xfrm>
                    <a:prstGeom prst="rect">
                      <a:avLst/>
                    </a:prstGeom>
                    <a:noFill/>
                  </pic:spPr>
                </pic:pic>
              </a:graphicData>
            </a:graphic>
          </wp:anchor>
        </w:drawing>
      </w:r>
    </w:p>
    <w:p>
      <w:pPr>
        <w:spacing w:after="0" w:line="22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As of December 31, 2025, the Company has executed operating lease agreements for warehouse distribution facilities that have not yet commenced. As such the total expected future lease payments of $312 million for these agreements are not reflected in the table above. These operating leases will commence after December 31, 2025 with lease terms of 12 years.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 Activities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summarizes the components of lease income recorded in Cost of goods sold and Selling, general and administrative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8"/>
              </w:rPr>
              <w:t>Year ended</w:t>
            </w: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9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2025</w:t>
            </w:r>
          </w:p>
        </w:tc>
        <w:tc>
          <w:tcPr>
            <w:tcW w:w="6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3"/>
              </w:rPr>
              <w:t>December 31, 2024</w:t>
            </w:r>
          </w:p>
        </w:tc>
        <w:tc>
          <w:tcPr>
            <w:tcW w:w="60" w:type="dxa"/>
            <w:vAlign w:val="bottom"/>
            <w:tcBorders>
              <w:bottom w:val="single" w:sz="8" w:color="E6E6E6"/>
            </w:tcBorders>
          </w:tcPr>
          <w:p>
            <w:pPr>
              <w:spacing w:after="0"/>
              <w:rPr>
                <w:sz w:val="20"/>
                <w:szCs w:val="20"/>
                <w:color w:val="auto"/>
              </w:rPr>
            </w:pPr>
          </w:p>
        </w:tc>
        <w:tc>
          <w:tcPr>
            <w:tcW w:w="15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2"/>
              </w:rPr>
              <w:t>December 31, 2023</w:t>
            </w:r>
          </w:p>
        </w:tc>
        <w:tc>
          <w:tcPr>
            <w:tcW w:w="20" w:type="dxa"/>
            <w:vAlign w:val="bottom"/>
            <w:tcBorders>
              <w:bottom w:val="single" w:sz="8" w:color="auto"/>
            </w:tcBorders>
          </w:tcPr>
          <w:p>
            <w:pPr>
              <w:spacing w:after="0"/>
              <w:rPr>
                <w:sz w:val="20"/>
                <w:szCs w:val="20"/>
                <w:color w:val="auto"/>
              </w:rPr>
            </w:pPr>
          </w:p>
        </w:tc>
      </w:tr>
      <w:tr>
        <w:trPr>
          <w:trHeight w:val="272"/>
        </w:trPr>
        <w:tc>
          <w:tcPr>
            <w:tcW w:w="4920" w:type="dxa"/>
            <w:vAlign w:val="bottom"/>
            <w:shd w:val="clear" w:color="auto" w:fill="E6E6E6"/>
          </w:tcPr>
          <w:p>
            <w:pPr>
              <w:ind w:left="60"/>
              <w:spacing w:after="0"/>
              <w:rPr>
                <w:sz w:val="20"/>
                <w:szCs w:val="20"/>
                <w:color w:val="auto"/>
              </w:rPr>
            </w:pPr>
            <w:r>
              <w:rPr>
                <w:rFonts w:ascii="Arial" w:cs="Arial" w:eastAsia="Arial" w:hAnsi="Arial"/>
                <w:sz w:val="18"/>
                <w:szCs w:val="18"/>
                <w:color w:val="auto"/>
              </w:rPr>
              <w:t>Operating lease income</w:t>
            </w:r>
          </w:p>
        </w:tc>
        <w:tc>
          <w:tcPr>
            <w:tcW w:w="740" w:type="dxa"/>
            <w:vAlign w:val="bottom"/>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E6E6E6"/>
          </w:tcPr>
          <w:p>
            <w:pPr>
              <w:spacing w:after="0"/>
              <w:rPr>
                <w:sz w:val="23"/>
                <w:szCs w:val="23"/>
                <w:color w:val="auto"/>
              </w:rPr>
            </w:pPr>
          </w:p>
        </w:tc>
      </w:tr>
      <w:tr>
        <w:trPr>
          <w:trHeight w:val="272"/>
        </w:trPr>
        <w:tc>
          <w:tcPr>
            <w:tcW w:w="492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Variable lease income</w:t>
            </w:r>
          </w:p>
        </w:tc>
        <w:tc>
          <w:tcPr>
            <w:tcW w:w="7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3"/>
                <w:szCs w:val="23"/>
                <w:color w:val="auto"/>
              </w:rPr>
            </w:pPr>
          </w:p>
        </w:tc>
      </w:tr>
      <w:tr>
        <w:trPr>
          <w:trHeight w:val="312"/>
        </w:trPr>
        <w:tc>
          <w:tcPr>
            <w:tcW w:w="4920" w:type="dxa"/>
            <w:vAlign w:val="bottom"/>
            <w:tcBorders>
              <w:bottom w:val="single" w:sz="8" w:color="E6E6E6"/>
            </w:tcBorders>
            <w:shd w:val="clear" w:color="auto" w:fill="E6E6E6"/>
          </w:tcPr>
          <w:p>
            <w:pPr>
              <w:ind w:left="1120"/>
              <w:spacing w:after="0"/>
              <w:rPr>
                <w:sz w:val="20"/>
                <w:szCs w:val="20"/>
                <w:color w:val="auto"/>
              </w:rPr>
            </w:pPr>
            <w:r>
              <w:rPr>
                <w:rFonts w:ascii="Arial" w:cs="Arial" w:eastAsia="Arial" w:hAnsi="Arial"/>
                <w:sz w:val="18"/>
                <w:szCs w:val="18"/>
                <w:b w:val="1"/>
                <w:bCs w:val="1"/>
                <w:color w:val="auto"/>
              </w:rPr>
              <w:t>Total lease income</w:t>
            </w:r>
          </w:p>
        </w:tc>
        <w:tc>
          <w:tcPr>
            <w:tcW w:w="740" w:type="dxa"/>
            <w:vAlign w:val="bottom"/>
            <w:tcBorders>
              <w:bottom w:val="single" w:sz="8" w:color="auto"/>
            </w:tcBorders>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ind w:right="5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-587375</wp:posOffset>
            </wp:positionV>
            <wp:extent cx="31280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3">
                      <a:extLst>
                        <a:ext uri="{28A0092B-C50C-407E-A947-70E740481C1C}"/>
                      </a:extLst>
                    </a:blip>
                    <a:srcRect/>
                    <a:stretch>
                      <a:fillRect/>
                    </a:stretch>
                  </pic:blipFill>
                  <pic:spPr bwMode="auto">
                    <a:xfrm>
                      <a:off x="0" y="0"/>
                      <a:ext cx="3128010" cy="2540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-229235</wp:posOffset>
            </wp:positionV>
            <wp:extent cx="312801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4">
                      <a:extLst>
                        <a:ext uri="{28A0092B-C50C-407E-A947-70E740481C1C}"/>
                      </a:extLst>
                    </a:blip>
                    <a:srcRect/>
                    <a:stretch>
                      <a:fillRect/>
                    </a:stretch>
                  </pic:blipFill>
                  <pic:spPr bwMode="auto">
                    <a:xfrm>
                      <a:off x="0" y="0"/>
                      <a:ext cx="3128010" cy="2540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-43815</wp:posOffset>
            </wp:positionV>
            <wp:extent cx="312801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5">
                      <a:extLst>
                        <a:ext uri="{28A0092B-C50C-407E-A947-70E740481C1C}"/>
                      </a:extLst>
                    </a:blip>
                    <a:srcRect/>
                    <a:stretch>
                      <a:fillRect/>
                    </a:stretch>
                  </pic:blipFill>
                  <pic:spPr bwMode="auto">
                    <a:xfrm>
                      <a:off x="0" y="0"/>
                      <a:ext cx="3128010" cy="50800"/>
                    </a:xfrm>
                    <a:prstGeom prst="rect">
                      <a:avLst/>
                    </a:prstGeom>
                    <a:noFill/>
                  </pic:spPr>
                </pic:pic>
              </a:graphicData>
            </a:graphic>
          </wp:anchor>
        </w:drawing>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variable lease income includes reimbursements for tenant improvements, property tax, services, utilities, and maintenance.</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111</w:t>
      </w:r>
    </w:p>
    <w:p>
      <w:pPr>
        <w:sectPr>
          <w:pgSz w:w="11880" w:h="15480" w:orient="portrait"/>
          <w:cols w:equalWidth="0" w:num="1">
            <w:col w:w="9800"/>
          </w:cols>
          <w:pgMar w:left="1040" w:top="637" w:right="1040" w:bottom="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LEASES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Estimated maturities of operating lease receivables over the next five years and thereafter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6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Total</w:t>
            </w:r>
          </w:p>
        </w:tc>
      </w:tr>
      <w:tr>
        <w:trPr>
          <w:trHeight w:val="272"/>
        </w:trPr>
        <w:tc>
          <w:tcPr>
            <w:tcW w:w="826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8260" w:type="dxa"/>
            <w:vAlign w:val="bottom"/>
          </w:tcPr>
          <w:p>
            <w:pPr>
              <w:ind w:left="6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9"/>
        </w:trPr>
        <w:tc>
          <w:tcPr>
            <w:tcW w:w="826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8260" w:type="dxa"/>
            <w:vAlign w:val="bottom"/>
          </w:tcPr>
          <w:p>
            <w:pPr>
              <w:ind w:left="60"/>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9"/>
        </w:trPr>
        <w:tc>
          <w:tcPr>
            <w:tcW w:w="826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360" w:type="dxa"/>
            <w:vAlign w:val="bottom"/>
            <w:shd w:val="clear" w:color="auto" w:fill="E6E6E6"/>
          </w:tcPr>
          <w:p>
            <w:pPr>
              <w:spacing w:after="0"/>
              <w:rPr>
                <w:sz w:val="24"/>
                <w:szCs w:val="24"/>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72"/>
        </w:trPr>
        <w:tc>
          <w:tcPr>
            <w:tcW w:w="82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82"/>
        </w:trPr>
        <w:tc>
          <w:tcPr>
            <w:tcW w:w="8260" w:type="dxa"/>
            <w:vAlign w:val="bottom"/>
            <w:tcBorders>
              <w:bottom w:val="single" w:sz="8" w:color="E6E6E6"/>
            </w:tcBorders>
            <w:shd w:val="clear" w:color="auto" w:fill="E6E6E6"/>
          </w:tcPr>
          <w:p>
            <w:pPr>
              <w:ind w:left="1120"/>
              <w:spacing w:after="0"/>
              <w:rPr>
                <w:sz w:val="20"/>
                <w:szCs w:val="20"/>
                <w:color w:val="auto"/>
              </w:rPr>
            </w:pPr>
            <w:r>
              <w:rPr>
                <w:rFonts w:ascii="Arial" w:cs="Arial" w:eastAsia="Arial" w:hAnsi="Arial"/>
                <w:sz w:val="18"/>
                <w:szCs w:val="18"/>
                <w:b w:val="1"/>
                <w:bCs w:val="1"/>
                <w:color w:val="auto"/>
              </w:rPr>
              <w:t>Total future lease receivables</w:t>
            </w:r>
          </w:p>
        </w:tc>
        <w:tc>
          <w:tcPr>
            <w:tcW w:w="36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-1285240</wp:posOffset>
            </wp:positionV>
            <wp:extent cx="100584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6">
                      <a:extLst>
                        <a:ext uri="{28A0092B-C50C-407E-A947-70E740481C1C}"/>
                      </a:extLst>
                    </a:blip>
                    <a:srcRect/>
                    <a:stretch>
                      <a:fillRect/>
                    </a:stretch>
                  </pic:blipFill>
                  <pic:spPr bwMode="auto">
                    <a:xfrm>
                      <a:off x="0" y="0"/>
                      <a:ext cx="1005840" cy="2540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-210185</wp:posOffset>
            </wp:positionV>
            <wp:extent cx="100584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7">
                      <a:extLst>
                        <a:ext uri="{28A0092B-C50C-407E-A947-70E740481C1C}"/>
                      </a:extLst>
                    </a:blip>
                    <a:srcRect/>
                    <a:stretch>
                      <a:fillRect/>
                    </a:stretch>
                  </pic:blipFill>
                  <pic:spPr bwMode="auto">
                    <a:xfrm>
                      <a:off x="0" y="0"/>
                      <a:ext cx="1005840" cy="2540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-43815</wp:posOffset>
            </wp:positionV>
            <wp:extent cx="1005840"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8">
                      <a:extLst>
                        <a:ext uri="{28A0092B-C50C-407E-A947-70E740481C1C}"/>
                      </a:extLst>
                    </a:blip>
                    <a:srcRect/>
                    <a:stretch>
                      <a:fillRect/>
                    </a:stretch>
                  </pic:blipFill>
                  <pic:spPr bwMode="auto">
                    <a:xfrm>
                      <a:off x="0" y="0"/>
                      <a:ext cx="1005840" cy="50800"/>
                    </a:xfrm>
                    <a:prstGeom prst="rect">
                      <a:avLst/>
                    </a:prstGeom>
                    <a:noFill/>
                  </pic:spPr>
                </pic:pic>
              </a:graphicData>
            </a:graphic>
          </wp:anchor>
        </w:drawing>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Assets under operating leases are included in Property, plant, and equipment, net of the Company’s Consolidated Balance Sheets and consist of the following as of:</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70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1"/>
                <w:szCs w:val="2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r>
      <w:tr>
        <w:trPr>
          <w:trHeight w:val="272"/>
        </w:trPr>
        <w:tc>
          <w:tcPr>
            <w:tcW w:w="670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Buildings and improvements</w:t>
            </w:r>
          </w:p>
        </w:tc>
        <w:tc>
          <w:tcPr>
            <w:tcW w:w="64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72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w:t>
            </w:r>
          </w:p>
        </w:tc>
      </w:tr>
      <w:tr>
        <w:trPr>
          <w:trHeight w:val="275"/>
        </w:trPr>
        <w:tc>
          <w:tcPr>
            <w:tcW w:w="6700" w:type="dxa"/>
            <w:vAlign w:val="bottom"/>
            <w:gridSpan w:val="2"/>
          </w:tcPr>
          <w:p>
            <w:pPr>
              <w:ind w:left="60"/>
              <w:spacing w:after="0"/>
              <w:rPr>
                <w:sz w:val="20"/>
                <w:szCs w:val="20"/>
                <w:color w:val="auto"/>
              </w:rPr>
            </w:pPr>
            <w:r>
              <w:rPr>
                <w:rFonts w:ascii="Arial" w:cs="Arial" w:eastAsia="Arial" w:hAnsi="Arial"/>
                <w:sz w:val="18"/>
                <w:szCs w:val="18"/>
                <w:color w:val="auto"/>
              </w:rPr>
              <w:t>Land and improvements</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67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6700" w:type="dxa"/>
            <w:vAlign w:val="bottom"/>
            <w:gridSpan w:val="2"/>
          </w:tcPr>
          <w:p>
            <w:pPr>
              <w:ind w:left="940"/>
              <w:spacing w:after="0"/>
              <w:rPr>
                <w:sz w:val="20"/>
                <w:szCs w:val="20"/>
                <w:color w:val="auto"/>
              </w:rPr>
            </w:pPr>
            <w:r>
              <w:rPr>
                <w:rFonts w:ascii="Arial" w:cs="Arial" w:eastAsia="Arial" w:hAnsi="Arial"/>
                <w:sz w:val="18"/>
                <w:szCs w:val="18"/>
                <w:b w:val="1"/>
                <w:bCs w:val="1"/>
                <w:color w:val="auto"/>
              </w:rPr>
              <w:t>Assets under operating leases, net</w:t>
            </w: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-747395</wp:posOffset>
            </wp:positionV>
            <wp:extent cx="20059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9">
                      <a:extLst>
                        <a:ext uri="{28A0092B-C50C-407E-A947-70E740481C1C}"/>
                      </a:extLst>
                    </a:blip>
                    <a:srcRect/>
                    <a:stretch>
                      <a:fillRect/>
                    </a:stretch>
                  </pic:blipFill>
                  <pic:spPr bwMode="auto">
                    <a:xfrm>
                      <a:off x="0" y="0"/>
                      <a:ext cx="2005965" cy="25400"/>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-210185</wp:posOffset>
            </wp:positionV>
            <wp:extent cx="20059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0">
                      <a:extLst>
                        <a:ext uri="{28A0092B-C50C-407E-A947-70E740481C1C}"/>
                      </a:extLst>
                    </a:blip>
                    <a:srcRect/>
                    <a:stretch>
                      <a:fillRect/>
                    </a:stretch>
                  </pic:blipFill>
                  <pic:spPr bwMode="auto">
                    <a:xfrm>
                      <a:off x="0" y="0"/>
                      <a:ext cx="2005965" cy="254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RETIREMENT PLANS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sets forth the various plans’ unfunded status and amounts recognized in the Company’s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December 31, 2025</w:t>
            </w:r>
          </w:p>
        </w:tc>
        <w:tc>
          <w:tcPr>
            <w:tcW w:w="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December 31, 2024</w:t>
            </w:r>
          </w:p>
        </w:tc>
      </w:tr>
      <w:tr>
        <w:trPr>
          <w:trHeight w:val="272"/>
        </w:trPr>
        <w:tc>
          <w:tcPr>
            <w:tcW w:w="6040" w:type="dxa"/>
            <w:vAlign w:val="bottom"/>
            <w:shd w:val="clear" w:color="auto" w:fill="E6E6E6"/>
          </w:tcPr>
          <w:p>
            <w:pPr>
              <w:ind w:left="60"/>
              <w:spacing w:after="0"/>
              <w:rPr>
                <w:sz w:val="20"/>
                <w:szCs w:val="20"/>
                <w:color w:val="auto"/>
              </w:rPr>
            </w:pPr>
            <w:r>
              <w:rPr>
                <w:rFonts w:ascii="Arial" w:cs="Arial" w:eastAsia="Arial" w:hAnsi="Arial"/>
                <w:sz w:val="18"/>
                <w:szCs w:val="18"/>
                <w:color w:val="auto"/>
              </w:rPr>
              <w:t>Projected benefit obligation</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E6E6E6"/>
          </w:tcPr>
          <w:p>
            <w:pPr>
              <w:spacing w:after="0"/>
              <w:rPr>
                <w:sz w:val="23"/>
                <w:szCs w:val="23"/>
                <w:color w:val="auto"/>
              </w:rPr>
            </w:pPr>
          </w:p>
        </w:tc>
        <w:tc>
          <w:tcPr>
            <w:tcW w:w="22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w:t>
            </w:r>
          </w:p>
        </w:tc>
      </w:tr>
      <w:tr>
        <w:trPr>
          <w:trHeight w:val="272"/>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Less: Fair value of plan assets</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2"/>
        </w:trPr>
        <w:tc>
          <w:tcPr>
            <w:tcW w:w="6040" w:type="dxa"/>
            <w:vAlign w:val="bottom"/>
            <w:tcBorders>
              <w:bottom w:val="single" w:sz="8" w:color="E6E6E6"/>
            </w:tcBorders>
            <w:shd w:val="clear" w:color="auto" w:fill="E6E6E6"/>
          </w:tcPr>
          <w:p>
            <w:pPr>
              <w:ind w:left="1300"/>
              <w:spacing w:after="0"/>
              <w:rPr>
                <w:sz w:val="20"/>
                <w:szCs w:val="20"/>
                <w:color w:val="auto"/>
              </w:rPr>
            </w:pPr>
            <w:r>
              <w:rPr>
                <w:rFonts w:ascii="Arial" w:cs="Arial" w:eastAsia="Arial" w:hAnsi="Arial"/>
                <w:sz w:val="18"/>
                <w:szCs w:val="18"/>
                <w:b w:val="1"/>
                <w:bCs w:val="1"/>
                <w:color w:val="auto"/>
              </w:rPr>
              <w:t>Unfunded status</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-549910</wp:posOffset>
            </wp:positionV>
            <wp:extent cx="238252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1">
                      <a:extLst>
                        <a:ext uri="{28A0092B-C50C-407E-A947-70E740481C1C}"/>
                      </a:extLst>
                    </a:blip>
                    <a:srcRect/>
                    <a:stretch>
                      <a:fillRect/>
                    </a:stretch>
                  </pic:blipFill>
                  <pic:spPr bwMode="auto">
                    <a:xfrm>
                      <a:off x="0" y="0"/>
                      <a:ext cx="2382520"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-191135</wp:posOffset>
            </wp:positionV>
            <wp:extent cx="238252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2">
                      <a:extLst>
                        <a:ext uri="{28A0092B-C50C-407E-A947-70E740481C1C}"/>
                      </a:extLst>
                    </a:blip>
                    <a:srcRect/>
                    <a:stretch>
                      <a:fillRect/>
                    </a:stretch>
                  </pic:blipFill>
                  <pic:spPr bwMode="auto">
                    <a:xfrm>
                      <a:off x="0" y="0"/>
                      <a:ext cx="2382520"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-43815</wp:posOffset>
            </wp:positionV>
            <wp:extent cx="238252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3">
                      <a:extLst>
                        <a:ext uri="{28A0092B-C50C-407E-A947-70E740481C1C}"/>
                      </a:extLst>
                    </a:blip>
                    <a:srcRect/>
                    <a:stretch>
                      <a:fillRect/>
                    </a:stretch>
                  </pic:blipFill>
                  <pic:spPr bwMode="auto">
                    <a:xfrm>
                      <a:off x="0" y="0"/>
                      <a:ext cx="2382520" cy="50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Amounts recognized in the Consolidated Balance Sheets are as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December 31, 2025</w:t>
            </w:r>
          </w:p>
        </w:tc>
        <w:tc>
          <w:tcPr>
            <w:tcW w:w="4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December 31, 2024</w:t>
            </w:r>
          </w:p>
        </w:tc>
      </w:tr>
      <w:tr>
        <w:trPr>
          <w:trHeight w:val="272"/>
        </w:trPr>
        <w:tc>
          <w:tcPr>
            <w:tcW w:w="6040" w:type="dxa"/>
            <w:vAlign w:val="bottom"/>
            <w:shd w:val="clear" w:color="auto" w:fill="E6E6E6"/>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E6E6E6"/>
          </w:tcPr>
          <w:p>
            <w:pPr>
              <w:spacing w:after="0"/>
              <w:rPr>
                <w:sz w:val="23"/>
                <w:szCs w:val="23"/>
                <w:color w:val="auto"/>
              </w:rPr>
            </w:pP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72"/>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82"/>
        </w:trPr>
        <w:tc>
          <w:tcPr>
            <w:tcW w:w="6040" w:type="dxa"/>
            <w:vAlign w:val="bottom"/>
            <w:tcBorders>
              <w:bottom w:val="single" w:sz="8" w:color="E6E6E6"/>
            </w:tcBorders>
            <w:shd w:val="clear" w:color="auto" w:fill="E6E6E6"/>
          </w:tcPr>
          <w:p>
            <w:pPr>
              <w:ind w:left="1300"/>
              <w:spacing w:after="0"/>
              <w:rPr>
                <w:sz w:val="20"/>
                <w:szCs w:val="20"/>
                <w:color w:val="auto"/>
              </w:rPr>
            </w:pPr>
            <w:r>
              <w:rPr>
                <w:rFonts w:ascii="Arial" w:cs="Arial" w:eastAsia="Arial" w:hAnsi="Arial"/>
                <w:sz w:val="18"/>
                <w:szCs w:val="18"/>
                <w:b w:val="1"/>
                <w:bCs w:val="1"/>
                <w:color w:val="auto"/>
              </w:rPr>
              <w:t>Net liability recognized</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-568325</wp:posOffset>
            </wp:positionV>
            <wp:extent cx="238252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4">
                      <a:extLst>
                        <a:ext uri="{28A0092B-C50C-407E-A947-70E740481C1C}"/>
                      </a:extLst>
                    </a:blip>
                    <a:srcRect/>
                    <a:stretch>
                      <a:fillRect/>
                    </a:stretch>
                  </pic:blipFill>
                  <pic:spPr bwMode="auto">
                    <a:xfrm>
                      <a:off x="0" y="0"/>
                      <a:ext cx="2382520"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-210185</wp:posOffset>
            </wp:positionV>
            <wp:extent cx="238252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5">
                      <a:extLst>
                        <a:ext uri="{28A0092B-C50C-407E-A947-70E740481C1C}"/>
                      </a:extLst>
                    </a:blip>
                    <a:srcRect/>
                    <a:stretch>
                      <a:fillRect/>
                    </a:stretch>
                  </pic:blipFill>
                  <pic:spPr bwMode="auto">
                    <a:xfrm>
                      <a:off x="0" y="0"/>
                      <a:ext cx="2382520"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-43815</wp:posOffset>
            </wp:positionV>
            <wp:extent cx="238252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6">
                      <a:extLst>
                        <a:ext uri="{28A0092B-C50C-407E-A947-70E740481C1C}"/>
                      </a:extLst>
                    </a:blip>
                    <a:srcRect/>
                    <a:stretch>
                      <a:fillRect/>
                    </a:stretch>
                  </pic:blipFill>
                  <pic:spPr bwMode="auto">
                    <a:xfrm>
                      <a:off x="0" y="0"/>
                      <a:ext cx="2382520" cy="50800"/>
                    </a:xfrm>
                    <a:prstGeom prst="rect">
                      <a:avLst/>
                    </a:prstGeom>
                    <a:noFill/>
                  </pic:spPr>
                </pic:pic>
              </a:graphicData>
            </a:graphic>
          </wp:anchor>
        </w:drawing>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20"/>
          <w:szCs w:val="20"/>
          <w:color w:val="auto"/>
        </w:rPr>
        <w:t>The following table presents information relating to unfunded status that have an accumulated benefit obligation in excess of plan assets: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December 31, 2025</w:t>
            </w:r>
          </w:p>
        </w:tc>
        <w:tc>
          <w:tcPr>
            <w:tcW w:w="6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December 31, 2024</w:t>
            </w:r>
          </w:p>
        </w:tc>
      </w:tr>
      <w:tr>
        <w:trPr>
          <w:trHeight w:val="242"/>
        </w:trPr>
        <w:tc>
          <w:tcPr>
            <w:tcW w:w="6040" w:type="dxa"/>
            <w:vAlign w:val="bottom"/>
            <w:shd w:val="clear" w:color="auto" w:fill="E6E6E6"/>
          </w:tcPr>
          <w:p>
            <w:pPr>
              <w:ind w:left="60"/>
              <w:spacing w:after="0"/>
              <w:rPr>
                <w:sz w:val="20"/>
                <w:szCs w:val="20"/>
                <w:color w:val="auto"/>
              </w:rPr>
            </w:pPr>
            <w:r>
              <w:rPr>
                <w:rFonts w:ascii="Arial" w:cs="Arial" w:eastAsia="Arial" w:hAnsi="Arial"/>
                <w:sz w:val="18"/>
                <w:szCs w:val="18"/>
                <w:color w:val="auto"/>
              </w:rPr>
              <w:t>Accumulated benefit obligation</w:t>
            </w: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w:t>
            </w:r>
          </w:p>
        </w:tc>
      </w:tr>
      <w:tr>
        <w:trPr>
          <w:trHeight w:val="242"/>
        </w:trPr>
        <w:tc>
          <w:tcPr>
            <w:tcW w:w="60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Less: Fair value of plan assets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2"/>
        </w:trPr>
        <w:tc>
          <w:tcPr>
            <w:tcW w:w="6040" w:type="dxa"/>
            <w:vAlign w:val="bottom"/>
            <w:tcBorders>
              <w:bottom w:val="single" w:sz="8" w:color="E6E6E6"/>
            </w:tcBorders>
            <w:shd w:val="clear" w:color="auto" w:fill="E6E6E6"/>
          </w:tcPr>
          <w:p>
            <w:pPr>
              <w:ind w:left="1300"/>
              <w:spacing w:after="0"/>
              <w:rPr>
                <w:sz w:val="20"/>
                <w:szCs w:val="20"/>
                <w:color w:val="auto"/>
              </w:rPr>
            </w:pPr>
            <w:r>
              <w:rPr>
                <w:rFonts w:ascii="Arial" w:cs="Arial" w:eastAsia="Arial" w:hAnsi="Arial"/>
                <w:sz w:val="18"/>
                <w:szCs w:val="18"/>
                <w:b w:val="1"/>
                <w:bCs w:val="1"/>
                <w:color w:val="auto"/>
              </w:rPr>
              <w:t>Unfunded status</w:t>
            </w: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-511810</wp:posOffset>
            </wp:positionV>
            <wp:extent cx="118554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7">
                      <a:extLst>
                        <a:ext uri="{28A0092B-C50C-407E-A947-70E740481C1C}"/>
                      </a:extLst>
                    </a:blip>
                    <a:srcRect/>
                    <a:stretch>
                      <a:fillRect/>
                    </a:stretch>
                  </pic:blipFill>
                  <pic:spPr bwMode="auto">
                    <a:xfrm>
                      <a:off x="0" y="0"/>
                      <a:ext cx="1185545"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-191135</wp:posOffset>
            </wp:positionV>
            <wp:extent cx="238252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8">
                      <a:extLst>
                        <a:ext uri="{28A0092B-C50C-407E-A947-70E740481C1C}"/>
                      </a:extLst>
                    </a:blip>
                    <a:srcRect/>
                    <a:stretch>
                      <a:fillRect/>
                    </a:stretch>
                  </pic:blipFill>
                  <pic:spPr bwMode="auto">
                    <a:xfrm>
                      <a:off x="0" y="0"/>
                      <a:ext cx="2382520" cy="2540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-43815</wp:posOffset>
            </wp:positionV>
            <wp:extent cx="238252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9">
                      <a:extLst>
                        <a:ext uri="{28A0092B-C50C-407E-A947-70E740481C1C}"/>
                      </a:extLst>
                    </a:blip>
                    <a:srcRect/>
                    <a:stretch>
                      <a:fillRect/>
                    </a:stretch>
                  </pic:blipFill>
                  <pic:spPr bwMode="auto">
                    <a:xfrm>
                      <a:off x="0" y="0"/>
                      <a:ext cx="2382520" cy="508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112</w:t>
      </w:r>
    </w:p>
    <w:p>
      <w:pPr>
        <w:sectPr>
          <w:pgSz w:w="11880" w:h="15480" w:orient="portrait"/>
          <w:cols w:equalWidth="0" w:num="1">
            <w:col w:w="9800"/>
          </w:cols>
          <w:pgMar w:left="1040" w:top="637" w:right="1040" w:bottom="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RETIREMENT PLANS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2025, 2024 and 2023.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weighted-average assumptions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8"/>
                <w:szCs w:val="18"/>
                <w:color w:val="auto"/>
              </w:rPr>
              <w:t>December 31, 2025</w:t>
            </w:r>
          </w:p>
        </w:tc>
        <w:tc>
          <w:tcPr>
            <w:tcW w:w="6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8"/>
                <w:szCs w:val="18"/>
                <w:color w:val="auto"/>
              </w:rPr>
              <w:t>December 31, 2024</w:t>
            </w:r>
          </w:p>
        </w:tc>
      </w:tr>
      <w:tr>
        <w:trPr>
          <w:trHeight w:val="262"/>
        </w:trPr>
        <w:tc>
          <w:tcPr>
            <w:tcW w:w="4400" w:type="dxa"/>
            <w:vAlign w:val="bottom"/>
          </w:tcPr>
          <w:p>
            <w:pPr>
              <w:spacing w:after="0"/>
              <w:rPr>
                <w:sz w:val="22"/>
                <w:szCs w:val="22"/>
                <w:color w:val="auto"/>
              </w:rPr>
            </w:pP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Benefit</w:t>
            </w:r>
          </w:p>
        </w:tc>
        <w:tc>
          <w:tcPr>
            <w:tcW w:w="60" w:type="dxa"/>
            <w:vAlign w:val="bottom"/>
          </w:tcPr>
          <w:p>
            <w:pPr>
              <w:spacing w:after="0"/>
              <w:rPr>
                <w:sz w:val="22"/>
                <w:szCs w:val="22"/>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Net Periodic</w:t>
            </w:r>
          </w:p>
        </w:tc>
        <w:tc>
          <w:tcPr>
            <w:tcW w:w="60" w:type="dxa"/>
            <w:vAlign w:val="bottom"/>
          </w:tcPr>
          <w:p>
            <w:pPr>
              <w:spacing w:after="0"/>
              <w:rPr>
                <w:sz w:val="22"/>
                <w:szCs w:val="22"/>
                <w:color w:val="auto"/>
              </w:rPr>
            </w:pP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Benefit</w:t>
            </w:r>
          </w:p>
        </w:tc>
        <w:tc>
          <w:tcPr>
            <w:tcW w:w="60" w:type="dxa"/>
            <w:vAlign w:val="bottom"/>
          </w:tcPr>
          <w:p>
            <w:pPr>
              <w:spacing w:after="0"/>
              <w:rPr>
                <w:sz w:val="22"/>
                <w:szCs w:val="22"/>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Net Periodic</w:t>
            </w:r>
          </w:p>
        </w:tc>
      </w:tr>
      <w:tr>
        <w:trPr>
          <w:trHeight w:val="238"/>
        </w:trPr>
        <w:tc>
          <w:tcPr>
            <w:tcW w:w="4400" w:type="dxa"/>
            <w:vAlign w:val="bottom"/>
            <w:tcBorders>
              <w:bottom w:val="single" w:sz="8" w:color="E6E6E6"/>
            </w:tcBorders>
          </w:tcPr>
          <w:p>
            <w:pPr>
              <w:spacing w:after="0"/>
              <w:rPr>
                <w:sz w:val="20"/>
                <w:szCs w:val="20"/>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Obligation</w:t>
            </w:r>
          </w:p>
        </w:tc>
        <w:tc>
          <w:tcPr>
            <w:tcW w:w="6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Benefit Cost</w:t>
            </w:r>
          </w:p>
        </w:tc>
        <w:tc>
          <w:tcPr>
            <w:tcW w:w="60" w:type="dxa"/>
            <w:vAlign w:val="bottom"/>
            <w:tcBorders>
              <w:bottom w:val="single" w:sz="8" w:color="E6E6E6"/>
            </w:tcBorders>
          </w:tcPr>
          <w:p>
            <w:pPr>
              <w:spacing w:after="0"/>
              <w:rPr>
                <w:sz w:val="20"/>
                <w:szCs w:val="20"/>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Obligation</w:t>
            </w:r>
          </w:p>
        </w:tc>
        <w:tc>
          <w:tcPr>
            <w:tcW w:w="6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Benefit Cost</w:t>
            </w:r>
          </w:p>
        </w:tc>
      </w:tr>
      <w:tr>
        <w:trPr>
          <w:trHeight w:val="272"/>
        </w:trPr>
        <w:tc>
          <w:tcPr>
            <w:tcW w:w="4400" w:type="dxa"/>
            <w:vAlign w:val="bottom"/>
            <w:shd w:val="clear" w:color="auto" w:fill="E6E6E6"/>
          </w:tcPr>
          <w:p>
            <w:pPr>
              <w:ind w:left="60"/>
              <w:spacing w:after="0"/>
              <w:rPr>
                <w:sz w:val="20"/>
                <w:szCs w:val="20"/>
                <w:color w:val="auto"/>
              </w:rPr>
            </w:pPr>
            <w:r>
              <w:rPr>
                <w:rFonts w:ascii="Arial" w:cs="Arial" w:eastAsia="Arial" w:hAnsi="Arial"/>
                <w:sz w:val="18"/>
                <w:szCs w:val="18"/>
                <w:color w:val="auto"/>
              </w:rPr>
              <w:t>Weighted-average discount rate</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7.41 %</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7.00 %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7.00 %</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6.28 %</w:t>
            </w:r>
          </w:p>
        </w:tc>
      </w:tr>
      <w:tr>
        <w:trPr>
          <w:trHeight w:val="275"/>
        </w:trPr>
        <w:tc>
          <w:tcPr>
            <w:tcW w:w="4400" w:type="dxa"/>
            <w:vAlign w:val="bottom"/>
          </w:tcPr>
          <w:p>
            <w:pPr>
              <w:ind w:left="60"/>
              <w:spacing w:after="0"/>
              <w:rPr>
                <w:sz w:val="20"/>
                <w:szCs w:val="20"/>
                <w:color w:val="auto"/>
              </w:rPr>
            </w:pPr>
            <w:r>
              <w:rPr>
                <w:rFonts w:ascii="Arial" w:cs="Arial" w:eastAsia="Arial" w:hAnsi="Arial"/>
                <w:sz w:val="18"/>
                <w:szCs w:val="18"/>
                <w:color w:val="auto"/>
              </w:rPr>
              <w:t>Rate of compensation increase</w:t>
            </w:r>
          </w:p>
        </w:tc>
        <w:tc>
          <w:tcPr>
            <w:tcW w:w="1280" w:type="dxa"/>
            <w:vAlign w:val="bottom"/>
          </w:tcPr>
          <w:p>
            <w:pPr>
              <w:jc w:val="right"/>
              <w:spacing w:after="0"/>
              <w:rPr>
                <w:sz w:val="20"/>
                <w:szCs w:val="20"/>
                <w:color w:val="auto"/>
              </w:rPr>
            </w:pPr>
            <w:r>
              <w:rPr>
                <w:rFonts w:ascii="Arial" w:cs="Arial" w:eastAsia="Arial" w:hAnsi="Arial"/>
                <w:sz w:val="18"/>
                <w:szCs w:val="18"/>
                <w:color w:val="auto"/>
              </w:rPr>
              <w:t>4.49 %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4.35 %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4.34 %</w:t>
            </w:r>
          </w:p>
        </w:tc>
      </w:tr>
      <w:tr>
        <w:trPr>
          <w:trHeight w:val="289"/>
        </w:trPr>
        <w:tc>
          <w:tcPr>
            <w:tcW w:w="4400" w:type="dxa"/>
            <w:vAlign w:val="bottom"/>
            <w:shd w:val="clear" w:color="auto" w:fill="E6E6E6"/>
          </w:tcPr>
          <w:p>
            <w:pPr>
              <w:ind w:left="60"/>
              <w:spacing w:after="0"/>
              <w:rPr>
                <w:sz w:val="20"/>
                <w:szCs w:val="20"/>
                <w:color w:val="auto"/>
              </w:rPr>
            </w:pPr>
            <w:r>
              <w:rPr>
                <w:rFonts w:ascii="Arial" w:cs="Arial" w:eastAsia="Arial" w:hAnsi="Arial"/>
                <w:sz w:val="18"/>
                <w:szCs w:val="18"/>
                <w:color w:val="auto"/>
              </w:rPr>
              <w:t>Social Security increase rate</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3.00 %</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3.07 %</w:t>
            </w:r>
          </w:p>
        </w:tc>
        <w:tc>
          <w:tcPr>
            <w:tcW w:w="13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3.07 %</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3.04 %</w:t>
            </w:r>
          </w:p>
        </w:tc>
      </w:tr>
      <w:tr>
        <w:trPr>
          <w:trHeight w:val="275"/>
        </w:trPr>
        <w:tc>
          <w:tcPr>
            <w:tcW w:w="4400" w:type="dxa"/>
            <w:vAlign w:val="bottom"/>
          </w:tcPr>
          <w:p>
            <w:pPr>
              <w:ind w:left="60"/>
              <w:spacing w:after="0"/>
              <w:rPr>
                <w:sz w:val="20"/>
                <w:szCs w:val="20"/>
                <w:color w:val="auto"/>
              </w:rPr>
            </w:pPr>
            <w:r>
              <w:rPr>
                <w:rFonts w:ascii="Arial" w:cs="Arial" w:eastAsia="Arial" w:hAnsi="Arial"/>
                <w:sz w:val="18"/>
                <w:szCs w:val="18"/>
                <w:color w:val="auto"/>
              </w:rPr>
              <w:t>Pension increase rate (in payment)</w:t>
            </w:r>
          </w:p>
        </w:tc>
        <w:tc>
          <w:tcPr>
            <w:tcW w:w="1280" w:type="dxa"/>
            <w:vAlign w:val="bottom"/>
          </w:tcPr>
          <w:p>
            <w:pPr>
              <w:jc w:val="right"/>
              <w:spacing w:after="0"/>
              <w:rPr>
                <w:sz w:val="20"/>
                <w:szCs w:val="20"/>
                <w:color w:val="auto"/>
              </w:rPr>
            </w:pPr>
            <w:r>
              <w:rPr>
                <w:rFonts w:ascii="Arial" w:cs="Arial" w:eastAsia="Arial" w:hAnsi="Arial"/>
                <w:sz w:val="18"/>
                <w:szCs w:val="18"/>
                <w:color w:val="auto"/>
              </w:rPr>
              <w:t>0.51 %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0.58 %</w:t>
            </w:r>
          </w:p>
        </w:tc>
      </w:tr>
      <w:tr>
        <w:trPr>
          <w:trHeight w:val="289"/>
        </w:trPr>
        <w:tc>
          <w:tcPr>
            <w:tcW w:w="4400" w:type="dxa"/>
            <w:vAlign w:val="bottom"/>
            <w:shd w:val="clear" w:color="auto" w:fill="E6E6E6"/>
          </w:tcPr>
          <w:p>
            <w:pPr>
              <w:ind w:left="60"/>
              <w:spacing w:after="0"/>
              <w:rPr>
                <w:sz w:val="20"/>
                <w:szCs w:val="20"/>
                <w:color w:val="auto"/>
              </w:rPr>
            </w:pPr>
            <w:r>
              <w:rPr>
                <w:rFonts w:ascii="Arial" w:cs="Arial" w:eastAsia="Arial" w:hAnsi="Arial"/>
                <w:sz w:val="18"/>
                <w:szCs w:val="18"/>
                <w:color w:val="auto"/>
              </w:rPr>
              <w:t>Expected long term return on plan assets</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3.25 %</w:t>
            </w:r>
          </w:p>
        </w:tc>
        <w:tc>
          <w:tcPr>
            <w:tcW w:w="6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-908050</wp:posOffset>
            </wp:positionV>
            <wp:extent cx="3420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70">
                      <a:extLst>
                        <a:ext uri="{28A0092B-C50C-407E-A947-70E740481C1C}"/>
                      </a:extLst>
                    </a:blip>
                    <a:srcRect/>
                    <a:stretch>
                      <a:fillRect/>
                    </a:stretch>
                  </pic:blipFill>
                  <pic:spPr bwMode="auto">
                    <a:xfrm>
                      <a:off x="0" y="0"/>
                      <a:ext cx="3420110" cy="2540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Estimated benefit payments over the next five years and thereafter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4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Total</w:t>
            </w:r>
          </w:p>
        </w:tc>
      </w:tr>
      <w:tr>
        <w:trPr>
          <w:trHeight w:val="272"/>
        </w:trPr>
        <w:tc>
          <w:tcPr>
            <w:tcW w:w="84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r>
      <w:tr>
        <w:trPr>
          <w:trHeight w:val="275"/>
        </w:trPr>
        <w:tc>
          <w:tcPr>
            <w:tcW w:w="8440" w:type="dxa"/>
            <w:vAlign w:val="bottom"/>
          </w:tcPr>
          <w:p>
            <w:pPr>
              <w:ind w:left="6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9"/>
        </w:trPr>
        <w:tc>
          <w:tcPr>
            <w:tcW w:w="84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75"/>
        </w:trPr>
        <w:tc>
          <w:tcPr>
            <w:tcW w:w="8440" w:type="dxa"/>
            <w:vAlign w:val="bottom"/>
          </w:tcPr>
          <w:p>
            <w:pPr>
              <w:ind w:left="6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9"/>
        </w:trPr>
        <w:tc>
          <w:tcPr>
            <w:tcW w:w="84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72"/>
        </w:trPr>
        <w:tc>
          <w:tcPr>
            <w:tcW w:w="84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82"/>
        </w:trPr>
        <w:tc>
          <w:tcPr>
            <w:tcW w:w="84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-1285240</wp:posOffset>
            </wp:positionV>
            <wp:extent cx="84582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71">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-210185</wp:posOffset>
            </wp:positionV>
            <wp:extent cx="84582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72">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-43815</wp:posOffset>
            </wp:positionV>
            <wp:extent cx="84582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3">
                      <a:extLst>
                        <a:ext uri="{28A0092B-C50C-407E-A947-70E740481C1C}"/>
                      </a:extLst>
                    </a:blip>
                    <a:srcRect/>
                    <a:stretch>
                      <a:fillRect/>
                    </a:stretch>
                  </pic:blipFill>
                  <pic:spPr bwMode="auto">
                    <a:xfrm>
                      <a:off x="0" y="0"/>
                      <a:ext cx="845820" cy="50800"/>
                    </a:xfrm>
                    <a:prstGeom prst="rect">
                      <a:avLst/>
                    </a:prstGeom>
                    <a:noFill/>
                  </pic:spPr>
                </pic:pic>
              </a:graphicData>
            </a:graphic>
          </wp:anchor>
        </w:drawing>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total expense for the employee retirement savings plan for the years ended December 31, 2025, 2024 and 2023 was $49 million, $43 million and $37 million, respectively, which were included in Selling, general and administrative expenses on the Consolidated Statements of Comprehensive Income.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TAX RECEIVABLE AGREEMENT</w:t>
      </w:r>
    </w:p>
    <w:p>
      <w:pPr>
        <w:spacing w:after="0" w:line="3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connection with the IPO, the Company entered into a TRA with certain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which Medline Inc. acquired in connection with the IPO, and (iv) certain other tax benefits related to entering into the TRA, including tax benefits attributable to payments under the TRA.</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113</w:t>
      </w:r>
    </w:p>
    <w:p>
      <w:pPr>
        <w:sectPr>
          <w:pgSz w:w="11880" w:h="15480" w:orient="portrait"/>
          <w:cols w:equalWidth="0" w:num="1">
            <w:col w:w="9800"/>
          </w:cols>
          <w:pgMar w:left="1040" w:top="637" w:right="104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TAX RECEIVABLE AGREEMENT ( Continued)</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Sales or exchanges of Common Units by their holders to Medline are expected to result in increases in the tax basis of the assets of Medline Holdings. The existing tax basis, increases in existing tax basis, and the tax basis adjustments generated over time may increase (for tax purpose) depreciation and amortization deductions available to Medline Inc. and, therefore, may reduce the amount of tax that Medline Inc. would otherwise be required to pay in the future. Actual tax benefits realized by Medline Inc. may differ from tax benefits calculated under the tax receivable agreement as a result of the use of certain assumptions in the TRA, including the use of an assumed weighted-average state and local income tax rate of 6% (as adjusted to take into account the U.S. federal tax benefit of such taxes) to calculate the tax benefits. This payment obligation is an obligation of Medline Inc. and not of Medline Holdings. Changes in the estimate of expected tax benefits Medline would realize and the amount payable under the TRA as a result of changes in tax rates will be reflected in the Consolidated Statements of Comprehensive Income.</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of December 31, 2025, the Company recorded a TRA liability of $3,542 million, as a result of the Reorganization, the IPO and the exercise of the underwriters’ option to purchase additional shares, unchanged from the time of IPO. During the year ended December 31, 2025, the Company did not make any payment pursuant to the TRA or record a remeasurement adjustment.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Before Income Tax Expense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Income before taxes and equity in earnings of affiliates from continuing operations was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8"/>
              </w:rPr>
              <w:t>Year ended</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2"/>
        </w:trPr>
        <w:tc>
          <w:tcPr>
            <w:tcW w:w="494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2024</w:t>
            </w:r>
          </w:p>
        </w:tc>
        <w:tc>
          <w:tcPr>
            <w:tcW w:w="60" w:type="dxa"/>
            <w:vAlign w:val="bottom"/>
            <w:tcBorders>
              <w:bottom w:val="single" w:sz="8" w:color="E6E6E6"/>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2023</w:t>
            </w:r>
          </w:p>
        </w:tc>
      </w:tr>
      <w:tr>
        <w:trPr>
          <w:trHeight w:val="242"/>
        </w:trPr>
        <w:tc>
          <w:tcPr>
            <w:tcW w:w="4940" w:type="dxa"/>
            <w:vAlign w:val="bottom"/>
            <w:shd w:val="clear" w:color="auto" w:fill="E6E6E6"/>
          </w:tcPr>
          <w:p>
            <w:pPr>
              <w:ind w:left="60"/>
              <w:spacing w:after="0"/>
              <w:rPr>
                <w:sz w:val="20"/>
                <w:szCs w:val="20"/>
                <w:color w:val="auto"/>
              </w:rPr>
            </w:pPr>
            <w:r>
              <w:rPr>
                <w:rFonts w:ascii="Arial" w:cs="Arial" w:eastAsia="Arial" w:hAnsi="Arial"/>
                <w:sz w:val="18"/>
                <w:szCs w:val="18"/>
                <w:color w:val="auto"/>
              </w:rPr>
              <w:t>United States</w:t>
            </w:r>
          </w:p>
        </w:tc>
        <w:tc>
          <w:tcPr>
            <w:tcW w:w="620" w:type="dxa"/>
            <w:vAlign w:val="bottom"/>
            <w:shd w:val="clear" w:color="auto" w:fill="E6E6E6"/>
          </w:tcPr>
          <w:p>
            <w:pPr>
              <w:jc w:val="right"/>
              <w:ind w:right="391"/>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929</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952</w:t>
            </w:r>
          </w:p>
        </w:tc>
        <w:tc>
          <w:tcPr>
            <w:tcW w:w="60" w:type="dxa"/>
            <w:vAlign w:val="bottom"/>
            <w:shd w:val="clear" w:color="auto" w:fill="E6E6E6"/>
          </w:tcPr>
          <w:p>
            <w:pPr>
              <w:spacing w:after="0"/>
              <w:rPr>
                <w:sz w:val="21"/>
                <w:szCs w:val="21"/>
                <w:color w:val="auto"/>
              </w:rPr>
            </w:pPr>
          </w:p>
        </w:tc>
        <w:tc>
          <w:tcPr>
            <w:tcW w:w="680" w:type="dxa"/>
            <w:vAlign w:val="bottom"/>
            <w:shd w:val="clear" w:color="auto" w:fill="E6E6E6"/>
          </w:tcPr>
          <w:p>
            <w:pPr>
              <w:jc w:val="right"/>
              <w:ind w:right="451"/>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49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International</w:t>
            </w: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0" w:type="dxa"/>
            <w:vAlign w:val="bottom"/>
            <w:tcBorders>
              <w:bottom w:val="single" w:sz="8" w:color="E6E6E6"/>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52"/>
        </w:trPr>
        <w:tc>
          <w:tcPr>
            <w:tcW w:w="4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Income before provision for income taxes</w:t>
            </w:r>
          </w:p>
        </w:tc>
        <w:tc>
          <w:tcPr>
            <w:tcW w:w="620" w:type="dxa"/>
            <w:vAlign w:val="bottom"/>
            <w:tcBorders>
              <w:bottom w:val="single" w:sz="8" w:color="auto"/>
            </w:tcBorders>
            <w:shd w:val="clear" w:color="auto" w:fill="E6E6E6"/>
          </w:tcPr>
          <w:p>
            <w:pPr>
              <w:jc w:val="right"/>
              <w:ind w:right="3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1,248</w:t>
            </w:r>
          </w:p>
        </w:tc>
        <w:tc>
          <w:tcPr>
            <w:tcW w:w="6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Borders>
              <w:bottom w:val="single" w:sz="8" w:color="E6E6E6"/>
            </w:tcBorders>
            <w:shd w:val="clear" w:color="auto" w:fill="E6E6E6"/>
          </w:tcPr>
          <w:p>
            <w:pPr>
              <w:spacing w:after="0"/>
              <w:rPr>
                <w:sz w:val="21"/>
                <w:szCs w:val="21"/>
                <w:color w:val="auto"/>
              </w:rPr>
            </w:pPr>
          </w:p>
        </w:tc>
        <w:tc>
          <w:tcPr>
            <w:tcW w:w="680" w:type="dxa"/>
            <w:vAlign w:val="bottom"/>
            <w:tcBorders>
              <w:bottom w:val="single" w:sz="8" w:color="auto"/>
            </w:tcBorders>
            <w:shd w:val="clear" w:color="auto" w:fill="E6E6E6"/>
          </w:tcPr>
          <w:p>
            <w:pPr>
              <w:jc w:val="right"/>
              <w:ind w:right="45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-511810</wp:posOffset>
            </wp:positionV>
            <wp:extent cx="307149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74">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3127375</wp:posOffset>
            </wp:positionH>
            <wp:positionV relativeFrom="paragraph">
              <wp:posOffset>-191135</wp:posOffset>
            </wp:positionV>
            <wp:extent cx="307149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5">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3127375</wp:posOffset>
            </wp:positionH>
            <wp:positionV relativeFrom="paragraph">
              <wp:posOffset>-43815</wp:posOffset>
            </wp:positionV>
            <wp:extent cx="307149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6">
                      <a:extLst>
                        <a:ext uri="{28A0092B-C50C-407E-A947-70E740481C1C}"/>
                      </a:extLst>
                    </a:blip>
                    <a:srcRect/>
                    <a:stretch>
                      <a:fillRect/>
                    </a:stretch>
                  </pic:blipFill>
                  <pic:spPr bwMode="auto">
                    <a:xfrm>
                      <a:off x="0" y="0"/>
                      <a:ext cx="3071495" cy="5080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Income tax expense for each reporting period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2"/>
        </w:trPr>
        <w:tc>
          <w:tcPr>
            <w:tcW w:w="5040" w:type="dxa"/>
            <w:vAlign w:val="bottom"/>
            <w:tcBorders>
              <w:bottom w:val="single" w:sz="8" w:color="E6E6E6"/>
            </w:tcBorders>
            <w:gridSpan w:val="3"/>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December 31, 2025</w:t>
            </w:r>
          </w:p>
        </w:tc>
        <w:tc>
          <w:tcPr>
            <w:tcW w:w="60" w:type="dxa"/>
            <w:vAlign w:val="bottom"/>
            <w:tcBorders>
              <w:bottom w:val="single" w:sz="8" w:color="E6E6E6"/>
            </w:tcBorders>
          </w:tcPr>
          <w:p>
            <w:pPr>
              <w:spacing w:after="0"/>
              <w:rPr>
                <w:sz w:val="20"/>
                <w:szCs w:val="20"/>
                <w:color w:val="auto"/>
              </w:rPr>
            </w:pPr>
          </w:p>
        </w:tc>
        <w:tc>
          <w:tcPr>
            <w:tcW w:w="1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December 31, 2024</w:t>
            </w:r>
          </w:p>
        </w:tc>
        <w:tc>
          <w:tcPr>
            <w:tcW w:w="40" w:type="dxa"/>
            <w:vAlign w:val="bottom"/>
            <w:tcBorders>
              <w:bottom w:val="single" w:sz="8" w:color="E6E6E6"/>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2023</w:t>
            </w:r>
          </w:p>
        </w:tc>
      </w:tr>
      <w:tr>
        <w:trPr>
          <w:trHeight w:val="242"/>
        </w:trPr>
        <w:tc>
          <w:tcPr>
            <w:tcW w:w="5040" w:type="dxa"/>
            <w:vAlign w:val="bottom"/>
            <w:gridSpan w:val="3"/>
            <w:shd w:val="clear" w:color="auto" w:fill="E6E6E6"/>
          </w:tcPr>
          <w:p>
            <w:pPr>
              <w:ind w:left="60"/>
              <w:spacing w:after="0"/>
              <w:rPr>
                <w:sz w:val="20"/>
                <w:szCs w:val="20"/>
                <w:color w:val="auto"/>
              </w:rPr>
            </w:pPr>
            <w:r>
              <w:rPr>
                <w:rFonts w:ascii="Arial" w:cs="Arial" w:eastAsia="Arial" w:hAnsi="Arial"/>
                <w:sz w:val="18"/>
                <w:szCs w:val="18"/>
                <w:color w:val="auto"/>
              </w:rPr>
              <w:t>Current income tax expense:</w:t>
            </w:r>
          </w:p>
        </w:tc>
        <w:tc>
          <w:tcPr>
            <w:tcW w:w="64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r>
      <w:tr>
        <w:trPr>
          <w:trHeight w:val="245"/>
        </w:trPr>
        <w:tc>
          <w:tcPr>
            <w:tcW w:w="5040" w:type="dxa"/>
            <w:vAlign w:val="bottom"/>
            <w:gridSpan w:val="3"/>
          </w:tcPr>
          <w:p>
            <w:pPr>
              <w:ind w:left="280"/>
              <w:spacing w:after="0"/>
              <w:rPr>
                <w:sz w:val="20"/>
                <w:szCs w:val="20"/>
                <w:color w:val="auto"/>
              </w:rPr>
            </w:pPr>
            <w:r>
              <w:rPr>
                <w:rFonts w:ascii="Arial" w:cs="Arial" w:eastAsia="Arial" w:hAnsi="Arial"/>
                <w:sz w:val="18"/>
                <w:szCs w:val="18"/>
                <w:color w:val="auto"/>
              </w:rPr>
              <w:t>U.S. federal income tax expense</w:t>
            </w: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740" w:type="dxa"/>
            <w:vAlign w:val="bottom"/>
            <w:gridSpan w:val="2"/>
          </w:tcPr>
          <w:p>
            <w:pPr>
              <w:jc w:val="right"/>
              <w:ind w:right="47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40" w:type="dxa"/>
            <w:vAlign w:val="bottom"/>
            <w:gridSpan w:val="3"/>
            <w:shd w:val="clear" w:color="auto" w:fill="E6E6E6"/>
          </w:tcPr>
          <w:p>
            <w:pPr>
              <w:ind w:left="280"/>
              <w:spacing w:after="0"/>
              <w:rPr>
                <w:sz w:val="20"/>
                <w:szCs w:val="20"/>
                <w:color w:val="auto"/>
              </w:rPr>
            </w:pPr>
            <w:r>
              <w:rPr>
                <w:rFonts w:ascii="Arial" w:cs="Arial" w:eastAsia="Arial" w:hAnsi="Arial"/>
                <w:sz w:val="18"/>
                <w:szCs w:val="18"/>
                <w:color w:val="auto"/>
              </w:rPr>
              <w:t>State income tax expense</w:t>
            </w:r>
          </w:p>
        </w:tc>
        <w:tc>
          <w:tcPr>
            <w:tcW w:w="64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5040" w:type="dxa"/>
            <w:vAlign w:val="bottom"/>
            <w:gridSpan w:val="3"/>
          </w:tcPr>
          <w:p>
            <w:pPr>
              <w:ind w:left="280"/>
              <w:spacing w:after="0"/>
              <w:rPr>
                <w:sz w:val="20"/>
                <w:szCs w:val="20"/>
                <w:color w:val="auto"/>
              </w:rPr>
            </w:pPr>
            <w:r>
              <w:rPr>
                <w:rFonts w:ascii="Arial" w:cs="Arial" w:eastAsia="Arial" w:hAnsi="Arial"/>
                <w:sz w:val="18"/>
                <w:szCs w:val="18"/>
                <w:color w:val="auto"/>
                <w:w w:val="95"/>
              </w:rPr>
              <w:t>Foreign income tax expense in various foreign tax jurisdictions</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2"/>
        </w:trPr>
        <w:tc>
          <w:tcPr>
            <w:tcW w:w="5020" w:type="dxa"/>
            <w:vAlign w:val="bottom"/>
            <w:tcBorders>
              <w:top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rPr>
              <w:t>Total current</w:t>
            </w:r>
          </w:p>
        </w:tc>
        <w:tc>
          <w:tcPr>
            <w:tcW w:w="20" w:type="dxa"/>
            <w:vAlign w:val="bottom"/>
            <w:tcBorders>
              <w:top w:val="single" w:sz="8" w:color="auto"/>
            </w:tcBorders>
            <w:shd w:val="clear" w:color="auto" w:fill="E6E6E6"/>
          </w:tcPr>
          <w:p>
            <w:pPr>
              <w:spacing w:after="0"/>
              <w:rPr>
                <w:sz w:val="21"/>
                <w:szCs w:val="21"/>
                <w:color w:val="auto"/>
              </w:rPr>
            </w:pPr>
          </w:p>
        </w:tc>
        <w:tc>
          <w:tcPr>
            <w:tcW w:w="640" w:type="dxa"/>
            <w:vAlign w:val="bottom"/>
            <w:tcBorders>
              <w:top w:val="single" w:sz="8" w:color="auto"/>
            </w:tcBorders>
            <w:shd w:val="clear" w:color="auto" w:fill="E6E6E6"/>
          </w:tcPr>
          <w:p>
            <w:pPr>
              <w:spacing w:after="0"/>
              <w:rPr>
                <w:sz w:val="21"/>
                <w:szCs w:val="21"/>
                <w:color w:val="auto"/>
              </w:rPr>
            </w:pP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3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700" w:type="dxa"/>
            <w:vAlign w:val="bottom"/>
            <w:tcBorders>
              <w:top w:val="single" w:sz="8" w:color="auto"/>
            </w:tcBorders>
            <w:shd w:val="clear" w:color="auto" w:fill="E6E6E6"/>
          </w:tcPr>
          <w:p>
            <w:pPr>
              <w:spacing w:after="0"/>
              <w:rPr>
                <w:sz w:val="21"/>
                <w:szCs w:val="21"/>
                <w:color w:val="auto"/>
              </w:rPr>
            </w:pP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53</w:t>
            </w:r>
          </w:p>
        </w:tc>
      </w:tr>
      <w:tr>
        <w:trPr>
          <w:trHeight w:val="246"/>
        </w:trPr>
        <w:tc>
          <w:tcPr>
            <w:tcW w:w="5040" w:type="dxa"/>
            <w:vAlign w:val="bottom"/>
            <w:gridSpan w:val="3"/>
          </w:tcPr>
          <w:p>
            <w:pPr>
              <w:ind w:left="60"/>
              <w:spacing w:after="0"/>
              <w:rPr>
                <w:sz w:val="20"/>
                <w:szCs w:val="20"/>
                <w:color w:val="auto"/>
              </w:rPr>
            </w:pPr>
            <w:r>
              <w:rPr>
                <w:rFonts w:ascii="Arial" w:cs="Arial" w:eastAsia="Arial" w:hAnsi="Arial"/>
                <w:sz w:val="18"/>
                <w:szCs w:val="18"/>
                <w:color w:val="auto"/>
              </w:rPr>
              <w:t>Deferred income tax expense:</w:t>
            </w: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9"/>
        </w:trPr>
        <w:tc>
          <w:tcPr>
            <w:tcW w:w="5040" w:type="dxa"/>
            <w:vAlign w:val="bottom"/>
            <w:gridSpan w:val="3"/>
            <w:shd w:val="clear" w:color="auto" w:fill="E6E6E6"/>
          </w:tcPr>
          <w:p>
            <w:pPr>
              <w:ind w:left="280"/>
              <w:spacing w:after="0"/>
              <w:rPr>
                <w:sz w:val="20"/>
                <w:szCs w:val="20"/>
                <w:color w:val="auto"/>
              </w:rPr>
            </w:pPr>
            <w:r>
              <w:rPr>
                <w:rFonts w:ascii="Arial" w:cs="Arial" w:eastAsia="Arial" w:hAnsi="Arial"/>
                <w:sz w:val="18"/>
                <w:szCs w:val="18"/>
                <w:color w:val="auto"/>
              </w:rPr>
              <w:t>U.S. federal income tax expense</w:t>
            </w:r>
          </w:p>
        </w:tc>
        <w:tc>
          <w:tcPr>
            <w:tcW w:w="64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32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5040" w:type="dxa"/>
            <w:vAlign w:val="bottom"/>
            <w:gridSpan w:val="3"/>
          </w:tcPr>
          <w:p>
            <w:pPr>
              <w:ind w:left="280"/>
              <w:spacing w:after="0"/>
              <w:rPr>
                <w:sz w:val="20"/>
                <w:szCs w:val="20"/>
                <w:color w:val="auto"/>
              </w:rPr>
            </w:pPr>
            <w:r>
              <w:rPr>
                <w:rFonts w:ascii="Arial" w:cs="Arial" w:eastAsia="Arial" w:hAnsi="Arial"/>
                <w:sz w:val="18"/>
                <w:szCs w:val="18"/>
                <w:color w:val="auto"/>
              </w:rPr>
              <w:t>State income tax expense</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5040" w:type="dxa"/>
            <w:vAlign w:val="bottom"/>
            <w:gridSpan w:val="3"/>
            <w:shd w:val="clear" w:color="auto" w:fill="E6E6E6"/>
          </w:tcPr>
          <w:p>
            <w:pPr>
              <w:ind w:left="280"/>
              <w:spacing w:after="0"/>
              <w:rPr>
                <w:sz w:val="20"/>
                <w:szCs w:val="20"/>
                <w:color w:val="auto"/>
              </w:rPr>
            </w:pPr>
            <w:r>
              <w:rPr>
                <w:rFonts w:ascii="Arial" w:cs="Arial" w:eastAsia="Arial" w:hAnsi="Arial"/>
                <w:sz w:val="18"/>
                <w:szCs w:val="18"/>
                <w:color w:val="auto"/>
                <w:w w:val="95"/>
              </w:rPr>
              <w:t>Foreign income tax expense in various foreign tax jurisdictions</w:t>
            </w:r>
          </w:p>
        </w:tc>
        <w:tc>
          <w:tcPr>
            <w:tcW w:w="64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w:t>
            </w:r>
          </w:p>
        </w:tc>
      </w:tr>
      <w:tr>
        <w:trPr>
          <w:trHeight w:val="214"/>
        </w:trPr>
        <w:tc>
          <w:tcPr>
            <w:tcW w:w="5020" w:type="dxa"/>
            <w:vAlign w:val="bottom"/>
            <w:tcBorders>
              <w:top w:val="single" w:sz="8" w:color="E6E6E6"/>
              <w:bottom w:val="single" w:sz="8" w:color="E6E6E6"/>
            </w:tcBorders>
            <w:gridSpan w:val="2"/>
          </w:tcPr>
          <w:p>
            <w:pPr>
              <w:ind w:left="60"/>
              <w:spacing w:after="0"/>
              <w:rPr>
                <w:sz w:val="20"/>
                <w:szCs w:val="20"/>
                <w:color w:val="auto"/>
              </w:rPr>
            </w:pPr>
            <w:r>
              <w:rPr>
                <w:rFonts w:ascii="Arial" w:cs="Arial" w:eastAsia="Arial" w:hAnsi="Arial"/>
                <w:sz w:val="18"/>
                <w:szCs w:val="18"/>
                <w:color w:val="auto"/>
              </w:rPr>
              <w:t>Total deferred</w:t>
            </w: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E6E6E6"/>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E6E6E6"/>
              <w:bottom w:val="single" w:sz="8" w:color="E6E6E6"/>
            </w:tcBorders>
          </w:tcPr>
          <w:p>
            <w:pPr>
              <w:spacing w:after="0"/>
              <w:rPr>
                <w:sz w:val="18"/>
                <w:szCs w:val="18"/>
                <w:color w:val="auto"/>
              </w:rPr>
            </w:pPr>
          </w:p>
        </w:tc>
        <w:tc>
          <w:tcPr>
            <w:tcW w:w="40" w:type="dxa"/>
            <w:vAlign w:val="bottom"/>
            <w:tcBorders>
              <w:top w:val="single" w:sz="8" w:color="E6E6E6"/>
              <w:bottom w:val="single" w:sz="8" w:color="E6E6E6"/>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2"/>
        </w:trPr>
        <w:tc>
          <w:tcPr>
            <w:tcW w:w="50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Provision for income taxes</w:t>
            </w:r>
          </w:p>
        </w:tc>
        <w:tc>
          <w:tcPr>
            <w:tcW w:w="2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jc w:val="right"/>
              <w:ind w:right="4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700" w:type="dxa"/>
            <w:vAlign w:val="bottom"/>
            <w:tcBorders>
              <w:bottom w:val="single" w:sz="8" w:color="auto"/>
            </w:tcBorders>
            <w:shd w:val="clear" w:color="auto" w:fill="E6E6E6"/>
          </w:tcPr>
          <w:p>
            <w:pPr>
              <w:jc w:val="right"/>
              <w:ind w:right="4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-1794510</wp:posOffset>
            </wp:positionV>
            <wp:extent cx="307149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7">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-1153160</wp:posOffset>
            </wp:positionV>
            <wp:extent cx="307149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8">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-351790</wp:posOffset>
            </wp:positionV>
            <wp:extent cx="307149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9">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-191135</wp:posOffset>
            </wp:positionV>
            <wp:extent cx="307149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80">
                      <a:extLst>
                        <a:ext uri="{28A0092B-C50C-407E-A947-70E740481C1C}"/>
                      </a:extLst>
                    </a:blip>
                    <a:srcRect/>
                    <a:stretch>
                      <a:fillRect/>
                    </a:stretch>
                  </pic:blipFill>
                  <pic:spPr bwMode="auto">
                    <a:xfrm>
                      <a:off x="0" y="0"/>
                      <a:ext cx="3071495" cy="2540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-43815</wp:posOffset>
            </wp:positionV>
            <wp:extent cx="307149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1">
                      <a:extLst>
                        <a:ext uri="{28A0092B-C50C-407E-A947-70E740481C1C}"/>
                      </a:extLst>
                    </a:blip>
                    <a:srcRect/>
                    <a:stretch>
                      <a:fillRect/>
                    </a:stretch>
                  </pic:blipFill>
                  <pic:spPr bwMode="auto">
                    <a:xfrm>
                      <a:off x="0" y="0"/>
                      <a:ext cx="3071495" cy="50800"/>
                    </a:xfrm>
                    <a:prstGeom prst="rect">
                      <a:avLst/>
                    </a:prstGeom>
                    <a:noFill/>
                  </pic:spPr>
                </pic:pic>
              </a:graphicData>
            </a:graphic>
          </wp:anchor>
        </w:drawing>
      </w:r>
    </w:p>
    <w:p>
      <w:pPr>
        <w:sectPr>
          <w:pgSz w:w="11880" w:h="15480" w:orient="portrait"/>
          <w:cols w:equalWidth="0" w:num="1">
            <w:col w:w="9800"/>
          </w:cols>
          <w:pgMar w:left="1040" w:top="64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114</w:t>
      </w:r>
    </w:p>
    <w:p>
      <w:pPr>
        <w:sectPr>
          <w:pgSz w:w="11880" w:h="15480" w:orient="portrait"/>
          <w:cols w:equalWidth="0" w:num="1">
            <w:col w:w="9800"/>
          </w:cols>
          <w:pgMar w:left="1040" w:top="647" w:right="104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INCOME TAXES (Continued)</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Tax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deferred tax assets and liabilities: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56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2024</w:t>
            </w:r>
          </w:p>
        </w:tc>
      </w:tr>
      <w:tr>
        <w:trPr>
          <w:trHeight w:val="302"/>
        </w:trPr>
        <w:tc>
          <w:tcPr>
            <w:tcW w:w="6560" w:type="dxa"/>
            <w:vAlign w:val="bottom"/>
            <w:gridSpan w:val="2"/>
            <w:shd w:val="clear" w:color="auto" w:fill="E6E6E6"/>
          </w:tcPr>
          <w:p>
            <w:pPr>
              <w:ind w:left="60"/>
              <w:spacing w:after="0"/>
              <w:rPr>
                <w:sz w:val="20"/>
                <w:szCs w:val="20"/>
                <w:color w:val="auto"/>
              </w:rPr>
            </w:pPr>
            <w:r>
              <w:rPr>
                <w:rFonts w:ascii="Arial" w:cs="Arial" w:eastAsia="Arial" w:hAnsi="Arial"/>
                <w:sz w:val="18"/>
                <w:szCs w:val="18"/>
                <w:b w:val="1"/>
                <w:bCs w:val="1"/>
                <w:color w:val="auto"/>
              </w:rPr>
              <w:t>Deferred tax asset</w:t>
            </w:r>
          </w:p>
        </w:tc>
        <w:tc>
          <w:tcPr>
            <w:tcW w:w="62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45"/>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Net operating loss and credit carryforwards</w:t>
            </w:r>
          </w:p>
        </w:tc>
        <w:tc>
          <w:tcPr>
            <w:tcW w:w="620" w:type="dxa"/>
            <w:vAlign w:val="bottom"/>
          </w:tcPr>
          <w:p>
            <w:pPr>
              <w:jc w:val="right"/>
              <w:ind w:right="4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70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9"/>
        </w:trPr>
        <w:tc>
          <w:tcPr>
            <w:tcW w:w="6560" w:type="dxa"/>
            <w:vAlign w:val="bottom"/>
            <w:gridSpan w:val="2"/>
            <w:shd w:val="clear" w:color="auto" w:fill="E6E6E6"/>
          </w:tcPr>
          <w:p>
            <w:pPr>
              <w:ind w:left="280"/>
              <w:spacing w:after="0"/>
              <w:rPr>
                <w:sz w:val="20"/>
                <w:szCs w:val="20"/>
                <w:color w:val="auto"/>
              </w:rPr>
            </w:pPr>
            <w:r>
              <w:rPr>
                <w:rFonts w:ascii="Arial" w:cs="Arial" w:eastAsia="Arial" w:hAnsi="Arial"/>
                <w:sz w:val="18"/>
                <w:szCs w:val="18"/>
                <w:color w:val="auto"/>
              </w:rPr>
              <w:t>Interest expense carryforward</w:t>
            </w:r>
          </w:p>
        </w:tc>
        <w:tc>
          <w:tcPr>
            <w:tcW w:w="6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Future tax benefits from TRA payments</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6560" w:type="dxa"/>
            <w:vAlign w:val="bottom"/>
            <w:gridSpan w:val="2"/>
            <w:shd w:val="clear" w:color="auto" w:fill="E6E6E6"/>
          </w:tcPr>
          <w:p>
            <w:pPr>
              <w:ind w:left="280"/>
              <w:spacing w:after="0"/>
              <w:rPr>
                <w:sz w:val="20"/>
                <w:szCs w:val="20"/>
                <w:color w:val="auto"/>
              </w:rPr>
            </w:pPr>
            <w:r>
              <w:rPr>
                <w:rFonts w:ascii="Arial" w:cs="Arial" w:eastAsia="Arial" w:hAnsi="Arial"/>
                <w:sz w:val="18"/>
                <w:szCs w:val="18"/>
                <w:color w:val="auto"/>
              </w:rPr>
              <w:t>Pensions and other post-retirement benefits</w:t>
            </w:r>
          </w:p>
        </w:tc>
        <w:tc>
          <w:tcPr>
            <w:tcW w:w="6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r>
      <w:tr>
        <w:trPr>
          <w:trHeight w:val="246"/>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Accrued expenses</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9"/>
        </w:trPr>
        <w:tc>
          <w:tcPr>
            <w:tcW w:w="6560" w:type="dxa"/>
            <w:vAlign w:val="bottom"/>
            <w:gridSpan w:val="2"/>
            <w:shd w:val="clear" w:color="auto" w:fill="E6E6E6"/>
          </w:tcPr>
          <w:p>
            <w:pPr>
              <w:ind w:left="280"/>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65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Total deferred tax asset</w:t>
            </w:r>
          </w:p>
        </w:tc>
        <w:tc>
          <w:tcPr>
            <w:tcW w:w="20" w:type="dxa"/>
            <w:vAlign w:val="bottom"/>
            <w:tcBorders>
              <w:top w:val="single" w:sz="8" w:color="auto"/>
            </w:tcBorders>
            <w:shd w:val="clear" w:color="auto" w:fill="E6E6E6"/>
          </w:tcPr>
          <w:p>
            <w:pPr>
              <w:spacing w:after="0"/>
              <w:rPr>
                <w:sz w:val="21"/>
                <w:szCs w:val="21"/>
                <w:color w:val="auto"/>
              </w:rPr>
            </w:pPr>
          </w:p>
        </w:tc>
        <w:tc>
          <w:tcPr>
            <w:tcW w:w="62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E6E6E6"/>
            </w:tcBorders>
            <w:shd w:val="clear" w:color="auto" w:fill="E6E6E6"/>
          </w:tcPr>
          <w:p>
            <w:pPr>
              <w:spacing w:after="0"/>
              <w:rPr>
                <w:sz w:val="21"/>
                <w:szCs w:val="21"/>
                <w:color w:val="auto"/>
              </w:rPr>
            </w:pPr>
          </w:p>
        </w:tc>
        <w:tc>
          <w:tcPr>
            <w:tcW w:w="64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w:t>
            </w:r>
          </w:p>
        </w:tc>
      </w:tr>
      <w:tr>
        <w:trPr>
          <w:trHeight w:val="252"/>
        </w:trPr>
        <w:tc>
          <w:tcPr>
            <w:tcW w:w="6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2"/>
        </w:trPr>
        <w:tc>
          <w:tcPr>
            <w:tcW w:w="6560" w:type="dxa"/>
            <w:vAlign w:val="bottom"/>
            <w:gridSpan w:val="2"/>
            <w:shd w:val="clear" w:color="auto" w:fill="E6E6E6"/>
          </w:tcPr>
          <w:p>
            <w:pPr>
              <w:ind w:left="60"/>
              <w:spacing w:after="0"/>
              <w:rPr>
                <w:sz w:val="20"/>
                <w:szCs w:val="20"/>
                <w:color w:val="auto"/>
              </w:rPr>
            </w:pPr>
            <w:r>
              <w:rPr>
                <w:rFonts w:ascii="Arial" w:cs="Arial" w:eastAsia="Arial" w:hAnsi="Arial"/>
                <w:sz w:val="18"/>
                <w:szCs w:val="18"/>
                <w:b w:val="1"/>
                <w:bCs w:val="1"/>
                <w:color w:val="auto"/>
              </w:rPr>
              <w:t>Deferred tax liability</w:t>
            </w:r>
          </w:p>
        </w:tc>
        <w:tc>
          <w:tcPr>
            <w:tcW w:w="62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6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46"/>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Investment in partnership</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6560" w:type="dxa"/>
            <w:vAlign w:val="bottom"/>
            <w:gridSpan w:val="2"/>
            <w:shd w:val="clear" w:color="auto" w:fill="E6E6E6"/>
          </w:tcPr>
          <w:p>
            <w:pPr>
              <w:ind w:left="280"/>
              <w:spacing w:after="0"/>
              <w:rPr>
                <w:sz w:val="20"/>
                <w:szCs w:val="20"/>
                <w:color w:val="auto"/>
              </w:rPr>
            </w:pPr>
            <w:r>
              <w:rPr>
                <w:rFonts w:ascii="Arial" w:cs="Arial" w:eastAsia="Arial" w:hAnsi="Arial"/>
                <w:sz w:val="18"/>
                <w:szCs w:val="18"/>
                <w:color w:val="auto"/>
              </w:rPr>
              <w:t>Intangibles</w:t>
            </w:r>
          </w:p>
        </w:tc>
        <w:tc>
          <w:tcPr>
            <w:tcW w:w="6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(183)</w:t>
            </w:r>
          </w:p>
        </w:tc>
      </w:tr>
      <w:tr>
        <w:trPr>
          <w:trHeight w:val="246"/>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9"/>
        </w:trPr>
        <w:tc>
          <w:tcPr>
            <w:tcW w:w="6560" w:type="dxa"/>
            <w:vAlign w:val="bottom"/>
            <w:gridSpan w:val="2"/>
            <w:shd w:val="clear" w:color="auto" w:fill="E6E6E6"/>
          </w:tcPr>
          <w:p>
            <w:pPr>
              <w:ind w:left="2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Others</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2"/>
        </w:trPr>
        <w:tc>
          <w:tcPr>
            <w:tcW w:w="654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Total deferred tax liability</w:t>
            </w:r>
          </w:p>
        </w:tc>
        <w:tc>
          <w:tcPr>
            <w:tcW w:w="20" w:type="dxa"/>
            <w:vAlign w:val="bottom"/>
            <w:tcBorders>
              <w:top w:val="single" w:sz="8" w:color="auto"/>
            </w:tcBorders>
            <w:shd w:val="clear" w:color="auto" w:fill="E6E6E6"/>
          </w:tcPr>
          <w:p>
            <w:pPr>
              <w:spacing w:after="0"/>
              <w:rPr>
                <w:sz w:val="21"/>
                <w:szCs w:val="21"/>
                <w:color w:val="auto"/>
              </w:rPr>
            </w:pPr>
          </w:p>
        </w:tc>
        <w:tc>
          <w:tcPr>
            <w:tcW w:w="62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(363)</w:t>
            </w:r>
          </w:p>
        </w:tc>
        <w:tc>
          <w:tcPr>
            <w:tcW w:w="60" w:type="dxa"/>
            <w:vAlign w:val="bottom"/>
            <w:tcBorders>
              <w:top w:val="single" w:sz="8" w:color="E6E6E6"/>
            </w:tcBorders>
            <w:shd w:val="clear" w:color="auto" w:fill="E6E6E6"/>
          </w:tcPr>
          <w:p>
            <w:pPr>
              <w:spacing w:after="0"/>
              <w:rPr>
                <w:sz w:val="21"/>
                <w:szCs w:val="21"/>
                <w:color w:val="auto"/>
              </w:rPr>
            </w:pPr>
          </w:p>
        </w:tc>
        <w:tc>
          <w:tcPr>
            <w:tcW w:w="64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(223)</w:t>
            </w:r>
          </w:p>
        </w:tc>
      </w:tr>
      <w:tr>
        <w:trPr>
          <w:trHeight w:val="302"/>
        </w:trPr>
        <w:tc>
          <w:tcPr>
            <w:tcW w:w="654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52"/>
        </w:trPr>
        <w:tc>
          <w:tcPr>
            <w:tcW w:w="65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Net deferred tax asset (liability)</w:t>
            </w:r>
          </w:p>
        </w:tc>
        <w:tc>
          <w:tcPr>
            <w:tcW w:w="20" w:type="dxa"/>
            <w:vAlign w:val="bottom"/>
            <w:tcBorders>
              <w:bottom w:val="single" w:sz="8" w:color="auto"/>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jc w:val="right"/>
              <w:ind w:right="4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384</w:t>
            </w:r>
          </w:p>
        </w:tc>
        <w:tc>
          <w:tcPr>
            <w:tcW w:w="60" w:type="dxa"/>
            <w:vAlign w:val="bottom"/>
            <w:tcBorders>
              <w:bottom w:val="single" w:sz="8" w:color="E6E6E6"/>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jc w:val="right"/>
              <w:ind w:right="4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-3152140</wp:posOffset>
            </wp:positionV>
            <wp:extent cx="204343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82">
                      <a:extLst>
                        <a:ext uri="{28A0092B-C50C-407E-A947-70E740481C1C}"/>
                      </a:extLst>
                    </a:blip>
                    <a:srcRect/>
                    <a:stretch>
                      <a:fillRect/>
                    </a:stretch>
                  </pic:blipFill>
                  <pic:spPr bwMode="auto">
                    <a:xfrm>
                      <a:off x="0" y="0"/>
                      <a:ext cx="2043430" cy="2540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-1831975</wp:posOffset>
            </wp:positionV>
            <wp:extent cx="204343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83">
                      <a:extLst>
                        <a:ext uri="{28A0092B-C50C-407E-A947-70E740481C1C}"/>
                      </a:extLst>
                    </a:blip>
                    <a:srcRect/>
                    <a:stretch>
                      <a:fillRect/>
                    </a:stretch>
                  </pic:blipFill>
                  <pic:spPr bwMode="auto">
                    <a:xfrm>
                      <a:off x="0" y="0"/>
                      <a:ext cx="2043430" cy="2540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-549910</wp:posOffset>
            </wp:positionV>
            <wp:extent cx="204343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84">
                      <a:extLst>
                        <a:ext uri="{28A0092B-C50C-407E-A947-70E740481C1C}"/>
                      </a:extLst>
                    </a:blip>
                    <a:srcRect/>
                    <a:stretch>
                      <a:fillRect/>
                    </a:stretch>
                  </pic:blipFill>
                  <pic:spPr bwMode="auto">
                    <a:xfrm>
                      <a:off x="0" y="0"/>
                      <a:ext cx="2043430" cy="2540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-191135</wp:posOffset>
            </wp:positionV>
            <wp:extent cx="204343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5">
                      <a:extLst>
                        <a:ext uri="{28A0092B-C50C-407E-A947-70E740481C1C}"/>
                      </a:extLst>
                    </a:blip>
                    <a:srcRect/>
                    <a:stretch>
                      <a:fillRect/>
                    </a:stretch>
                  </pic:blipFill>
                  <pic:spPr bwMode="auto">
                    <a:xfrm>
                      <a:off x="0" y="0"/>
                      <a:ext cx="2043430" cy="2540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-43815</wp:posOffset>
            </wp:positionV>
            <wp:extent cx="204343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6">
                      <a:extLst>
                        <a:ext uri="{28A0092B-C50C-407E-A947-70E740481C1C}"/>
                      </a:extLst>
                    </a:blip>
                    <a:srcRect/>
                    <a:stretch>
                      <a:fillRect/>
                    </a:stretch>
                  </pic:blipFill>
                  <pic:spPr bwMode="auto">
                    <a:xfrm>
                      <a:off x="0" y="0"/>
                      <a:ext cx="2043430" cy="50800"/>
                    </a:xfrm>
                    <a:prstGeom prst="rect">
                      <a:avLst/>
                    </a:prstGeom>
                    <a:noFill/>
                  </pic:spPr>
                </pic:pic>
              </a:graphicData>
            </a:graphic>
          </wp:anchor>
        </w:drawing>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of December 31, 2025, the Company had foreign net operating loss (“NOL”) carryforwards of $10 million. Out of this, $8 million of the foreign NOL carryforwards will expire between 2027 and 2035, and $2 million of the foreign NOL carryforwards have no expiration date.</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As part of the IPO Reorganization, the Company acquired $911 million of U.S. NOL carryforwards. As of December 31, 2025, the Company had U.S. NOL carryforwards of $964 million which have no expiration date.</w:t>
      </w:r>
    </w:p>
    <w:p>
      <w:pPr>
        <w:spacing w:after="0" w:line="18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Realization of the NOL carryforwards depends on generating sufficient future earnings. An immaterial valuation allowance was recognized as of December 31, 2025 and 2024 to reduce the deferred tax assets associated with NOL carryforwards because the Company does not believe it is more likely than not that these assets will be fully realized prior to expiration.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changes in our deferred tax valuation allowance: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88"/>
              </w:rPr>
              <w:t>Year ended</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32"/>
        </w:trPr>
        <w:tc>
          <w:tcPr>
            <w:tcW w:w="4480" w:type="dxa"/>
            <w:vAlign w:val="bottom"/>
            <w:tcBorders>
              <w:bottom w:val="single" w:sz="8" w:color="E6E6E6"/>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8"/>
              </w:rPr>
              <w:t>December 31, 2025</w:t>
            </w:r>
          </w:p>
        </w:tc>
        <w:tc>
          <w:tcPr>
            <w:tcW w:w="4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8"/>
              </w:rPr>
              <w:t>December 31, 2024</w:t>
            </w:r>
          </w:p>
        </w:tc>
        <w:tc>
          <w:tcPr>
            <w:tcW w:w="40" w:type="dxa"/>
            <w:vAlign w:val="bottom"/>
            <w:tcBorders>
              <w:bottom w:val="single" w:sz="8" w:color="E6E6E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December 31, 2023</w:t>
            </w:r>
          </w:p>
        </w:tc>
      </w:tr>
      <w:tr>
        <w:trPr>
          <w:trHeight w:val="302"/>
        </w:trPr>
        <w:tc>
          <w:tcPr>
            <w:tcW w:w="4480" w:type="dxa"/>
            <w:vAlign w:val="bottom"/>
            <w:gridSpan w:val="2"/>
            <w:shd w:val="clear" w:color="auto" w:fill="E6E6E6"/>
          </w:tcPr>
          <w:p>
            <w:pPr>
              <w:ind w:left="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E6E6E6"/>
          </w:tcPr>
          <w:p>
            <w:pPr>
              <w:spacing w:after="0"/>
              <w:rPr>
                <w:sz w:val="24"/>
                <w:szCs w:val="24"/>
                <w:color w:val="auto"/>
              </w:rPr>
            </w:pP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E6E6E6"/>
          </w:tcPr>
          <w:p>
            <w:pPr>
              <w:ind w:left="1320"/>
              <w:spacing w:after="0"/>
              <w:rPr>
                <w:sz w:val="20"/>
                <w:szCs w:val="20"/>
                <w:color w:val="auto"/>
              </w:rPr>
            </w:pPr>
            <w:r>
              <w:rPr>
                <w:rFonts w:ascii="Arial" w:cs="Arial" w:eastAsia="Arial" w:hAnsi="Arial"/>
                <w:sz w:val="18"/>
                <w:szCs w:val="18"/>
                <w:color w:val="auto"/>
              </w:rPr>
              <w:t>—</w:t>
            </w:r>
          </w:p>
        </w:tc>
      </w:tr>
      <w:tr>
        <w:trPr>
          <w:trHeight w:val="242"/>
        </w:trPr>
        <w:tc>
          <w:tcPr>
            <w:tcW w:w="4480" w:type="dxa"/>
            <w:vAlign w:val="bottom"/>
            <w:gridSpan w:val="2"/>
          </w:tcPr>
          <w:p>
            <w:pPr>
              <w:ind w:left="60"/>
              <w:spacing w:after="0"/>
              <w:rPr>
                <w:sz w:val="20"/>
                <w:szCs w:val="20"/>
                <w:color w:val="auto"/>
              </w:rPr>
            </w:pPr>
            <w:r>
              <w:rPr>
                <w:rFonts w:ascii="Arial" w:cs="Arial" w:eastAsia="Arial" w:hAnsi="Arial"/>
                <w:sz w:val="18"/>
                <w:szCs w:val="18"/>
                <w:color w:val="auto"/>
              </w:rPr>
              <w:t>Charges to income tax expense</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ind w:left="1320"/>
              <w:spacing w:after="0"/>
              <w:rPr>
                <w:sz w:val="20"/>
                <w:szCs w:val="20"/>
                <w:color w:val="auto"/>
              </w:rPr>
            </w:pPr>
            <w:r>
              <w:rPr>
                <w:rFonts w:ascii="Arial" w:cs="Arial" w:eastAsia="Arial" w:hAnsi="Arial"/>
                <w:sz w:val="18"/>
                <w:szCs w:val="18"/>
                <w:color w:val="auto"/>
              </w:rPr>
              <w:t>—</w:t>
            </w:r>
          </w:p>
        </w:tc>
      </w:tr>
      <w:tr>
        <w:trPr>
          <w:trHeight w:val="252"/>
        </w:trPr>
        <w:tc>
          <w:tcPr>
            <w:tcW w:w="446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Balance at the end of the period</w:t>
            </w:r>
          </w:p>
        </w:tc>
        <w:tc>
          <w:tcPr>
            <w:tcW w:w="20" w:type="dxa"/>
            <w:vAlign w:val="bottom"/>
            <w:tcBorders>
              <w:top w:val="single" w:sz="8" w:color="auto"/>
              <w:bottom w:val="single" w:sz="8" w:color="auto"/>
            </w:tcBorders>
            <w:shd w:val="clear" w:color="auto" w:fill="E6E6E6"/>
          </w:tcPr>
          <w:p>
            <w:pPr>
              <w:spacing w:after="0"/>
              <w:rPr>
                <w:sz w:val="21"/>
                <w:szCs w:val="21"/>
                <w:color w:val="auto"/>
              </w:rPr>
            </w:pPr>
          </w:p>
        </w:tc>
        <w:tc>
          <w:tcPr>
            <w:tcW w:w="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E6E6E6"/>
          </w:tcPr>
          <w:p>
            <w:pPr>
              <w:ind w:left="1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-549910</wp:posOffset>
            </wp:positionV>
            <wp:extent cx="341058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7">
                      <a:extLst>
                        <a:ext uri="{28A0092B-C50C-407E-A947-70E740481C1C}"/>
                      </a:extLst>
                    </a:blip>
                    <a:srcRect/>
                    <a:stretch>
                      <a:fillRect/>
                    </a:stretch>
                  </pic:blipFill>
                  <pic:spPr bwMode="auto">
                    <a:xfrm>
                      <a:off x="0" y="0"/>
                      <a:ext cx="3410585" cy="2540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-191135</wp:posOffset>
            </wp:positionV>
            <wp:extent cx="341058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8">
                      <a:extLst>
                        <a:ext uri="{28A0092B-C50C-407E-A947-70E740481C1C}"/>
                      </a:extLst>
                    </a:blip>
                    <a:srcRect/>
                    <a:stretch>
                      <a:fillRect/>
                    </a:stretch>
                  </pic:blipFill>
                  <pic:spPr bwMode="auto">
                    <a:xfrm>
                      <a:off x="0" y="0"/>
                      <a:ext cx="3410585" cy="2540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-43815</wp:posOffset>
            </wp:positionV>
            <wp:extent cx="341058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9">
                      <a:extLst>
                        <a:ext uri="{28A0092B-C50C-407E-A947-70E740481C1C}"/>
                      </a:extLst>
                    </a:blip>
                    <a:srcRect/>
                    <a:stretch>
                      <a:fillRect/>
                    </a:stretch>
                  </pic:blipFill>
                  <pic:spPr bwMode="auto">
                    <a:xfrm>
                      <a:off x="0" y="0"/>
                      <a:ext cx="3410585" cy="50800"/>
                    </a:xfrm>
                    <a:prstGeom prst="rect">
                      <a:avLst/>
                    </a:prstGeom>
                    <a:noFill/>
                  </pic:spPr>
                </pic:pic>
              </a:graphicData>
            </a:graphic>
          </wp:anchor>
        </w:drawing>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Company did not have any unrecognized tax benefits recorded on its Consolidated Balance Sheets as of December 31, 2025 and 2024.</w:t>
      </w:r>
    </w:p>
    <w:p>
      <w:pPr>
        <w:sectPr>
          <w:pgSz w:w="11880" w:h="15480" w:orient="portrait"/>
          <w:cols w:equalWidth="0" w:num="1">
            <w:col w:w="9800"/>
          </w:cols>
          <w:pgMar w:left="1040" w:top="5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115</w:t>
      </w:r>
    </w:p>
    <w:p>
      <w:pPr>
        <w:sectPr>
          <w:pgSz w:w="11880" w:h="15480" w:orient="portrait"/>
          <w:cols w:equalWidth="0" w:num="1">
            <w:col w:w="9800"/>
          </w:cols>
          <w:pgMar w:left="1040" w:top="568" w:right="104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INCOME TAXES (Continued)</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 Reconciliation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elected to prospectively adopt the guidance in ASU 2023-09, Income Taxes (Topic 740): Improvements to Income Tax Disclosures (“ASU 2023-09”). The following table is a reconciliation of the U.S. federal statutory rate of 21% to the Company’s effective tax rate in accordance with ASU 2023-09.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Year ended</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2"/>
        </w:trPr>
        <w:tc>
          <w:tcPr>
            <w:tcW w:w="63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December 31, 2025</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42"/>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Income tax expense at U.S. statutory rate</w:t>
            </w:r>
          </w:p>
        </w:tc>
        <w:tc>
          <w:tcPr>
            <w:tcW w:w="600" w:type="dxa"/>
            <w:vAlign w:val="bottom"/>
            <w:shd w:val="clear" w:color="auto" w:fill="E6E6E6"/>
          </w:tcPr>
          <w:p>
            <w:pPr>
              <w:jc w:val="right"/>
              <w:ind w:right="371"/>
              <w:spacing w:after="0"/>
              <w:rPr>
                <w:sz w:val="20"/>
                <w:szCs w:val="20"/>
                <w:color w:val="auto"/>
              </w:rPr>
            </w:pPr>
            <w:r>
              <w:rPr>
                <w:rFonts w:ascii="Arial" w:cs="Arial" w:eastAsia="Arial" w:hAnsi="Arial"/>
                <w:sz w:val="18"/>
                <w:szCs w:val="18"/>
                <w:color w:val="auto"/>
              </w:rPr>
              <w:t>$</w:t>
            </w:r>
          </w:p>
        </w:tc>
        <w:tc>
          <w:tcPr>
            <w:tcW w:w="2060" w:type="dxa"/>
            <w:vAlign w:val="bottom"/>
            <w:shd w:val="clear" w:color="auto" w:fill="E6E6E6"/>
          </w:tcPr>
          <w:p>
            <w:pPr>
              <w:jc w:val="right"/>
              <w:ind w:right="911"/>
              <w:spacing w:after="0"/>
              <w:rPr>
                <w:sz w:val="20"/>
                <w:szCs w:val="20"/>
                <w:color w:val="auto"/>
              </w:rPr>
            </w:pPr>
            <w:r>
              <w:rPr>
                <w:rFonts w:ascii="Arial" w:cs="Arial" w:eastAsia="Arial" w:hAnsi="Arial"/>
                <w:sz w:val="18"/>
                <w:szCs w:val="18"/>
                <w:color w:val="auto"/>
              </w:rPr>
              <w:t>262</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21.0 %</w:t>
            </w:r>
          </w:p>
        </w:tc>
      </w:tr>
      <w:tr>
        <w:trPr>
          <w:trHeight w:val="245"/>
        </w:trPr>
        <w:tc>
          <w:tcPr>
            <w:tcW w:w="6320" w:type="dxa"/>
            <w:vAlign w:val="bottom"/>
          </w:tcPr>
          <w:p>
            <w:pPr>
              <w:ind w:left="60"/>
              <w:spacing w:after="0"/>
              <w:rPr>
                <w:sz w:val="20"/>
                <w:szCs w:val="20"/>
                <w:color w:val="auto"/>
              </w:rPr>
            </w:pPr>
            <w:r>
              <w:rPr>
                <w:rFonts w:ascii="Arial" w:cs="Arial" w:eastAsia="Arial" w:hAnsi="Arial"/>
                <w:sz w:val="18"/>
                <w:szCs w:val="18"/>
                <w:color w:val="auto"/>
              </w:rPr>
              <w:t xml:space="preserve">State and local tax effect, net of federal benefit </w:t>
            </w:r>
            <w:r>
              <w:rPr>
                <w:rFonts w:ascii="Arial" w:cs="Arial" w:eastAsia="Arial" w:hAnsi="Arial"/>
                <w:sz w:val="11"/>
                <w:szCs w:val="11"/>
                <w:color w:val="auto"/>
              </w:rPr>
              <w:t>(1)</w:t>
            </w:r>
          </w:p>
        </w:tc>
        <w:tc>
          <w:tcPr>
            <w:tcW w:w="600" w:type="dxa"/>
            <w:vAlign w:val="bottom"/>
          </w:tcPr>
          <w:p>
            <w:pPr>
              <w:spacing w:after="0"/>
              <w:rPr>
                <w:sz w:val="21"/>
                <w:szCs w:val="21"/>
                <w:color w:val="auto"/>
              </w:rPr>
            </w:pPr>
          </w:p>
        </w:tc>
        <w:tc>
          <w:tcPr>
            <w:tcW w:w="2060" w:type="dxa"/>
            <w:vAlign w:val="bottom"/>
          </w:tcPr>
          <w:p>
            <w:pPr>
              <w:jc w:val="right"/>
              <w:ind w:right="911"/>
              <w:spacing w:after="0"/>
              <w:rPr>
                <w:sz w:val="20"/>
                <w:szCs w:val="20"/>
                <w:color w:val="auto"/>
              </w:rPr>
            </w:pPr>
            <w:r>
              <w:rPr>
                <w:rFonts w:ascii="Arial" w:cs="Arial" w:eastAsia="Arial" w:hAnsi="Arial"/>
                <w:sz w:val="18"/>
                <w:szCs w:val="18"/>
                <w:color w:val="auto"/>
              </w:rPr>
              <w:t>4</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 xml:space="preserve">Statutory income tax rate differential </w:t>
            </w:r>
            <w:r>
              <w:rPr>
                <w:rFonts w:ascii="Arial" w:cs="Arial" w:eastAsia="Arial" w:hAnsi="Arial"/>
                <w:sz w:val="11"/>
                <w:szCs w:val="11"/>
                <w:color w:val="auto"/>
              </w:rPr>
              <w:t>(2)</w:t>
            </w:r>
          </w:p>
        </w:tc>
        <w:tc>
          <w:tcPr>
            <w:tcW w:w="600" w:type="dxa"/>
            <w:vAlign w:val="bottom"/>
            <w:shd w:val="clear" w:color="auto" w:fill="E6E6E6"/>
          </w:tcPr>
          <w:p>
            <w:pPr>
              <w:spacing w:after="0"/>
              <w:rPr>
                <w:sz w:val="22"/>
                <w:szCs w:val="22"/>
                <w:color w:val="auto"/>
              </w:rPr>
            </w:pPr>
          </w:p>
        </w:tc>
        <w:tc>
          <w:tcPr>
            <w:tcW w:w="2060" w:type="dxa"/>
            <w:vAlign w:val="bottom"/>
            <w:shd w:val="clear" w:color="auto" w:fill="E6E6E6"/>
          </w:tcPr>
          <w:p>
            <w:pPr>
              <w:jc w:val="right"/>
              <w:ind w:right="851"/>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(1.5)%</w:t>
            </w:r>
          </w:p>
        </w:tc>
      </w:tr>
      <w:tr>
        <w:trPr>
          <w:trHeight w:val="245"/>
        </w:trPr>
        <w:tc>
          <w:tcPr>
            <w:tcW w:w="6320" w:type="dxa"/>
            <w:vAlign w:val="bottom"/>
          </w:tcPr>
          <w:p>
            <w:pPr>
              <w:ind w:left="60"/>
              <w:spacing w:after="0"/>
              <w:rPr>
                <w:sz w:val="20"/>
                <w:szCs w:val="20"/>
                <w:color w:val="auto"/>
              </w:rPr>
            </w:pPr>
            <w:r>
              <w:rPr>
                <w:rFonts w:ascii="Arial" w:cs="Arial" w:eastAsia="Arial" w:hAnsi="Arial"/>
                <w:sz w:val="18"/>
                <w:szCs w:val="18"/>
                <w:color w:val="auto"/>
              </w:rPr>
              <w:t>Effects of changes in tax laws or rates enacted in the current period</w:t>
            </w:r>
          </w:p>
        </w:tc>
        <w:tc>
          <w:tcPr>
            <w:tcW w:w="600" w:type="dxa"/>
            <w:vAlign w:val="bottom"/>
          </w:tcPr>
          <w:p>
            <w:pPr>
              <w:spacing w:after="0"/>
              <w:rPr>
                <w:sz w:val="21"/>
                <w:szCs w:val="21"/>
                <w:color w:val="auto"/>
              </w:rPr>
            </w:pPr>
          </w:p>
        </w:tc>
        <w:tc>
          <w:tcPr>
            <w:tcW w:w="2060" w:type="dxa"/>
            <w:vAlign w:val="bottom"/>
          </w:tcPr>
          <w:p>
            <w:pPr>
              <w:jc w:val="right"/>
              <w:ind w:right="911"/>
              <w:spacing w:after="0"/>
              <w:rPr>
                <w:sz w:val="20"/>
                <w:szCs w:val="20"/>
                <w:color w:val="auto"/>
              </w:rPr>
            </w:pPr>
            <w:r>
              <w:rPr>
                <w:rFonts w:ascii="Arial" w:cs="Arial" w:eastAsia="Arial" w:hAnsi="Arial"/>
                <w:sz w:val="18"/>
                <w:szCs w:val="18"/>
                <w:color w:val="auto"/>
              </w:rPr>
              <w:t>2</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 xml:space="preserve">Effects of cross-border tax laws </w:t>
            </w:r>
            <w:r>
              <w:rPr>
                <w:rFonts w:ascii="Arial" w:cs="Arial" w:eastAsia="Arial" w:hAnsi="Arial"/>
                <w:sz w:val="11"/>
                <w:szCs w:val="11"/>
                <w:color w:val="auto"/>
              </w:rPr>
              <w:t>(3)</w:t>
            </w:r>
          </w:p>
        </w:tc>
        <w:tc>
          <w:tcPr>
            <w:tcW w:w="600" w:type="dxa"/>
            <w:vAlign w:val="bottom"/>
            <w:shd w:val="clear" w:color="auto" w:fill="E6E6E6"/>
          </w:tcPr>
          <w:p>
            <w:pPr>
              <w:spacing w:after="0"/>
              <w:rPr>
                <w:sz w:val="22"/>
                <w:szCs w:val="22"/>
                <w:color w:val="auto"/>
              </w:rPr>
            </w:pPr>
          </w:p>
        </w:tc>
        <w:tc>
          <w:tcPr>
            <w:tcW w:w="2060" w:type="dxa"/>
            <w:vAlign w:val="bottom"/>
            <w:shd w:val="clear" w:color="auto" w:fill="E6E6E6"/>
          </w:tcPr>
          <w:p>
            <w:pPr>
              <w:jc w:val="right"/>
              <w:ind w:right="911"/>
              <w:spacing w:after="0"/>
              <w:rPr>
                <w:sz w:val="20"/>
                <w:szCs w:val="20"/>
                <w:color w:val="auto"/>
              </w:rPr>
            </w:pPr>
            <w:r>
              <w:rPr>
                <w:rFonts w:ascii="Arial" w:cs="Arial" w:eastAsia="Arial" w:hAnsi="Arial"/>
                <w:sz w:val="18"/>
                <w:szCs w:val="18"/>
                <w:color w:val="auto"/>
              </w:rPr>
              <w:t>2</w:t>
            </w: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r>
      <w:tr>
        <w:trPr>
          <w:trHeight w:val="245"/>
        </w:trPr>
        <w:tc>
          <w:tcPr>
            <w:tcW w:w="6320" w:type="dxa"/>
            <w:vAlign w:val="bottom"/>
          </w:tcPr>
          <w:p>
            <w:pPr>
              <w:ind w:left="60"/>
              <w:spacing w:after="0"/>
              <w:rPr>
                <w:sz w:val="20"/>
                <w:szCs w:val="20"/>
                <w:color w:val="auto"/>
              </w:rPr>
            </w:pPr>
            <w:r>
              <w:rPr>
                <w:rFonts w:ascii="Arial" w:cs="Arial" w:eastAsia="Arial" w:hAnsi="Arial"/>
                <w:sz w:val="18"/>
                <w:szCs w:val="18"/>
                <w:color w:val="auto"/>
              </w:rPr>
              <w:t>Changes in valuation allowance</w:t>
            </w:r>
          </w:p>
        </w:tc>
        <w:tc>
          <w:tcPr>
            <w:tcW w:w="600" w:type="dxa"/>
            <w:vAlign w:val="bottom"/>
          </w:tcPr>
          <w:p>
            <w:pPr>
              <w:spacing w:after="0"/>
              <w:rPr>
                <w:sz w:val="21"/>
                <w:szCs w:val="21"/>
                <w:color w:val="auto"/>
              </w:rPr>
            </w:pPr>
          </w:p>
        </w:tc>
        <w:tc>
          <w:tcPr>
            <w:tcW w:w="2060" w:type="dxa"/>
            <w:vAlign w:val="bottom"/>
          </w:tcPr>
          <w:p>
            <w:pPr>
              <w:jc w:val="right"/>
              <w:ind w:right="851"/>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Nontaxable or non deductible items</w:t>
            </w:r>
          </w:p>
        </w:tc>
        <w:tc>
          <w:tcPr>
            <w:tcW w:w="600" w:type="dxa"/>
            <w:vAlign w:val="bottom"/>
            <w:shd w:val="clear" w:color="auto" w:fill="E6E6E6"/>
          </w:tcPr>
          <w:p>
            <w:pPr>
              <w:spacing w:after="0"/>
              <w:rPr>
                <w:sz w:val="22"/>
                <w:szCs w:val="22"/>
                <w:color w:val="auto"/>
              </w:rPr>
            </w:pPr>
          </w:p>
        </w:tc>
        <w:tc>
          <w:tcPr>
            <w:tcW w:w="206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r>
      <w:tr>
        <w:trPr>
          <w:trHeight w:val="245"/>
        </w:trPr>
        <w:tc>
          <w:tcPr>
            <w:tcW w:w="6320" w:type="dxa"/>
            <w:vAlign w:val="bottom"/>
          </w:tcPr>
          <w:p>
            <w:pPr>
              <w:ind w:left="280"/>
              <w:spacing w:after="0"/>
              <w:rPr>
                <w:sz w:val="20"/>
                <w:szCs w:val="20"/>
                <w:color w:val="auto"/>
              </w:rPr>
            </w:pPr>
            <w:r>
              <w:rPr>
                <w:rFonts w:ascii="Arial" w:cs="Arial" w:eastAsia="Arial" w:hAnsi="Arial"/>
                <w:sz w:val="18"/>
                <w:szCs w:val="18"/>
                <w:color w:val="auto"/>
              </w:rPr>
              <w:t>Impact of non-taxable partnership earnings</w:t>
            </w:r>
          </w:p>
        </w:tc>
        <w:tc>
          <w:tcPr>
            <w:tcW w:w="600" w:type="dxa"/>
            <w:vAlign w:val="bottom"/>
          </w:tcPr>
          <w:p>
            <w:pPr>
              <w:spacing w:after="0"/>
              <w:rPr>
                <w:sz w:val="21"/>
                <w:szCs w:val="21"/>
                <w:color w:val="auto"/>
              </w:rPr>
            </w:pPr>
          </w:p>
        </w:tc>
        <w:tc>
          <w:tcPr>
            <w:tcW w:w="2060" w:type="dxa"/>
            <w:vAlign w:val="bottom"/>
          </w:tcPr>
          <w:p>
            <w:pPr>
              <w:jc w:val="right"/>
              <w:ind w:right="851"/>
              <w:spacing w:after="0"/>
              <w:rPr>
                <w:sz w:val="20"/>
                <w:szCs w:val="20"/>
                <w:color w:val="auto"/>
              </w:rPr>
            </w:pPr>
            <w:r>
              <w:rPr>
                <w:rFonts w:ascii="Arial" w:cs="Arial" w:eastAsia="Arial" w:hAnsi="Arial"/>
                <w:sz w:val="18"/>
                <w:szCs w:val="18"/>
                <w:color w:val="auto"/>
              </w:rPr>
              <w:t>(160)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67"/>
        </w:trPr>
        <w:tc>
          <w:tcPr>
            <w:tcW w:w="6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6E6E6"/>
          </w:tcPr>
          <w:p>
            <w:pPr>
              <w:spacing w:after="0"/>
              <w:rPr>
                <w:sz w:val="23"/>
                <w:szCs w:val="23"/>
                <w:color w:val="auto"/>
              </w:rPr>
            </w:pPr>
          </w:p>
        </w:tc>
        <w:tc>
          <w:tcPr>
            <w:tcW w:w="2060" w:type="dxa"/>
            <w:vAlign w:val="bottom"/>
            <w:tcBorders>
              <w:bottom w:val="single" w:sz="8" w:color="auto"/>
            </w:tcBorders>
            <w:shd w:val="clear" w:color="auto" w:fill="E6E6E6"/>
          </w:tcPr>
          <w:p>
            <w:pPr>
              <w:jc w:val="right"/>
              <w:ind w:right="911"/>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195"/>
        </w:trPr>
        <w:tc>
          <w:tcPr>
            <w:tcW w:w="63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Income tax expense</w:t>
            </w:r>
          </w:p>
        </w:tc>
        <w:tc>
          <w:tcPr>
            <w:tcW w:w="600" w:type="dxa"/>
            <w:vAlign w:val="bottom"/>
            <w:tcBorders>
              <w:bottom w:val="single" w:sz="8" w:color="auto"/>
            </w:tcBorders>
          </w:tcPr>
          <w:p>
            <w:pPr>
              <w:jc w:val="right"/>
              <w:ind w:right="371"/>
              <w:spacing w:after="0" w:line="195" w:lineRule="exact"/>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ind w:right="911"/>
              <w:spacing w:after="0" w:line="195" w:lineRule="exact"/>
              <w:rPr>
                <w:sz w:val="20"/>
                <w:szCs w:val="20"/>
                <w:color w:val="auto"/>
              </w:rPr>
            </w:pPr>
            <w:r>
              <w:rPr>
                <w:rFonts w:ascii="Arial" w:cs="Arial" w:eastAsia="Arial" w:hAnsi="Arial"/>
                <w:sz w:val="18"/>
                <w:szCs w:val="18"/>
                <w:color w:val="auto"/>
              </w:rPr>
              <w:t>91</w:t>
            </w:r>
          </w:p>
        </w:tc>
        <w:tc>
          <w:tcPr>
            <w:tcW w:w="82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7.3 %</w:t>
            </w:r>
          </w:p>
        </w:tc>
      </w:tr>
      <w:tr>
        <w:trPr>
          <w:trHeight w:val="20"/>
        </w:trPr>
        <w:tc>
          <w:tcPr>
            <w:tcW w:w="6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-1633855</wp:posOffset>
            </wp:positionV>
            <wp:extent cx="223202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90">
                      <a:extLst>
                        <a:ext uri="{28A0092B-C50C-407E-A947-70E740481C1C}"/>
                      </a:extLst>
                    </a:blip>
                    <a:srcRect/>
                    <a:stretch>
                      <a:fillRect/>
                    </a:stretch>
                  </pic:blipFill>
                  <pic:spPr bwMode="auto">
                    <a:xfrm>
                      <a:off x="0" y="0"/>
                      <a:ext cx="2232025" cy="2540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-191135</wp:posOffset>
            </wp:positionV>
            <wp:extent cx="223202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91">
                      <a:extLst>
                        <a:ext uri="{28A0092B-C50C-407E-A947-70E740481C1C}"/>
                      </a:extLst>
                    </a:blip>
                    <a:srcRect/>
                    <a:stretch>
                      <a:fillRect/>
                    </a:stretch>
                  </pic:blipFill>
                  <pic:spPr bwMode="auto">
                    <a:xfrm>
                      <a:off x="0" y="0"/>
                      <a:ext cx="2232025" cy="25400"/>
                    </a:xfrm>
                    <a:prstGeom prst="rect">
                      <a:avLst/>
                    </a:prstGeom>
                    <a:noFill/>
                  </pic:spPr>
                </pic:pic>
              </a:graphicData>
            </a:graphic>
          </wp:anchor>
        </w:drawing>
      </w:r>
    </w:p>
    <w:p>
      <w:pPr>
        <w:spacing w:after="0" w:line="247" w:lineRule="auto"/>
        <w:tabs>
          <w:tab w:leader="none" w:pos="171" w:val="left"/>
        </w:tabs>
        <w:numPr>
          <w:ilvl w:val="0"/>
          <w:numId w:val="30"/>
        </w:numPr>
        <w:rPr>
          <w:rFonts w:ascii="Arial" w:cs="Arial" w:eastAsia="Arial" w:hAnsi="Arial"/>
          <w:sz w:val="12"/>
          <w:szCs w:val="12"/>
          <w:color w:val="auto"/>
        </w:rPr>
      </w:pPr>
      <w:r>
        <w:rPr>
          <w:rFonts w:ascii="Arial" w:cs="Arial" w:eastAsia="Arial" w:hAnsi="Arial"/>
          <w:sz w:val="18"/>
          <w:szCs w:val="18"/>
          <w:color w:val="auto"/>
        </w:rPr>
        <w:t>During the year ended December 31, 2025, state and local taxes in New York City and Tennessee comprised greater than 50% of the tax effect in this category.</w:t>
      </w:r>
    </w:p>
    <w:p>
      <w:pPr>
        <w:spacing w:after="0" w:line="1" w:lineRule="exact"/>
        <w:rPr>
          <w:rFonts w:ascii="Arial" w:cs="Arial" w:eastAsia="Arial" w:hAnsi="Arial"/>
          <w:sz w:val="12"/>
          <w:szCs w:val="12"/>
          <w:color w:val="auto"/>
        </w:rPr>
      </w:pPr>
    </w:p>
    <w:p>
      <w:pPr>
        <w:ind w:left="180" w:hanging="180"/>
        <w:spacing w:after="0"/>
        <w:tabs>
          <w:tab w:leader="none" w:pos="180" w:val="left"/>
        </w:tabs>
        <w:numPr>
          <w:ilvl w:val="0"/>
          <w:numId w:val="30"/>
        </w:numPr>
        <w:rPr>
          <w:rFonts w:ascii="Arial" w:cs="Arial" w:eastAsia="Arial" w:hAnsi="Arial"/>
          <w:sz w:val="12"/>
          <w:szCs w:val="12"/>
          <w:color w:val="auto"/>
        </w:rPr>
      </w:pPr>
      <w:r>
        <w:rPr>
          <w:rFonts w:ascii="Arial" w:cs="Arial" w:eastAsia="Arial" w:hAnsi="Arial"/>
          <w:sz w:val="18"/>
          <w:szCs w:val="18"/>
          <w:color w:val="auto"/>
        </w:rPr>
        <w:t>Includes the impact of the global minimum tax under Pillar Two.</w:t>
      </w:r>
    </w:p>
    <w:p>
      <w:pPr>
        <w:spacing w:after="0" w:line="6" w:lineRule="exact"/>
        <w:rPr>
          <w:rFonts w:ascii="Arial" w:cs="Arial" w:eastAsia="Arial" w:hAnsi="Arial"/>
          <w:sz w:val="12"/>
          <w:szCs w:val="12"/>
          <w:color w:val="auto"/>
        </w:rPr>
      </w:pPr>
    </w:p>
    <w:p>
      <w:pPr>
        <w:ind w:left="180" w:hanging="180"/>
        <w:spacing w:after="0"/>
        <w:tabs>
          <w:tab w:leader="none" w:pos="180" w:val="left"/>
        </w:tabs>
        <w:numPr>
          <w:ilvl w:val="0"/>
          <w:numId w:val="30"/>
        </w:numPr>
        <w:rPr>
          <w:rFonts w:ascii="Arial" w:cs="Arial" w:eastAsia="Arial" w:hAnsi="Arial"/>
          <w:sz w:val="12"/>
          <w:szCs w:val="12"/>
          <w:color w:val="auto"/>
        </w:rPr>
      </w:pPr>
      <w:r>
        <w:rPr>
          <w:rFonts w:ascii="Arial" w:cs="Arial" w:eastAsia="Arial" w:hAnsi="Arial"/>
          <w:sz w:val="18"/>
          <w:szCs w:val="18"/>
          <w:color w:val="auto"/>
        </w:rPr>
        <w:t>GILTI and Subpart F, net of Section 250 deduction and Foreign Tax Credits.</w:t>
      </w:r>
    </w:p>
    <w:p>
      <w:pPr>
        <w:spacing w:after="0" w:line="23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is a reconciliation of the U.S. federal statutory rate of 21% to the Company’s effective tax rate prior to the adoption of ASU 2023-09.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1231"/>
              <w:spacing w:after="0"/>
              <w:rPr>
                <w:sz w:val="20"/>
                <w:szCs w:val="20"/>
                <w:color w:val="auto"/>
              </w:rPr>
            </w:pPr>
            <w:r>
              <w:rPr>
                <w:rFonts w:ascii="Arial" w:cs="Arial" w:eastAsia="Arial" w:hAnsi="Arial"/>
                <w:sz w:val="18"/>
                <w:szCs w:val="18"/>
                <w:color w:val="auto"/>
              </w:rPr>
              <w:t>Year ended</w:t>
            </w:r>
          </w:p>
        </w:tc>
      </w:tr>
      <w:tr>
        <w:trPr>
          <w:trHeight w:val="232"/>
        </w:trPr>
        <w:tc>
          <w:tcPr>
            <w:tcW w:w="63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88"/>
              </w:rPr>
              <w:t>December 31, 2024</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8"/>
              </w:rPr>
              <w:t>December 31, 2023</w:t>
            </w:r>
          </w:p>
        </w:tc>
      </w:tr>
      <w:tr>
        <w:trPr>
          <w:trHeight w:val="242"/>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Income tax expense at U.S. statutory rate</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w:t>
            </w:r>
          </w:p>
        </w:tc>
      </w:tr>
      <w:tr>
        <w:trPr>
          <w:trHeight w:val="245"/>
        </w:trPr>
        <w:tc>
          <w:tcPr>
            <w:tcW w:w="6320" w:type="dxa"/>
            <w:vAlign w:val="bottom"/>
          </w:tcPr>
          <w:p>
            <w:pPr>
              <w:ind w:left="60"/>
              <w:spacing w:after="0"/>
              <w:rPr>
                <w:sz w:val="20"/>
                <w:szCs w:val="20"/>
                <w:color w:val="auto"/>
              </w:rPr>
            </w:pPr>
            <w:r>
              <w:rPr>
                <w:rFonts w:ascii="Arial" w:cs="Arial" w:eastAsia="Arial" w:hAnsi="Arial"/>
                <w:sz w:val="18"/>
                <w:szCs w:val="18"/>
                <w:color w:val="auto"/>
              </w:rPr>
              <w:t>Tax rate differential</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Tax holidays</w:t>
            </w:r>
          </w:p>
        </w:tc>
        <w:tc>
          <w:tcPr>
            <w:tcW w:w="1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E6E6E6"/>
          </w:tcPr>
          <w:p>
            <w:pPr>
              <w:spacing w:after="0"/>
              <w:rPr>
                <w:sz w:val="22"/>
                <w:szCs w:val="22"/>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46"/>
        </w:trPr>
        <w:tc>
          <w:tcPr>
            <w:tcW w:w="6320" w:type="dxa"/>
            <w:vAlign w:val="bottom"/>
          </w:tcPr>
          <w:p>
            <w:pPr>
              <w:ind w:left="60"/>
              <w:spacing w:after="0"/>
              <w:rPr>
                <w:sz w:val="20"/>
                <w:szCs w:val="20"/>
                <w:color w:val="auto"/>
              </w:rPr>
            </w:pPr>
            <w:r>
              <w:rPr>
                <w:rFonts w:ascii="Arial" w:cs="Arial" w:eastAsia="Arial" w:hAnsi="Arial"/>
                <w:sz w:val="18"/>
                <w:szCs w:val="18"/>
                <w:color w:val="auto"/>
              </w:rPr>
              <w:t>GILTI &amp; Subpart F income</w:t>
            </w:r>
          </w:p>
        </w:tc>
        <w:tc>
          <w:tcPr>
            <w:tcW w:w="1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6E6E6"/>
          </w:tcPr>
          <w:p>
            <w:pPr>
              <w:spacing w:after="0"/>
              <w:rPr>
                <w:sz w:val="22"/>
                <w:szCs w:val="22"/>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r>
      <w:tr>
        <w:trPr>
          <w:trHeight w:val="246"/>
        </w:trPr>
        <w:tc>
          <w:tcPr>
            <w:tcW w:w="6320" w:type="dxa"/>
            <w:vAlign w:val="bottom"/>
          </w:tcPr>
          <w:p>
            <w:pPr>
              <w:ind w:left="60"/>
              <w:spacing w:after="0"/>
              <w:rPr>
                <w:sz w:val="20"/>
                <w:szCs w:val="20"/>
                <w:color w:val="auto"/>
              </w:rPr>
            </w:pPr>
            <w:r>
              <w:rPr>
                <w:rFonts w:ascii="Arial" w:cs="Arial" w:eastAsia="Arial" w:hAnsi="Arial"/>
                <w:sz w:val="18"/>
                <w:szCs w:val="18"/>
                <w:color w:val="auto"/>
              </w:rPr>
              <w:t>State tax effect</w:t>
            </w:r>
          </w:p>
        </w:tc>
        <w:tc>
          <w:tcPr>
            <w:tcW w:w="1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9"/>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Changes in NOL</w:t>
            </w:r>
          </w:p>
        </w:tc>
        <w:tc>
          <w:tcPr>
            <w:tcW w:w="160" w:type="dxa"/>
            <w:vAlign w:val="bottom"/>
            <w:shd w:val="clear" w:color="auto" w:fill="E6E6E6"/>
          </w:tcPr>
          <w:p>
            <w:pPr>
              <w:spacing w:after="0"/>
              <w:rPr>
                <w:sz w:val="22"/>
                <w:szCs w:val="22"/>
                <w:color w:val="auto"/>
              </w:rPr>
            </w:pPr>
          </w:p>
        </w:tc>
        <w:tc>
          <w:tcPr>
            <w:tcW w:w="160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shd w:val="clear" w:color="auto" w:fill="E6E6E6"/>
          </w:tcPr>
          <w:p>
            <w:pPr>
              <w:spacing w:after="0"/>
              <w:rPr>
                <w:sz w:val="22"/>
                <w:szCs w:val="22"/>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46"/>
        </w:trPr>
        <w:tc>
          <w:tcPr>
            <w:tcW w:w="6320" w:type="dxa"/>
            <w:vAlign w:val="bottom"/>
          </w:tcPr>
          <w:p>
            <w:pPr>
              <w:ind w:left="60"/>
              <w:spacing w:after="0"/>
              <w:rPr>
                <w:sz w:val="20"/>
                <w:szCs w:val="20"/>
                <w:color w:val="auto"/>
              </w:rPr>
            </w:pPr>
            <w:r>
              <w:rPr>
                <w:rFonts w:ascii="Arial" w:cs="Arial" w:eastAsia="Arial" w:hAnsi="Arial"/>
                <w:sz w:val="18"/>
                <w:szCs w:val="18"/>
                <w:color w:val="auto"/>
              </w:rPr>
              <w:t>Nontaxable or non deductible items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7"/>
        </w:trPr>
        <w:tc>
          <w:tcPr>
            <w:tcW w:w="6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E6E6E6"/>
          </w:tcPr>
          <w:p>
            <w:pPr>
              <w:spacing w:after="0"/>
              <w:rPr>
                <w:sz w:val="23"/>
                <w:szCs w:val="23"/>
                <w:color w:val="auto"/>
              </w:rPr>
            </w:pPr>
          </w:p>
        </w:tc>
        <w:tc>
          <w:tcPr>
            <w:tcW w:w="1600" w:type="dxa"/>
            <w:vAlign w:val="bottom"/>
            <w:tcBorders>
              <w:bottom w:val="single" w:sz="8" w:color="auto"/>
            </w:tcBorders>
            <w:shd w:val="clear" w:color="auto" w:fill="E6E6E6"/>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6E6E6"/>
          </w:tcPr>
          <w:p>
            <w:pPr>
              <w:spacing w:after="0"/>
              <w:rPr>
                <w:sz w:val="23"/>
                <w:szCs w:val="23"/>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194"/>
        </w:trPr>
        <w:tc>
          <w:tcPr>
            <w:tcW w:w="63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Income tax expense</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30</w:t>
            </w: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-1633855</wp:posOffset>
            </wp:positionV>
            <wp:extent cx="223202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92">
                      <a:extLst>
                        <a:ext uri="{28A0092B-C50C-407E-A947-70E740481C1C}"/>
                      </a:extLst>
                    </a:blip>
                    <a:srcRect/>
                    <a:stretch>
                      <a:fillRect/>
                    </a:stretch>
                  </pic:blipFill>
                  <pic:spPr bwMode="auto">
                    <a:xfrm>
                      <a:off x="0" y="0"/>
                      <a:ext cx="2232025" cy="2540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-191135</wp:posOffset>
            </wp:positionV>
            <wp:extent cx="223202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93">
                      <a:extLst>
                        <a:ext uri="{28A0092B-C50C-407E-A947-70E740481C1C}"/>
                      </a:extLst>
                    </a:blip>
                    <a:srcRect/>
                    <a:stretch>
                      <a:fillRect/>
                    </a:stretch>
                  </pic:blipFill>
                  <pic:spPr bwMode="auto">
                    <a:xfrm>
                      <a:off x="0" y="0"/>
                      <a:ext cx="2232025" cy="25400"/>
                    </a:xfrm>
                    <a:prstGeom prst="rect">
                      <a:avLst/>
                    </a:prstGeom>
                    <a:noFill/>
                  </pic:spPr>
                </pic:pic>
              </a:graphicData>
            </a:graphic>
          </wp:anchor>
        </w:drawing>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ectPr>
          <w:pgSz w:w="11880" w:h="15480" w:orient="portrait"/>
          <w:cols w:equalWidth="0" w:num="1">
            <w:col w:w="9800"/>
          </w:cols>
          <w:pgMar w:left="1040" w:top="5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116</w:t>
      </w:r>
    </w:p>
    <w:p>
      <w:pPr>
        <w:sectPr>
          <w:pgSz w:w="11880" w:h="15480" w:orient="portrait"/>
          <w:cols w:equalWidth="0" w:num="1">
            <w:col w:w="9800"/>
          </w:cols>
          <w:pgMar w:left="1040" w:top="568" w:right="1040" w:bottom="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59"/>
        </w:trPr>
        <w:tc>
          <w:tcPr>
            <w:tcW w:w="8200" w:type="dxa"/>
            <w:vAlign w:val="bottom"/>
          </w:tcPr>
          <w:p>
            <w:pPr>
              <w:ind w:left="4240"/>
              <w:spacing w:after="0"/>
              <w:rPr>
                <w:sz w:val="20"/>
                <w:szCs w:val="20"/>
                <w:color w:val="auto"/>
              </w:rPr>
            </w:pPr>
            <w:r>
              <w:rPr>
                <w:rFonts w:ascii="Arial" w:cs="Arial" w:eastAsia="Arial" w:hAnsi="Arial"/>
                <w:sz w:val="20"/>
                <w:szCs w:val="20"/>
                <w:color w:val="auto"/>
              </w:rPr>
              <w:t>MEDLINE INC.</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5"/>
        </w:trPr>
        <w:tc>
          <w:tcPr>
            <w:tcW w:w="8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481"/>
        </w:trPr>
        <w:tc>
          <w:tcPr>
            <w:tcW w:w="8200" w:type="dxa"/>
            <w:vAlign w:val="bottom"/>
          </w:tcPr>
          <w:p>
            <w:pPr>
              <w:spacing w:after="0"/>
              <w:rPr>
                <w:sz w:val="20"/>
                <w:szCs w:val="20"/>
                <w:color w:val="auto"/>
              </w:rPr>
            </w:pPr>
            <w:r>
              <w:rPr>
                <w:rFonts w:ascii="Arial" w:cs="Arial" w:eastAsia="Arial" w:hAnsi="Arial"/>
                <w:sz w:val="20"/>
                <w:szCs w:val="20"/>
                <w:b w:val="1"/>
                <w:bCs w:val="1"/>
                <w:color w:val="auto"/>
              </w:rPr>
              <w:t>NOTE 12 - INCOME TAXES (Continued)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3"/>
        </w:trPr>
        <w:tc>
          <w:tcPr>
            <w:tcW w:w="8200" w:type="dxa"/>
            <w:vAlign w:val="bottom"/>
          </w:tcPr>
          <w:p>
            <w:pPr>
              <w:spacing w:after="0"/>
              <w:rPr>
                <w:sz w:val="20"/>
                <w:szCs w:val="20"/>
                <w:color w:val="auto"/>
              </w:rPr>
            </w:pPr>
            <w:r>
              <w:rPr>
                <w:rFonts w:ascii="Arial" w:cs="Arial" w:eastAsia="Arial" w:hAnsi="Arial"/>
                <w:sz w:val="20"/>
                <w:szCs w:val="20"/>
                <w:color w:val="auto"/>
              </w:rPr>
              <w:t>Cash paid, net of refunds received, for income taxes consisted of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8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8"/>
              </w:rPr>
              <w:t>Year ended</w:t>
            </w:r>
          </w:p>
        </w:tc>
        <w:tc>
          <w:tcPr>
            <w:tcW w:w="80" w:type="dxa"/>
            <w:vAlign w:val="bottom"/>
          </w:tcPr>
          <w:p>
            <w:pPr>
              <w:spacing w:after="0"/>
              <w:rPr>
                <w:sz w:val="24"/>
                <w:szCs w:val="24"/>
                <w:color w:val="auto"/>
              </w:rPr>
            </w:pPr>
          </w:p>
        </w:tc>
      </w:tr>
      <w:tr>
        <w:trPr>
          <w:trHeight w:val="232"/>
        </w:trPr>
        <w:tc>
          <w:tcPr>
            <w:tcW w:w="820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2025</w:t>
            </w:r>
          </w:p>
        </w:tc>
        <w:tc>
          <w:tcPr>
            <w:tcW w:w="80" w:type="dxa"/>
            <w:vAlign w:val="bottom"/>
          </w:tcPr>
          <w:p>
            <w:pPr>
              <w:spacing w:after="0"/>
              <w:rPr>
                <w:sz w:val="20"/>
                <w:szCs w:val="20"/>
                <w:color w:val="auto"/>
              </w:rPr>
            </w:pPr>
          </w:p>
        </w:tc>
      </w:tr>
      <w:tr>
        <w:trPr>
          <w:trHeight w:val="242"/>
        </w:trPr>
        <w:tc>
          <w:tcPr>
            <w:tcW w:w="8200" w:type="dxa"/>
            <w:vAlign w:val="bottom"/>
            <w:shd w:val="clear" w:color="auto" w:fill="E6E6E6"/>
          </w:tcPr>
          <w:p>
            <w:pPr>
              <w:ind w:left="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45"/>
        </w:trPr>
        <w:tc>
          <w:tcPr>
            <w:tcW w:w="8200" w:type="dxa"/>
            <w:vAlign w:val="bottom"/>
          </w:tcPr>
          <w:p>
            <w:pPr>
              <w:ind w:left="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r>
      <w:tr>
        <w:trPr>
          <w:trHeight w:val="259"/>
        </w:trPr>
        <w:tc>
          <w:tcPr>
            <w:tcW w:w="8200" w:type="dxa"/>
            <w:vAlign w:val="bottom"/>
            <w:shd w:val="clear" w:color="auto" w:fill="E6E6E6"/>
          </w:tcPr>
          <w:p>
            <w:pPr>
              <w:ind w:left="6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80" w:type="dxa"/>
            <w:vAlign w:val="bottom"/>
          </w:tcPr>
          <w:p>
            <w:pPr>
              <w:spacing w:after="0"/>
              <w:rPr>
                <w:sz w:val="22"/>
                <w:szCs w:val="22"/>
                <w:color w:val="auto"/>
              </w:rPr>
            </w:pPr>
          </w:p>
        </w:tc>
      </w:tr>
      <w:tr>
        <w:trPr>
          <w:trHeight w:val="246"/>
        </w:trPr>
        <w:tc>
          <w:tcPr>
            <w:tcW w:w="8200" w:type="dxa"/>
            <w:vAlign w:val="bottom"/>
          </w:tcPr>
          <w:p>
            <w:pPr>
              <w:ind w:left="18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9"/>
        </w:trPr>
        <w:tc>
          <w:tcPr>
            <w:tcW w:w="8200" w:type="dxa"/>
            <w:vAlign w:val="bottom"/>
            <w:shd w:val="clear" w:color="auto" w:fill="E6E6E6"/>
          </w:tcPr>
          <w:p>
            <w:pPr>
              <w:ind w:left="40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E6E6E6"/>
          </w:tcPr>
          <w:p>
            <w:pPr>
              <w:spacing w:after="0"/>
              <w:rPr>
                <w:sz w:val="22"/>
                <w:szCs w:val="22"/>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r>
      <w:tr>
        <w:trPr>
          <w:trHeight w:val="246"/>
        </w:trPr>
        <w:tc>
          <w:tcPr>
            <w:tcW w:w="8200" w:type="dxa"/>
            <w:vAlign w:val="bottom"/>
          </w:tcPr>
          <w:p>
            <w:pPr>
              <w:ind w:left="400"/>
              <w:spacing w:after="0"/>
              <w:rPr>
                <w:sz w:val="20"/>
                <w:szCs w:val="20"/>
                <w:color w:val="auto"/>
              </w:rPr>
            </w:pPr>
            <w:r>
              <w:rPr>
                <w:rFonts w:ascii="Arial" w:cs="Arial" w:eastAsia="Arial" w:hAnsi="Arial"/>
                <w:sz w:val="18"/>
                <w:szCs w:val="18"/>
                <w:color w:val="auto"/>
              </w:rPr>
              <w:t>Territories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59"/>
        </w:trPr>
        <w:tc>
          <w:tcPr>
            <w:tcW w:w="82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Mexico</w:t>
            </w:r>
          </w:p>
        </w:tc>
        <w:tc>
          <w:tcPr>
            <w:tcW w:w="240" w:type="dxa"/>
            <w:vAlign w:val="bottom"/>
            <w:shd w:val="clear" w:color="auto" w:fill="E6E6E6"/>
          </w:tcPr>
          <w:p>
            <w:pPr>
              <w:spacing w:after="0"/>
              <w:rPr>
                <w:sz w:val="22"/>
                <w:szCs w:val="22"/>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r>
      <w:tr>
        <w:trPr>
          <w:trHeight w:val="246"/>
        </w:trPr>
        <w:tc>
          <w:tcPr>
            <w:tcW w:w="8200" w:type="dxa"/>
            <w:vAlign w:val="bottom"/>
          </w:tcPr>
          <w:p>
            <w:pPr>
              <w:ind w:left="180"/>
              <w:spacing w:after="0"/>
              <w:rPr>
                <w:sz w:val="20"/>
                <w:szCs w:val="20"/>
                <w:color w:val="auto"/>
              </w:rPr>
            </w:pPr>
            <w:r>
              <w:rPr>
                <w:rFonts w:ascii="Arial" w:cs="Arial" w:eastAsia="Arial" w:hAnsi="Arial"/>
                <w:sz w:val="18"/>
                <w:szCs w:val="18"/>
                <w:color w:val="auto"/>
              </w:rPr>
              <w:t>Netherlands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r>
      <w:tr>
        <w:trPr>
          <w:trHeight w:val="267"/>
        </w:trPr>
        <w:tc>
          <w:tcPr>
            <w:tcW w:w="82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6E6E6"/>
          </w:tcPr>
          <w:p>
            <w:pPr>
              <w:spacing w:after="0"/>
              <w:rPr>
                <w:sz w:val="23"/>
                <w:szCs w:val="23"/>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r>
      <w:tr>
        <w:trPr>
          <w:trHeight w:val="194"/>
        </w:trPr>
        <w:tc>
          <w:tcPr>
            <w:tcW w:w="8200" w:type="dxa"/>
            <w:vAlign w:val="bottom"/>
          </w:tcPr>
          <w:p>
            <w:pPr>
              <w:ind w:left="60"/>
              <w:spacing w:after="0" w:line="19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6"/>
                <w:szCs w:val="16"/>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-1633855</wp:posOffset>
            </wp:positionV>
            <wp:extent cx="9969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4">
                      <a:extLst>
                        <a:ext uri="{28A0092B-C50C-407E-A947-70E740481C1C}"/>
                      </a:extLst>
                    </a:blip>
                    <a:srcRect/>
                    <a:stretch>
                      <a:fillRect/>
                    </a:stretch>
                  </pic:blipFill>
                  <pic:spPr bwMode="auto">
                    <a:xfrm>
                      <a:off x="0" y="0"/>
                      <a:ext cx="996950" cy="25400"/>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-191135</wp:posOffset>
            </wp:positionV>
            <wp:extent cx="9969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95">
                      <a:extLst>
                        <a:ext uri="{28A0092B-C50C-407E-A947-70E740481C1C}"/>
                      </a:extLst>
                    </a:blip>
                    <a:srcRect/>
                    <a:stretch>
                      <a:fillRect/>
                    </a:stretch>
                  </pic:blipFill>
                  <pic:spPr bwMode="auto">
                    <a:xfrm>
                      <a:off x="0" y="0"/>
                      <a:ext cx="996950" cy="2540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Holidays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receives tax holidays as a result of Free Trade Zones in United Arab Emirates, Panama, and the Dominican Republic. The financial impact of the reductions as compared to the statutory tax rate is indicated in the income tax expense reconciliation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Examinations of Tax Returns</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 currently files income tax returns in the U.S. and all foreign jurisdictions in which it has entities, which are periodically under audit by federal, state, and foreign tax authorities. As of December 31, 2025, the Company had ongoing audits in the U.S. for tax year 2021 and in Canada, Germany, India, Italy, Vietnam, and other jurisdictions for the tax years</w:t>
      </w:r>
    </w:p>
    <w:p>
      <w:pPr>
        <w:spacing w:after="0" w:line="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2014 through 2024</w:t>
      </w:r>
      <w:r>
        <w:rPr>
          <w:rFonts w:ascii="Arial" w:cs="Arial" w:eastAsia="Arial" w:hAnsi="Arial"/>
          <w:sz w:val="21"/>
          <w:szCs w:val="21"/>
          <w:b w:val="1"/>
          <w:bCs w:val="1"/>
          <w:color w:val="auto"/>
        </w:rPr>
        <w:t>.</w:t>
      </w:r>
      <w:r>
        <w:rPr>
          <w:rFonts w:ascii="Arial" w:cs="Arial" w:eastAsia="Arial" w:hAnsi="Arial"/>
          <w:sz w:val="18"/>
          <w:szCs w:val="18"/>
          <w:color w:val="auto"/>
        </w:rPr>
        <w:t xml:space="preserve"> While the final outcome of these matters is inherently uncertain, the Company does not believe that any of these pose a material risk to the consolidated financial statements. During 2025, the Company closed audits in the U.S., India, and Switzerland, with no material adjustments to the Company’s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Matters</w:t>
      </w:r>
    </w:p>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Starting in January 2019, the Company was named as a defendant in mass tort litigation in Cook County, Illinois involving claims by approximately 380 plaintiffs that allege personal injuries associated with the Company’s EtO activities in Lake County, Illinois. In October 2023, the Company agreed to settlement with all but 5 existing plaintiffs. The group settlement was finalized in March 2025 (the “EtO settlements”).</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of December 31, 2025, there was no outstanding liability related to the EtO settlements. As of December 31, 2024, the outstanding liability related to the EtO settlements was $174 million, which was reduced to $166 million in the first quarter of 2025. The reduction in the liability was recorded in Other operating expenses in the Consolidated Statements of Comprehensive Income for the year ended December 31, 2025. In the second quarter of 2025, the Company made total cash payments of $166 million, of which $47 million was released from escrow deposited in 2024.</w:t>
      </w:r>
    </w:p>
    <w:p>
      <w:pPr>
        <w:sectPr>
          <w:pgSz w:w="11880" w:h="15480" w:orient="portrait"/>
          <w:cols w:equalWidth="0" w:num="1">
            <w:col w:w="9800"/>
          </w:cols>
          <w:pgMar w:left="1040" w:top="5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117</w:t>
      </w:r>
    </w:p>
    <w:p>
      <w:pPr>
        <w:sectPr>
          <w:pgSz w:w="11880" w:h="15480" w:orient="portrait"/>
          <w:cols w:equalWidth="0" w:num="1">
            <w:col w:w="9800"/>
          </w:cols>
          <w:pgMar w:left="1040" w:top="568" w:right="104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COMMITMENTS AND CONTINGENCIES (Continued)</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there were no outstanding receivables with the primary insurance carriers for recovery of the EtO settlements. As of December 31, 2024, the Company carried receivables of $10 million related to agreements with the primary insurance carriers for recovery of the EtO settlements. The Company is actively pursuing litigation with its excess insurance carriers related to their obligations to reimburse the Company for substantially all remaining settlement payments in connection with the lawsuits described above. The Company has not recorded a receivable for expected recoveries of the remaining settlement payments from excess insurance carriers as of December 31, 2025.</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March 2025, the Company reached a legal settlement related to an intellectual property dispute with a third party and recorded gains of $43 million for the year ended December 31, 2025, in Selling, general and administrative expenses in the Consolidated Statements of Comprehensive Income.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May 2023, the Company received a letter from the San Joaquin County District Attorney's Office, in cooperation with certain other California District Attorneys, notifying the Company of an investigation into alleged violations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management and disposal of hazardous waste, medical waste and universal waste at its California facilities.</w:t>
      </w:r>
    </w:p>
    <w:p>
      <w:pPr>
        <w:spacing w:after="0" w:line="7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On February 17, 2026, the Company met with the County Attorneys to discuss the matter. While the Company cannot predict the ultimate outcome of this matter, the potential for penalties or settlement costs is likely to exceed $300,000. Although the Company does not believe that this matter will have a material adverse effect on the Company’s consolidated financial statements, the Company can provide no assurance as to the scope and outcome of this matter.</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Based on current knowledge and the advice of legal counsel, management believes that the reserve as of December 31, 2025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Unconditional purchase obligations</w:t>
      </w:r>
    </w:p>
    <w:p>
      <w:pPr>
        <w:spacing w:after="0" w:line="25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$207 million, $274 million and $212 million for the years ended December 31, 2025, 2024 and 2023, respectively</w:t>
      </w:r>
      <w:r>
        <w:rPr>
          <w:rFonts w:ascii="Arial" w:cs="Arial" w:eastAsia="Arial" w:hAnsi="Arial"/>
          <w:sz w:val="19"/>
          <w:szCs w:val="19"/>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future payments related to commitments over the next five years and thereafter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460" w:type="dxa"/>
            <w:vAlign w:val="bottom"/>
          </w:tcPr>
          <w:p>
            <w:pPr>
              <w:spacing w:after="0"/>
              <w:rPr>
                <w:sz w:val="20"/>
                <w:szCs w:val="20"/>
                <w:color w:val="auto"/>
              </w:rPr>
            </w:pPr>
          </w:p>
        </w:tc>
        <w:tc>
          <w:tcPr>
            <w:tcW w:w="1400" w:type="dxa"/>
            <w:vAlign w:val="bottom"/>
            <w:vMerge w:val="restart"/>
          </w:tcPr>
          <w:p>
            <w:pPr>
              <w:jc w:val="right"/>
              <w:ind w:right="63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72"/>
        </w:trPr>
        <w:tc>
          <w:tcPr>
            <w:tcW w:w="7940" w:type="dxa"/>
            <w:vAlign w:val="bottom"/>
            <w:tcBorders>
              <w:bottom w:val="single" w:sz="8" w:color="E6E6E6"/>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79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E6E6E6"/>
          </w:tcPr>
          <w:p>
            <w:pPr>
              <w:jc w:val="right"/>
              <w:ind w:right="2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05"/>
        </w:trPr>
        <w:tc>
          <w:tcPr>
            <w:tcW w:w="7940" w:type="dxa"/>
            <w:vAlign w:val="bottom"/>
          </w:tcPr>
          <w:p>
            <w:pPr>
              <w:ind w:left="6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19"/>
        </w:trPr>
        <w:tc>
          <w:tcPr>
            <w:tcW w:w="79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E6E6E6"/>
          </w:tcPr>
          <w:p>
            <w:pPr>
              <w:spacing w:after="0"/>
              <w:rPr>
                <w:sz w:val="24"/>
                <w:szCs w:val="24"/>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305"/>
        </w:trPr>
        <w:tc>
          <w:tcPr>
            <w:tcW w:w="7940" w:type="dxa"/>
            <w:vAlign w:val="bottom"/>
          </w:tcPr>
          <w:p>
            <w:pPr>
              <w:ind w:left="60"/>
              <w:spacing w:after="0"/>
              <w:rPr>
                <w:sz w:val="20"/>
                <w:szCs w:val="20"/>
                <w:color w:val="auto"/>
              </w:rPr>
            </w:pPr>
            <w:r>
              <w:rPr>
                <w:rFonts w:ascii="Arial" w:cs="Arial" w:eastAsia="Arial" w:hAnsi="Arial"/>
                <w:sz w:val="18"/>
                <w:szCs w:val="18"/>
                <w:color w:val="auto"/>
              </w:rPr>
              <w:t>2029</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19"/>
        </w:trPr>
        <w:tc>
          <w:tcPr>
            <w:tcW w:w="7940" w:type="dxa"/>
            <w:vAlign w:val="bottom"/>
            <w:shd w:val="clear" w:color="auto" w:fill="E6E6E6"/>
          </w:tcPr>
          <w:p>
            <w:pPr>
              <w:ind w:left="60"/>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E6E6E6"/>
          </w:tcPr>
          <w:p>
            <w:pPr>
              <w:spacing w:after="0"/>
              <w:rPr>
                <w:sz w:val="24"/>
                <w:szCs w:val="24"/>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02"/>
        </w:trPr>
        <w:tc>
          <w:tcPr>
            <w:tcW w:w="794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2"/>
        </w:trPr>
        <w:tc>
          <w:tcPr>
            <w:tcW w:w="79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-1417320</wp:posOffset>
            </wp:positionV>
            <wp:extent cx="120396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96">
                      <a:extLst>
                        <a:ext uri="{28A0092B-C50C-407E-A947-70E740481C1C}"/>
                      </a:extLst>
                    </a:blip>
                    <a:srcRect/>
                    <a:stretch>
                      <a:fillRect/>
                    </a:stretch>
                  </pic:blipFill>
                  <pic:spPr bwMode="auto">
                    <a:xfrm>
                      <a:off x="0" y="0"/>
                      <a:ext cx="1203960" cy="2540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-229235</wp:posOffset>
            </wp:positionV>
            <wp:extent cx="120396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7">
                      <a:extLst>
                        <a:ext uri="{28A0092B-C50C-407E-A947-70E740481C1C}"/>
                      </a:extLst>
                    </a:blip>
                    <a:srcRect/>
                    <a:stretch>
                      <a:fillRect/>
                    </a:stretch>
                  </pic:blipFill>
                  <pic:spPr bwMode="auto">
                    <a:xfrm>
                      <a:off x="0" y="0"/>
                      <a:ext cx="1203960" cy="2540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-43815</wp:posOffset>
            </wp:positionV>
            <wp:extent cx="1203960"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98">
                      <a:extLst>
                        <a:ext uri="{28A0092B-C50C-407E-A947-70E740481C1C}"/>
                      </a:extLst>
                    </a:blip>
                    <a:srcRect/>
                    <a:stretch>
                      <a:fillRect/>
                    </a:stretch>
                  </pic:blipFill>
                  <pic:spPr bwMode="auto">
                    <a:xfrm>
                      <a:off x="0" y="0"/>
                      <a:ext cx="1203960" cy="508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118</w:t>
      </w:r>
    </w:p>
    <w:p>
      <w:pPr>
        <w:sectPr>
          <w:pgSz w:w="11880" w:h="15480" w:orient="portrait"/>
          <w:cols w:equalWidth="0" w:num="1">
            <w:col w:w="9800"/>
          </w:cols>
          <w:pgMar w:left="1040" w:top="637" w:right="104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147955</wp:posOffset>
                </wp:positionV>
                <wp:extent cx="622300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65pt" to="490pt,11.65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FAIR VALUE MEASUREMENTS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descriptions of the valuation methods and assumptions used by the Company to estimate the fair values of investments apply to all investments held directly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Contracts</w:t>
      </w:r>
    </w:p>
    <w:p>
      <w:pPr>
        <w:spacing w:after="0" w:line="25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Company incorporates credit valuation adjustments to appropriately reflect both the Company’s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December 31, 2025 and 2024 were classified as Level 2 of the fair value hierarchy.</w:t>
      </w:r>
    </w:p>
    <w:p>
      <w:pPr>
        <w:spacing w:after="0" w:line="13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See Note 15—Derivatives and Hedging Activities Risk Management for additional information regarding interest rate contracts.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Acquisition-Related Contingent Consideration</w:t>
      </w:r>
    </w:p>
    <w:p>
      <w:pPr>
        <w:spacing w:after="0" w:line="25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2—Acquisitions for additional information regarding the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 are summarized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631"/>
              <w:spacing w:after="0"/>
              <w:rPr>
                <w:sz w:val="20"/>
                <w:szCs w:val="20"/>
                <w:color w:val="auto"/>
              </w:rPr>
            </w:pPr>
            <w:r>
              <w:rPr>
                <w:rFonts w:ascii="Arial" w:cs="Arial" w:eastAsia="Arial" w:hAnsi="Arial"/>
                <w:sz w:val="18"/>
                <w:szCs w:val="18"/>
                <w:color w:val="auto"/>
              </w:rPr>
              <w:t>December 31, 2025</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8"/>
                <w:szCs w:val="18"/>
                <w:color w:val="auto"/>
                <w:w w:val="94"/>
              </w:rPr>
              <w:t>Basis of fair value measurement</w:t>
            </w: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Quoted prices in</w:t>
            </w:r>
          </w:p>
        </w:tc>
        <w:tc>
          <w:tcPr>
            <w:tcW w:w="6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94"/>
              </w:rPr>
              <w:t>active markets for</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observable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51"/>
              <w:spacing w:after="0"/>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42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18"/>
                <w:szCs w:val="18"/>
                <w:color w:val="auto"/>
              </w:rPr>
            </w:pPr>
          </w:p>
        </w:tc>
        <w:tc>
          <w:tcPr>
            <w:tcW w:w="1280" w:type="dxa"/>
            <w:vAlign w:val="bottom"/>
          </w:tcPr>
          <w:p>
            <w:pPr>
              <w:jc w:val="center"/>
              <w:ind w:right="51"/>
              <w:spacing w:after="0"/>
              <w:rPr>
                <w:sz w:val="20"/>
                <w:szCs w:val="20"/>
                <w:color w:val="auto"/>
              </w:rPr>
            </w:pPr>
            <w:r>
              <w:rPr>
                <w:rFonts w:ascii="Arial" w:cs="Arial" w:eastAsia="Arial" w:hAnsi="Arial"/>
                <w:sz w:val="18"/>
                <w:szCs w:val="18"/>
                <w:color w:val="auto"/>
                <w:w w:val="86"/>
              </w:rPr>
              <w:t>identical assets</w:t>
            </w:r>
          </w:p>
        </w:tc>
        <w:tc>
          <w:tcPr>
            <w:tcW w:w="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inputs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1"/>
              <w:spacing w:after="0"/>
              <w:rPr>
                <w:sz w:val="20"/>
                <w:szCs w:val="20"/>
                <w:color w:val="auto"/>
              </w:rPr>
            </w:pPr>
            <w:r>
              <w:rPr>
                <w:rFonts w:ascii="Arial" w:cs="Arial" w:eastAsia="Arial" w:hAnsi="Arial"/>
                <w:sz w:val="18"/>
                <w:szCs w:val="18"/>
                <w:color w:val="auto"/>
                <w:w w:val="88"/>
              </w:rPr>
              <w:t>unobservable</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E6E6E6"/>
            </w:tcBorders>
          </w:tcPr>
          <w:p>
            <w:pPr>
              <w:spacing w:after="0"/>
              <w:rPr>
                <w:sz w:val="20"/>
                <w:szCs w:val="20"/>
                <w:color w:val="auto"/>
              </w:rPr>
            </w:pPr>
          </w:p>
        </w:tc>
        <w:tc>
          <w:tcPr>
            <w:tcW w:w="4200" w:type="dxa"/>
            <w:vAlign w:val="bottom"/>
            <w:tcBorders>
              <w:bottom w:val="single" w:sz="8" w:color="E6E6E6"/>
            </w:tcBorders>
            <w:gridSpan w:val="4"/>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4"/>
              </w:rPr>
              <w:t>(Level 1)</w:t>
            </w: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inputs (Level 3)</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9"/>
              </w:rPr>
              <w:t>Carrying value</w:t>
            </w:r>
          </w:p>
        </w:tc>
        <w:tc>
          <w:tcPr>
            <w:tcW w:w="0" w:type="dxa"/>
            <w:vAlign w:val="bottom"/>
          </w:tcPr>
          <w:p>
            <w:pPr>
              <w:spacing w:after="0"/>
              <w:rPr>
                <w:sz w:val="1"/>
                <w:szCs w:val="1"/>
                <w:color w:val="auto"/>
              </w:rPr>
            </w:pPr>
          </w:p>
        </w:tc>
      </w:tr>
      <w:tr>
        <w:trPr>
          <w:trHeight w:val="219"/>
        </w:trPr>
        <w:tc>
          <w:tcPr>
            <w:tcW w:w="60" w:type="dxa"/>
            <w:vAlign w:val="bottom"/>
            <w:shd w:val="clear" w:color="auto" w:fill="E6E6E6"/>
          </w:tcPr>
          <w:p>
            <w:pPr>
              <w:spacing w:after="0"/>
              <w:rPr>
                <w:sz w:val="19"/>
                <w:szCs w:val="19"/>
                <w:color w:val="auto"/>
              </w:rPr>
            </w:pPr>
          </w:p>
        </w:tc>
        <w:tc>
          <w:tcPr>
            <w:tcW w:w="4200" w:type="dxa"/>
            <w:vAlign w:val="bottom"/>
            <w:gridSpan w:val="4"/>
            <w:shd w:val="clear" w:color="auto" w:fill="E6E6E6"/>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56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 w:type="dxa"/>
            <w:vAlign w:val="bottom"/>
            <w:tcBorders>
              <w:top w:val="single" w:sz="8" w:color="E6E6E6"/>
            </w:tcBorders>
            <w:shd w:val="clear" w:color="auto" w:fill="E6E6E6"/>
          </w:tcPr>
          <w:p>
            <w:pPr>
              <w:spacing w:after="0"/>
              <w:rPr>
                <w:sz w:val="2"/>
                <w:szCs w:val="2"/>
                <w:color w:val="auto"/>
              </w:rPr>
            </w:pPr>
          </w:p>
        </w:tc>
        <w:tc>
          <w:tcPr>
            <w:tcW w:w="1180" w:type="dxa"/>
            <w:vAlign w:val="bottom"/>
            <w:tcBorders>
              <w:top w:val="single" w:sz="8" w:color="auto"/>
            </w:tcBorders>
            <w:shd w:val="clear" w:color="auto" w:fill="E6E6E6"/>
          </w:tcPr>
          <w:p>
            <w:pPr>
              <w:spacing w:after="0"/>
              <w:rPr>
                <w:sz w:val="2"/>
                <w:szCs w:val="2"/>
                <w:color w:val="auto"/>
              </w:rPr>
            </w:pPr>
          </w:p>
        </w:tc>
        <w:tc>
          <w:tcPr>
            <w:tcW w:w="260" w:type="dxa"/>
            <w:vAlign w:val="bottom"/>
            <w:tcBorders>
              <w:top w:val="single" w:sz="8" w:color="E6E6E6"/>
            </w:tcBorders>
            <w:shd w:val="clear" w:color="auto" w:fill="E6E6E6"/>
          </w:tcPr>
          <w:p>
            <w:pPr>
              <w:spacing w:after="0"/>
              <w:rPr>
                <w:sz w:val="2"/>
                <w:szCs w:val="2"/>
                <w:color w:val="auto"/>
              </w:rPr>
            </w:pPr>
          </w:p>
        </w:tc>
        <w:tc>
          <w:tcPr>
            <w:tcW w:w="2740" w:type="dxa"/>
            <w:vAlign w:val="bottom"/>
            <w:tcBorders>
              <w:top w:val="single" w:sz="8" w:color="E6E6E6"/>
            </w:tcBorders>
            <w:shd w:val="clear" w:color="auto" w:fill="E6E6E6"/>
          </w:tcPr>
          <w:p>
            <w:pPr>
              <w:spacing w:after="0"/>
              <w:rPr>
                <w:sz w:val="2"/>
                <w:szCs w:val="2"/>
                <w:color w:val="auto"/>
              </w:rPr>
            </w:pPr>
          </w:p>
        </w:tc>
        <w:tc>
          <w:tcPr>
            <w:tcW w:w="20" w:type="dxa"/>
            <w:vAlign w:val="bottom"/>
            <w:tcBorders>
              <w:top w:val="single" w:sz="8" w:color="E6E6E6"/>
            </w:tcBorders>
            <w:shd w:val="clear" w:color="auto" w:fill="E6E6E6"/>
          </w:tcPr>
          <w:p>
            <w:pPr>
              <w:spacing w:after="0"/>
              <w:rPr>
                <w:sz w:val="2"/>
                <w:szCs w:val="2"/>
                <w:color w:val="auto"/>
              </w:rPr>
            </w:pPr>
          </w:p>
        </w:tc>
        <w:tc>
          <w:tcPr>
            <w:tcW w:w="140" w:type="dxa"/>
            <w:vAlign w:val="bottom"/>
            <w:tcBorders>
              <w:top w:val="single" w:sz="8" w:color="E6E6E6"/>
            </w:tcBorders>
            <w:shd w:val="clear" w:color="auto" w:fill="E6E6E6"/>
          </w:tcPr>
          <w:p>
            <w:pPr>
              <w:spacing w:after="0"/>
              <w:rPr>
                <w:sz w:val="2"/>
                <w:szCs w:val="2"/>
                <w:color w:val="auto"/>
              </w:rPr>
            </w:pPr>
          </w:p>
        </w:tc>
        <w:tc>
          <w:tcPr>
            <w:tcW w:w="128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080" w:type="dxa"/>
            <w:vAlign w:val="bottom"/>
            <w:tcBorders>
              <w:top w:val="single" w:sz="8" w:color="E6E6E6"/>
            </w:tcBorders>
            <w:shd w:val="clear" w:color="auto" w:fill="E6E6E6"/>
          </w:tcPr>
          <w:p>
            <w:pPr>
              <w:spacing w:after="0"/>
              <w:rPr>
                <w:sz w:val="2"/>
                <w:szCs w:val="2"/>
                <w:color w:val="auto"/>
              </w:rPr>
            </w:pPr>
          </w:p>
        </w:tc>
        <w:tc>
          <w:tcPr>
            <w:tcW w:w="28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60" w:type="dxa"/>
            <w:vAlign w:val="bottom"/>
            <w:tcBorders>
              <w:top w:val="single" w:sz="8" w:color="E6E6E6"/>
            </w:tcBorders>
            <w:shd w:val="clear" w:color="auto" w:fill="E6E6E6"/>
          </w:tcPr>
          <w:p>
            <w:pPr>
              <w:spacing w:after="0"/>
              <w:rPr>
                <w:sz w:val="2"/>
                <w:szCs w:val="2"/>
                <w:color w:val="auto"/>
              </w:rPr>
            </w:pPr>
          </w:p>
        </w:tc>
        <w:tc>
          <w:tcPr>
            <w:tcW w:w="11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560" w:type="dxa"/>
            <w:vAlign w:val="bottom"/>
            <w:tcBorders>
              <w:top w:val="single" w:sz="8" w:color="E6E6E6"/>
            </w:tcBorders>
            <w:shd w:val="clear" w:color="auto" w:fill="E6E6E6"/>
          </w:tcPr>
          <w:p>
            <w:pPr>
              <w:spacing w:after="0"/>
              <w:rPr>
                <w:sz w:val="2"/>
                <w:szCs w:val="2"/>
                <w:color w:val="auto"/>
              </w:rPr>
            </w:pPr>
          </w:p>
        </w:tc>
        <w:tc>
          <w:tcPr>
            <w:tcW w:w="740" w:type="dxa"/>
            <w:vAlign w:val="bottom"/>
            <w:tcBorders>
              <w:top w:val="single" w:sz="8" w:color="E6E6E6"/>
            </w:tcBorders>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 w:type="dxa"/>
            <w:vAlign w:val="bottom"/>
          </w:tcPr>
          <w:p>
            <w:pPr>
              <w:spacing w:after="0"/>
              <w:rPr>
                <w:sz w:val="23"/>
                <w:szCs w:val="23"/>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Derivative Assets</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 w:type="dxa"/>
            <w:vAlign w:val="bottom"/>
            <w:tcBorders>
              <w:bottom w:val="single" w:sz="8" w:color="E6E6E6"/>
            </w:tcBorders>
            <w:shd w:val="clear" w:color="auto" w:fill="E6E6E6"/>
          </w:tcPr>
          <w:p>
            <w:pPr>
              <w:spacing w:after="0"/>
              <w:rPr>
                <w:sz w:val="23"/>
                <w:szCs w:val="23"/>
                <w:color w:val="auto"/>
              </w:rPr>
            </w:pPr>
          </w:p>
        </w:tc>
        <w:tc>
          <w:tcPr>
            <w:tcW w:w="4200" w:type="dxa"/>
            <w:vAlign w:val="bottom"/>
            <w:tcBorders>
              <w:bottom w:val="single" w:sz="8" w:color="E6E6E6"/>
            </w:tcBorders>
            <w:gridSpan w:val="4"/>
            <w:shd w:val="clear" w:color="auto" w:fill="E6E6E6"/>
          </w:tcPr>
          <w:p>
            <w:pPr>
              <w:ind w:left="160"/>
              <w:spacing w:after="0"/>
              <w:rPr>
                <w:sz w:val="20"/>
                <w:szCs w:val="20"/>
                <w:color w:val="auto"/>
              </w:rPr>
            </w:pPr>
            <w:r>
              <w:rPr>
                <w:rFonts w:ascii="Arial" w:cs="Arial" w:eastAsia="Arial" w:hAnsi="Arial"/>
                <w:sz w:val="18"/>
                <w:szCs w:val="18"/>
                <w:color w:val="auto"/>
              </w:rPr>
              <w:t>Interest rate contracts (hedge)</w:t>
            </w: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ind w:right="8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89"/>
              </w:rPr>
              <w:t>36</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560" w:type="dxa"/>
            <w:vAlign w:val="bottom"/>
            <w:tcBorders>
              <w:bottom w:val="single" w:sz="8" w:color="auto"/>
            </w:tcBorders>
            <w:shd w:val="clear" w:color="auto" w:fill="E6E6E6"/>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9"/>
        </w:trPr>
        <w:tc>
          <w:tcPr>
            <w:tcW w:w="60" w:type="dxa"/>
            <w:vAlign w:val="bottom"/>
            <w:tcBorders>
              <w:top w:val="single" w:sz="8" w:color="E6E6E6"/>
            </w:tcBorders>
            <w:shd w:val="clear" w:color="auto" w:fill="E6E6E6"/>
          </w:tcPr>
          <w:p>
            <w:pPr>
              <w:spacing w:after="0"/>
              <w:rPr>
                <w:sz w:val="17"/>
                <w:szCs w:val="17"/>
                <w:color w:val="auto"/>
              </w:rPr>
            </w:pPr>
          </w:p>
        </w:tc>
        <w:tc>
          <w:tcPr>
            <w:tcW w:w="4200" w:type="dxa"/>
            <w:vAlign w:val="bottom"/>
            <w:tcBorders>
              <w:top w:val="single" w:sz="8" w:color="E6E6E6"/>
            </w:tcBorders>
            <w:gridSpan w:val="4"/>
            <w:shd w:val="clear" w:color="auto" w:fill="E6E6E6"/>
          </w:tcPr>
          <w:p>
            <w:pPr>
              <w:spacing w:after="0" w:line="199" w:lineRule="exact"/>
              <w:rPr>
                <w:sz w:val="20"/>
                <w:szCs w:val="20"/>
                <w:color w:val="auto"/>
              </w:rPr>
            </w:pPr>
            <w:r>
              <w:rPr>
                <w:rFonts w:ascii="Arial" w:cs="Arial" w:eastAsia="Arial" w:hAnsi="Arial"/>
                <w:sz w:val="18"/>
                <w:szCs w:val="18"/>
                <w:b w:val="1"/>
                <w:bCs w:val="1"/>
                <w:color w:val="auto"/>
              </w:rPr>
              <w:t>Financial liabilities</w:t>
            </w:r>
          </w:p>
        </w:tc>
        <w:tc>
          <w:tcPr>
            <w:tcW w:w="140" w:type="dxa"/>
            <w:vAlign w:val="bottom"/>
            <w:tcBorders>
              <w:top w:val="single" w:sz="8" w:color="auto"/>
            </w:tcBorders>
            <w:shd w:val="clear" w:color="auto" w:fill="E6E6E6"/>
          </w:tcPr>
          <w:p>
            <w:pPr>
              <w:spacing w:after="0"/>
              <w:rPr>
                <w:sz w:val="17"/>
                <w:szCs w:val="17"/>
                <w:color w:val="auto"/>
              </w:rPr>
            </w:pPr>
          </w:p>
        </w:tc>
        <w:tc>
          <w:tcPr>
            <w:tcW w:w="128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E6E6E6"/>
            </w:tcBorders>
            <w:shd w:val="clear" w:color="auto" w:fill="E6E6E6"/>
          </w:tcPr>
          <w:p>
            <w:pPr>
              <w:spacing w:after="0"/>
              <w:rPr>
                <w:sz w:val="17"/>
                <w:szCs w:val="17"/>
                <w:color w:val="auto"/>
              </w:rPr>
            </w:pPr>
          </w:p>
        </w:tc>
        <w:tc>
          <w:tcPr>
            <w:tcW w:w="1080" w:type="dxa"/>
            <w:vAlign w:val="bottom"/>
            <w:tcBorders>
              <w:top w:val="single" w:sz="8" w:color="auto"/>
            </w:tcBorders>
            <w:shd w:val="clear" w:color="auto" w:fill="E6E6E6"/>
          </w:tcPr>
          <w:p>
            <w:pPr>
              <w:spacing w:after="0"/>
              <w:rPr>
                <w:sz w:val="17"/>
                <w:szCs w:val="17"/>
                <w:color w:val="auto"/>
              </w:rPr>
            </w:pPr>
          </w:p>
        </w:tc>
        <w:tc>
          <w:tcPr>
            <w:tcW w:w="28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spacing w:after="0"/>
              <w:rPr>
                <w:sz w:val="17"/>
                <w:szCs w:val="17"/>
                <w:color w:val="auto"/>
              </w:rPr>
            </w:pPr>
          </w:p>
        </w:tc>
        <w:tc>
          <w:tcPr>
            <w:tcW w:w="112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E6E6E6"/>
            </w:tcBorders>
            <w:shd w:val="clear" w:color="auto" w:fill="E6E6E6"/>
          </w:tcPr>
          <w:p>
            <w:pPr>
              <w:spacing w:after="0"/>
              <w:rPr>
                <w:sz w:val="17"/>
                <w:szCs w:val="17"/>
                <w:color w:val="auto"/>
              </w:rPr>
            </w:pPr>
          </w:p>
        </w:tc>
        <w:tc>
          <w:tcPr>
            <w:tcW w:w="560" w:type="dxa"/>
            <w:vAlign w:val="bottom"/>
            <w:tcBorders>
              <w:top w:val="single" w:sz="8" w:color="auto"/>
            </w:tcBorders>
            <w:shd w:val="clear" w:color="auto" w:fill="E6E6E6"/>
          </w:tcPr>
          <w:p>
            <w:pPr>
              <w:spacing w:after="0"/>
              <w:rPr>
                <w:sz w:val="17"/>
                <w:szCs w:val="17"/>
                <w:color w:val="auto"/>
              </w:rPr>
            </w:pPr>
          </w:p>
        </w:tc>
        <w:tc>
          <w:tcPr>
            <w:tcW w:w="740" w:type="dxa"/>
            <w:vAlign w:val="bottom"/>
            <w:tcBorders>
              <w:top w:val="single" w:sz="8" w:color="auto"/>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 w:type="dxa"/>
            <w:vAlign w:val="bottom"/>
            <w:tcBorders>
              <w:top w:val="single" w:sz="8" w:color="E6E6E6"/>
            </w:tcBorders>
            <w:shd w:val="clear" w:color="auto" w:fill="E6E6E6"/>
          </w:tcPr>
          <w:p>
            <w:pPr>
              <w:spacing w:after="0"/>
              <w:rPr>
                <w:sz w:val="2"/>
                <w:szCs w:val="2"/>
                <w:color w:val="auto"/>
              </w:rPr>
            </w:pPr>
          </w:p>
        </w:tc>
        <w:tc>
          <w:tcPr>
            <w:tcW w:w="1180" w:type="dxa"/>
            <w:vAlign w:val="bottom"/>
            <w:tcBorders>
              <w:top w:val="single" w:sz="8" w:color="auto"/>
            </w:tcBorders>
            <w:shd w:val="clear" w:color="auto" w:fill="E6E6E6"/>
          </w:tcPr>
          <w:p>
            <w:pPr>
              <w:spacing w:after="0"/>
              <w:rPr>
                <w:sz w:val="2"/>
                <w:szCs w:val="2"/>
                <w:color w:val="auto"/>
              </w:rPr>
            </w:pPr>
          </w:p>
        </w:tc>
        <w:tc>
          <w:tcPr>
            <w:tcW w:w="260" w:type="dxa"/>
            <w:vAlign w:val="bottom"/>
            <w:tcBorders>
              <w:top w:val="single" w:sz="8" w:color="auto"/>
            </w:tcBorders>
            <w:shd w:val="clear" w:color="auto" w:fill="E6E6E6"/>
          </w:tcPr>
          <w:p>
            <w:pPr>
              <w:spacing w:after="0"/>
              <w:rPr>
                <w:sz w:val="2"/>
                <w:szCs w:val="2"/>
                <w:color w:val="auto"/>
              </w:rPr>
            </w:pPr>
          </w:p>
        </w:tc>
        <w:tc>
          <w:tcPr>
            <w:tcW w:w="2740" w:type="dxa"/>
            <w:vAlign w:val="bottom"/>
            <w:tcBorders>
              <w:top w:val="single" w:sz="8" w:color="E6E6E6"/>
            </w:tcBorders>
            <w:shd w:val="clear" w:color="auto" w:fill="E6E6E6"/>
          </w:tcPr>
          <w:p>
            <w:pPr>
              <w:spacing w:after="0"/>
              <w:rPr>
                <w:sz w:val="2"/>
                <w:szCs w:val="2"/>
                <w:color w:val="auto"/>
              </w:rPr>
            </w:pPr>
          </w:p>
        </w:tc>
        <w:tc>
          <w:tcPr>
            <w:tcW w:w="20" w:type="dxa"/>
            <w:vAlign w:val="bottom"/>
            <w:tcBorders>
              <w:top w:val="single" w:sz="8" w:color="E6E6E6"/>
            </w:tcBorders>
            <w:shd w:val="clear" w:color="auto" w:fill="E6E6E6"/>
          </w:tcPr>
          <w:p>
            <w:pPr>
              <w:spacing w:after="0"/>
              <w:rPr>
                <w:sz w:val="2"/>
                <w:szCs w:val="2"/>
                <w:color w:val="auto"/>
              </w:rPr>
            </w:pPr>
          </w:p>
        </w:tc>
        <w:tc>
          <w:tcPr>
            <w:tcW w:w="140" w:type="dxa"/>
            <w:vAlign w:val="bottom"/>
            <w:tcBorders>
              <w:top w:val="single" w:sz="8" w:color="E6E6E6"/>
            </w:tcBorders>
            <w:shd w:val="clear" w:color="auto" w:fill="E6E6E6"/>
          </w:tcPr>
          <w:p>
            <w:pPr>
              <w:spacing w:after="0"/>
              <w:rPr>
                <w:sz w:val="2"/>
                <w:szCs w:val="2"/>
                <w:color w:val="auto"/>
              </w:rPr>
            </w:pPr>
          </w:p>
        </w:tc>
        <w:tc>
          <w:tcPr>
            <w:tcW w:w="128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080" w:type="dxa"/>
            <w:vAlign w:val="bottom"/>
            <w:tcBorders>
              <w:top w:val="single" w:sz="8" w:color="E6E6E6"/>
            </w:tcBorders>
            <w:shd w:val="clear" w:color="auto" w:fill="E6E6E6"/>
          </w:tcPr>
          <w:p>
            <w:pPr>
              <w:spacing w:after="0"/>
              <w:rPr>
                <w:sz w:val="2"/>
                <w:szCs w:val="2"/>
                <w:color w:val="auto"/>
              </w:rPr>
            </w:pPr>
          </w:p>
        </w:tc>
        <w:tc>
          <w:tcPr>
            <w:tcW w:w="28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60" w:type="dxa"/>
            <w:vAlign w:val="bottom"/>
            <w:tcBorders>
              <w:top w:val="single" w:sz="8" w:color="E6E6E6"/>
            </w:tcBorders>
            <w:shd w:val="clear" w:color="auto" w:fill="E6E6E6"/>
          </w:tcPr>
          <w:p>
            <w:pPr>
              <w:spacing w:after="0"/>
              <w:rPr>
                <w:sz w:val="2"/>
                <w:szCs w:val="2"/>
                <w:color w:val="auto"/>
              </w:rPr>
            </w:pPr>
          </w:p>
        </w:tc>
        <w:tc>
          <w:tcPr>
            <w:tcW w:w="11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560" w:type="dxa"/>
            <w:vAlign w:val="bottom"/>
            <w:tcBorders>
              <w:top w:val="single" w:sz="8" w:color="E6E6E6"/>
            </w:tcBorders>
            <w:shd w:val="clear" w:color="auto" w:fill="E6E6E6"/>
          </w:tcPr>
          <w:p>
            <w:pPr>
              <w:spacing w:after="0"/>
              <w:rPr>
                <w:sz w:val="2"/>
                <w:szCs w:val="2"/>
                <w:color w:val="auto"/>
              </w:rPr>
            </w:pPr>
          </w:p>
        </w:tc>
        <w:tc>
          <w:tcPr>
            <w:tcW w:w="740" w:type="dxa"/>
            <w:vAlign w:val="bottom"/>
            <w:tcBorders>
              <w:top w:val="single" w:sz="8" w:color="E6E6E6"/>
            </w:tcBorders>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bottom w:val="single" w:sz="8" w:color="E6E6E6"/>
            </w:tcBorders>
          </w:tcPr>
          <w:p>
            <w:pPr>
              <w:spacing w:after="0"/>
              <w:rPr>
                <w:sz w:val="23"/>
                <w:szCs w:val="23"/>
                <w:color w:val="auto"/>
              </w:rPr>
            </w:pPr>
          </w:p>
        </w:tc>
        <w:tc>
          <w:tcPr>
            <w:tcW w:w="4200" w:type="dxa"/>
            <w:vAlign w:val="bottom"/>
            <w:tcBorders>
              <w:bottom w:val="single" w:sz="8" w:color="E6E6E6"/>
            </w:tcBorders>
            <w:gridSpan w:val="4"/>
          </w:tcPr>
          <w:p>
            <w:pPr>
              <w:ind w:left="160"/>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08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2"/>
        </w:trPr>
        <w:tc>
          <w:tcPr>
            <w:tcW w:w="60" w:type="dxa"/>
            <w:vAlign w:val="bottom"/>
            <w:tcBorders>
              <w:bottom w:val="single" w:sz="8" w:color="E6E6E6"/>
            </w:tcBorders>
            <w:shd w:val="clear" w:color="auto" w:fill="E6E6E6"/>
          </w:tcPr>
          <w:p>
            <w:pPr>
              <w:spacing w:after="0"/>
              <w:rPr>
                <w:sz w:val="24"/>
                <w:szCs w:val="24"/>
                <w:color w:val="auto"/>
              </w:rPr>
            </w:pPr>
          </w:p>
        </w:tc>
        <w:tc>
          <w:tcPr>
            <w:tcW w:w="418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b w:val="1"/>
                <w:bCs w:val="1"/>
                <w:color w:val="auto"/>
              </w:rPr>
              <w:t>Total liabilities at fair value</w:t>
            </w:r>
          </w:p>
        </w:tc>
        <w:tc>
          <w:tcPr>
            <w:tcW w:w="20" w:type="dxa"/>
            <w:vAlign w:val="bottom"/>
            <w:tcBorders>
              <w:bottom w:val="single" w:sz="8" w:color="auto"/>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ind w:right="85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-1266190</wp:posOffset>
            </wp:positionV>
            <wp:extent cx="355219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99">
                      <a:extLst>
                        <a:ext uri="{28A0092B-C50C-407E-A947-70E740481C1C}"/>
                      </a:extLst>
                    </a:blip>
                    <a:srcRect/>
                    <a:stretch>
                      <a:fillRect/>
                    </a:stretch>
                  </pic:blipFill>
                  <pic:spPr bwMode="auto">
                    <a:xfrm>
                      <a:off x="0" y="0"/>
                      <a:ext cx="3552190" cy="254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-747395</wp:posOffset>
            </wp:positionV>
            <wp:extent cx="355219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00">
                      <a:extLst>
                        <a:ext uri="{28A0092B-C50C-407E-A947-70E740481C1C}"/>
                      </a:extLst>
                    </a:blip>
                    <a:srcRect/>
                    <a:stretch>
                      <a:fillRect/>
                    </a:stretch>
                  </pic:blipFill>
                  <pic:spPr bwMode="auto">
                    <a:xfrm>
                      <a:off x="0" y="0"/>
                      <a:ext cx="3552190" cy="254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-581025</wp:posOffset>
            </wp:positionV>
            <wp:extent cx="3552190"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01">
                      <a:extLst>
                        <a:ext uri="{28A0092B-C50C-407E-A947-70E740481C1C}"/>
                      </a:extLst>
                    </a:blip>
                    <a:srcRect/>
                    <a:stretch>
                      <a:fillRect/>
                    </a:stretch>
                  </pic:blipFill>
                  <pic:spPr bwMode="auto">
                    <a:xfrm>
                      <a:off x="0" y="0"/>
                      <a:ext cx="3552190" cy="508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-210185</wp:posOffset>
            </wp:positionV>
            <wp:extent cx="355219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02">
                      <a:extLst>
                        <a:ext uri="{28A0092B-C50C-407E-A947-70E740481C1C}"/>
                      </a:extLst>
                    </a:blip>
                    <a:srcRect/>
                    <a:stretch>
                      <a:fillRect/>
                    </a:stretch>
                  </pic:blipFill>
                  <pic:spPr bwMode="auto">
                    <a:xfrm>
                      <a:off x="0" y="0"/>
                      <a:ext cx="3552190" cy="254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-43815</wp:posOffset>
            </wp:positionV>
            <wp:extent cx="3552190"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03">
                      <a:extLst>
                        <a:ext uri="{28A0092B-C50C-407E-A947-70E740481C1C}"/>
                      </a:extLst>
                    </a:blip>
                    <a:srcRect/>
                    <a:stretch>
                      <a:fillRect/>
                    </a:stretch>
                  </pic:blipFill>
                  <pic:spPr bwMode="auto">
                    <a:xfrm>
                      <a:off x="0" y="0"/>
                      <a:ext cx="3552190" cy="50800"/>
                    </a:xfrm>
                    <a:prstGeom prst="rect">
                      <a:avLst/>
                    </a:prstGeom>
                    <a:noFill/>
                  </pic:spPr>
                </pic:pic>
              </a:graphicData>
            </a:graphic>
          </wp:anchor>
        </w:drawing>
      </w:r>
    </w:p>
    <w:p>
      <w:pPr>
        <w:sectPr>
          <w:pgSz w:w="11880" w:h="15480" w:orient="portrait"/>
          <w:cols w:equalWidth="0" w:num="1">
            <w:col w:w="9800"/>
          </w:cols>
          <w:pgMar w:left="1040" w:top="70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119</w:t>
      </w:r>
    </w:p>
    <w:p>
      <w:pPr>
        <w:sectPr>
          <w:pgSz w:w="11880" w:h="15480" w:orient="portrait"/>
          <w:cols w:equalWidth="0" w:num="1">
            <w:col w:w="9800"/>
          </w:cols>
          <w:pgMar w:left="1040" w:top="701" w:right="10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FAIR VALUE MEASUREMENTS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December 31, 2024</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8"/>
                <w:szCs w:val="18"/>
                <w:color w:val="auto"/>
                <w:w w:val="91"/>
              </w:rPr>
              <w:t>Basis of fair value measurement</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1"/>
              <w:spacing w:after="0"/>
              <w:rPr>
                <w:sz w:val="20"/>
                <w:szCs w:val="20"/>
                <w:color w:val="auto"/>
              </w:rPr>
            </w:pPr>
            <w:r>
              <w:rPr>
                <w:rFonts w:ascii="Arial" w:cs="Arial" w:eastAsia="Arial" w:hAnsi="Arial"/>
                <w:sz w:val="18"/>
                <w:szCs w:val="18"/>
                <w:color w:val="auto"/>
                <w:w w:val="89"/>
              </w:rPr>
              <w:t>Quoted prices in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91"/>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active markets for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w w:val="93"/>
              </w:rPr>
              <w:t>observable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51"/>
              <w:spacing w:after="0"/>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Arial" w:cs="Arial" w:eastAsia="Arial" w:hAnsi="Arial"/>
                <w:sz w:val="18"/>
                <w:szCs w:val="18"/>
                <w:color w:val="auto"/>
                <w:w w:val="86"/>
              </w:rPr>
              <w:t>identical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31"/>
              <w:spacing w:after="0"/>
              <w:rPr>
                <w:sz w:val="20"/>
                <w:szCs w:val="20"/>
                <w:color w:val="auto"/>
              </w:rPr>
            </w:pPr>
            <w:r>
              <w:rPr>
                <w:rFonts w:ascii="Arial" w:cs="Arial" w:eastAsia="Arial" w:hAnsi="Arial"/>
                <w:sz w:val="18"/>
                <w:szCs w:val="18"/>
                <w:color w:val="auto"/>
              </w:rPr>
              <w:t>inputs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1"/>
              <w:spacing w:after="0"/>
              <w:rPr>
                <w:sz w:val="20"/>
                <w:szCs w:val="20"/>
                <w:color w:val="auto"/>
              </w:rPr>
            </w:pPr>
            <w:r>
              <w:rPr>
                <w:rFonts w:ascii="Arial" w:cs="Arial" w:eastAsia="Arial" w:hAnsi="Arial"/>
                <w:sz w:val="18"/>
                <w:szCs w:val="18"/>
                <w:color w:val="auto"/>
                <w:w w:val="88"/>
              </w:rPr>
              <w:t>unobservable</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E6E6E6"/>
            </w:tcBorders>
          </w:tcPr>
          <w:p>
            <w:pPr>
              <w:spacing w:after="0"/>
              <w:rPr>
                <w:sz w:val="20"/>
                <w:szCs w:val="20"/>
                <w:color w:val="auto"/>
              </w:rPr>
            </w:pPr>
          </w:p>
        </w:tc>
        <w:tc>
          <w:tcPr>
            <w:tcW w:w="4220" w:type="dxa"/>
            <w:vAlign w:val="bottom"/>
            <w:tcBorders>
              <w:bottom w:val="single" w:sz="8" w:color="E6E6E6"/>
            </w:tcBorders>
            <w:gridSpan w:val="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4"/>
              </w:rPr>
              <w:t>(Level 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(Level 2)</w:t>
            </w: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inputs (Level 3)</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w w:val="99"/>
              </w:rPr>
              <w:t>Carrying value</w:t>
            </w:r>
          </w:p>
        </w:tc>
        <w:tc>
          <w:tcPr>
            <w:tcW w:w="0" w:type="dxa"/>
            <w:vAlign w:val="bottom"/>
          </w:tcPr>
          <w:p>
            <w:pPr>
              <w:spacing w:after="0"/>
              <w:rPr>
                <w:sz w:val="1"/>
                <w:szCs w:val="1"/>
                <w:color w:val="auto"/>
              </w:rPr>
            </w:pPr>
          </w:p>
        </w:tc>
      </w:tr>
      <w:tr>
        <w:trPr>
          <w:trHeight w:val="189"/>
        </w:trPr>
        <w:tc>
          <w:tcPr>
            <w:tcW w:w="60" w:type="dxa"/>
            <w:vAlign w:val="bottom"/>
            <w:shd w:val="clear" w:color="auto" w:fill="E6E6E6"/>
          </w:tcPr>
          <w:p>
            <w:pPr>
              <w:spacing w:after="0"/>
              <w:rPr>
                <w:sz w:val="16"/>
                <w:szCs w:val="16"/>
                <w:color w:val="auto"/>
              </w:rPr>
            </w:pPr>
          </w:p>
        </w:tc>
        <w:tc>
          <w:tcPr>
            <w:tcW w:w="4220" w:type="dxa"/>
            <w:vAlign w:val="bottom"/>
            <w:gridSpan w:val="3"/>
            <w:shd w:val="clear" w:color="auto" w:fill="E6E6E6"/>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E6E6E6"/>
          </w:tcPr>
          <w:p>
            <w:pPr>
              <w:spacing w:after="0"/>
              <w:rPr>
                <w:sz w:val="16"/>
                <w:szCs w:val="16"/>
                <w:color w:val="auto"/>
              </w:rPr>
            </w:pPr>
          </w:p>
        </w:tc>
        <w:tc>
          <w:tcPr>
            <w:tcW w:w="13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1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0" w:type="dxa"/>
            <w:vAlign w:val="bottom"/>
            <w:tcBorders>
              <w:top w:val="single" w:sz="8" w:color="E6E6E6"/>
            </w:tcBorders>
            <w:shd w:val="clear" w:color="auto" w:fill="E6E6E6"/>
          </w:tcPr>
          <w:p>
            <w:pPr>
              <w:spacing w:after="0"/>
              <w:rPr>
                <w:sz w:val="2"/>
                <w:szCs w:val="2"/>
                <w:color w:val="auto"/>
              </w:rPr>
            </w:pPr>
          </w:p>
        </w:tc>
        <w:tc>
          <w:tcPr>
            <w:tcW w:w="1180" w:type="dxa"/>
            <w:vAlign w:val="bottom"/>
            <w:tcBorders>
              <w:top w:val="single" w:sz="8" w:color="auto"/>
            </w:tcBorders>
            <w:shd w:val="clear" w:color="auto" w:fill="E6E6E6"/>
          </w:tcPr>
          <w:p>
            <w:pPr>
              <w:spacing w:after="0"/>
              <w:rPr>
                <w:sz w:val="2"/>
                <w:szCs w:val="2"/>
                <w:color w:val="auto"/>
              </w:rPr>
            </w:pPr>
          </w:p>
        </w:tc>
        <w:tc>
          <w:tcPr>
            <w:tcW w:w="260" w:type="dxa"/>
            <w:vAlign w:val="bottom"/>
            <w:tcBorders>
              <w:top w:val="single" w:sz="8" w:color="E6E6E6"/>
            </w:tcBorders>
            <w:shd w:val="clear" w:color="auto" w:fill="E6E6E6"/>
          </w:tcPr>
          <w:p>
            <w:pPr>
              <w:spacing w:after="0"/>
              <w:rPr>
                <w:sz w:val="2"/>
                <w:szCs w:val="2"/>
                <w:color w:val="auto"/>
              </w:rPr>
            </w:pPr>
          </w:p>
        </w:tc>
        <w:tc>
          <w:tcPr>
            <w:tcW w:w="2780" w:type="dxa"/>
            <w:vAlign w:val="bottom"/>
            <w:tcBorders>
              <w:top w:val="single" w:sz="8" w:color="E6E6E6"/>
            </w:tcBorders>
            <w:shd w:val="clear" w:color="auto" w:fill="E6E6E6"/>
          </w:tcPr>
          <w:p>
            <w:pPr>
              <w:spacing w:after="0"/>
              <w:rPr>
                <w:sz w:val="2"/>
                <w:szCs w:val="2"/>
                <w:color w:val="auto"/>
              </w:rPr>
            </w:pPr>
          </w:p>
        </w:tc>
        <w:tc>
          <w:tcPr>
            <w:tcW w:w="140" w:type="dxa"/>
            <w:vAlign w:val="bottom"/>
            <w:tcBorders>
              <w:top w:val="single" w:sz="8" w:color="E6E6E6"/>
            </w:tcBorders>
            <w:shd w:val="clear" w:color="auto" w:fill="E6E6E6"/>
          </w:tcPr>
          <w:p>
            <w:pPr>
              <w:spacing w:after="0"/>
              <w:rPr>
                <w:sz w:val="2"/>
                <w:szCs w:val="2"/>
                <w:color w:val="auto"/>
              </w:rPr>
            </w:pPr>
          </w:p>
        </w:tc>
        <w:tc>
          <w:tcPr>
            <w:tcW w:w="13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200" w:type="dxa"/>
            <w:vAlign w:val="bottom"/>
            <w:tcBorders>
              <w:top w:val="single" w:sz="8" w:color="E6E6E6"/>
            </w:tcBorders>
            <w:shd w:val="clear" w:color="auto" w:fill="E6E6E6"/>
          </w:tcPr>
          <w:p>
            <w:pPr>
              <w:spacing w:after="0"/>
              <w:rPr>
                <w:sz w:val="2"/>
                <w:szCs w:val="2"/>
                <w:color w:val="auto"/>
              </w:rPr>
            </w:pPr>
          </w:p>
        </w:tc>
        <w:tc>
          <w:tcPr>
            <w:tcW w:w="110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60" w:type="dxa"/>
            <w:vAlign w:val="bottom"/>
            <w:tcBorders>
              <w:top w:val="single" w:sz="8" w:color="E6E6E6"/>
            </w:tcBorders>
            <w:shd w:val="clear" w:color="auto" w:fill="E6E6E6"/>
          </w:tcPr>
          <w:p>
            <w:pPr>
              <w:spacing w:after="0"/>
              <w:rPr>
                <w:sz w:val="2"/>
                <w:szCs w:val="2"/>
                <w:color w:val="auto"/>
              </w:rPr>
            </w:pPr>
          </w:p>
        </w:tc>
        <w:tc>
          <w:tcPr>
            <w:tcW w:w="11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560" w:type="dxa"/>
            <w:vAlign w:val="bottom"/>
            <w:tcBorders>
              <w:top w:val="single" w:sz="8" w:color="E6E6E6"/>
            </w:tcBorders>
            <w:shd w:val="clear" w:color="auto" w:fill="E6E6E6"/>
          </w:tcPr>
          <w:p>
            <w:pPr>
              <w:spacing w:after="0"/>
              <w:rPr>
                <w:sz w:val="2"/>
                <w:szCs w:val="2"/>
                <w:color w:val="auto"/>
              </w:rPr>
            </w:pPr>
          </w:p>
        </w:tc>
        <w:tc>
          <w:tcPr>
            <w:tcW w:w="740" w:type="dxa"/>
            <w:vAlign w:val="bottom"/>
            <w:tcBorders>
              <w:top w:val="single" w:sz="8" w:color="E6E6E6"/>
            </w:tcBorders>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Derivative Assets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 w:type="dxa"/>
            <w:vAlign w:val="bottom"/>
            <w:shd w:val="clear" w:color="auto" w:fill="E6E6E6"/>
          </w:tcPr>
          <w:p>
            <w:pPr>
              <w:spacing w:after="0"/>
              <w:rPr>
                <w:sz w:val="23"/>
                <w:szCs w:val="23"/>
                <w:color w:val="auto"/>
              </w:rPr>
            </w:pPr>
          </w:p>
        </w:tc>
        <w:tc>
          <w:tcPr>
            <w:tcW w:w="4220" w:type="dxa"/>
            <w:vAlign w:val="bottom"/>
            <w:gridSpan w:val="3"/>
            <w:shd w:val="clear" w:color="auto" w:fill="E6E6E6"/>
          </w:tcPr>
          <w:p>
            <w:pPr>
              <w:ind w:left="160"/>
              <w:spacing w:after="0"/>
              <w:rPr>
                <w:sz w:val="20"/>
                <w:szCs w:val="20"/>
                <w:color w:val="auto"/>
              </w:rPr>
            </w:pPr>
            <w:r>
              <w:rPr>
                <w:rFonts w:ascii="Arial" w:cs="Arial" w:eastAsia="Arial" w:hAnsi="Arial"/>
                <w:sz w:val="18"/>
                <w:szCs w:val="18"/>
                <w:color w:val="auto"/>
              </w:rPr>
              <w:t>Interest rate contracts (hedge)</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6E6E6"/>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4"/>
        </w:trPr>
        <w:tc>
          <w:tcPr>
            <w:tcW w:w="4280" w:type="dxa"/>
            <w:vAlign w:val="bottom"/>
            <w:tcBorders>
              <w:top w:val="single" w:sz="8" w:color="E6E6E6"/>
              <w:bottom w:val="single" w:sz="8" w:color="E6E6E6"/>
            </w:tcBorders>
            <w:gridSpan w:val="4"/>
          </w:tcPr>
          <w:p>
            <w:pPr>
              <w:ind w:left="60"/>
              <w:spacing w:after="0" w:line="195" w:lineRule="exact"/>
              <w:rPr>
                <w:sz w:val="20"/>
                <w:szCs w:val="20"/>
                <w:color w:val="auto"/>
              </w:rPr>
            </w:pPr>
            <w:r>
              <w:rPr>
                <w:rFonts w:ascii="Arial" w:cs="Arial" w:eastAsia="Arial" w:hAnsi="Arial"/>
                <w:sz w:val="18"/>
                <w:szCs w:val="18"/>
                <w:b w:val="1"/>
                <w:bCs w:val="1"/>
                <w:color w:val="auto"/>
              </w:rPr>
              <w:t>Total assets at fair value</w:t>
            </w: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ind w:left="1080"/>
              <w:spacing w:after="0" w:line="195"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E6E6E6"/>
              <w:bottom w:val="single" w:sz="8" w:color="E6E6E6"/>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127</w:t>
            </w:r>
          </w:p>
        </w:tc>
        <w:tc>
          <w:tcPr>
            <w:tcW w:w="60" w:type="dxa"/>
            <w:vAlign w:val="bottom"/>
            <w:tcBorders>
              <w:top w:val="single" w:sz="8" w:color="E6E6E6"/>
              <w:bottom w:val="single" w:sz="8" w:color="E6E6E6"/>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E6E6E6"/>
              <w:bottom w:val="single" w:sz="8" w:color="E6E6E6"/>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31"/>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69"/>
        </w:trPr>
        <w:tc>
          <w:tcPr>
            <w:tcW w:w="4280" w:type="dxa"/>
            <w:vAlign w:val="bottom"/>
            <w:gridSpan w:val="4"/>
            <w:shd w:val="clear" w:color="auto" w:fill="E6E6E6"/>
          </w:tcPr>
          <w:p>
            <w:pPr>
              <w:ind w:left="60"/>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40" w:type="dxa"/>
            <w:vAlign w:val="bottom"/>
            <w:shd w:val="clear" w:color="auto" w:fill="E6E6E6"/>
          </w:tcPr>
          <w:p>
            <w:pPr>
              <w:spacing w:after="0"/>
              <w:rPr>
                <w:sz w:val="14"/>
                <w:szCs w:val="14"/>
                <w:color w:val="auto"/>
              </w:rPr>
            </w:pPr>
          </w:p>
        </w:tc>
        <w:tc>
          <w:tcPr>
            <w:tcW w:w="13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110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11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74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0" w:type="dxa"/>
            <w:vAlign w:val="bottom"/>
            <w:tcBorders>
              <w:top w:val="single" w:sz="8" w:color="E6E6E6"/>
            </w:tcBorders>
            <w:shd w:val="clear" w:color="auto" w:fill="E6E6E6"/>
          </w:tcPr>
          <w:p>
            <w:pPr>
              <w:spacing w:after="0"/>
              <w:rPr>
                <w:sz w:val="2"/>
                <w:szCs w:val="2"/>
                <w:color w:val="auto"/>
              </w:rPr>
            </w:pPr>
          </w:p>
        </w:tc>
        <w:tc>
          <w:tcPr>
            <w:tcW w:w="1180" w:type="dxa"/>
            <w:vAlign w:val="bottom"/>
            <w:tcBorders>
              <w:top w:val="single" w:sz="8" w:color="auto"/>
            </w:tcBorders>
            <w:shd w:val="clear" w:color="auto" w:fill="E6E6E6"/>
          </w:tcPr>
          <w:p>
            <w:pPr>
              <w:spacing w:after="0"/>
              <w:rPr>
                <w:sz w:val="2"/>
                <w:szCs w:val="2"/>
                <w:color w:val="auto"/>
              </w:rPr>
            </w:pPr>
          </w:p>
        </w:tc>
        <w:tc>
          <w:tcPr>
            <w:tcW w:w="260" w:type="dxa"/>
            <w:vAlign w:val="bottom"/>
            <w:tcBorders>
              <w:top w:val="single" w:sz="8" w:color="auto"/>
            </w:tcBorders>
            <w:shd w:val="clear" w:color="auto" w:fill="E6E6E6"/>
          </w:tcPr>
          <w:p>
            <w:pPr>
              <w:spacing w:after="0"/>
              <w:rPr>
                <w:sz w:val="2"/>
                <w:szCs w:val="2"/>
                <w:color w:val="auto"/>
              </w:rPr>
            </w:pPr>
          </w:p>
        </w:tc>
        <w:tc>
          <w:tcPr>
            <w:tcW w:w="2780" w:type="dxa"/>
            <w:vAlign w:val="bottom"/>
            <w:tcBorders>
              <w:top w:val="single" w:sz="8" w:color="E6E6E6"/>
            </w:tcBorders>
            <w:shd w:val="clear" w:color="auto" w:fill="E6E6E6"/>
          </w:tcPr>
          <w:p>
            <w:pPr>
              <w:spacing w:after="0"/>
              <w:rPr>
                <w:sz w:val="2"/>
                <w:szCs w:val="2"/>
                <w:color w:val="auto"/>
              </w:rPr>
            </w:pPr>
          </w:p>
        </w:tc>
        <w:tc>
          <w:tcPr>
            <w:tcW w:w="140" w:type="dxa"/>
            <w:vAlign w:val="bottom"/>
            <w:tcBorders>
              <w:top w:val="single" w:sz="8" w:color="E6E6E6"/>
            </w:tcBorders>
            <w:shd w:val="clear" w:color="auto" w:fill="E6E6E6"/>
          </w:tcPr>
          <w:p>
            <w:pPr>
              <w:spacing w:after="0"/>
              <w:rPr>
                <w:sz w:val="2"/>
                <w:szCs w:val="2"/>
                <w:color w:val="auto"/>
              </w:rPr>
            </w:pPr>
          </w:p>
        </w:tc>
        <w:tc>
          <w:tcPr>
            <w:tcW w:w="13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200" w:type="dxa"/>
            <w:vAlign w:val="bottom"/>
            <w:tcBorders>
              <w:top w:val="single" w:sz="8" w:color="E6E6E6"/>
            </w:tcBorders>
            <w:shd w:val="clear" w:color="auto" w:fill="E6E6E6"/>
          </w:tcPr>
          <w:p>
            <w:pPr>
              <w:spacing w:after="0"/>
              <w:rPr>
                <w:sz w:val="2"/>
                <w:szCs w:val="2"/>
                <w:color w:val="auto"/>
              </w:rPr>
            </w:pPr>
          </w:p>
        </w:tc>
        <w:tc>
          <w:tcPr>
            <w:tcW w:w="110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160" w:type="dxa"/>
            <w:vAlign w:val="bottom"/>
            <w:tcBorders>
              <w:top w:val="single" w:sz="8" w:color="E6E6E6"/>
            </w:tcBorders>
            <w:shd w:val="clear" w:color="auto" w:fill="E6E6E6"/>
          </w:tcPr>
          <w:p>
            <w:pPr>
              <w:spacing w:after="0"/>
              <w:rPr>
                <w:sz w:val="2"/>
                <w:szCs w:val="2"/>
                <w:color w:val="auto"/>
              </w:rPr>
            </w:pPr>
          </w:p>
        </w:tc>
        <w:tc>
          <w:tcPr>
            <w:tcW w:w="1120" w:type="dxa"/>
            <w:vAlign w:val="bottom"/>
            <w:tcBorders>
              <w:top w:val="single" w:sz="8" w:color="E6E6E6"/>
            </w:tcBorders>
            <w:shd w:val="clear" w:color="auto" w:fill="E6E6E6"/>
          </w:tcPr>
          <w:p>
            <w:pPr>
              <w:spacing w:after="0"/>
              <w:rPr>
                <w:sz w:val="2"/>
                <w:szCs w:val="2"/>
                <w:color w:val="auto"/>
              </w:rPr>
            </w:pPr>
          </w:p>
        </w:tc>
        <w:tc>
          <w:tcPr>
            <w:tcW w:w="60" w:type="dxa"/>
            <w:vAlign w:val="bottom"/>
            <w:tcBorders>
              <w:top w:val="single" w:sz="8" w:color="E6E6E6"/>
            </w:tcBorders>
            <w:shd w:val="clear" w:color="auto" w:fill="E6E6E6"/>
          </w:tcPr>
          <w:p>
            <w:pPr>
              <w:spacing w:after="0"/>
              <w:rPr>
                <w:sz w:val="2"/>
                <w:szCs w:val="2"/>
                <w:color w:val="auto"/>
              </w:rPr>
            </w:pPr>
          </w:p>
        </w:tc>
        <w:tc>
          <w:tcPr>
            <w:tcW w:w="560" w:type="dxa"/>
            <w:vAlign w:val="bottom"/>
            <w:tcBorders>
              <w:top w:val="single" w:sz="8" w:color="E6E6E6"/>
            </w:tcBorders>
            <w:shd w:val="clear" w:color="auto" w:fill="E6E6E6"/>
          </w:tcPr>
          <w:p>
            <w:pPr>
              <w:spacing w:after="0"/>
              <w:rPr>
                <w:sz w:val="2"/>
                <w:szCs w:val="2"/>
                <w:color w:val="auto"/>
              </w:rPr>
            </w:pPr>
          </w:p>
        </w:tc>
        <w:tc>
          <w:tcPr>
            <w:tcW w:w="740" w:type="dxa"/>
            <w:vAlign w:val="bottom"/>
            <w:tcBorders>
              <w:top w:val="single" w:sz="8" w:color="E6E6E6"/>
            </w:tcBorders>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2"/>
        </w:trPr>
        <w:tc>
          <w:tcPr>
            <w:tcW w:w="4280" w:type="dxa"/>
            <w:vAlign w:val="bottom"/>
            <w:tcBorders>
              <w:top w:val="single" w:sz="8" w:color="E6E6E6"/>
              <w:bottom w:val="single" w:sz="8" w:color="E6E6E6"/>
            </w:tcBorders>
            <w:gridSpan w:val="4"/>
            <w:shd w:val="clear" w:color="auto" w:fill="E6E6E6"/>
          </w:tcPr>
          <w:p>
            <w:pPr>
              <w:ind w:left="60"/>
              <w:spacing w:after="0"/>
              <w:rPr>
                <w:sz w:val="20"/>
                <w:szCs w:val="20"/>
                <w:color w:val="auto"/>
              </w:rPr>
            </w:pPr>
            <w:r>
              <w:rPr>
                <w:rFonts w:ascii="Arial" w:cs="Arial" w:eastAsia="Arial" w:hAnsi="Arial"/>
                <w:sz w:val="18"/>
                <w:szCs w:val="18"/>
                <w:b w:val="1"/>
                <w:bCs w:val="1"/>
                <w:color w:val="auto"/>
              </w:rPr>
              <w:t>Total liabilities at fair value</w:t>
            </w:r>
          </w:p>
        </w:tc>
        <w:tc>
          <w:tcPr>
            <w:tcW w:w="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E6E6E6"/>
          </w:tcPr>
          <w:p>
            <w:pPr>
              <w:ind w:left="10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560" w:type="dxa"/>
            <w:vAlign w:val="bottom"/>
            <w:tcBorders>
              <w:top w:val="single" w:sz="8" w:color="auto"/>
              <w:bottom w:val="single" w:sz="8" w:color="auto"/>
            </w:tcBorders>
            <w:shd w:val="clear" w:color="auto" w:fill="E6E6E6"/>
          </w:tcPr>
          <w:p>
            <w:pPr>
              <w:jc w:val="right"/>
              <w:ind w:right="331"/>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-1153160</wp:posOffset>
            </wp:positionV>
            <wp:extent cx="353314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4">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-672465</wp:posOffset>
            </wp:positionV>
            <wp:extent cx="353314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5">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-524510</wp:posOffset>
            </wp:positionV>
            <wp:extent cx="3533140"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6">
                      <a:extLst>
                        <a:ext uri="{28A0092B-C50C-407E-A947-70E740481C1C}"/>
                      </a:extLst>
                    </a:blip>
                    <a:srcRect/>
                    <a:stretch>
                      <a:fillRect/>
                    </a:stretch>
                  </pic:blipFill>
                  <pic:spPr bwMode="auto">
                    <a:xfrm>
                      <a:off x="0" y="0"/>
                      <a:ext cx="3533140" cy="508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-191135</wp:posOffset>
            </wp:positionV>
            <wp:extent cx="353314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7">
                      <a:extLst>
                        <a:ext uri="{28A0092B-C50C-407E-A947-70E740481C1C}"/>
                      </a:extLst>
                    </a:blip>
                    <a:srcRect/>
                    <a:stretch>
                      <a:fillRect/>
                    </a:stretch>
                  </pic:blipFill>
                  <pic:spPr bwMode="auto">
                    <a:xfrm>
                      <a:off x="0" y="0"/>
                      <a:ext cx="3533140" cy="2540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-43815</wp:posOffset>
            </wp:positionV>
            <wp:extent cx="3533140"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8">
                      <a:extLst>
                        <a:ext uri="{28A0092B-C50C-407E-A947-70E740481C1C}"/>
                      </a:extLst>
                    </a:blip>
                    <a:srcRect/>
                    <a:stretch>
                      <a:fillRect/>
                    </a:stretch>
                  </pic:blipFill>
                  <pic:spPr bwMode="auto">
                    <a:xfrm>
                      <a:off x="0" y="0"/>
                      <a:ext cx="3533140" cy="50800"/>
                    </a:xfrm>
                    <a:prstGeom prst="rect">
                      <a:avLst/>
                    </a:prstGeom>
                    <a:noFill/>
                  </pic:spPr>
                </pic:pic>
              </a:graphicData>
            </a:graphic>
          </wp:anchor>
        </w:drawing>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124" w:lineRule="exact"/>
        <w:rPr>
          <w:sz w:val="20"/>
          <w:szCs w:val="20"/>
          <w:color w:val="auto"/>
        </w:rPr>
      </w:pPr>
    </w:p>
    <w:p>
      <w:pPr>
        <w:ind w:right="2680"/>
        <w:spacing w:after="0" w:line="499" w:lineRule="auto"/>
        <w:rPr>
          <w:sz w:val="20"/>
          <w:szCs w:val="20"/>
          <w:color w:val="auto"/>
        </w:rPr>
      </w:pPr>
      <w:r>
        <w:rPr>
          <w:rFonts w:ascii="Arial" w:cs="Arial" w:eastAsia="Arial" w:hAnsi="Arial"/>
          <w:sz w:val="20"/>
          <w:szCs w:val="20"/>
          <w:b w:val="1"/>
          <w:bCs w:val="1"/>
          <w:color w:val="auto"/>
        </w:rPr>
        <w:t xml:space="preserve">NOTE 15 - DERIVATIVES AND HEDGING ACTIVITIES RISK MANAGEMENT </w:t>
      </w:r>
      <w:r>
        <w:rPr>
          <w:rFonts w:ascii="Arial" w:cs="Arial" w:eastAsia="Arial" w:hAnsi="Arial"/>
          <w:sz w:val="20"/>
          <w:szCs w:val="20"/>
          <w:b w:val="1"/>
          <w:bCs w:val="1"/>
          <w:i w:val="1"/>
          <w:iCs w:val="1"/>
          <w:color w:val="auto"/>
        </w:rPr>
        <w:t>Risk Management Objective of Using Derivatives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 Hedges of Interest Rate Risk</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the fiscal years 2025, 2024 and 2023, such derivatives were used to hedge the variable cash flows associated with existing variable-rate debt.</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Amounts reported in Accumulated other comprehensive income (loss) related to derivatives will be reclassified to Interest expense, net, as interest payments are made on the Company’s variable-rate debt. The Company estimates that $34 million will be reclassified as a decrease to interest expense within one year after December 31, 2025.</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120</w:t>
      </w:r>
    </w:p>
    <w:p>
      <w:pPr>
        <w:sectPr>
          <w:pgSz w:w="11880" w:h="15480" w:orient="portrait"/>
          <w:cols w:equalWidth="0" w:num="1">
            <w:col w:w="9800"/>
          </w:cols>
          <w:pgMar w:left="1040" w:top="637" w:right="104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DERIVATIVES AND HEDGING ACTIVITIES RISK MANAGEMENT (Continued)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notional amounts of outstanding interest rate derivatives are summarized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1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December 31, 2025</w:t>
            </w:r>
          </w:p>
        </w:tc>
        <w:tc>
          <w:tcPr>
            <w:tcW w:w="60" w:type="dxa"/>
            <w:vAlign w:val="bottom"/>
          </w:tcPr>
          <w:p>
            <w:pPr>
              <w:spacing w:after="0"/>
              <w:rPr>
                <w:sz w:val="21"/>
                <w:szCs w:val="21"/>
                <w:color w:val="auto"/>
              </w:rPr>
            </w:pPr>
          </w:p>
        </w:tc>
        <w:tc>
          <w:tcPr>
            <w:tcW w:w="31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December 31, 2024</w:t>
            </w:r>
          </w:p>
        </w:tc>
      </w:tr>
      <w:tr>
        <w:trPr>
          <w:trHeight w:val="203"/>
        </w:trPr>
        <w:tc>
          <w:tcPr>
            <w:tcW w:w="2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Pr>
          <w:p>
            <w:pPr>
              <w:jc w:val="center"/>
              <w:ind w:right="91"/>
              <w:spacing w:after="0" w:line="203" w:lineRule="exact"/>
              <w:rPr>
                <w:sz w:val="20"/>
                <w:szCs w:val="20"/>
                <w:color w:val="auto"/>
              </w:rPr>
            </w:pPr>
            <w:r>
              <w:rPr>
                <w:rFonts w:ascii="Arial" w:cs="Arial" w:eastAsia="Arial" w:hAnsi="Arial"/>
                <w:sz w:val="18"/>
                <w:szCs w:val="18"/>
                <w:color w:val="auto"/>
                <w:w w:val="91"/>
              </w:rPr>
              <w:t>Notional amount</w:t>
            </w: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Arial" w:cs="Arial" w:eastAsia="Arial" w:hAnsi="Arial"/>
                <w:sz w:val="18"/>
                <w:szCs w:val="18"/>
                <w:color w:val="auto"/>
                <w:w w:val="93"/>
              </w:rPr>
              <w:t>Notional amount</w:t>
            </w:r>
          </w:p>
        </w:tc>
        <w:tc>
          <w:tcPr>
            <w:tcW w:w="1760" w:type="dxa"/>
            <w:vAlign w:val="bottom"/>
          </w:tcPr>
          <w:p>
            <w:pPr>
              <w:spacing w:after="0"/>
              <w:rPr>
                <w:sz w:val="17"/>
                <w:szCs w:val="17"/>
                <w:color w:val="auto"/>
              </w:rPr>
            </w:pPr>
          </w:p>
        </w:tc>
      </w:tr>
      <w:tr>
        <w:trPr>
          <w:trHeight w:val="241"/>
        </w:trPr>
        <w:tc>
          <w:tcPr>
            <w:tcW w:w="238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5"/>
              </w:rPr>
              <w:t>Currency</w:t>
            </w:r>
          </w:p>
        </w:tc>
        <w:tc>
          <w:tcPr>
            <w:tcW w:w="1580" w:type="dxa"/>
            <w:vAlign w:val="bottom"/>
          </w:tcPr>
          <w:p>
            <w:pPr>
              <w:jc w:val="center"/>
              <w:ind w:right="111"/>
              <w:spacing w:after="0"/>
              <w:rPr>
                <w:sz w:val="20"/>
                <w:szCs w:val="20"/>
                <w:color w:val="auto"/>
              </w:rPr>
            </w:pPr>
            <w:r>
              <w:rPr>
                <w:rFonts w:ascii="Arial" w:cs="Arial" w:eastAsia="Arial" w:hAnsi="Arial"/>
                <w:sz w:val="18"/>
                <w:szCs w:val="18"/>
                <w:color w:val="auto"/>
                <w:w w:val="98"/>
              </w:rPr>
              <w:t>(in millions)</w:t>
            </w:r>
          </w:p>
        </w:tc>
        <w:tc>
          <w:tcPr>
            <w:tcW w:w="1600" w:type="dxa"/>
            <w:vAlign w:val="bottom"/>
          </w:tcPr>
          <w:p>
            <w:pPr>
              <w:ind w:left="260"/>
              <w:spacing w:after="0"/>
              <w:rPr>
                <w:sz w:val="20"/>
                <w:szCs w:val="20"/>
                <w:color w:val="auto"/>
              </w:rPr>
            </w:pPr>
            <w:r>
              <w:rPr>
                <w:rFonts w:ascii="Arial" w:cs="Arial" w:eastAsia="Arial" w:hAnsi="Arial"/>
                <w:sz w:val="18"/>
                <w:szCs w:val="18"/>
                <w:color w:val="auto"/>
              </w:rPr>
              <w:t>Maturity date</w:t>
            </w:r>
          </w:p>
        </w:tc>
        <w:tc>
          <w:tcPr>
            <w:tcW w:w="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Maturity date</w:t>
            </w:r>
          </w:p>
        </w:tc>
      </w:tr>
      <w:tr>
        <w:trPr>
          <w:trHeight w:val="260"/>
        </w:trPr>
        <w:tc>
          <w:tcPr>
            <w:tcW w:w="2380" w:type="dxa"/>
            <w:vAlign w:val="bottom"/>
            <w:shd w:val="clear" w:color="auto" w:fill="E6E6E6"/>
          </w:tcPr>
          <w:p>
            <w:pPr>
              <w:ind w:left="60"/>
              <w:spacing w:after="0"/>
              <w:rPr>
                <w:sz w:val="20"/>
                <w:szCs w:val="20"/>
                <w:color w:val="auto"/>
              </w:rPr>
            </w:pPr>
            <w:r>
              <w:rPr>
                <w:rFonts w:ascii="Arial" w:cs="Arial" w:eastAsia="Arial" w:hAnsi="Arial"/>
                <w:sz w:val="18"/>
                <w:szCs w:val="18"/>
                <w:color w:val="auto"/>
                <w:w w:val="97"/>
              </w:rPr>
              <w:t>Designated cash flow hedges</w:t>
            </w:r>
          </w:p>
        </w:tc>
        <w:tc>
          <w:tcPr>
            <w:tcW w:w="960" w:type="dxa"/>
            <w:vAlign w:val="bottom"/>
            <w:shd w:val="clear" w:color="auto" w:fill="E6E6E6"/>
          </w:tcPr>
          <w:p>
            <w:pPr>
              <w:spacing w:after="0"/>
              <w:rPr>
                <w:sz w:val="22"/>
                <w:szCs w:val="22"/>
                <w:color w:val="auto"/>
              </w:rPr>
            </w:pPr>
          </w:p>
        </w:tc>
        <w:tc>
          <w:tcPr>
            <w:tcW w:w="1580" w:type="dxa"/>
            <w:vAlign w:val="bottom"/>
            <w:shd w:val="clear" w:color="auto" w:fill="E6E6E6"/>
          </w:tcPr>
          <w:p>
            <w:pPr>
              <w:spacing w:after="0"/>
              <w:rPr>
                <w:sz w:val="22"/>
                <w:szCs w:val="22"/>
                <w:color w:val="auto"/>
              </w:rPr>
            </w:pPr>
          </w:p>
        </w:tc>
        <w:tc>
          <w:tcPr>
            <w:tcW w:w="16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20" w:type="dxa"/>
            <w:vAlign w:val="bottom"/>
            <w:shd w:val="clear" w:color="auto" w:fill="E6E6E6"/>
          </w:tcPr>
          <w:p>
            <w:pPr>
              <w:spacing w:after="0"/>
              <w:rPr>
                <w:sz w:val="22"/>
                <w:szCs w:val="22"/>
                <w:color w:val="auto"/>
              </w:rPr>
            </w:pPr>
          </w:p>
        </w:tc>
        <w:tc>
          <w:tcPr>
            <w:tcW w:w="1760" w:type="dxa"/>
            <w:vAlign w:val="bottom"/>
            <w:shd w:val="clear" w:color="auto" w:fill="E6E6E6"/>
          </w:tcPr>
          <w:p>
            <w:pPr>
              <w:spacing w:after="0"/>
              <w:rPr>
                <w:sz w:val="22"/>
                <w:szCs w:val="22"/>
                <w:color w:val="auto"/>
              </w:rPr>
            </w:pPr>
          </w:p>
        </w:tc>
      </w:tr>
      <w:tr>
        <w:trPr>
          <w:trHeight w:val="245"/>
        </w:trPr>
        <w:tc>
          <w:tcPr>
            <w:tcW w:w="2380" w:type="dxa"/>
            <w:vAlign w:val="bottom"/>
          </w:tcPr>
          <w:p>
            <w:pPr>
              <w:ind w:left="60"/>
              <w:spacing w:after="0"/>
              <w:rPr>
                <w:sz w:val="20"/>
                <w:szCs w:val="20"/>
                <w:color w:val="auto"/>
              </w:rPr>
            </w:pPr>
            <w:r>
              <w:rPr>
                <w:rFonts w:ascii="Arial" w:cs="Arial" w:eastAsia="Arial" w:hAnsi="Arial"/>
                <w:sz w:val="18"/>
                <w:szCs w:val="18"/>
                <w:color w:val="auto"/>
              </w:rPr>
              <w:t>Interest rate swaps</w:t>
            </w:r>
          </w:p>
        </w:tc>
        <w:tc>
          <w:tcPr>
            <w:tcW w:w="960" w:type="dxa"/>
            <w:vAlign w:val="bottom"/>
          </w:tcPr>
          <w:p>
            <w:pPr>
              <w:ind w:left="240"/>
              <w:spacing w:after="0"/>
              <w:rPr>
                <w:sz w:val="20"/>
                <w:szCs w:val="20"/>
                <w:color w:val="auto"/>
              </w:rPr>
            </w:pPr>
            <w:r>
              <w:rPr>
                <w:rFonts w:ascii="Arial" w:cs="Arial" w:eastAsia="Arial" w:hAnsi="Arial"/>
                <w:sz w:val="18"/>
                <w:szCs w:val="18"/>
                <w:color w:val="auto"/>
              </w:rPr>
              <w:t>USD</w:t>
            </w:r>
          </w:p>
        </w:tc>
        <w:tc>
          <w:tcPr>
            <w:tcW w:w="1580" w:type="dxa"/>
            <w:vAlign w:val="bottom"/>
          </w:tcPr>
          <w:p>
            <w:pPr>
              <w:ind w:left="900"/>
              <w:spacing w:after="0"/>
              <w:rPr>
                <w:sz w:val="20"/>
                <w:szCs w:val="20"/>
                <w:color w:val="auto"/>
              </w:rPr>
            </w:pPr>
            <w:r>
              <w:rPr>
                <w:rFonts w:ascii="Arial" w:cs="Arial" w:eastAsia="Arial" w:hAnsi="Arial"/>
                <w:sz w:val="18"/>
                <w:szCs w:val="18"/>
                <w:color w:val="auto"/>
              </w:rPr>
              <w:t>1,000</w:t>
            </w:r>
          </w:p>
        </w:tc>
        <w:tc>
          <w:tcPr>
            <w:tcW w:w="1600" w:type="dxa"/>
            <w:vAlign w:val="bottom"/>
          </w:tcPr>
          <w:p>
            <w:pPr>
              <w:ind w:left="880"/>
              <w:spacing w:after="0"/>
              <w:rPr>
                <w:sz w:val="20"/>
                <w:szCs w:val="20"/>
                <w:color w:val="auto"/>
              </w:rPr>
            </w:pPr>
            <w:r>
              <w:rPr>
                <w:rFonts w:ascii="Arial" w:cs="Arial" w:eastAsia="Arial" w:hAnsi="Arial"/>
                <w:sz w:val="18"/>
                <w:szCs w:val="18"/>
                <w:color w:val="auto"/>
                <w:w w:val="92"/>
              </w:rPr>
              <w:t>Dec'2026</w:t>
            </w:r>
          </w:p>
        </w:tc>
        <w:tc>
          <w:tcPr>
            <w:tcW w:w="1480" w:type="dxa"/>
            <w:vAlign w:val="bottom"/>
            <w:gridSpan w:val="2"/>
          </w:tcPr>
          <w:p>
            <w:pPr>
              <w:ind w:left="960"/>
              <w:spacing w:after="0"/>
              <w:rPr>
                <w:sz w:val="20"/>
                <w:szCs w:val="20"/>
                <w:color w:val="auto"/>
              </w:rPr>
            </w:pPr>
            <w:r>
              <w:rPr>
                <w:rFonts w:ascii="Arial" w:cs="Arial" w:eastAsia="Arial" w:hAnsi="Arial"/>
                <w:sz w:val="18"/>
                <w:szCs w:val="18"/>
                <w:color w:val="auto"/>
              </w:rPr>
              <w:t>2,950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Nov'2025 to Dec'2026</w:t>
            </w:r>
          </w:p>
        </w:tc>
      </w:tr>
      <w:tr>
        <w:trPr>
          <w:trHeight w:val="259"/>
        </w:trPr>
        <w:tc>
          <w:tcPr>
            <w:tcW w:w="238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Interest rate caps</w:t>
            </w:r>
          </w:p>
        </w:tc>
        <w:tc>
          <w:tcPr>
            <w:tcW w:w="960" w:type="dxa"/>
            <w:vAlign w:val="bottom"/>
            <w:shd w:val="clear" w:color="auto" w:fill="E6E6E6"/>
          </w:tcPr>
          <w:p>
            <w:pPr>
              <w:ind w:left="240"/>
              <w:spacing w:after="0"/>
              <w:rPr>
                <w:sz w:val="20"/>
                <w:szCs w:val="20"/>
                <w:color w:val="auto"/>
              </w:rPr>
            </w:pPr>
            <w:r>
              <w:rPr>
                <w:rFonts w:ascii="Arial" w:cs="Arial" w:eastAsia="Arial" w:hAnsi="Arial"/>
                <w:sz w:val="18"/>
                <w:szCs w:val="18"/>
                <w:color w:val="auto"/>
              </w:rPr>
              <w:t>USD</w:t>
            </w:r>
          </w:p>
        </w:tc>
        <w:tc>
          <w:tcPr>
            <w:tcW w:w="1580" w:type="dxa"/>
            <w:vAlign w:val="bottom"/>
            <w:shd w:val="clear" w:color="auto" w:fill="E6E6E6"/>
          </w:tcPr>
          <w:p>
            <w:pPr>
              <w:ind w:left="900"/>
              <w:spacing w:after="0"/>
              <w:rPr>
                <w:sz w:val="20"/>
                <w:szCs w:val="20"/>
                <w:color w:val="auto"/>
              </w:rPr>
            </w:pPr>
            <w:r>
              <w:rPr>
                <w:rFonts w:ascii="Arial" w:cs="Arial" w:eastAsia="Arial" w:hAnsi="Arial"/>
                <w:sz w:val="18"/>
                <w:szCs w:val="18"/>
                <w:color w:val="auto"/>
              </w:rPr>
              <w:t>2,000</w:t>
            </w:r>
          </w:p>
        </w:tc>
        <w:tc>
          <w:tcPr>
            <w:tcW w:w="1600" w:type="dxa"/>
            <w:vAlign w:val="bottom"/>
            <w:shd w:val="clear" w:color="auto" w:fill="E6E6E6"/>
          </w:tcPr>
          <w:p>
            <w:pPr>
              <w:ind w:left="880"/>
              <w:spacing w:after="0"/>
              <w:rPr>
                <w:sz w:val="20"/>
                <w:szCs w:val="20"/>
                <w:color w:val="auto"/>
              </w:rPr>
            </w:pPr>
            <w:r>
              <w:rPr>
                <w:rFonts w:ascii="Arial" w:cs="Arial" w:eastAsia="Arial" w:hAnsi="Arial"/>
                <w:sz w:val="18"/>
                <w:szCs w:val="18"/>
                <w:color w:val="auto"/>
                <w:w w:val="92"/>
              </w:rPr>
              <w:t>Dec'2026</w:t>
            </w:r>
          </w:p>
        </w:tc>
        <w:tc>
          <w:tcPr>
            <w:tcW w:w="1480" w:type="dxa"/>
            <w:vAlign w:val="bottom"/>
            <w:gridSpan w:val="2"/>
            <w:shd w:val="clear" w:color="auto" w:fill="E6E6E6"/>
          </w:tcPr>
          <w:p>
            <w:pPr>
              <w:ind w:left="960"/>
              <w:spacing w:after="0"/>
              <w:rPr>
                <w:sz w:val="20"/>
                <w:szCs w:val="20"/>
                <w:color w:val="auto"/>
              </w:rPr>
            </w:pPr>
            <w:r>
              <w:rPr>
                <w:rFonts w:ascii="Arial" w:cs="Arial" w:eastAsia="Arial" w:hAnsi="Arial"/>
                <w:sz w:val="18"/>
                <w:szCs w:val="18"/>
                <w:color w:val="auto"/>
              </w:rPr>
              <w:t>2,500</w:t>
            </w:r>
          </w:p>
        </w:tc>
        <w:tc>
          <w:tcPr>
            <w:tcW w:w="17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Dec'2025 to Dec'2026</w:t>
            </w:r>
          </w:p>
        </w:tc>
      </w:tr>
    </w:tbl>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entered into interest rate swaps with notional value of $1,450 million in 2023, which have matured on November 30, 2025. Additionally, the Company entered into interest rate caps with notional value of $1,000 million in 2023, which took effect on December 31, 2025 and mature on December 31, 2026. All the interest rate contracts are designated as hedges for accounting purposes.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Based on contractual terms, the notional amounts of interest rate swaps and interest rate caps each decreased in increments of $500 million on December 31, 2025 and 2024, respectively. The remaining notional amount is set to mature on December 31, 2026.</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Gains and Losses on Hedging Instruments</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table below presents the effect of cash flow hedge accounting on Accumulated other comprehensive income (loss) for each reporting period: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Year ended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60"/>
              <w:spacing w:after="0" w:line="203" w:lineRule="exact"/>
              <w:rPr>
                <w:sz w:val="20"/>
                <w:szCs w:val="20"/>
                <w:color w:val="auto"/>
              </w:rPr>
            </w:pPr>
            <w:r>
              <w:rPr>
                <w:rFonts w:ascii="Arial" w:cs="Arial" w:eastAsia="Arial" w:hAnsi="Arial"/>
                <w:sz w:val="18"/>
                <w:szCs w:val="18"/>
                <w:b w:val="1"/>
                <w:bCs w:val="1"/>
                <w:i w:val="1"/>
                <w:iCs w:val="1"/>
                <w:color w:val="auto"/>
              </w:rPr>
              <w:t>(in millions)</w:t>
            </w:r>
          </w:p>
        </w:tc>
        <w:tc>
          <w:tcPr>
            <w:tcW w:w="2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line="203" w:lineRule="exact"/>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91"/>
              <w:spacing w:after="0" w:line="203" w:lineRule="exact"/>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1"/>
              <w:spacing w:after="0" w:line="203" w:lineRule="exact"/>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E6E6E6"/>
            </w:tcBorders>
          </w:tcPr>
          <w:p>
            <w:pPr>
              <w:spacing w:after="0"/>
              <w:rPr>
                <w:sz w:val="20"/>
                <w:szCs w:val="20"/>
                <w:color w:val="auto"/>
              </w:rPr>
            </w:pPr>
          </w:p>
        </w:tc>
        <w:tc>
          <w:tcPr>
            <w:tcW w:w="2060" w:type="dxa"/>
            <w:vAlign w:val="bottom"/>
            <w:tcBorders>
              <w:bottom w:val="single" w:sz="8" w:color="E6E6E6"/>
            </w:tcBorders>
          </w:tcPr>
          <w:p>
            <w:pPr>
              <w:spacing w:after="0"/>
              <w:rPr>
                <w:sz w:val="20"/>
                <w:szCs w:val="20"/>
                <w:color w:val="auto"/>
              </w:rPr>
            </w:pPr>
          </w:p>
        </w:tc>
        <w:tc>
          <w:tcPr>
            <w:tcW w:w="15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2024</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2"/>
        </w:trPr>
        <w:tc>
          <w:tcPr>
            <w:tcW w:w="1940" w:type="dxa"/>
            <w:vAlign w:val="bottom"/>
            <w:shd w:val="clear" w:color="auto" w:fill="E6E6E6"/>
          </w:tcPr>
          <w:p>
            <w:pPr>
              <w:spacing w:after="0"/>
              <w:rPr>
                <w:sz w:val="21"/>
                <w:szCs w:val="21"/>
                <w:color w:val="auto"/>
              </w:rPr>
            </w:pPr>
          </w:p>
        </w:tc>
        <w:tc>
          <w:tcPr>
            <w:tcW w:w="206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w w:val="98"/>
              </w:rPr>
              <w:t>Included in effectiveness</w:t>
            </w:r>
          </w:p>
        </w:tc>
        <w:tc>
          <w:tcPr>
            <w:tcW w:w="1520" w:type="dxa"/>
            <w:vAlign w:val="bottom"/>
            <w:gridSpan w:val="2"/>
            <w:shd w:val="clear" w:color="auto" w:fill="E6E6E6"/>
          </w:tcPr>
          <w:p>
            <w:pPr>
              <w:ind w:left="40"/>
              <w:spacing w:after="0"/>
              <w:rPr>
                <w:sz w:val="20"/>
                <w:szCs w:val="20"/>
                <w:color w:val="auto"/>
              </w:rPr>
            </w:pPr>
            <w:r>
              <w:rPr>
                <w:rFonts w:ascii="Arial" w:cs="Arial" w:eastAsia="Arial" w:hAnsi="Arial"/>
                <w:sz w:val="18"/>
                <w:szCs w:val="18"/>
                <w:color w:val="auto"/>
                <w:w w:val="95"/>
              </w:rPr>
              <w:t>Interest rate swaps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1"/>
        </w:trPr>
        <w:tc>
          <w:tcPr>
            <w:tcW w:w="1940" w:type="dxa"/>
            <w:vAlign w:val="bottom"/>
            <w:shd w:val="clear" w:color="auto" w:fill="E6E6E6"/>
          </w:tcPr>
          <w:p>
            <w:pPr>
              <w:ind w:left="60"/>
              <w:spacing w:after="0"/>
              <w:rPr>
                <w:sz w:val="20"/>
                <w:szCs w:val="20"/>
                <w:color w:val="auto"/>
              </w:rPr>
            </w:pPr>
            <w:r>
              <w:rPr>
                <w:rFonts w:ascii="Arial" w:cs="Arial" w:eastAsia="Arial" w:hAnsi="Arial"/>
                <w:sz w:val="18"/>
                <w:szCs w:val="18"/>
                <w:color w:val="auto"/>
                <w:w w:val="93"/>
              </w:rPr>
              <w:t>Gain (loss) recognized in</w:t>
            </w:r>
          </w:p>
        </w:tc>
        <w:tc>
          <w:tcPr>
            <w:tcW w:w="206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testing</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Interest rate caps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
        </w:trPr>
        <w:tc>
          <w:tcPr>
            <w:tcW w:w="194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rPr>
              <w:t>AOCI</w:t>
            </w:r>
          </w:p>
        </w:tc>
        <w:tc>
          <w:tcPr>
            <w:tcW w:w="2060" w:type="dxa"/>
            <w:vAlign w:val="bottom"/>
            <w:tcBorders>
              <w:right w:val="single" w:sz="8" w:color="E6E6E6"/>
            </w:tcBorders>
            <w:vMerge w:val="restart"/>
            <w:shd w:val="clear" w:color="auto" w:fill="E6E6E6"/>
          </w:tcPr>
          <w:p>
            <w:pPr>
              <w:ind w:left="80"/>
              <w:spacing w:after="0"/>
              <w:rPr>
                <w:sz w:val="20"/>
                <w:szCs w:val="20"/>
                <w:color w:val="auto"/>
              </w:rPr>
            </w:pPr>
            <w:r>
              <w:rPr>
                <w:rFonts w:ascii="Arial" w:cs="Arial" w:eastAsia="Arial" w:hAnsi="Arial"/>
                <w:sz w:val="18"/>
                <w:szCs w:val="18"/>
                <w:color w:val="auto"/>
                <w:w w:val="95"/>
              </w:rPr>
              <w:t>Excluded in effectiveness</w:t>
            </w: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940" w:type="dxa"/>
            <w:vAlign w:val="bottom"/>
            <w:vMerge w:val="continue"/>
            <w:shd w:val="clear" w:color="auto" w:fill="E6E6E6"/>
          </w:tcPr>
          <w:p>
            <w:pPr>
              <w:spacing w:after="0"/>
              <w:rPr>
                <w:sz w:val="18"/>
                <w:szCs w:val="18"/>
                <w:color w:val="auto"/>
              </w:rPr>
            </w:pPr>
          </w:p>
        </w:tc>
        <w:tc>
          <w:tcPr>
            <w:tcW w:w="2060" w:type="dxa"/>
            <w:vAlign w:val="bottom"/>
            <w:tcBorders>
              <w:right w:val="single" w:sz="8" w:color="E6E6E6"/>
            </w:tcBorders>
            <w:vMerge w:val="continue"/>
            <w:shd w:val="clear" w:color="auto" w:fill="E6E6E6"/>
          </w:tcPr>
          <w:p>
            <w:pPr>
              <w:spacing w:after="0"/>
              <w:rPr>
                <w:sz w:val="18"/>
                <w:szCs w:val="18"/>
                <w:color w:val="auto"/>
              </w:rPr>
            </w:pPr>
          </w:p>
        </w:tc>
        <w:tc>
          <w:tcPr>
            <w:tcW w:w="15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E6E6E6"/>
            </w:tcBorders>
            <w:shd w:val="clear" w:color="auto" w:fill="E6E6E6"/>
          </w:tcPr>
          <w:p>
            <w:pPr>
              <w:spacing w:after="0"/>
              <w:rPr>
                <w:sz w:val="20"/>
                <w:szCs w:val="20"/>
                <w:color w:val="auto"/>
              </w:rPr>
            </w:pPr>
          </w:p>
        </w:tc>
        <w:tc>
          <w:tcPr>
            <w:tcW w:w="2060" w:type="dxa"/>
            <w:vAlign w:val="bottom"/>
            <w:tcBorders>
              <w:bottom w:val="single" w:sz="8" w:color="E6E6E6"/>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testing</w:t>
            </w:r>
          </w:p>
        </w:tc>
        <w:tc>
          <w:tcPr>
            <w:tcW w:w="15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8"/>
                <w:szCs w:val="18"/>
                <w:color w:val="auto"/>
              </w:rPr>
              <w:t>Interest rate caps</w:t>
            </w:r>
          </w:p>
        </w:tc>
        <w:tc>
          <w:tcPr>
            <w:tcW w:w="14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2"/>
        </w:trPr>
        <w:tc>
          <w:tcPr>
            <w:tcW w:w="19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940" w:type="dxa"/>
            <w:vAlign w:val="bottom"/>
            <w:shd w:val="clear" w:color="auto" w:fill="E6E6E6"/>
          </w:tcPr>
          <w:p>
            <w:pPr>
              <w:spacing w:after="0"/>
              <w:rPr>
                <w:sz w:val="21"/>
                <w:szCs w:val="21"/>
                <w:color w:val="auto"/>
              </w:rPr>
            </w:pPr>
          </w:p>
        </w:tc>
        <w:tc>
          <w:tcPr>
            <w:tcW w:w="206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w w:val="98"/>
              </w:rPr>
              <w:t>Included in effectiveness</w:t>
            </w:r>
          </w:p>
        </w:tc>
        <w:tc>
          <w:tcPr>
            <w:tcW w:w="1520" w:type="dxa"/>
            <w:vAlign w:val="bottom"/>
            <w:gridSpan w:val="2"/>
            <w:shd w:val="clear" w:color="auto" w:fill="E6E6E6"/>
          </w:tcPr>
          <w:p>
            <w:pPr>
              <w:ind w:left="40"/>
              <w:spacing w:after="0"/>
              <w:rPr>
                <w:sz w:val="20"/>
                <w:szCs w:val="20"/>
                <w:color w:val="auto"/>
              </w:rPr>
            </w:pPr>
            <w:r>
              <w:rPr>
                <w:rFonts w:ascii="Arial" w:cs="Arial" w:eastAsia="Arial" w:hAnsi="Arial"/>
                <w:sz w:val="18"/>
                <w:szCs w:val="18"/>
                <w:color w:val="auto"/>
                <w:w w:val="95"/>
              </w:rPr>
              <w:t>Interest rate swaps</w:t>
            </w:r>
          </w:p>
        </w:tc>
        <w:tc>
          <w:tcPr>
            <w:tcW w:w="140" w:type="dxa"/>
            <w:vAlign w:val="bottom"/>
            <w:shd w:val="clear" w:color="auto" w:fill="E6E6E6"/>
          </w:tcPr>
          <w:p>
            <w:pPr>
              <w:spacing w:after="0"/>
              <w:rPr>
                <w:sz w:val="21"/>
                <w:szCs w:val="21"/>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4"/>
        </w:trPr>
        <w:tc>
          <w:tcPr>
            <w:tcW w:w="1940" w:type="dxa"/>
            <w:vAlign w:val="bottom"/>
            <w:shd w:val="clear" w:color="auto" w:fill="E6E6E6"/>
          </w:tcPr>
          <w:p>
            <w:pPr>
              <w:ind w:left="60"/>
              <w:spacing w:after="0"/>
              <w:rPr>
                <w:sz w:val="20"/>
                <w:szCs w:val="20"/>
                <w:color w:val="auto"/>
              </w:rPr>
            </w:pPr>
            <w:r>
              <w:rPr>
                <w:rFonts w:ascii="Arial" w:cs="Arial" w:eastAsia="Arial" w:hAnsi="Arial"/>
                <w:sz w:val="18"/>
                <w:szCs w:val="18"/>
                <w:color w:val="auto"/>
              </w:rPr>
              <w:t>Gain (loss) reclassified</w:t>
            </w:r>
          </w:p>
        </w:tc>
        <w:tc>
          <w:tcPr>
            <w:tcW w:w="2060" w:type="dxa"/>
            <w:vAlign w:val="bottom"/>
            <w:tcBorders>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testing</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Interest rate caps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8"/>
        </w:trPr>
        <w:tc>
          <w:tcPr>
            <w:tcW w:w="194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w w:val="96"/>
              </w:rPr>
              <w:t>from AOCI into earnings</w:t>
            </w:r>
          </w:p>
        </w:tc>
        <w:tc>
          <w:tcPr>
            <w:tcW w:w="2060" w:type="dxa"/>
            <w:vAlign w:val="bottom"/>
            <w:tcBorders>
              <w:right w:val="single" w:sz="8" w:color="E6E6E6"/>
            </w:tcBorders>
            <w:vMerge w:val="restart"/>
            <w:shd w:val="clear" w:color="auto" w:fill="E6E6E6"/>
          </w:tcPr>
          <w:p>
            <w:pPr>
              <w:ind w:left="80"/>
              <w:spacing w:after="0"/>
              <w:rPr>
                <w:sz w:val="20"/>
                <w:szCs w:val="20"/>
                <w:color w:val="auto"/>
              </w:rPr>
            </w:pPr>
            <w:r>
              <w:rPr>
                <w:rFonts w:ascii="Arial" w:cs="Arial" w:eastAsia="Arial" w:hAnsi="Arial"/>
                <w:sz w:val="18"/>
                <w:szCs w:val="18"/>
                <w:color w:val="auto"/>
                <w:w w:val="95"/>
              </w:rPr>
              <w:t>Excluded in effectiveness</w:t>
            </w: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940" w:type="dxa"/>
            <w:vAlign w:val="bottom"/>
            <w:vMerge w:val="continue"/>
            <w:shd w:val="clear" w:color="auto" w:fill="E6E6E6"/>
          </w:tcPr>
          <w:p>
            <w:pPr>
              <w:spacing w:after="0"/>
              <w:rPr>
                <w:sz w:val="17"/>
                <w:szCs w:val="17"/>
                <w:color w:val="auto"/>
              </w:rPr>
            </w:pPr>
          </w:p>
        </w:tc>
        <w:tc>
          <w:tcPr>
            <w:tcW w:w="2060" w:type="dxa"/>
            <w:vAlign w:val="bottom"/>
            <w:tcBorders>
              <w:right w:val="single" w:sz="8" w:color="E6E6E6"/>
            </w:tcBorders>
            <w:vMerge w:val="continue"/>
            <w:shd w:val="clear" w:color="auto" w:fill="E6E6E6"/>
          </w:tcPr>
          <w:p>
            <w:pPr>
              <w:spacing w:after="0"/>
              <w:rPr>
                <w:sz w:val="17"/>
                <w:szCs w:val="17"/>
                <w:color w:val="auto"/>
              </w:rPr>
            </w:pPr>
          </w:p>
        </w:tc>
        <w:tc>
          <w:tcPr>
            <w:tcW w:w="1520" w:type="dxa"/>
            <w:vAlign w:val="bottom"/>
            <w:gridSpan w:val="2"/>
            <w:vMerge w:val="restart"/>
            <w:shd w:val="clear" w:color="auto" w:fill="E6E6E6"/>
          </w:tcPr>
          <w:p>
            <w:pPr>
              <w:ind w:left="40"/>
              <w:spacing w:after="0"/>
              <w:rPr>
                <w:sz w:val="20"/>
                <w:szCs w:val="20"/>
                <w:color w:val="auto"/>
              </w:rPr>
            </w:pPr>
            <w:r>
              <w:rPr>
                <w:rFonts w:ascii="Arial" w:cs="Arial" w:eastAsia="Arial" w:hAnsi="Arial"/>
                <w:sz w:val="18"/>
                <w:szCs w:val="18"/>
                <w:color w:val="auto"/>
              </w:rPr>
              <w:t>Interest rate caps</w:t>
            </w:r>
          </w:p>
        </w:tc>
        <w:tc>
          <w:tcPr>
            <w:tcW w:w="140" w:type="dxa"/>
            <w:vAlign w:val="bottom"/>
            <w:shd w:val="clear" w:color="auto" w:fill="E6E6E6"/>
          </w:tcPr>
          <w:p>
            <w:pPr>
              <w:spacing w:after="0"/>
              <w:rPr>
                <w:sz w:val="17"/>
                <w:szCs w:val="17"/>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1940" w:type="dxa"/>
            <w:vAlign w:val="bottom"/>
            <w:tcBorders>
              <w:bottom w:val="single" w:sz="8" w:color="E6E6E6"/>
            </w:tcBorders>
            <w:shd w:val="clear" w:color="auto" w:fill="E6E6E6"/>
          </w:tcPr>
          <w:p>
            <w:pPr>
              <w:spacing w:after="0"/>
              <w:rPr>
                <w:sz w:val="19"/>
                <w:szCs w:val="19"/>
                <w:color w:val="auto"/>
              </w:rPr>
            </w:pPr>
          </w:p>
        </w:tc>
        <w:tc>
          <w:tcPr>
            <w:tcW w:w="2060" w:type="dxa"/>
            <w:vAlign w:val="bottom"/>
            <w:tcBorders>
              <w:bottom w:val="single" w:sz="8" w:color="E6E6E6"/>
              <w:right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testing</w:t>
            </w:r>
          </w:p>
        </w:tc>
        <w:tc>
          <w:tcPr>
            <w:tcW w:w="1520" w:type="dxa"/>
            <w:vAlign w:val="bottom"/>
            <w:tcBorders>
              <w:bottom w:val="single" w:sz="8" w:color="E6E6E6"/>
            </w:tcBorders>
            <w:gridSpan w:val="2"/>
            <w:vMerge w:val="continue"/>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1220" w:type="dxa"/>
            <w:vAlign w:val="bottom"/>
            <w:tcBorders>
              <w:bottom w:val="single" w:sz="8" w:color="auto"/>
            </w:tcBorders>
            <w:vMerge w:val="continue"/>
            <w:shd w:val="clear" w:color="auto" w:fill="E6E6E6"/>
          </w:tcPr>
          <w:p>
            <w:pPr>
              <w:spacing w:after="0"/>
              <w:rPr>
                <w:sz w:val="19"/>
                <w:szCs w:val="19"/>
                <w:color w:val="auto"/>
              </w:rPr>
            </w:pPr>
          </w:p>
        </w:tc>
        <w:tc>
          <w:tcPr>
            <w:tcW w:w="6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1220" w:type="dxa"/>
            <w:vAlign w:val="bottom"/>
            <w:tcBorders>
              <w:bottom w:val="single" w:sz="8" w:color="auto"/>
            </w:tcBorders>
            <w:vMerge w:val="continue"/>
            <w:shd w:val="clear" w:color="auto" w:fill="E6E6E6"/>
          </w:tcPr>
          <w:p>
            <w:pPr>
              <w:spacing w:after="0"/>
              <w:rPr>
                <w:sz w:val="19"/>
                <w:szCs w:val="19"/>
                <w:color w:val="auto"/>
              </w:rPr>
            </w:pPr>
          </w:p>
        </w:tc>
        <w:tc>
          <w:tcPr>
            <w:tcW w:w="6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1220" w:type="dxa"/>
            <w:vAlign w:val="bottom"/>
            <w:tcBorders>
              <w:bottom w:val="single" w:sz="8" w:color="auto"/>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940" w:type="dxa"/>
            <w:vAlign w:val="bottom"/>
            <w:tcBorders>
              <w:bottom w:val="single" w:sz="8" w:color="E6E6E6"/>
            </w:tcBorders>
          </w:tcPr>
          <w:p>
            <w:pPr>
              <w:spacing w:after="0"/>
              <w:rPr>
                <w:sz w:val="22"/>
                <w:szCs w:val="22"/>
                <w:color w:val="auto"/>
              </w:rPr>
            </w:pPr>
          </w:p>
        </w:tc>
        <w:tc>
          <w:tcPr>
            <w:tcW w:w="2060" w:type="dxa"/>
            <w:vAlign w:val="bottom"/>
            <w:tcBorders>
              <w:bottom w:val="single" w:sz="8" w:color="E6E6E6"/>
            </w:tcBorders>
          </w:tcPr>
          <w:p>
            <w:pPr>
              <w:spacing w:after="0"/>
              <w:rPr>
                <w:sz w:val="22"/>
                <w:szCs w:val="22"/>
                <w:color w:val="auto"/>
              </w:rPr>
            </w:pPr>
          </w:p>
        </w:tc>
        <w:tc>
          <w:tcPr>
            <w:tcW w:w="150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2"/>
        </w:trPr>
        <w:tc>
          <w:tcPr>
            <w:tcW w:w="1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 change in AOCI</w:t>
            </w:r>
          </w:p>
        </w:tc>
        <w:tc>
          <w:tcPr>
            <w:tcW w:w="2060" w:type="dxa"/>
            <w:vAlign w:val="bottom"/>
            <w:tcBorders>
              <w:bottom w:val="single" w:sz="8" w:color="E6E6E6"/>
              <w:right w:val="single" w:sz="8" w:color="E6E6E6"/>
            </w:tcBorders>
            <w:shd w:val="clear" w:color="auto" w:fill="E6E6E6"/>
          </w:tcPr>
          <w:p>
            <w:pPr>
              <w:spacing w:after="0"/>
              <w:rPr>
                <w:sz w:val="21"/>
                <w:szCs w:val="21"/>
                <w:color w:val="auto"/>
              </w:rPr>
            </w:pPr>
          </w:p>
        </w:tc>
        <w:tc>
          <w:tcPr>
            <w:tcW w:w="15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4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-1954530</wp:posOffset>
            </wp:positionV>
            <wp:extent cx="273177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9">
                      <a:extLst>
                        <a:ext uri="{28A0092B-C50C-407E-A947-70E740481C1C}"/>
                      </a:extLst>
                    </a:blip>
                    <a:srcRect/>
                    <a:stretch>
                      <a:fillRect/>
                    </a:stretch>
                  </pic:blipFill>
                  <pic:spPr bwMode="auto">
                    <a:xfrm>
                      <a:off x="0" y="0"/>
                      <a:ext cx="2731770" cy="2540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-1341755</wp:posOffset>
            </wp:positionV>
            <wp:extent cx="273177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10">
                      <a:extLst>
                        <a:ext uri="{28A0092B-C50C-407E-A947-70E740481C1C}"/>
                      </a:extLst>
                    </a:blip>
                    <a:srcRect/>
                    <a:stretch>
                      <a:fillRect/>
                    </a:stretch>
                  </pic:blipFill>
                  <pic:spPr bwMode="auto">
                    <a:xfrm>
                      <a:off x="0" y="0"/>
                      <a:ext cx="2731770" cy="2540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-370205</wp:posOffset>
            </wp:positionV>
            <wp:extent cx="273177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11">
                      <a:extLst>
                        <a:ext uri="{28A0092B-C50C-407E-A947-70E740481C1C}"/>
                      </a:extLst>
                    </a:blip>
                    <a:srcRect/>
                    <a:stretch>
                      <a:fillRect/>
                    </a:stretch>
                  </pic:blipFill>
                  <pic:spPr bwMode="auto">
                    <a:xfrm>
                      <a:off x="0" y="0"/>
                      <a:ext cx="2731770" cy="2540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-191135</wp:posOffset>
            </wp:positionV>
            <wp:extent cx="273177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12">
                      <a:extLst>
                        <a:ext uri="{28A0092B-C50C-407E-A947-70E740481C1C}"/>
                      </a:extLst>
                    </a:blip>
                    <a:srcRect/>
                    <a:stretch>
                      <a:fillRect/>
                    </a:stretch>
                  </pic:blipFill>
                  <pic:spPr bwMode="auto">
                    <a:xfrm>
                      <a:off x="0" y="0"/>
                      <a:ext cx="2731770" cy="2540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-43815</wp:posOffset>
            </wp:positionV>
            <wp:extent cx="2731770"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13">
                      <a:extLst>
                        <a:ext uri="{28A0092B-C50C-407E-A947-70E740481C1C}"/>
                      </a:extLst>
                    </a:blip>
                    <a:srcRect/>
                    <a:stretch>
                      <a:fillRect/>
                    </a:stretch>
                  </pic:blipFill>
                  <pic:spPr bwMode="auto">
                    <a:xfrm>
                      <a:off x="0" y="0"/>
                      <a:ext cx="2731770" cy="50800"/>
                    </a:xfrm>
                    <a:prstGeom prst="rect">
                      <a:avLst/>
                    </a:prstGeom>
                    <a:noFill/>
                  </pic:spPr>
                </pic:pic>
              </a:graphicData>
            </a:graphic>
          </wp:anchor>
        </w:drawing>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gain (loss) reclassed from AOCI into earnings is recorded to Interest expense, net in Consolidated Statements of Comprehensive Income.</w:t>
      </w:r>
    </w:p>
    <w:p>
      <w:pPr>
        <w:spacing w:after="0" w:line="180"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Cash flows from derivatives designated as hedges are classified in the same line item as the cash flows of the hedged transaction within operating activities. Cash flows from undesignated derivatives are classified within investing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Assets and Liabilities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records both the designated interest rate derivatives and the undesignated derivatives at fair value in the Consolidated Balance Sheets. The respective assets and liabilities are generally classified as short-term or long-term based on the maturity dates of the derivatives.</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121</w:t>
      </w:r>
    </w:p>
    <w:p>
      <w:pPr>
        <w:sectPr>
          <w:pgSz w:w="11880" w:h="15480" w:orient="portrait"/>
          <w:cols w:equalWidth="0" w:num="1">
            <w:col w:w="9800"/>
          </w:cols>
          <w:pgMar w:left="1040" w:top="637" w:right="104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DERIVATIVES AND HEDGING ACTIVITIES RISK MANAGEMENT (Continued)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the classification and fair value of the derivatives for each reporting period: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65"/>
        </w:trPr>
        <w:tc>
          <w:tcPr>
            <w:tcW w:w="298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Designated cash flow hedges</w:t>
            </w:r>
          </w:p>
        </w:tc>
        <w:tc>
          <w:tcPr>
            <w:tcW w:w="2840" w:type="dxa"/>
            <w:vAlign w:val="bottom"/>
            <w:tcBorders>
              <w:bottom w:val="single" w:sz="8" w:color="E6E6E6"/>
            </w:tcBorders>
          </w:tcPr>
          <w:p>
            <w:pPr>
              <w:ind w:left="340"/>
              <w:spacing w:after="0"/>
              <w:rPr>
                <w:sz w:val="20"/>
                <w:szCs w:val="20"/>
                <w:color w:val="auto"/>
              </w:rPr>
            </w:pPr>
            <w:r>
              <w:rPr>
                <w:rFonts w:ascii="Arial" w:cs="Arial" w:eastAsia="Arial" w:hAnsi="Arial"/>
                <w:sz w:val="18"/>
                <w:szCs w:val="18"/>
                <w:color w:val="auto"/>
              </w:rPr>
              <w:t>Location</w:t>
            </w: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1"/>
              </w:rPr>
              <w:t>December 31, 2024</w:t>
            </w:r>
          </w:p>
        </w:tc>
      </w:tr>
      <w:tr>
        <w:trPr>
          <w:trHeight w:val="242"/>
        </w:trPr>
        <w:tc>
          <w:tcPr>
            <w:tcW w:w="298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Interest rate swaps</w:t>
            </w:r>
          </w:p>
        </w:tc>
        <w:tc>
          <w:tcPr>
            <w:tcW w:w="28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2980" w:type="dxa"/>
            <w:vAlign w:val="bottom"/>
          </w:tcPr>
          <w:p>
            <w:pPr>
              <w:spacing w:after="0"/>
              <w:rPr>
                <w:sz w:val="21"/>
                <w:szCs w:val="21"/>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9"/>
        </w:trPr>
        <w:tc>
          <w:tcPr>
            <w:tcW w:w="298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Interest rate caps</w:t>
            </w:r>
          </w:p>
        </w:tc>
        <w:tc>
          <w:tcPr>
            <w:tcW w:w="2840" w:type="dxa"/>
            <w:vAlign w:val="bottom"/>
            <w:shd w:val="clear" w:color="auto" w:fill="E6E6E6"/>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E6E6E6"/>
          </w:tcPr>
          <w:p>
            <w:pPr>
              <w:spacing w:after="0"/>
              <w:rPr>
                <w:sz w:val="22"/>
                <w:szCs w:val="22"/>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r>
      <w:tr>
        <w:trPr>
          <w:trHeight w:val="242"/>
        </w:trPr>
        <w:tc>
          <w:tcPr>
            <w:tcW w:w="2980" w:type="dxa"/>
            <w:vAlign w:val="bottom"/>
            <w:tcBorders>
              <w:bottom w:val="single" w:sz="8" w:color="E6E6E6"/>
            </w:tcBorders>
          </w:tcPr>
          <w:p>
            <w:pPr>
              <w:spacing w:after="0"/>
              <w:rPr>
                <w:sz w:val="21"/>
                <w:szCs w:val="21"/>
                <w:color w:val="auto"/>
              </w:rPr>
            </w:pPr>
          </w:p>
        </w:tc>
        <w:tc>
          <w:tcPr>
            <w:tcW w:w="2840" w:type="dxa"/>
            <w:vAlign w:val="bottom"/>
            <w:tcBorders>
              <w:bottom w:val="single" w:sz="8" w:color="E6E6E6"/>
            </w:tcBorders>
          </w:tcPr>
          <w:p>
            <w:pPr>
              <w:ind w:left="34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2"/>
        </w:trPr>
        <w:tc>
          <w:tcPr>
            <w:tcW w:w="29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w w:val="97"/>
              </w:rPr>
              <w:t>Total designated cash flow hedges</w:t>
            </w:r>
          </w:p>
        </w:tc>
        <w:tc>
          <w:tcPr>
            <w:tcW w:w="284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-832485</wp:posOffset>
            </wp:positionV>
            <wp:extent cx="255270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14">
                      <a:extLst>
                        <a:ext uri="{28A0092B-C50C-407E-A947-70E740481C1C}"/>
                      </a:extLst>
                    </a:blip>
                    <a:srcRect/>
                    <a:stretch>
                      <a:fillRect/>
                    </a:stretch>
                  </pic:blipFill>
                  <pic:spPr bwMode="auto">
                    <a:xfrm>
                      <a:off x="0" y="0"/>
                      <a:ext cx="2552700" cy="25400"/>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-191135</wp:posOffset>
            </wp:positionV>
            <wp:extent cx="255270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5">
                      <a:extLst>
                        <a:ext uri="{28A0092B-C50C-407E-A947-70E740481C1C}"/>
                      </a:extLst>
                    </a:blip>
                    <a:srcRect/>
                    <a:stretch>
                      <a:fillRect/>
                    </a:stretch>
                  </pic:blipFill>
                  <pic:spPr bwMode="auto">
                    <a:xfrm>
                      <a:off x="0" y="0"/>
                      <a:ext cx="2552700" cy="25400"/>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-43815</wp:posOffset>
            </wp:positionV>
            <wp:extent cx="2552700"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6">
                      <a:extLst>
                        <a:ext uri="{28A0092B-C50C-407E-A947-70E740481C1C}"/>
                      </a:extLst>
                    </a:blip>
                    <a:srcRect/>
                    <a:stretch>
                      <a:fillRect/>
                    </a:stretch>
                  </pic:blipFill>
                  <pic:spPr bwMode="auto">
                    <a:xfrm>
                      <a:off x="0" y="0"/>
                      <a:ext cx="2552700" cy="508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STOCKHOLDERS’ EQUITY, MEZZANINE EQUITY AND PARTNERS’ CAPITAL</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December 18, 2025, the Company completed its IPO and executed the Reorganization that impacted its capital structure. See Note 1—Nature of Business and Significant Accounting Policies for additional information regarding the IPO and Reorganization.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Structure Prior to IPO and Reorganization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Partners’ Capital</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Prior to the Reorganization and the IPO, Medline Holdings had three classes of authorized units: Class A units, Class B CUPIs, and Class B units.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Voting rights</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holders of all three classes of units were limited partners and did not have voting rights (although certain limited partners had certain consent rights as set forth in the Medline Holdings GP, LLC’s Limited Liability Agreement (the “GP LLC Agreement”)). Medline Holdings GP, LLC was the general partner of Medline Holdings. Medline Holdings GP, LLC did not hold any units, and it was authorized to take any action and cause Medline Holdings to take any action, subject to the terms of LP Agreement and the GP LLC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Distributions and liquidations</w:t>
      </w:r>
    </w:p>
    <w:p>
      <w:pPr>
        <w:spacing w:after="0" w:line="245"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For both distributions (other than tax distributions) and liquidations, the Class A unit holders would receive 100% of the distributions until the Class A unit holders had received cumulative distributions equal to $1.00 per Class A unit.</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Second, except for Operating Distributions (as defined in the LP Agreement), 100% of the remainder of the distributions following the distributions to the Class A unit holders would be distributed to the Class B CUPIs holders until the Class B CUPIs holders received cumulative distributions equal to the catch-up amount for such units ($1.00 per Class B CUPI unit).</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Third, the remainder of the distributions would be distributed on a pro rata basis (based on the number of units held and subject to vesting and, with respect to Class B units, deemed unit prices) to the Class A unit holders, the Class B CUPIs holders, and the Class B unit holders, subject to the LP Agreement. Net income and net loss of Medline Holdings was allocated in a manner similar to the foregoing distributions pursuant to the GP LLC Agreement.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rights and privileges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remaining rights and privileges of the holders of all three classes of units were identical.</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122</w:t>
      </w:r>
    </w:p>
    <w:p>
      <w:pPr>
        <w:sectPr>
          <w:pgSz w:w="11880" w:h="15480" w:orient="portrait"/>
          <w:cols w:equalWidth="0" w:num="1">
            <w:col w:w="9800"/>
          </w:cols>
          <w:pgMar w:left="1040" w:top="637" w:right="104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ind w:right="460"/>
        <w:spacing w:after="0" w:line="501" w:lineRule="auto"/>
        <w:rPr>
          <w:sz w:val="20"/>
          <w:szCs w:val="20"/>
          <w:color w:val="auto"/>
        </w:rPr>
      </w:pPr>
      <w:r>
        <w:rPr>
          <w:rFonts w:ascii="Arial" w:cs="Arial" w:eastAsia="Arial" w:hAnsi="Arial"/>
          <w:sz w:val="20"/>
          <w:szCs w:val="20"/>
          <w:b w:val="1"/>
          <w:bCs w:val="1"/>
          <w:color w:val="auto"/>
        </w:rPr>
        <w:t xml:space="preserve">NOTE 16 - STOCKHOLDERS’ EQUITY, MEZZANINE EQUITY AND PARTNERS’ CAPITAL (Continued) </w:t>
      </w:r>
      <w:r>
        <w:rPr>
          <w:rFonts w:ascii="Arial" w:cs="Arial" w:eastAsia="Arial" w:hAnsi="Arial"/>
          <w:sz w:val="20"/>
          <w:szCs w:val="20"/>
          <w:b w:val="1"/>
          <w:bCs w:val="1"/>
          <w:i w:val="1"/>
          <w:iCs w:val="1"/>
          <w:color w:val="auto"/>
        </w:rPr>
        <w:t>Class A - Mezzanine Equity</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Class A units held by members of management (the “Class A Mezzanine Units”) included a put right that permitted the holders to redeem 50% of their Class A units under conditions outside of the control of the Company. For the periods that management determined it was probable that the Class A Mezzanine Units would become redeemable, the Company had elected to carry the shares at the maximum redemption value, or fair value, in Mezzanine equity on the Consolidated Balance Sheets. During the fourth quarter of 2024, management determined that the redemption was no longer probable, and, therefore, no changes in redemption value were recorded, prospectively. The redemption rights terminated upon the IPO, and Class A Mezzanine Units were reclassed to permanent equity.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 - Mezzanine Equity</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Class B CUPIs and Class B units also included a put right that permitted holders to redeem 20% of matured Class B units and 50% of Class B CUPIs under conditions outside of the control of the Company. During the periods when redemption was probable, redeemable units were carried at redemption value, or current intrinsic value, in Mezzanine equity on the Consolidated Balance Sheets. During the fourth quarter of 2024, management determined that the redemption was no longer probable and, therefore, no changes in redemption value were recorded, prospectively. The redemption rights terminated upon the IPO, and the redeemable units were reclassed to permanent equity.</w:t>
      </w:r>
    </w:p>
    <w:p>
      <w:pPr>
        <w:spacing w:after="0" w:line="178" w:lineRule="exact"/>
        <w:rPr>
          <w:sz w:val="20"/>
          <w:szCs w:val="20"/>
          <w:color w:val="auto"/>
        </w:rPr>
      </w:pPr>
    </w:p>
    <w:p>
      <w:pPr>
        <w:ind w:right="160"/>
        <w:spacing w:after="0" w:line="278" w:lineRule="auto"/>
        <w:rPr>
          <w:sz w:val="20"/>
          <w:szCs w:val="20"/>
          <w:color w:val="auto"/>
        </w:rPr>
      </w:pPr>
      <w:r>
        <w:rPr>
          <w:rFonts w:ascii="Arial" w:cs="Arial" w:eastAsia="Arial" w:hAnsi="Arial"/>
          <w:sz w:val="20"/>
          <w:szCs w:val="20"/>
          <w:color w:val="auto"/>
        </w:rPr>
        <w:t>The following table summarizes the changes in the balances of mezzanine equity and partners’ capital for the period prior to Reorganization of January 1, 2025 thru December 16,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6"/>
                <w:szCs w:val="16"/>
                <w:color w:val="auto"/>
              </w:rPr>
              <w:t>Year ended December 31, 2025</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6"/>
                <w:szCs w:val="16"/>
                <w:color w:val="auto"/>
              </w:rPr>
              <w:t>Mezzanine Equity</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color w:val="auto"/>
              </w:rPr>
              <w:t>Partners' Capital</w:t>
            </w:r>
            <w:r>
              <w:rPr>
                <w:rFonts w:ascii="Arial" w:cs="Arial" w:eastAsia="Arial" w:hAnsi="Arial"/>
                <w:sz w:val="10"/>
                <w:szCs w:val="10"/>
                <w:color w:val="auto"/>
              </w:rPr>
              <w:t>(1)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jc w:val="center"/>
              <w:ind w:right="121"/>
              <w:spacing w:after="0"/>
              <w:rPr>
                <w:sz w:val="20"/>
                <w:szCs w:val="20"/>
                <w:color w:val="auto"/>
              </w:rPr>
            </w:pPr>
            <w:r>
              <w:rPr>
                <w:rFonts w:ascii="Arial" w:cs="Arial" w:eastAsia="Arial" w:hAnsi="Arial"/>
                <w:sz w:val="16"/>
                <w:szCs w:val="16"/>
                <w:color w:val="auto"/>
                <w:w w:val="95"/>
              </w:rPr>
              <w:t>Total</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right"/>
              <w:ind w:right="121"/>
              <w:spacing w:after="0"/>
              <w:rPr>
                <w:sz w:val="20"/>
                <w:szCs w:val="20"/>
                <w:color w:val="auto"/>
              </w:rPr>
            </w:pPr>
            <w:r>
              <w:rPr>
                <w:rFonts w:ascii="Arial" w:cs="Arial" w:eastAsia="Arial" w:hAnsi="Arial"/>
                <w:sz w:val="16"/>
                <w:szCs w:val="16"/>
                <w:color w:val="auto"/>
              </w:rPr>
              <w:t>Stock-based</w:t>
            </w:r>
          </w:p>
        </w:tc>
        <w:tc>
          <w:tcPr>
            <w:tcW w:w="60" w:type="dxa"/>
            <w:vAlign w:val="bottom"/>
          </w:tcPr>
          <w:p>
            <w:pPr>
              <w:spacing w:after="0"/>
              <w:rPr>
                <w:sz w:val="16"/>
                <w:szCs w:val="16"/>
                <w:color w:val="auto"/>
              </w:rPr>
            </w:pP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Mezzanine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3"/>
        </w:trPr>
        <w:tc>
          <w:tcPr>
            <w:tcW w:w="198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(in millions)</w:t>
            </w:r>
          </w:p>
        </w:tc>
        <w:tc>
          <w:tcPr>
            <w:tcW w:w="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color w:val="auto"/>
                <w:w w:val="86"/>
              </w:rPr>
              <w:t>Class A</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color w:val="auto"/>
              </w:rPr>
              <w:t>Compensation</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center"/>
              <w:ind w:right="121"/>
              <w:spacing w:after="0"/>
              <w:rPr>
                <w:sz w:val="20"/>
                <w:szCs w:val="20"/>
                <w:color w:val="auto"/>
              </w:rPr>
            </w:pPr>
            <w:r>
              <w:rPr>
                <w:rFonts w:ascii="Arial" w:cs="Arial" w:eastAsia="Arial" w:hAnsi="Arial"/>
                <w:sz w:val="16"/>
                <w:szCs w:val="16"/>
                <w:color w:val="auto"/>
                <w:w w:val="94"/>
              </w:rPr>
              <w:t>Equity</w:t>
            </w:r>
          </w:p>
        </w:tc>
        <w:tc>
          <w:tcPr>
            <w:tcW w:w="12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6"/>
                <w:szCs w:val="16"/>
                <w:color w:val="auto"/>
              </w:rPr>
              <w:t>Class A</w:t>
            </w:r>
          </w:p>
        </w:tc>
        <w:tc>
          <w:tcPr>
            <w:tcW w:w="60" w:type="dxa"/>
            <w:vAlign w:val="bottom"/>
          </w:tcPr>
          <w:p>
            <w:pPr>
              <w:spacing w:after="0"/>
              <w:rPr>
                <w:sz w:val="18"/>
                <w:szCs w:val="18"/>
                <w:color w:val="auto"/>
              </w:rPr>
            </w:pPr>
          </w:p>
        </w:tc>
        <w:tc>
          <w:tcPr>
            <w:tcW w:w="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color w:val="auto"/>
                <w:w w:val="86"/>
              </w:rPr>
              <w:t>Class B</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color w:val="auto"/>
              </w:rPr>
              <w:t>Class B CUPI</w:t>
            </w: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0"/>
              </w:rPr>
              <w:t>Partners’</w:t>
            </w:r>
          </w:p>
        </w:tc>
        <w:tc>
          <w:tcPr>
            <w:tcW w:w="0" w:type="dxa"/>
            <w:vAlign w:val="bottom"/>
          </w:tcPr>
          <w:p>
            <w:pPr>
              <w:spacing w:after="0"/>
              <w:rPr>
                <w:sz w:val="1"/>
                <w:szCs w:val="1"/>
                <w:color w:val="auto"/>
              </w:rPr>
            </w:pPr>
          </w:p>
        </w:tc>
      </w:tr>
      <w:tr>
        <w:trPr>
          <w:trHeight w:val="218"/>
        </w:trPr>
        <w:tc>
          <w:tcPr>
            <w:tcW w:w="1980" w:type="dxa"/>
            <w:vAlign w:val="bottom"/>
            <w:tcBorders>
              <w:bottom w:val="single" w:sz="8" w:color="E6E6E6"/>
            </w:tcBorders>
            <w:vMerge w:val="continue"/>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Units</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Amount</w:t>
            </w:r>
          </w:p>
        </w:tc>
        <w:tc>
          <w:tcPr>
            <w:tcW w:w="6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Units</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Amount</w:t>
            </w: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center"/>
              <w:ind w:right="141"/>
              <w:spacing w:after="0"/>
              <w:rPr>
                <w:sz w:val="20"/>
                <w:szCs w:val="20"/>
                <w:color w:val="auto"/>
              </w:rPr>
            </w:pPr>
            <w:r>
              <w:rPr>
                <w:rFonts w:ascii="Arial" w:cs="Arial" w:eastAsia="Arial" w:hAnsi="Arial"/>
                <w:sz w:val="16"/>
                <w:szCs w:val="16"/>
                <w:color w:val="auto"/>
                <w:w w:val="94"/>
              </w:rPr>
              <w:t>Amount</w:t>
            </w: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Units</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6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Units</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Amount</w:t>
            </w:r>
          </w:p>
        </w:tc>
        <w:tc>
          <w:tcPr>
            <w:tcW w:w="6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Units</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Amount</w:t>
            </w:r>
          </w:p>
        </w:tc>
        <w:tc>
          <w:tcPr>
            <w:tcW w:w="60" w:type="dxa"/>
            <w:vAlign w:val="bottom"/>
            <w:tcBorders>
              <w:bottom w:val="single" w:sz="8" w:color="E6E6E6"/>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Capital</w:t>
            </w:r>
          </w:p>
        </w:tc>
        <w:tc>
          <w:tcPr>
            <w:tcW w:w="0" w:type="dxa"/>
            <w:vAlign w:val="bottom"/>
          </w:tcPr>
          <w:p>
            <w:pPr>
              <w:spacing w:after="0"/>
              <w:rPr>
                <w:sz w:val="1"/>
                <w:szCs w:val="1"/>
                <w:color w:val="auto"/>
              </w:rPr>
            </w:pPr>
          </w:p>
        </w:tc>
      </w:tr>
      <w:tr>
        <w:trPr>
          <w:trHeight w:val="228"/>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rPr>
              <w:t>Balance, January 1, 2025</w:t>
            </w: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128</w:t>
            </w:r>
          </w:p>
        </w:tc>
        <w:tc>
          <w:tcPr>
            <w:tcW w:w="380" w:type="dxa"/>
            <w:vAlign w:val="bottom"/>
            <w:gridSpan w:val="2"/>
            <w:shd w:val="clear" w:color="auto" w:fill="E6E6E6"/>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6E6E6"/>
          </w:tcPr>
          <w:p>
            <w:pPr>
              <w:jc w:val="right"/>
              <w:spacing w:after="0"/>
              <w:rPr>
                <w:sz w:val="20"/>
                <w:szCs w:val="20"/>
                <w:color w:val="auto"/>
              </w:rPr>
            </w:pPr>
            <w:r>
              <w:rPr>
                <w:rFonts w:ascii="Arial" w:cs="Arial" w:eastAsia="Arial" w:hAnsi="Arial"/>
                <w:sz w:val="16"/>
                <w:szCs w:val="16"/>
                <w:color w:val="auto"/>
                <w:w w:val="89"/>
              </w:rPr>
              <w:t>237</w:t>
            </w: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106</w:t>
            </w:r>
          </w:p>
        </w:tc>
        <w:tc>
          <w:tcPr>
            <w:tcW w:w="300" w:type="dxa"/>
            <w:vAlign w:val="bottom"/>
            <w:gridSpan w:val="2"/>
            <w:shd w:val="clear" w:color="auto" w:fill="E6E6E6"/>
          </w:tcPr>
          <w:p>
            <w:pPr>
              <w:ind w:lef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129</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shd w:val="clear" w:color="auto" w:fill="E6E6E6"/>
          </w:tcPr>
          <w:p>
            <w:pPr>
              <w:jc w:val="right"/>
              <w:ind w:right="61"/>
              <w:spacing w:after="0"/>
              <w:rPr>
                <w:sz w:val="20"/>
                <w:szCs w:val="20"/>
                <w:color w:val="auto"/>
              </w:rPr>
            </w:pPr>
            <w:r>
              <w:rPr>
                <w:rFonts w:ascii="Arial" w:cs="Arial" w:eastAsia="Arial" w:hAnsi="Arial"/>
                <w:sz w:val="16"/>
                <w:szCs w:val="16"/>
                <w:color w:val="auto"/>
              </w:rPr>
              <w:t>366</w:t>
            </w: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8"/>
              </w:rPr>
              <w:t>16,723</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w w:val="99"/>
              </w:rPr>
              <w:t>$ 15,976</w:t>
            </w: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721</w:t>
            </w:r>
          </w:p>
        </w:tc>
        <w:tc>
          <w:tcPr>
            <w:tcW w:w="360" w:type="dxa"/>
            <w:vAlign w:val="bottom"/>
            <w:gridSpan w:val="2"/>
            <w:shd w:val="clear" w:color="auto" w:fill="E6E6E6"/>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w w:val="89"/>
              </w:rPr>
              <w:t>123</w:t>
            </w:r>
          </w:p>
        </w:tc>
        <w:tc>
          <w:tcPr>
            <w:tcW w:w="5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23</w:t>
            </w:r>
          </w:p>
        </w:tc>
        <w:tc>
          <w:tcPr>
            <w:tcW w:w="340" w:type="dxa"/>
            <w:vAlign w:val="bottom"/>
            <w:gridSpan w:val="2"/>
            <w:shd w:val="clear" w:color="auto" w:fill="E6E6E6"/>
          </w:tcPr>
          <w:p>
            <w:pPr>
              <w:ind w:lef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48</w:t>
            </w:r>
          </w:p>
        </w:tc>
        <w:tc>
          <w:tcPr>
            <w:tcW w:w="760" w:type="dxa"/>
            <w:vAlign w:val="bottom"/>
            <w:gridSpan w:val="2"/>
            <w:shd w:val="clear" w:color="auto" w:fill="E6E6E6"/>
          </w:tcPr>
          <w:p>
            <w:pPr>
              <w:jc w:val="center"/>
              <w:spacing w:after="0"/>
              <w:rPr>
                <w:sz w:val="20"/>
                <w:szCs w:val="20"/>
                <w:color w:val="auto"/>
              </w:rPr>
            </w:pPr>
            <w:r>
              <w:rPr>
                <w:rFonts w:ascii="Arial" w:cs="Arial" w:eastAsia="Arial" w:hAnsi="Arial"/>
                <w:sz w:val="16"/>
                <w:szCs w:val="16"/>
                <w:color w:val="auto"/>
                <w:w w:val="93"/>
              </w:rPr>
              <w:t>$ 16,147</w:t>
            </w:r>
          </w:p>
        </w:tc>
        <w:tc>
          <w:tcPr>
            <w:tcW w:w="0" w:type="dxa"/>
            <w:vAlign w:val="bottom"/>
          </w:tcPr>
          <w:p>
            <w:pPr>
              <w:spacing w:after="0"/>
              <w:rPr>
                <w:sz w:val="1"/>
                <w:szCs w:val="1"/>
                <w:color w:val="auto"/>
              </w:rPr>
            </w:pPr>
          </w:p>
        </w:tc>
      </w:tr>
      <w:tr>
        <w:trPr>
          <w:trHeight w:val="193"/>
        </w:trPr>
        <w:tc>
          <w:tcPr>
            <w:tcW w:w="1980" w:type="dxa"/>
            <w:vAlign w:val="bottom"/>
          </w:tcPr>
          <w:p>
            <w:pPr>
              <w:ind w:left="60"/>
              <w:spacing w:after="0"/>
              <w:rPr>
                <w:sz w:val="20"/>
                <w:szCs w:val="20"/>
                <w:color w:val="auto"/>
              </w:rPr>
            </w:pPr>
            <w:r>
              <w:rPr>
                <w:rFonts w:ascii="Arial" w:cs="Arial" w:eastAsia="Arial" w:hAnsi="Arial"/>
                <w:sz w:val="16"/>
                <w:szCs w:val="16"/>
                <w:color w:val="auto"/>
              </w:rPr>
              <w:t>Net income prior to</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60"/>
              <w:spacing w:after="0"/>
              <w:rPr>
                <w:sz w:val="20"/>
                <w:szCs w:val="20"/>
                <w:color w:val="auto"/>
              </w:rPr>
            </w:pPr>
            <w:r>
              <w:rPr>
                <w:rFonts w:ascii="Arial" w:cs="Arial" w:eastAsia="Arial" w:hAnsi="Arial"/>
                <w:sz w:val="16"/>
                <w:szCs w:val="16"/>
                <w:color w:val="auto"/>
                <w:w w:val="98"/>
              </w:rPr>
              <w:t>reorganization transactions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1,112</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3"/>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rPr>
              <w:t>Distributions to partners</w:t>
            </w:r>
          </w:p>
        </w:tc>
        <w:tc>
          <w:tcPr>
            <w:tcW w:w="4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40" w:type="dxa"/>
            <w:vAlign w:val="bottom"/>
            <w:tcBorders>
              <w:right w:val="single" w:sz="8" w:color="auto"/>
            </w:tcBorders>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rPr>
              <w:t>prior to reorganization</w:t>
            </w:r>
          </w:p>
        </w:tc>
        <w:tc>
          <w:tcPr>
            <w:tcW w:w="4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740" w:type="dxa"/>
            <w:vAlign w:val="bottom"/>
            <w:tcBorders>
              <w:right w:val="single" w:sz="8" w:color="auto"/>
            </w:tcBorders>
            <w:shd w:val="clear" w:color="auto" w:fill="E6E6E6"/>
          </w:tcPr>
          <w:p>
            <w:pPr>
              <w:spacing w:after="0"/>
              <w:rPr>
                <w:sz w:val="16"/>
                <w:szCs w:val="16"/>
                <w:color w:val="auto"/>
              </w:rPr>
            </w:pPr>
          </w:p>
        </w:tc>
        <w:tc>
          <w:tcPr>
            <w:tcW w:w="5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6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3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7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rPr>
              <w:t>transactions</w:t>
            </w: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3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E6E6E6"/>
          </w:tcPr>
          <w:p>
            <w:pPr>
              <w:spacing w:after="0"/>
              <w:rPr>
                <w:sz w:val="19"/>
                <w:szCs w:val="19"/>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tcBorders>
              <w:right w:val="single" w:sz="8" w:color="auto"/>
            </w:tcBorders>
            <w:shd w:val="clear" w:color="auto" w:fill="E6E6E6"/>
          </w:tcPr>
          <w:p>
            <w:pPr>
              <w:jc w:val="right"/>
              <w:ind w:right="41"/>
              <w:spacing w:after="0"/>
              <w:rPr>
                <w:sz w:val="20"/>
                <w:szCs w:val="20"/>
                <w:color w:val="auto"/>
              </w:rPr>
            </w:pPr>
            <w:r>
              <w:rPr>
                <w:rFonts w:ascii="Arial" w:cs="Arial" w:eastAsia="Arial" w:hAnsi="Arial"/>
                <w:sz w:val="16"/>
                <w:szCs w:val="16"/>
                <w:color w:val="auto"/>
              </w:rPr>
              <w:t>(8)</w:t>
            </w: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(471)</w:t>
            </w:r>
          </w:p>
        </w:tc>
        <w:tc>
          <w:tcPr>
            <w:tcW w:w="60" w:type="dxa"/>
            <w:vAlign w:val="bottom"/>
            <w:shd w:val="clear" w:color="auto" w:fill="E6E6E6"/>
          </w:tcPr>
          <w:p>
            <w:pPr>
              <w:spacing w:after="0"/>
              <w:rPr>
                <w:sz w:val="19"/>
                <w:szCs w:val="19"/>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1"/>
              </w:rPr>
              <w:t>(39)</w:t>
            </w:r>
          </w:p>
        </w:tc>
        <w:tc>
          <w:tcPr>
            <w:tcW w:w="60" w:type="dxa"/>
            <w:vAlign w:val="bottom"/>
            <w:shd w:val="clear" w:color="auto" w:fill="E6E6E6"/>
          </w:tcPr>
          <w:p>
            <w:pPr>
              <w:spacing w:after="0"/>
              <w:rPr>
                <w:sz w:val="19"/>
                <w:szCs w:val="19"/>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96"/>
        </w:trPr>
        <w:tc>
          <w:tcPr>
            <w:tcW w:w="1980" w:type="dxa"/>
            <w:vAlign w:val="bottom"/>
          </w:tcPr>
          <w:p>
            <w:pPr>
              <w:ind w:left="60"/>
              <w:spacing w:after="0"/>
              <w:rPr>
                <w:sz w:val="20"/>
                <w:szCs w:val="20"/>
                <w:color w:val="auto"/>
              </w:rPr>
            </w:pPr>
            <w:r>
              <w:rPr>
                <w:rFonts w:ascii="Arial" w:cs="Arial" w:eastAsia="Arial" w:hAnsi="Arial"/>
                <w:sz w:val="16"/>
                <w:szCs w:val="16"/>
                <w:color w:val="auto"/>
              </w:rPr>
              <w:t>Reclass from liability-</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60"/>
              <w:spacing w:after="0"/>
              <w:rPr>
                <w:sz w:val="20"/>
                <w:szCs w:val="20"/>
                <w:color w:val="auto"/>
              </w:rPr>
            </w:pPr>
            <w:r>
              <w:rPr>
                <w:rFonts w:ascii="Arial" w:cs="Arial" w:eastAsia="Arial" w:hAnsi="Arial"/>
                <w:sz w:val="16"/>
                <w:szCs w:val="16"/>
                <w:color w:val="auto"/>
              </w:rPr>
              <w:t>classified units prior to</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60"/>
              <w:spacing w:after="0"/>
              <w:rPr>
                <w:sz w:val="20"/>
                <w:szCs w:val="20"/>
                <w:color w:val="auto"/>
              </w:rPr>
            </w:pPr>
            <w:r>
              <w:rPr>
                <w:rFonts w:ascii="Arial" w:cs="Arial" w:eastAsia="Arial" w:hAnsi="Arial"/>
                <w:sz w:val="16"/>
                <w:szCs w:val="16"/>
                <w:color w:val="auto"/>
                <w:w w:val="98"/>
              </w:rPr>
              <w:t>reorganization transactions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rPr>
              <w:t>Units repurchased prior to</w:t>
            </w:r>
          </w:p>
        </w:tc>
        <w:tc>
          <w:tcPr>
            <w:tcW w:w="4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740" w:type="dxa"/>
            <w:vAlign w:val="bottom"/>
            <w:tcBorders>
              <w:right w:val="single" w:sz="8" w:color="auto"/>
            </w:tcBorders>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E6E6E6"/>
          </w:tcPr>
          <w:p>
            <w:pPr>
              <w:ind w:left="60"/>
              <w:spacing w:after="0"/>
              <w:rPr>
                <w:sz w:val="20"/>
                <w:szCs w:val="20"/>
                <w:color w:val="auto"/>
              </w:rPr>
            </w:pPr>
            <w:r>
              <w:rPr>
                <w:rFonts w:ascii="Arial" w:cs="Arial" w:eastAsia="Arial" w:hAnsi="Arial"/>
                <w:sz w:val="16"/>
                <w:szCs w:val="16"/>
                <w:color w:val="auto"/>
                <w:w w:val="98"/>
              </w:rPr>
              <w:t>reorganization transactions</w:t>
            </w: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3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tcBorders>
              <w:right w:val="single" w:sz="8" w:color="auto"/>
            </w:tcBorders>
            <w:shd w:val="clear" w:color="auto" w:fill="E6E6E6"/>
          </w:tcPr>
          <w:p>
            <w:pPr>
              <w:jc w:val="right"/>
              <w:ind w:right="41"/>
              <w:spacing w:after="0"/>
              <w:rPr>
                <w:sz w:val="20"/>
                <w:szCs w:val="20"/>
                <w:color w:val="auto"/>
              </w:rPr>
            </w:pPr>
            <w:r>
              <w:rPr>
                <w:rFonts w:ascii="Arial" w:cs="Arial" w:eastAsia="Arial" w:hAnsi="Arial"/>
                <w:sz w:val="16"/>
                <w:szCs w:val="16"/>
                <w:color w:val="auto"/>
              </w:rPr>
              <w:t>(4)</w:t>
            </w:r>
          </w:p>
        </w:tc>
        <w:tc>
          <w:tcPr>
            <w:tcW w:w="5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1"/>
              </w:rPr>
              <w:t>(29)</w:t>
            </w:r>
          </w:p>
        </w:tc>
        <w:tc>
          <w:tcPr>
            <w:tcW w:w="60" w:type="dxa"/>
            <w:vAlign w:val="bottom"/>
            <w:shd w:val="clear" w:color="auto" w:fill="E6E6E6"/>
          </w:tcPr>
          <w:p>
            <w:pPr>
              <w:spacing w:after="0"/>
              <w:rPr>
                <w:sz w:val="19"/>
                <w:szCs w:val="19"/>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1980" w:type="dxa"/>
            <w:vAlign w:val="bottom"/>
          </w:tcPr>
          <w:p>
            <w:pPr>
              <w:ind w:left="60"/>
              <w:spacing w:after="0"/>
              <w:rPr>
                <w:sz w:val="20"/>
                <w:szCs w:val="20"/>
                <w:color w:val="auto"/>
              </w:rPr>
            </w:pPr>
            <w:r>
              <w:rPr>
                <w:rFonts w:ascii="Arial" w:cs="Arial" w:eastAsia="Arial" w:hAnsi="Arial"/>
                <w:sz w:val="16"/>
                <w:szCs w:val="16"/>
                <w:color w:val="auto"/>
                <w:w w:val="98"/>
              </w:rPr>
              <w:t>Stock-based compensation</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60"/>
              <w:spacing w:after="0"/>
              <w:rPr>
                <w:sz w:val="20"/>
                <w:szCs w:val="20"/>
                <w:color w:val="auto"/>
              </w:rPr>
            </w:pPr>
            <w:r>
              <w:rPr>
                <w:rFonts w:ascii="Arial" w:cs="Arial" w:eastAsia="Arial" w:hAnsi="Arial"/>
                <w:sz w:val="16"/>
                <w:szCs w:val="16"/>
                <w:color w:val="auto"/>
              </w:rPr>
              <w:t>prior to reorganization</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transactions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bottom w:val="single" w:sz="8" w:color="E6E6E6"/>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1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6"/>
                <w:szCs w:val="16"/>
                <w:color w:val="auto"/>
                <w:w w:val="92"/>
              </w:rPr>
              <w:t>Balance, December 16, 2025</w:t>
            </w: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128</w:t>
            </w:r>
          </w:p>
        </w:tc>
        <w:tc>
          <w:tcPr>
            <w:tcW w:w="6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89"/>
              </w:rPr>
              <w:t>240</w:t>
            </w:r>
          </w:p>
        </w:tc>
        <w:tc>
          <w:tcPr>
            <w:tcW w:w="6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101</w:t>
            </w:r>
          </w:p>
        </w:tc>
        <w:tc>
          <w:tcPr>
            <w:tcW w:w="6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127</w:t>
            </w:r>
          </w:p>
        </w:tc>
        <w:tc>
          <w:tcPr>
            <w:tcW w:w="6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auto"/>
            </w:tcBorders>
            <w:shd w:val="clear" w:color="auto" w:fill="E6E6E6"/>
          </w:tcPr>
          <w:p>
            <w:pPr>
              <w:jc w:val="right"/>
              <w:ind w:right="61"/>
              <w:spacing w:after="0"/>
              <w:rPr>
                <w:sz w:val="20"/>
                <w:szCs w:val="20"/>
                <w:color w:val="auto"/>
              </w:rPr>
            </w:pPr>
            <w:r>
              <w:rPr>
                <w:rFonts w:ascii="Arial" w:cs="Arial" w:eastAsia="Arial" w:hAnsi="Arial"/>
                <w:sz w:val="16"/>
                <w:szCs w:val="16"/>
                <w:color w:val="auto"/>
              </w:rPr>
              <w:t>367</w:t>
            </w:r>
          </w:p>
        </w:tc>
        <w:tc>
          <w:tcPr>
            <w:tcW w:w="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w w:val="98"/>
              </w:rPr>
              <w:t>16,723</w:t>
            </w:r>
          </w:p>
        </w:tc>
        <w:tc>
          <w:tcPr>
            <w:tcW w:w="60" w:type="dxa"/>
            <w:vAlign w:val="bottom"/>
            <w:tcBorders>
              <w:bottom w:val="single" w:sz="8" w:color="E6E6E6"/>
            </w:tcBorders>
            <w:shd w:val="clear" w:color="auto" w:fill="E6E6E6"/>
          </w:tcPr>
          <w:p>
            <w:pPr>
              <w:spacing w:after="0"/>
              <w:rPr>
                <w:sz w:val="20"/>
                <w:szCs w:val="20"/>
                <w:color w:val="auto"/>
              </w:rPr>
            </w:pPr>
          </w:p>
        </w:tc>
        <w:tc>
          <w:tcPr>
            <w:tcW w:w="6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16"/>
                <w:szCs w:val="16"/>
                <w:color w:val="auto"/>
                <w:w w:val="86"/>
              </w:rPr>
              <w:t>$ 16,617</w:t>
            </w:r>
          </w:p>
        </w:tc>
        <w:tc>
          <w:tcPr>
            <w:tcW w:w="6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734</w:t>
            </w:r>
          </w:p>
        </w:tc>
        <w:tc>
          <w:tcPr>
            <w:tcW w:w="6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16"/>
                <w:szCs w:val="16"/>
                <w:color w:val="auto"/>
                <w:w w:val="89"/>
              </w:rPr>
              <w:t>162</w:t>
            </w:r>
          </w:p>
        </w:tc>
        <w:tc>
          <w:tcPr>
            <w:tcW w:w="60" w:type="dxa"/>
            <w:vAlign w:val="bottom"/>
            <w:tcBorders>
              <w:bottom w:val="single" w:sz="8" w:color="E6E6E6"/>
            </w:tcBorders>
            <w:shd w:val="clear" w:color="auto" w:fill="E6E6E6"/>
          </w:tcPr>
          <w:p>
            <w:pPr>
              <w:spacing w:after="0"/>
              <w:rPr>
                <w:sz w:val="20"/>
                <w:szCs w:val="20"/>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60" w:type="dxa"/>
            <w:vAlign w:val="bottom"/>
            <w:tcBorders>
              <w:bottom w:val="single" w:sz="8" w:color="E6E6E6"/>
            </w:tcBorders>
            <w:shd w:val="clear" w:color="auto" w:fill="E6E6E6"/>
          </w:tcPr>
          <w:p>
            <w:pPr>
              <w:spacing w:after="0"/>
              <w:rPr>
                <w:sz w:val="20"/>
                <w:szCs w:val="20"/>
                <w:color w:val="auto"/>
              </w:rPr>
            </w:pPr>
          </w:p>
        </w:tc>
        <w:tc>
          <w:tcPr>
            <w:tcW w:w="70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6"/>
                <w:szCs w:val="16"/>
                <w:color w:val="auto"/>
                <w:w w:val="93"/>
              </w:rPr>
              <w:t>$ 16,830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-2708910</wp:posOffset>
            </wp:positionV>
            <wp:extent cx="49949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7">
                      <a:extLst>
                        <a:ext uri="{28A0092B-C50C-407E-A947-70E740481C1C}"/>
                      </a:extLst>
                    </a:blip>
                    <a:srcRect/>
                    <a:stretch>
                      <a:fillRect/>
                    </a:stretch>
                  </pic:blipFill>
                  <pic:spPr bwMode="auto">
                    <a:xfrm>
                      <a:off x="0" y="0"/>
                      <a:ext cx="4994910" cy="2540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-2558415</wp:posOffset>
            </wp:positionV>
            <wp:extent cx="287337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18">
                      <a:extLst>
                        <a:ext uri="{28A0092B-C50C-407E-A947-70E740481C1C}"/>
                      </a:extLst>
                    </a:blip>
                    <a:srcRect/>
                    <a:stretch>
                      <a:fillRect/>
                    </a:stretch>
                  </pic:blipFill>
                  <pic:spPr bwMode="auto">
                    <a:xfrm>
                      <a:off x="0" y="0"/>
                      <a:ext cx="2873375" cy="2540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-2171700</wp:posOffset>
            </wp:positionV>
            <wp:extent cx="82677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19">
                      <a:extLst>
                        <a:ext uri="{28A0092B-C50C-407E-A947-70E740481C1C}"/>
                      </a:extLst>
                    </a:blip>
                    <a:srcRect/>
                    <a:stretch>
                      <a:fillRect/>
                    </a:stretch>
                  </pic:blipFill>
                  <pic:spPr bwMode="auto">
                    <a:xfrm>
                      <a:off x="0" y="0"/>
                      <a:ext cx="826770" cy="2540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-2020570</wp:posOffset>
            </wp:positionV>
            <wp:extent cx="49949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20">
                      <a:extLst>
                        <a:ext uri="{28A0092B-C50C-407E-A947-70E740481C1C}"/>
                      </a:extLst>
                    </a:blip>
                    <a:srcRect/>
                    <a:stretch>
                      <a:fillRect/>
                    </a:stretch>
                  </pic:blipFill>
                  <pic:spPr bwMode="auto">
                    <a:xfrm>
                      <a:off x="0" y="0"/>
                      <a:ext cx="4994910" cy="2540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-181610</wp:posOffset>
            </wp:positionV>
            <wp:extent cx="49949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21">
                      <a:extLst>
                        <a:ext uri="{28A0092B-C50C-407E-A947-70E740481C1C}"/>
                      </a:extLst>
                    </a:blip>
                    <a:srcRect/>
                    <a:stretch>
                      <a:fillRect/>
                    </a:stretch>
                  </pic:blipFill>
                  <pic:spPr bwMode="auto">
                    <a:xfrm>
                      <a:off x="0" y="0"/>
                      <a:ext cx="4994910" cy="2540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-43815</wp:posOffset>
            </wp:positionV>
            <wp:extent cx="4994910"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2">
                      <a:extLst>
                        <a:ext uri="{28A0092B-C50C-407E-A947-70E740481C1C}"/>
                      </a:extLst>
                    </a:blip>
                    <a:srcRect/>
                    <a:stretch>
                      <a:fillRect/>
                    </a:stretch>
                  </pic:blipFill>
                  <pic:spPr bwMode="auto">
                    <a:xfrm>
                      <a:off x="0" y="0"/>
                      <a:ext cx="4994910" cy="50800"/>
                    </a:xfrm>
                    <a:prstGeom prst="rect">
                      <a:avLst/>
                    </a:prstGeom>
                    <a:noFill/>
                  </pic:spPr>
                </pic:pic>
              </a:graphicData>
            </a:graphic>
          </wp:anchor>
        </w:drawing>
      </w:r>
    </w:p>
    <w:p>
      <w:pPr>
        <w:ind w:left="160" w:hanging="160"/>
        <w:spacing w:after="0"/>
        <w:tabs>
          <w:tab w:leader="none" w:pos="160" w:val="left"/>
        </w:tabs>
        <w:numPr>
          <w:ilvl w:val="0"/>
          <w:numId w:val="31"/>
        </w:numPr>
        <w:rPr>
          <w:rFonts w:ascii="Arial" w:cs="Arial" w:eastAsia="Arial" w:hAnsi="Arial"/>
          <w:sz w:val="10"/>
          <w:szCs w:val="10"/>
          <w:color w:val="auto"/>
        </w:rPr>
      </w:pPr>
      <w:r>
        <w:rPr>
          <w:rFonts w:ascii="Arial" w:cs="Arial" w:eastAsia="Arial" w:hAnsi="Arial"/>
          <w:sz w:val="16"/>
          <w:szCs w:val="16"/>
          <w:color w:val="auto"/>
        </w:rPr>
        <w:t>Reflects Partners’ Capital, net of Accumulated other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Structure After IPO and Reorganization</w:t>
      </w:r>
    </w:p>
    <w:p>
      <w:pPr>
        <w:spacing w:after="0" w:line="238"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Company’s amended and restated certificate of incorporation authorizes three classes of ownership interests: 50,000,000,000 shares of Class A common stock, par value $0.0001 per share, 50,000,000,000 shares of Class B common stock, par value $0.0001 per share, and 5,000,000,000 shares of Preferred stock, par value $0.0001 per share.</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123</w:t>
      </w:r>
    </w:p>
    <w:p>
      <w:pPr>
        <w:sectPr>
          <w:pgSz w:w="11880" w:h="15480" w:orient="portrait"/>
          <w:cols w:equalWidth="0" w:num="1">
            <w:col w:w="9800"/>
          </w:cols>
          <w:pgMar w:left="1040" w:top="637" w:right="104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ind w:right="460"/>
        <w:spacing w:after="0" w:line="526" w:lineRule="auto"/>
        <w:rPr>
          <w:sz w:val="20"/>
          <w:szCs w:val="20"/>
          <w:color w:val="auto"/>
        </w:rPr>
      </w:pPr>
      <w:r>
        <w:rPr>
          <w:rFonts w:ascii="Arial" w:cs="Arial" w:eastAsia="Arial" w:hAnsi="Arial"/>
          <w:sz w:val="20"/>
          <w:szCs w:val="20"/>
          <w:b w:val="1"/>
          <w:bCs w:val="1"/>
          <w:color w:val="auto"/>
        </w:rPr>
        <w:t xml:space="preserve">NOTE 16 - STOCKHOLDERS’ EQUITY, MEZZANINE EQUITY AND PARTNERS’ CAPITAL (Continued) </w:t>
      </w:r>
      <w:r>
        <w:rPr>
          <w:rFonts w:ascii="Arial" w:cs="Arial" w:eastAsia="Arial" w:hAnsi="Arial"/>
          <w:sz w:val="20"/>
          <w:szCs w:val="20"/>
          <w:b w:val="1"/>
          <w:bCs w:val="1"/>
          <w:i w:val="1"/>
          <w:iCs w:val="1"/>
          <w:color w:val="auto"/>
        </w:rPr>
        <w:t>Class A Common Stock</w:t>
      </w:r>
    </w:p>
    <w:p>
      <w:pPr>
        <w:jc w:val="both"/>
        <w:spacing w:after="0" w:line="258" w:lineRule="auto"/>
        <w:rPr>
          <w:sz w:val="20"/>
          <w:szCs w:val="20"/>
          <w:color w:val="auto"/>
        </w:rPr>
      </w:pPr>
      <w:r>
        <w:rPr>
          <w:rFonts w:ascii="Arial" w:cs="Arial" w:eastAsia="Arial" w:hAnsi="Arial"/>
          <w:sz w:val="20"/>
          <w:szCs w:val="20"/>
          <w:color w:val="auto"/>
        </w:rPr>
        <w:t>Shares of Class A common stock have both voting and economic rights. Holders of Class A common stock are entitled to one vote for each share of Class A common stock held. Shares of Class A common stock are entitled to dividends and pro rata distribution of remaining available assets upon liquidation. Shares of Class A common stock do not have preemptive, subscription, redemption or conversion rights.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Common Stock</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Shares of Class B common stock have voting but no economic rights. Holders of Class B common stock are entitled to one vote for each share of Class B common stock held. Shares of Class B common stock do not have any right to receive dividends or distribution upon liquidation.</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shares of Class B common stock, together with the transfer of an identical number of Common Units, are convertible at the option of the holder into shares of Class A common stock on a one-for-one basis, subject to customary conversion rate adjustments for stock splits, stock dividends and reclassifications. Upon conversion, the shares of Class B common stock will be automatically canceled and no longer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authorized to issue, without the approval of its stockholders, one or more series of preferred stock. The Board may determine, with respect to any series of preferred stock, the powers, including voting powers, preferences and relative, participating, optional or other special rights.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Noncontrolling Interests</w:t>
      </w:r>
    </w:p>
    <w:p>
      <w:pPr>
        <w:spacing w:after="0" w:line="24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Noncontrolling interests represent Common Units and vested Incentive Units held by pre-IPO owners. These Common Units are not attributable to the controlling Class A common stock ownership of Medline Inc. The noncontrolling interests were accounted for as permanent equity on the Consolidated Balance Sheets. Net income is reduced by the portion of net income attributable to noncontrolling interests. The conversions into Class A common stock of Class B common stock and Common Units are considered equity transactions and will result in a change in ownership and reduce the amount recorded as noncontrolling interests and increase additional paid-in capital in the Company’s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Accumulated other comprehensive income</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tables summarize the change in the balance of Accumulated other comprehensive income (loss) by component and in total:</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1"/>
              <w:spacing w:after="0"/>
              <w:rPr>
                <w:sz w:val="20"/>
                <w:szCs w:val="20"/>
                <w:color w:val="auto"/>
              </w:rPr>
            </w:pPr>
            <w:r>
              <w:rPr>
                <w:rFonts w:ascii="Arial" w:cs="Arial" w:eastAsia="Arial" w:hAnsi="Arial"/>
                <w:sz w:val="18"/>
                <w:szCs w:val="18"/>
                <w:color w:val="auto"/>
                <w:w w:val="91"/>
              </w:rPr>
              <w:t>Unrealized gain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(loss) on derivative</w:t>
            </w:r>
          </w:p>
        </w:tc>
        <w:tc>
          <w:tcPr>
            <w:tcW w:w="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Currency translation</w:t>
            </w:r>
          </w:p>
        </w:tc>
        <w:tc>
          <w:tcPr>
            <w:tcW w:w="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1"/>
              </w:rPr>
              <w:t>Retirement plans,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Arial" w:cs="Arial" w:eastAsia="Arial" w:hAnsi="Arial"/>
                <w:sz w:val="18"/>
                <w:szCs w:val="18"/>
                <w:color w:val="auto"/>
                <w:w w:val="91"/>
              </w:rPr>
              <w:t>Accumulated other</w:t>
            </w:r>
          </w:p>
        </w:tc>
        <w:tc>
          <w:tcPr>
            <w:tcW w:w="0" w:type="dxa"/>
            <w:vAlign w:val="bottom"/>
          </w:tcPr>
          <w:p>
            <w:pPr>
              <w:spacing w:after="0"/>
              <w:rPr>
                <w:sz w:val="1"/>
                <w:szCs w:val="1"/>
                <w:color w:val="auto"/>
              </w:rPr>
            </w:pPr>
          </w:p>
        </w:tc>
      </w:tr>
      <w:tr>
        <w:trPr>
          <w:trHeight w:val="238"/>
        </w:trPr>
        <w:tc>
          <w:tcPr>
            <w:tcW w:w="306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8"/>
              </w:rPr>
              <w:t>instruments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6"/>
              </w:rPr>
              <w:t>adjustments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of tax</w:t>
            </w:r>
          </w:p>
        </w:tc>
        <w:tc>
          <w:tcPr>
            <w:tcW w:w="60" w:type="dxa"/>
            <w:vAlign w:val="bottom"/>
          </w:tcPr>
          <w:p>
            <w:pPr>
              <w:spacing w:after="0"/>
              <w:rPr>
                <w:sz w:val="20"/>
                <w:szCs w:val="20"/>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comprehensive income</w:t>
            </w:r>
          </w:p>
        </w:tc>
        <w:tc>
          <w:tcPr>
            <w:tcW w:w="0" w:type="dxa"/>
            <w:vAlign w:val="bottom"/>
          </w:tcPr>
          <w:p>
            <w:pPr>
              <w:spacing w:after="0"/>
              <w:rPr>
                <w:sz w:val="1"/>
                <w:szCs w:val="1"/>
                <w:color w:val="auto"/>
              </w:rPr>
            </w:pPr>
          </w:p>
        </w:tc>
      </w:tr>
      <w:tr>
        <w:trPr>
          <w:trHeight w:val="265"/>
        </w:trPr>
        <w:tc>
          <w:tcPr>
            <w:tcW w:w="3060" w:type="dxa"/>
            <w:vAlign w:val="bottom"/>
          </w:tcPr>
          <w:p>
            <w:pPr>
              <w:ind w:left="60"/>
              <w:spacing w:after="0"/>
              <w:rPr>
                <w:sz w:val="20"/>
                <w:szCs w:val="20"/>
                <w:color w:val="auto"/>
              </w:rPr>
            </w:pPr>
            <w:r>
              <w:rPr>
                <w:rFonts w:ascii="Arial" w:cs="Arial" w:eastAsia="Arial" w:hAnsi="Arial"/>
                <w:sz w:val="18"/>
                <w:szCs w:val="18"/>
                <w:color w:val="auto"/>
              </w:rPr>
              <w:t>Balance, January 1, 2025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0"/>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6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before reclassifications</w:t>
            </w:r>
          </w:p>
        </w:tc>
        <w:tc>
          <w:tcPr>
            <w:tcW w:w="1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2"/>
        </w:trPr>
        <w:tc>
          <w:tcPr>
            <w:tcW w:w="30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Amount reclassified to earnings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80"/>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w w:val="95"/>
              </w:rPr>
              <w:t>Net other comprehensive income (loss)</w:t>
            </w:r>
          </w:p>
        </w:tc>
        <w:tc>
          <w:tcPr>
            <w:tcW w:w="180" w:type="dxa"/>
            <w:vAlign w:val="bottom"/>
            <w:tcBorders>
              <w:bottom w:val="single" w:sz="8" w:color="auto"/>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5"/>
        </w:trPr>
        <w:tc>
          <w:tcPr>
            <w:tcW w:w="3060" w:type="dxa"/>
            <w:vAlign w:val="bottom"/>
          </w:tcPr>
          <w:p>
            <w:pPr>
              <w:ind w:left="60"/>
              <w:spacing w:after="0" w:line="185" w:lineRule="exact"/>
              <w:rPr>
                <w:sz w:val="20"/>
                <w:szCs w:val="20"/>
                <w:color w:val="auto"/>
              </w:rPr>
            </w:pPr>
            <w:r>
              <w:rPr>
                <w:rFonts w:ascii="Arial" w:cs="Arial" w:eastAsia="Arial" w:hAnsi="Arial"/>
                <w:sz w:val="18"/>
                <w:szCs w:val="18"/>
                <w:color w:val="auto"/>
              </w:rPr>
              <w:t>Less: Effect of the reorganization</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transactions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E6E6E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2"/>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Balance, December 31, 2025</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-681355</wp:posOffset>
            </wp:positionV>
            <wp:extent cx="430657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3">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-502285</wp:posOffset>
            </wp:positionV>
            <wp:extent cx="430657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24">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-210185</wp:posOffset>
            </wp:positionV>
            <wp:extent cx="430657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25">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-43815</wp:posOffset>
            </wp:positionV>
            <wp:extent cx="4306570" cy="508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26">
                      <a:extLst>
                        <a:ext uri="{28A0092B-C50C-407E-A947-70E740481C1C}"/>
                      </a:extLst>
                    </a:blip>
                    <a:srcRect/>
                    <a:stretch>
                      <a:fillRect/>
                    </a:stretch>
                  </pic:blipFill>
                  <pic:spPr bwMode="auto">
                    <a:xfrm>
                      <a:off x="0" y="0"/>
                      <a:ext cx="4306570" cy="508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124</w:t>
      </w:r>
    </w:p>
    <w:p>
      <w:pPr>
        <w:sectPr>
          <w:pgSz w:w="11880" w:h="15480" w:orient="portrait"/>
          <w:cols w:equalWidth="0" w:num="1">
            <w:col w:w="9800"/>
          </w:cols>
          <w:pgMar w:left="1040" w:top="637" w:right="104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STOCKHOLDERS’ EQUITY, MEZZANINE EQUITY AND PARTNERS’ CAPITAL (Continued)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1"/>
              <w:spacing w:after="0"/>
              <w:rPr>
                <w:sz w:val="20"/>
                <w:szCs w:val="20"/>
                <w:color w:val="auto"/>
              </w:rPr>
            </w:pPr>
            <w:r>
              <w:rPr>
                <w:rFonts w:ascii="Arial" w:cs="Arial" w:eastAsia="Arial" w:hAnsi="Arial"/>
                <w:sz w:val="18"/>
                <w:szCs w:val="18"/>
                <w:color w:val="auto"/>
                <w:w w:val="91"/>
              </w:rPr>
              <w:t>Unrealized gain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(loss) on derivative</w:t>
            </w:r>
          </w:p>
        </w:tc>
        <w:tc>
          <w:tcPr>
            <w:tcW w:w="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Currency translation</w:t>
            </w:r>
          </w:p>
        </w:tc>
        <w:tc>
          <w:tcPr>
            <w:tcW w:w="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1"/>
              </w:rPr>
              <w:t>Retirement plans,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Arial" w:cs="Arial" w:eastAsia="Arial" w:hAnsi="Arial"/>
                <w:sz w:val="18"/>
                <w:szCs w:val="18"/>
                <w:color w:val="auto"/>
                <w:w w:val="91"/>
              </w:rPr>
              <w:t>Accumulated other</w:t>
            </w:r>
          </w:p>
        </w:tc>
        <w:tc>
          <w:tcPr>
            <w:tcW w:w="0" w:type="dxa"/>
            <w:vAlign w:val="bottom"/>
          </w:tcPr>
          <w:p>
            <w:pPr>
              <w:spacing w:after="0"/>
              <w:rPr>
                <w:sz w:val="1"/>
                <w:szCs w:val="1"/>
                <w:color w:val="auto"/>
              </w:rPr>
            </w:pPr>
          </w:p>
        </w:tc>
      </w:tr>
      <w:tr>
        <w:trPr>
          <w:trHeight w:val="238"/>
        </w:trPr>
        <w:tc>
          <w:tcPr>
            <w:tcW w:w="306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8"/>
              </w:rPr>
              <w:t>instruments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6"/>
              </w:rPr>
              <w:t>adjustments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of tax</w:t>
            </w:r>
          </w:p>
        </w:tc>
        <w:tc>
          <w:tcPr>
            <w:tcW w:w="60" w:type="dxa"/>
            <w:vAlign w:val="bottom"/>
          </w:tcPr>
          <w:p>
            <w:pPr>
              <w:spacing w:after="0"/>
              <w:rPr>
                <w:sz w:val="20"/>
                <w:szCs w:val="20"/>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comprehensive income</w:t>
            </w:r>
          </w:p>
        </w:tc>
        <w:tc>
          <w:tcPr>
            <w:tcW w:w="0" w:type="dxa"/>
            <w:vAlign w:val="bottom"/>
          </w:tcPr>
          <w:p>
            <w:pPr>
              <w:spacing w:after="0"/>
              <w:rPr>
                <w:sz w:val="1"/>
                <w:szCs w:val="1"/>
                <w:color w:val="auto"/>
              </w:rPr>
            </w:pPr>
          </w:p>
        </w:tc>
      </w:tr>
      <w:tr>
        <w:trPr>
          <w:trHeight w:val="265"/>
        </w:trPr>
        <w:tc>
          <w:tcPr>
            <w:tcW w:w="3060" w:type="dxa"/>
            <w:vAlign w:val="bottom"/>
          </w:tcPr>
          <w:p>
            <w:pPr>
              <w:ind w:left="60"/>
              <w:spacing w:after="0"/>
              <w:rPr>
                <w:sz w:val="20"/>
                <w:szCs w:val="20"/>
                <w:color w:val="auto"/>
              </w:rPr>
            </w:pPr>
            <w:r>
              <w:rPr>
                <w:rFonts w:ascii="Arial" w:cs="Arial" w:eastAsia="Arial" w:hAnsi="Arial"/>
                <w:sz w:val="18"/>
                <w:szCs w:val="18"/>
                <w:color w:val="auto"/>
              </w:rPr>
              <w:t>Balance, January 1, 2024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0"/>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6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before reclassifications</w:t>
            </w:r>
          </w:p>
        </w:tc>
        <w:tc>
          <w:tcPr>
            <w:tcW w:w="1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2"/>
        </w:trPr>
        <w:tc>
          <w:tcPr>
            <w:tcW w:w="30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Amount reclassified to earnings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62"/>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Net other comprehensive loss</w:t>
            </w:r>
          </w:p>
        </w:tc>
        <w:tc>
          <w:tcPr>
            <w:tcW w:w="180" w:type="dxa"/>
            <w:vAlign w:val="bottom"/>
            <w:tcBorders>
              <w:bottom w:val="single" w:sz="8" w:color="auto"/>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2"/>
        </w:trPr>
        <w:tc>
          <w:tcPr>
            <w:tcW w:w="3060" w:type="dxa"/>
            <w:vAlign w:val="bottom"/>
          </w:tcPr>
          <w:p>
            <w:pPr>
              <w:ind w:left="60"/>
              <w:spacing w:after="0"/>
              <w:rPr>
                <w:sz w:val="20"/>
                <w:szCs w:val="20"/>
                <w:color w:val="auto"/>
              </w:rPr>
            </w:pPr>
            <w:r>
              <w:rPr>
                <w:rFonts w:ascii="Arial" w:cs="Arial" w:eastAsia="Arial" w:hAnsi="Arial"/>
                <w:sz w:val="18"/>
                <w:szCs w:val="18"/>
                <w:color w:val="auto"/>
              </w:rPr>
              <w:t>Balance, December 31, 2024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91"/>
              <w:spacing w:after="0"/>
              <w:rPr>
                <w:sz w:val="20"/>
                <w:szCs w:val="20"/>
                <w:color w:val="auto"/>
              </w:rPr>
            </w:pPr>
            <w:r>
              <w:rPr>
                <w:rFonts w:ascii="Arial" w:cs="Arial" w:eastAsia="Arial" w:hAnsi="Arial"/>
                <w:sz w:val="18"/>
                <w:szCs w:val="18"/>
                <w:color w:val="auto"/>
                <w:w w:val="91"/>
              </w:rPr>
              <w:t>Unrealized gain</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(loss) on derivative</w:t>
            </w:r>
          </w:p>
        </w:tc>
        <w:tc>
          <w:tcPr>
            <w:tcW w:w="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Currency translation</w:t>
            </w:r>
          </w:p>
        </w:tc>
        <w:tc>
          <w:tcPr>
            <w:tcW w:w="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1"/>
              </w:rPr>
              <w:t>Retirement plans,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Arial" w:cs="Arial" w:eastAsia="Arial" w:hAnsi="Arial"/>
                <w:sz w:val="18"/>
                <w:szCs w:val="18"/>
                <w:color w:val="auto"/>
                <w:w w:val="91"/>
              </w:rPr>
              <w:t>Accumulated other</w:t>
            </w:r>
          </w:p>
        </w:tc>
        <w:tc>
          <w:tcPr>
            <w:tcW w:w="0" w:type="dxa"/>
            <w:vAlign w:val="bottom"/>
          </w:tcPr>
          <w:p>
            <w:pPr>
              <w:spacing w:after="0"/>
              <w:rPr>
                <w:sz w:val="1"/>
                <w:szCs w:val="1"/>
                <w:color w:val="auto"/>
              </w:rPr>
            </w:pPr>
          </w:p>
        </w:tc>
      </w:tr>
      <w:tr>
        <w:trPr>
          <w:trHeight w:val="238"/>
        </w:trPr>
        <w:tc>
          <w:tcPr>
            <w:tcW w:w="306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8"/>
              </w:rPr>
              <w:t>instruments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6"/>
              </w:rPr>
              <w:t>adjustments</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of tax</w:t>
            </w:r>
          </w:p>
        </w:tc>
        <w:tc>
          <w:tcPr>
            <w:tcW w:w="60" w:type="dxa"/>
            <w:vAlign w:val="bottom"/>
          </w:tcPr>
          <w:p>
            <w:pPr>
              <w:spacing w:after="0"/>
              <w:rPr>
                <w:sz w:val="20"/>
                <w:szCs w:val="20"/>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comprehensive income</w:t>
            </w:r>
          </w:p>
        </w:tc>
        <w:tc>
          <w:tcPr>
            <w:tcW w:w="0" w:type="dxa"/>
            <w:vAlign w:val="bottom"/>
          </w:tcPr>
          <w:p>
            <w:pPr>
              <w:spacing w:after="0"/>
              <w:rPr>
                <w:sz w:val="1"/>
                <w:szCs w:val="1"/>
                <w:color w:val="auto"/>
              </w:rPr>
            </w:pPr>
          </w:p>
        </w:tc>
      </w:tr>
      <w:tr>
        <w:trPr>
          <w:trHeight w:val="265"/>
        </w:trPr>
        <w:tc>
          <w:tcPr>
            <w:tcW w:w="3060" w:type="dxa"/>
            <w:vAlign w:val="bottom"/>
          </w:tcPr>
          <w:p>
            <w:pPr>
              <w:ind w:left="60"/>
              <w:spacing w:after="0"/>
              <w:rPr>
                <w:sz w:val="20"/>
                <w:szCs w:val="20"/>
                <w:color w:val="auto"/>
              </w:rPr>
            </w:pPr>
            <w:r>
              <w:rPr>
                <w:rFonts w:ascii="Arial" w:cs="Arial" w:eastAsia="Arial" w:hAnsi="Arial"/>
                <w:sz w:val="18"/>
                <w:szCs w:val="18"/>
                <w:color w:val="auto"/>
              </w:rPr>
              <w:t>Balance, January 1, 2023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0"/>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6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E6E6E6"/>
          </w:tcPr>
          <w:p>
            <w:pPr>
              <w:ind w:left="60"/>
              <w:spacing w:after="0"/>
              <w:rPr>
                <w:sz w:val="20"/>
                <w:szCs w:val="20"/>
                <w:color w:val="auto"/>
              </w:rPr>
            </w:pPr>
            <w:r>
              <w:rPr>
                <w:rFonts w:ascii="Arial" w:cs="Arial" w:eastAsia="Arial" w:hAnsi="Arial"/>
                <w:sz w:val="18"/>
                <w:szCs w:val="18"/>
                <w:color w:val="auto"/>
              </w:rPr>
              <w:t>before reclassifications</w:t>
            </w:r>
          </w:p>
        </w:tc>
        <w:tc>
          <w:tcPr>
            <w:tcW w:w="1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2"/>
        </w:trPr>
        <w:tc>
          <w:tcPr>
            <w:tcW w:w="30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Amount reclassified to earnings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62"/>
        </w:trPr>
        <w:tc>
          <w:tcPr>
            <w:tcW w:w="3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w w:val="95"/>
              </w:rPr>
              <w:t>Net other comprehensive (loss) income</w:t>
            </w:r>
          </w:p>
        </w:tc>
        <w:tc>
          <w:tcPr>
            <w:tcW w:w="180" w:type="dxa"/>
            <w:vAlign w:val="bottom"/>
            <w:tcBorders>
              <w:bottom w:val="single" w:sz="8" w:color="auto"/>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2"/>
        </w:trPr>
        <w:tc>
          <w:tcPr>
            <w:tcW w:w="3060" w:type="dxa"/>
            <w:vAlign w:val="bottom"/>
          </w:tcPr>
          <w:p>
            <w:pPr>
              <w:ind w:left="60"/>
              <w:spacing w:after="0"/>
              <w:rPr>
                <w:sz w:val="20"/>
                <w:szCs w:val="20"/>
                <w:color w:val="auto"/>
              </w:rPr>
            </w:pPr>
            <w:r>
              <w:rPr>
                <w:rFonts w:ascii="Arial" w:cs="Arial" w:eastAsia="Arial" w:hAnsi="Arial"/>
                <w:sz w:val="18"/>
                <w:szCs w:val="18"/>
                <w:color w:val="auto"/>
              </w:rPr>
              <w:t>Balance, December 31, 2023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-2055495</wp:posOffset>
            </wp:positionV>
            <wp:extent cx="430657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7">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-1875790</wp:posOffset>
            </wp:positionV>
            <wp:extent cx="430657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8">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-389255</wp:posOffset>
            </wp:positionV>
            <wp:extent cx="430657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29">
                      <a:extLst>
                        <a:ext uri="{28A0092B-C50C-407E-A947-70E740481C1C}"/>
                      </a:extLst>
                    </a:blip>
                    <a:srcRect/>
                    <a:stretch>
                      <a:fillRect/>
                    </a:stretch>
                  </pic:blipFill>
                  <pic:spPr bwMode="auto">
                    <a:xfrm>
                      <a:off x="0" y="0"/>
                      <a:ext cx="430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-210185</wp:posOffset>
            </wp:positionV>
            <wp:extent cx="430657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0">
                      <a:extLst>
                        <a:ext uri="{28A0092B-C50C-407E-A947-70E740481C1C}"/>
                      </a:extLst>
                    </a:blip>
                    <a:srcRect/>
                    <a:stretch>
                      <a:fillRect/>
                    </a:stretch>
                  </pic:blipFill>
                  <pic:spPr bwMode="auto">
                    <a:xfrm>
                      <a:off x="0" y="0"/>
                      <a:ext cx="4306570" cy="25400"/>
                    </a:xfrm>
                    <a:prstGeom prst="rect">
                      <a:avLst/>
                    </a:prstGeom>
                    <a:noFill/>
                  </pic:spPr>
                </pic:pic>
              </a:graphicData>
            </a:graphic>
          </wp:anchor>
        </w:drawing>
      </w:r>
    </w:p>
    <w:p>
      <w:pPr>
        <w:spacing w:after="0" w:line="225" w:lineRule="exact"/>
        <w:rPr>
          <w:sz w:val="20"/>
          <w:szCs w:val="20"/>
          <w:color w:val="auto"/>
        </w:rPr>
      </w:pPr>
    </w:p>
    <w:p>
      <w:pPr>
        <w:ind w:right="60"/>
        <w:spacing w:after="0" w:line="454" w:lineRule="auto"/>
        <w:rPr>
          <w:sz w:val="20"/>
          <w:szCs w:val="20"/>
          <w:color w:val="auto"/>
        </w:rPr>
      </w:pPr>
      <w:r>
        <w:rPr>
          <w:rFonts w:ascii="Arial" w:cs="Arial" w:eastAsia="Arial" w:hAnsi="Arial"/>
          <w:sz w:val="20"/>
          <w:szCs w:val="20"/>
          <w:color w:val="auto"/>
        </w:rPr>
        <w:t xml:space="preserve">See Note 15—Derivatives and Hedging Activities Risk Management for additional information regarding hedging activity. </w:t>
      </w:r>
      <w:r>
        <w:rPr>
          <w:rFonts w:ascii="Arial" w:cs="Arial" w:eastAsia="Arial" w:hAnsi="Arial"/>
          <w:sz w:val="20"/>
          <w:szCs w:val="20"/>
          <w:b w:val="1"/>
          <w:bCs w:val="1"/>
          <w:color w:val="auto"/>
        </w:rPr>
        <w:t>NOTE 17 - STOCK-BASED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records stock-based compensation expense as a component of Selling, general and administrative expenses and the following table reflects the stock-based compensation expense in the Consolidated Statements of Comprehensive Income for the years ended December 31, 2025,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4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2"/>
        </w:trPr>
        <w:tc>
          <w:tcPr>
            <w:tcW w:w="4740" w:type="dxa"/>
            <w:vAlign w:val="bottom"/>
            <w:gridSpan w:val="3"/>
          </w:tcPr>
          <w:p>
            <w:pPr>
              <w:ind w:left="60"/>
              <w:spacing w:after="0"/>
              <w:rPr>
                <w:sz w:val="20"/>
                <w:szCs w:val="20"/>
                <w:color w:val="auto"/>
              </w:rPr>
            </w:pPr>
            <w:r>
              <w:rPr>
                <w:rFonts w:ascii="Arial" w:cs="Arial" w:eastAsia="Arial" w:hAnsi="Arial"/>
                <w:sz w:val="18"/>
                <w:szCs w:val="18"/>
                <w:color w:val="auto"/>
              </w:rPr>
              <w:t>Classification</w:t>
            </w:r>
          </w:p>
        </w:tc>
        <w:tc>
          <w:tcPr>
            <w:tcW w:w="1640" w:type="dxa"/>
            <w:vAlign w:val="bottom"/>
            <w:gridSpan w:val="2"/>
          </w:tcPr>
          <w:p>
            <w:pPr>
              <w:jc w:val="right"/>
              <w:ind w:right="31"/>
              <w:spacing w:after="0"/>
              <w:rPr>
                <w:sz w:val="20"/>
                <w:szCs w:val="20"/>
                <w:color w:val="auto"/>
              </w:rPr>
            </w:pPr>
            <w:r>
              <w:rPr>
                <w:rFonts w:ascii="Arial" w:cs="Arial" w:eastAsia="Arial" w:hAnsi="Arial"/>
                <w:sz w:val="18"/>
                <w:szCs w:val="18"/>
                <w:color w:val="auto"/>
                <w:w w:val="94"/>
              </w:rPr>
              <w:t>December 31, 2025</w:t>
            </w:r>
          </w:p>
        </w:tc>
        <w:tc>
          <w:tcPr>
            <w:tcW w:w="60" w:type="dxa"/>
            <w:vAlign w:val="bottom"/>
          </w:tcPr>
          <w:p>
            <w:pPr>
              <w:spacing w:after="0"/>
              <w:rPr>
                <w:sz w:val="20"/>
                <w:szCs w:val="20"/>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December 31, 2024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2"/>
          </w:tcPr>
          <w:p>
            <w:pPr>
              <w:jc w:val="right"/>
              <w:ind w:right="51"/>
              <w:spacing w:after="0"/>
              <w:rPr>
                <w:sz w:val="20"/>
                <w:szCs w:val="20"/>
                <w:color w:val="auto"/>
              </w:rPr>
            </w:pPr>
            <w:r>
              <w:rPr>
                <w:rFonts w:ascii="Arial" w:cs="Arial" w:eastAsia="Arial" w:hAnsi="Arial"/>
                <w:sz w:val="18"/>
                <w:szCs w:val="18"/>
                <w:color w:val="auto"/>
                <w:w w:val="93"/>
              </w:rPr>
              <w:t>December 31, 2023</w:t>
            </w:r>
          </w:p>
        </w:tc>
      </w:tr>
      <w:tr>
        <w:trPr>
          <w:trHeight w:val="242"/>
        </w:trPr>
        <w:tc>
          <w:tcPr>
            <w:tcW w:w="46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8"/>
                <w:szCs w:val="18"/>
                <w:color w:val="auto"/>
              </w:rPr>
              <w:t>Equity-classified awards</w:t>
            </w: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760" w:type="dxa"/>
            <w:vAlign w:val="bottom"/>
            <w:tcBorders>
              <w:top w:val="single" w:sz="8" w:color="auto"/>
            </w:tcBorders>
            <w:shd w:val="clear" w:color="auto" w:fill="E6E6E6"/>
          </w:tcPr>
          <w:p>
            <w:pPr>
              <w:jc w:val="right"/>
              <w:ind w:right="53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760" w:type="dxa"/>
            <w:vAlign w:val="bottom"/>
            <w:tcBorders>
              <w:top w:val="single" w:sz="8" w:color="auto"/>
            </w:tcBorders>
            <w:shd w:val="clear" w:color="auto" w:fill="E6E6E6"/>
          </w:tcPr>
          <w:p>
            <w:pPr>
              <w:jc w:val="right"/>
              <w:ind w:right="55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65</w:t>
            </w:r>
          </w:p>
        </w:tc>
      </w:tr>
      <w:tr>
        <w:trPr>
          <w:trHeight w:val="242"/>
        </w:trPr>
        <w:tc>
          <w:tcPr>
            <w:tcW w:w="4740" w:type="dxa"/>
            <w:vAlign w:val="bottom"/>
            <w:gridSpan w:val="3"/>
          </w:tcPr>
          <w:p>
            <w:pPr>
              <w:ind w:left="60"/>
              <w:spacing w:after="0"/>
              <w:rPr>
                <w:sz w:val="20"/>
                <w:szCs w:val="20"/>
                <w:color w:val="auto"/>
              </w:rPr>
            </w:pPr>
            <w:r>
              <w:rPr>
                <w:rFonts w:ascii="Arial" w:cs="Arial" w:eastAsia="Arial" w:hAnsi="Arial"/>
                <w:sz w:val="18"/>
                <w:szCs w:val="18"/>
                <w:color w:val="auto"/>
              </w:rPr>
              <w:t>Liability-classified awards</w:t>
            </w:r>
          </w:p>
        </w:tc>
        <w:tc>
          <w:tcPr>
            <w:tcW w:w="7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2"/>
        </w:trPr>
        <w:tc>
          <w:tcPr>
            <w:tcW w:w="4720" w:type="dxa"/>
            <w:vAlign w:val="bottom"/>
            <w:tcBorders>
              <w:top w:val="single" w:sz="8" w:color="E6E6E6"/>
              <w:bottom w:val="single" w:sz="8" w:color="E6E6E6"/>
            </w:tcBorders>
            <w:gridSpan w:val="2"/>
            <w:shd w:val="clear" w:color="auto" w:fill="E6E6E6"/>
          </w:tcPr>
          <w:p>
            <w:pPr>
              <w:ind w:left="3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E6E6E6"/>
          </w:tcPr>
          <w:p>
            <w:pPr>
              <w:spacing w:after="0"/>
              <w:rPr>
                <w:sz w:val="21"/>
                <w:szCs w:val="21"/>
                <w:color w:val="auto"/>
              </w:rPr>
            </w:pPr>
          </w:p>
        </w:tc>
        <w:tc>
          <w:tcPr>
            <w:tcW w:w="760" w:type="dxa"/>
            <w:vAlign w:val="bottom"/>
            <w:tcBorders>
              <w:top w:val="single" w:sz="8" w:color="auto"/>
              <w:bottom w:val="single" w:sz="8" w:color="auto"/>
            </w:tcBorders>
            <w:shd w:val="clear" w:color="auto" w:fill="E6E6E6"/>
          </w:tcPr>
          <w:p>
            <w:pPr>
              <w:jc w:val="right"/>
              <w:ind w:right="53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auto"/>
              <w:bottom w:val="single" w:sz="8" w:color="auto"/>
            </w:tcBorders>
            <w:shd w:val="clear" w:color="auto" w:fill="E6E6E6"/>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780" w:type="dxa"/>
            <w:vAlign w:val="bottom"/>
            <w:tcBorders>
              <w:top w:val="single" w:sz="8" w:color="auto"/>
              <w:bottom w:val="single" w:sz="8" w:color="auto"/>
            </w:tcBorders>
            <w:gridSpan w:val="2"/>
            <w:shd w:val="clear" w:color="auto" w:fill="E6E6E6"/>
          </w:tcPr>
          <w:p>
            <w:pPr>
              <w:jc w:val="right"/>
              <w:ind w:right="55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-511810</wp:posOffset>
            </wp:positionV>
            <wp:extent cx="623951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31">
                      <a:extLst>
                        <a:ext uri="{28A0092B-C50C-407E-A947-70E740481C1C}"/>
                      </a:extLst>
                    </a:blip>
                    <a:srcRect/>
                    <a:stretch>
                      <a:fillRect/>
                    </a:stretch>
                  </pic:blipFill>
                  <pic:spPr bwMode="auto">
                    <a:xfrm>
                      <a:off x="0" y="0"/>
                      <a:ext cx="6239510" cy="2540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-191135</wp:posOffset>
            </wp:positionV>
            <wp:extent cx="324104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2">
                      <a:extLst>
                        <a:ext uri="{28A0092B-C50C-407E-A947-70E740481C1C}"/>
                      </a:extLst>
                    </a:blip>
                    <a:srcRect/>
                    <a:stretch>
                      <a:fillRect/>
                    </a:stretch>
                  </pic:blipFill>
                  <pic:spPr bwMode="auto">
                    <a:xfrm>
                      <a:off x="0" y="0"/>
                      <a:ext cx="3241040" cy="2540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-43815</wp:posOffset>
            </wp:positionV>
            <wp:extent cx="3241040" cy="50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3">
                      <a:extLst>
                        <a:ext uri="{28A0092B-C50C-407E-A947-70E740481C1C}"/>
                      </a:extLst>
                    </a:blip>
                    <a:srcRect/>
                    <a:stretch>
                      <a:fillRect/>
                    </a:stretch>
                  </pic:blipFill>
                  <pic:spPr bwMode="auto">
                    <a:xfrm>
                      <a:off x="0" y="0"/>
                      <a:ext cx="3241040" cy="508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Equity-classified awards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Prior to IPO and Reorganization</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Medline Holdings had two classes of incentive units, Class B units and Class B CUPIs (“Holdings Incentive Units”) that were granted to certain employees and vested upon satisfaction of one or multiple market, performance, and/or service conditions of each award. In accordance with ASC 718, “Compensation - Stock Compensation” (“ASC 718”), all incentive units officially granted represent ownership interests and are classified as equity.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Participants in the Medline Industries, Inc. Managing Partner Program (“MPU”) were entitled to receive a liquidity event payout amount (the “Liquidity MPU Payout”) upon the change-of-control transaction in 2021. All MPU participants were granted the opportunity, pursuant to a reinvestment election agreement, to waive receipt of a portion of their Liquidity MPU Payout in exchange for Class B CUPIs. The Company recorded $217 million of compensation expense related to Liquidity MPU Payouts for the year ended December 31, 2023, as a component of Selling, general and administrative expenses, and no expense for the years ended December 31, 2025 and 2024.</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125</w:t>
      </w:r>
    </w:p>
    <w:p>
      <w:pPr>
        <w:sectPr>
          <w:pgSz w:w="11880" w:h="15480" w:orient="portrait"/>
          <w:cols w:equalWidth="0" w:num="1">
            <w:col w:w="9800"/>
          </w:cols>
          <w:pgMar w:left="1040" w:top="637" w:right="104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STOCK-BASED COMPENSATION (Continued)</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All of the Holdings Incentive Units included a put right that permitted the holders to redeem certain units under conditions outside of the control of the Company. The redemption rights terminated upon the IPO, and the redeemable units were reclassed to permanent equity. See Note 16—Stockholders’ Equity, Mezzanine Equity and Partners’ Capital for additional information of the mezzanine equity.</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Class B CUPIs were vested by fiscal year 2023. Total fair value of Class B CUPI units vested during the year ended December 31, 2023 was $13 million. The Class B units were subject to a five-year vesting period, with 20% of units vesting on each of the five anniversaries of the grant date. The weighted-average grant-date fair value of Class B units granted during the years ended December 31, 2024 and 2023 was $0.49 and $0.36, respectively. Total fair value of Class B units vested during the years ended December 31, 2025, 2024, and 2023, were $50 million, $39 million, and $45 million, respectively. The following table summarizes the Class B Units activity during the year ended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1560" w:type="dxa"/>
            <w:vAlign w:val="bottom"/>
            <w:vMerge w:val="restart"/>
          </w:tcPr>
          <w:p>
            <w:pPr>
              <w:jc w:val="right"/>
              <w:ind w:right="211"/>
              <w:spacing w:after="0"/>
              <w:rPr>
                <w:sz w:val="20"/>
                <w:szCs w:val="20"/>
                <w:color w:val="auto"/>
              </w:rPr>
            </w:pPr>
            <w:r>
              <w:rPr>
                <w:rFonts w:ascii="Arial" w:cs="Arial" w:eastAsia="Arial" w:hAnsi="Arial"/>
                <w:sz w:val="18"/>
                <w:szCs w:val="18"/>
                <w:color w:val="auto"/>
              </w:rPr>
              <w:t>Class B Units</w:t>
            </w:r>
          </w:p>
        </w:tc>
        <w:tc>
          <w:tcPr>
            <w:tcW w:w="160" w:type="dxa"/>
            <w:vAlign w:val="bottom"/>
          </w:tcPr>
          <w:p>
            <w:pPr>
              <w:spacing w:after="0"/>
              <w:rPr>
                <w:sz w:val="18"/>
                <w:szCs w:val="18"/>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w w:val="93"/>
              </w:rPr>
              <w:t>Wtd. Avg. Grant</w:t>
            </w:r>
          </w:p>
        </w:tc>
        <w:tc>
          <w:tcPr>
            <w:tcW w:w="0" w:type="dxa"/>
            <w:vAlign w:val="bottom"/>
          </w:tcPr>
          <w:p>
            <w:pPr>
              <w:spacing w:after="0"/>
              <w:rPr>
                <w:sz w:val="1"/>
                <w:szCs w:val="1"/>
                <w:color w:val="auto"/>
              </w:rPr>
            </w:pPr>
          </w:p>
        </w:tc>
      </w:tr>
      <w:tr>
        <w:trPr>
          <w:trHeight w:val="127"/>
        </w:trPr>
        <w:tc>
          <w:tcPr>
            <w:tcW w:w="6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restart"/>
          </w:tcPr>
          <w:p>
            <w:pPr>
              <w:jc w:val="right"/>
              <w:ind w:right="91"/>
              <w:spacing w:after="0"/>
              <w:rPr>
                <w:sz w:val="20"/>
                <w:szCs w:val="20"/>
                <w:color w:val="auto"/>
              </w:rPr>
            </w:pPr>
            <w:r>
              <w:rPr>
                <w:rFonts w:ascii="Arial" w:cs="Arial" w:eastAsia="Arial" w:hAnsi="Arial"/>
                <w:sz w:val="18"/>
                <w:szCs w:val="18"/>
                <w:color w:val="auto"/>
                <w:w w:val="94"/>
              </w:rPr>
              <w:t>Date Fair Value</w:t>
            </w: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60"/>
              <w:spacing w:after="0"/>
              <w:rPr>
                <w:sz w:val="20"/>
                <w:szCs w:val="20"/>
                <w:color w:val="auto"/>
              </w:rPr>
            </w:pPr>
            <w:r>
              <w:rPr>
                <w:rFonts w:ascii="Arial" w:cs="Arial" w:eastAsia="Arial" w:hAnsi="Arial"/>
                <w:sz w:val="18"/>
                <w:szCs w:val="18"/>
                <w:color w:val="auto"/>
              </w:rPr>
              <w:t>Unvested as of December 31, 2024</w:t>
            </w:r>
          </w:p>
        </w:tc>
        <w:tc>
          <w:tcPr>
            <w:tcW w:w="1560" w:type="dxa"/>
            <w:vAlign w:val="bottom"/>
          </w:tcPr>
          <w:p>
            <w:pPr>
              <w:jc w:val="right"/>
              <w:spacing w:after="0"/>
              <w:rPr>
                <w:sz w:val="20"/>
                <w:szCs w:val="20"/>
                <w:color w:val="auto"/>
              </w:rPr>
            </w:pPr>
            <w:r>
              <w:rPr>
                <w:rFonts w:ascii="Arial" w:cs="Arial" w:eastAsia="Arial" w:hAnsi="Arial"/>
                <w:sz w:val="18"/>
                <w:szCs w:val="18"/>
                <w:color w:val="auto"/>
              </w:rPr>
              <w:t>429,007,732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7"/>
        </w:trPr>
        <w:tc>
          <w:tcPr>
            <w:tcW w:w="670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62,943,267</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5"/>
        </w:trPr>
        <w:tc>
          <w:tcPr>
            <w:tcW w:w="6700" w:type="dxa"/>
            <w:vAlign w:val="bottom"/>
          </w:tcPr>
          <w:p>
            <w:pPr>
              <w:ind w:left="28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(144,877,004)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59"/>
        </w:trPr>
        <w:tc>
          <w:tcPr>
            <w:tcW w:w="6700" w:type="dxa"/>
            <w:vAlign w:val="bottom"/>
            <w:shd w:val="clear" w:color="auto" w:fill="E6E6E6"/>
          </w:tcPr>
          <w:p>
            <w:pPr>
              <w:ind w:left="28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(4,562,775)</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2"/>
        </w:trPr>
        <w:tc>
          <w:tcPr>
            <w:tcW w:w="6700" w:type="dxa"/>
            <w:vAlign w:val="bottom"/>
            <w:tcBorders>
              <w:bottom w:val="single" w:sz="8" w:color="E6E6E6"/>
            </w:tcBorders>
          </w:tcPr>
          <w:p>
            <w:pPr>
              <w:ind w:left="280"/>
              <w:spacing w:after="0"/>
              <w:rPr>
                <w:sz w:val="20"/>
                <w:szCs w:val="20"/>
                <w:color w:val="auto"/>
              </w:rPr>
            </w:pPr>
            <w:r>
              <w:rPr>
                <w:rFonts w:ascii="Arial" w:cs="Arial" w:eastAsia="Arial" w:hAnsi="Arial"/>
                <w:sz w:val="18"/>
                <w:szCs w:val="18"/>
                <w:color w:val="auto"/>
              </w:rPr>
              <w:t>Effect of the Reorganization and IPO</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(342,511,220)</w:t>
            </w:r>
          </w:p>
        </w:tc>
        <w:tc>
          <w:tcPr>
            <w:tcW w:w="1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2"/>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Outstanding as of December 31, 2025</w:t>
            </w: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-191135</wp:posOffset>
            </wp:positionV>
            <wp:extent cx="10153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34">
                      <a:extLst>
                        <a:ext uri="{28A0092B-C50C-407E-A947-70E740481C1C}"/>
                      </a:extLst>
                    </a:blip>
                    <a:srcRect/>
                    <a:stretch>
                      <a:fillRect/>
                    </a:stretch>
                  </pic:blipFill>
                  <pic:spPr bwMode="auto">
                    <a:xfrm>
                      <a:off x="0" y="0"/>
                      <a:ext cx="1015365" cy="2540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-43815</wp:posOffset>
            </wp:positionV>
            <wp:extent cx="1015365" cy="508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5">
                      <a:extLst>
                        <a:ext uri="{28A0092B-C50C-407E-A947-70E740481C1C}"/>
                      </a:extLst>
                    </a:blip>
                    <a:srcRect/>
                    <a:stretch>
                      <a:fillRect/>
                    </a:stretch>
                  </pic:blipFill>
                  <pic:spPr bwMode="auto">
                    <a:xfrm>
                      <a:off x="0" y="0"/>
                      <a:ext cx="1015365" cy="5080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Holdings Incentive Units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fair value of the Holdings Incentive Units is calculated using the Monte Carlo simulation in an option pricing framework, where the total equity value was evolved over a period from the grant date to the expected liquidity date. Prior to the IPO, in the absence of a public trading market, the Company exercised significant judgment and considered numerous objectives and subjective factors to determine the fair value of equity-based awards including:</w:t>
      </w:r>
    </w:p>
    <w:p>
      <w:pPr>
        <w:spacing w:after="0" w:line="68" w:lineRule="exact"/>
        <w:rPr>
          <w:sz w:val="20"/>
          <w:szCs w:val="20"/>
          <w:color w:val="auto"/>
        </w:rPr>
      </w:pPr>
    </w:p>
    <w:p>
      <w:pPr>
        <w:ind w:left="720" w:hanging="36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Relevant precedent transactions involving equity units;</w:t>
      </w:r>
    </w:p>
    <w:p>
      <w:pPr>
        <w:spacing w:after="0" w:line="7" w:lineRule="exact"/>
        <w:rPr>
          <w:rFonts w:ascii="Arial" w:cs="Arial" w:eastAsia="Arial" w:hAnsi="Arial"/>
          <w:sz w:val="20"/>
          <w:szCs w:val="20"/>
          <w:color w:val="auto"/>
        </w:rPr>
      </w:pPr>
    </w:p>
    <w:p>
      <w:pPr>
        <w:ind w:left="720" w:hanging="36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Company’s operating and financial performance;</w:t>
      </w:r>
    </w:p>
    <w:p>
      <w:pPr>
        <w:spacing w:after="0" w:line="7" w:lineRule="exact"/>
        <w:rPr>
          <w:rFonts w:ascii="Arial" w:cs="Arial" w:eastAsia="Arial" w:hAnsi="Arial"/>
          <w:sz w:val="20"/>
          <w:szCs w:val="20"/>
          <w:color w:val="auto"/>
        </w:rPr>
      </w:pPr>
    </w:p>
    <w:p>
      <w:pPr>
        <w:ind w:left="720" w:hanging="36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Current business conditions and projections;</w:t>
      </w:r>
    </w:p>
    <w:p>
      <w:pPr>
        <w:spacing w:after="0" w:line="7" w:lineRule="exact"/>
        <w:rPr>
          <w:rFonts w:ascii="Arial" w:cs="Arial" w:eastAsia="Arial" w:hAnsi="Arial"/>
          <w:sz w:val="20"/>
          <w:szCs w:val="20"/>
          <w:color w:val="auto"/>
        </w:rPr>
      </w:pPr>
    </w:p>
    <w:p>
      <w:pPr>
        <w:ind w:left="720" w:hanging="36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market performance of comparable publicly traded companies; and</w:t>
      </w:r>
    </w:p>
    <w:p>
      <w:pPr>
        <w:spacing w:after="0" w:line="7" w:lineRule="exact"/>
        <w:rPr>
          <w:rFonts w:ascii="Arial" w:cs="Arial" w:eastAsia="Arial" w:hAnsi="Arial"/>
          <w:sz w:val="20"/>
          <w:szCs w:val="20"/>
          <w:color w:val="auto"/>
        </w:rPr>
      </w:pPr>
    </w:p>
    <w:p>
      <w:pPr>
        <w:ind w:left="720" w:hanging="364"/>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U.S. and global capital market conditions.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assumptions were made in the Monte Carlo simulation.</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u w:val="single" w:color="auto"/>
          <w:color w:val="auto"/>
        </w:rPr>
        <w:t>Expected Term:</w:t>
      </w:r>
      <w:r>
        <w:rPr>
          <w:rFonts w:ascii="Arial" w:cs="Arial" w:eastAsia="Arial" w:hAnsi="Arial"/>
          <w:sz w:val="20"/>
          <w:szCs w:val="20"/>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Volatility:</w:t>
      </w:r>
      <w:r>
        <w:rPr>
          <w:rFonts w:ascii="Arial" w:cs="Arial" w:eastAsia="Arial" w:hAnsi="Arial"/>
          <w:sz w:val="20"/>
          <w:szCs w:val="20"/>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u w:val="single" w:color="auto"/>
          <w:color w:val="auto"/>
        </w:rPr>
        <w:t>Risk-Free Interest Rate:</w:t>
      </w:r>
      <w:r>
        <w:rPr>
          <w:rFonts w:ascii="Arial" w:cs="Arial" w:eastAsia="Arial" w:hAnsi="Arial"/>
          <w:sz w:val="20"/>
          <w:szCs w:val="20"/>
          <w:color w:val="auto"/>
        </w:rPr>
        <w:t xml:space="preserve"> The risk-free interest rate is estimated based on U.S. Treasury zero-coupon notes with terms consistent with the expected term of the awards.</w:t>
      </w:r>
    </w:p>
    <w:p>
      <w:pPr>
        <w:spacing w:after="0" w:line="180" w:lineRule="exact"/>
        <w:rPr>
          <w:sz w:val="20"/>
          <w:szCs w:val="20"/>
          <w:color w:val="auto"/>
        </w:rPr>
      </w:pPr>
    </w:p>
    <w:p>
      <w:pPr>
        <w:jc w:val="both"/>
        <w:spacing w:after="0" w:line="305" w:lineRule="auto"/>
        <w:rPr>
          <w:sz w:val="20"/>
          <w:szCs w:val="20"/>
          <w:color w:val="auto"/>
        </w:rPr>
      </w:pPr>
      <w:r>
        <w:rPr>
          <w:rFonts w:ascii="Arial" w:cs="Arial" w:eastAsia="Arial" w:hAnsi="Arial"/>
          <w:sz w:val="19"/>
          <w:szCs w:val="19"/>
          <w:u w:val="single" w:color="auto"/>
          <w:color w:val="auto"/>
        </w:rPr>
        <w:t>Dividend Yield:</w:t>
      </w:r>
      <w:r>
        <w:rPr>
          <w:rFonts w:ascii="Arial" w:cs="Arial" w:eastAsia="Arial" w:hAnsi="Arial"/>
          <w:sz w:val="19"/>
          <w:szCs w:val="19"/>
          <w:color w:val="auto"/>
        </w:rPr>
        <w:t xml:space="preserve"> The Company has never declared or paid any cash dividends and does not presently plan to pay cash dividends in the foreseeable future. Consequently, the Company used an expected dividend yield of zero.</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126</w:t>
      </w:r>
    </w:p>
    <w:p>
      <w:pPr>
        <w:sectPr>
          <w:pgSz w:w="11880" w:h="15480" w:orient="portrait"/>
          <w:cols w:equalWidth="0" w:num="1">
            <w:col w:w="9800"/>
          </w:cols>
          <w:pgMar w:left="1040" w:top="637" w:right="1040" w:bottom="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STOCK-BASED COMPENSATION (Continued)</w:t>
      </w:r>
    </w:p>
    <w:p>
      <w:pPr>
        <w:spacing w:after="0" w:line="256"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The following table provides the weighted-average inputs for expected term, volatility, risk-free interest rate, and dividend yield that were utilized by the Company in its Monte Carlo simulation for awards granted during 2021 through 2025:</w:t>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5100" w:type="dxa"/>
            <w:vAlign w:val="bottom"/>
            <w:shd w:val="clear" w:color="auto" w:fill="E6E6E6"/>
          </w:tcPr>
          <w:p>
            <w:pPr>
              <w:ind w:left="40"/>
              <w:spacing w:after="0"/>
              <w:rPr>
                <w:sz w:val="20"/>
                <w:szCs w:val="20"/>
                <w:color w:val="auto"/>
              </w:rPr>
            </w:pPr>
            <w:r>
              <w:rPr>
                <w:rFonts w:ascii="Arial" w:cs="Arial" w:eastAsia="Arial" w:hAnsi="Arial"/>
                <w:sz w:val="18"/>
                <w:szCs w:val="18"/>
                <w:color w:val="auto"/>
              </w:rPr>
              <w:t>Dividend yield</w:t>
            </w:r>
          </w:p>
        </w:tc>
        <w:tc>
          <w:tcPr>
            <w:tcW w:w="4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5"/>
        </w:trPr>
        <w:tc>
          <w:tcPr>
            <w:tcW w:w="51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500" w:type="dxa"/>
            <w:vAlign w:val="bottom"/>
          </w:tcPr>
          <w:p>
            <w:pPr>
              <w:jc w:val="right"/>
              <w:spacing w:after="0"/>
              <w:rPr>
                <w:sz w:val="20"/>
                <w:szCs w:val="20"/>
                <w:color w:val="auto"/>
              </w:rPr>
            </w:pPr>
            <w:r>
              <w:rPr>
                <w:rFonts w:ascii="Arial" w:cs="Arial" w:eastAsia="Arial" w:hAnsi="Arial"/>
                <w:sz w:val="18"/>
                <w:szCs w:val="18"/>
                <w:color w:val="auto"/>
              </w:rPr>
              <w:t>3.6 to 6.0</w:t>
            </w:r>
          </w:p>
        </w:tc>
      </w:tr>
      <w:tr>
        <w:trPr>
          <w:trHeight w:val="289"/>
        </w:trPr>
        <w:tc>
          <w:tcPr>
            <w:tcW w:w="5100" w:type="dxa"/>
            <w:vAlign w:val="bottom"/>
            <w:shd w:val="clear" w:color="auto" w:fill="E6E6E6"/>
          </w:tcPr>
          <w:p>
            <w:pPr>
              <w:ind w:left="40"/>
              <w:spacing w:after="0"/>
              <w:rPr>
                <w:sz w:val="20"/>
                <w:szCs w:val="20"/>
                <w:color w:val="auto"/>
              </w:rPr>
            </w:pPr>
            <w:r>
              <w:rPr>
                <w:rFonts w:ascii="Arial" w:cs="Arial" w:eastAsia="Arial" w:hAnsi="Arial"/>
                <w:sz w:val="18"/>
                <w:szCs w:val="18"/>
                <w:color w:val="auto"/>
              </w:rPr>
              <w:t>Risk-free interest rate</w:t>
            </w:r>
          </w:p>
        </w:tc>
        <w:tc>
          <w:tcPr>
            <w:tcW w:w="4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 to 4.6%</w:t>
            </w:r>
          </w:p>
        </w:tc>
      </w:tr>
      <w:tr>
        <w:trPr>
          <w:trHeight w:val="268"/>
        </w:trPr>
        <w:tc>
          <w:tcPr>
            <w:tcW w:w="51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500" w:type="dxa"/>
            <w:vAlign w:val="bottom"/>
          </w:tcPr>
          <w:p>
            <w:pPr>
              <w:jc w:val="right"/>
              <w:spacing w:after="0"/>
              <w:rPr>
                <w:sz w:val="20"/>
                <w:szCs w:val="20"/>
                <w:color w:val="auto"/>
              </w:rPr>
            </w:pPr>
            <w:r>
              <w:rPr>
                <w:rFonts w:ascii="Arial" w:cs="Arial" w:eastAsia="Arial" w:hAnsi="Arial"/>
                <w:sz w:val="18"/>
                <w:szCs w:val="18"/>
                <w:color w:val="auto"/>
              </w:rPr>
              <w:t>35.0% to 48.0%</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Post-IPO Incentive Plan and Awards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Omnibus Incentive Plan</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In connection with the IPO, the Company adopted the Medline Inc. 2025 Omnibus Incentive Plan (the “Omnibus Plan”), which became effective on the date of the IPO. The Omnibus Plan provides for potential grants of the following awards: (i) stock options, (ii) stock appreciation rights, (iii) restricted stock awards; (iv) other stock-based awards, and (v) other cash-based awards. The Company initially reserved 60 million shares of Class A common stock for the issuance of awards under the Omnibus Plan. Starting in 2026, the number of shares available for issuance under the Omnibus Plan will be increased automatically on January 1 of each fiscal year, by a number of shares of the Company’s Class A common stock equal to the least of (i) 54 million shares of Class A common stock; (ii) 4% of the total number of shares of Class A common stock outstanding on the last day of the immediately preceding fiscal year, and (iii) a lower number of shares as may be determined by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Reclassification of Holdings Incentive Units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connection with the IPO and Reorganization, the Holdings Incentive Unit awards issued prior to the IPO were reclassified as follows: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Continuing Unitholders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time-vesting Class B units held by certain pre-IPO holders of Class B units (the “Continuing Unitholders”) were reclassified into vested Incentive Units, in the case of vested Class B units, and unvested Incentive Units, in the case of unvested Class B units, in Medline Holdings. These Incentive Units retain the vesting attributes of the Class B units reclassified, including original service period vesting start date.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performance-vesting Class B units were reclassified into unvested Incentive Units. At the IPO date, management concluded that the IPO caused the achievement of respective performance conditions to be probable. As such, the Company recorded $5 million compensation expense for the year ending December 31, 2025 and will record the remaining compensation expense through the end of respective service requisite periods.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The Class B CUPIs were reclassified to vested Common Units in Medline Holdings.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fair value of Incentive Units was the same immediately prior to and after the reclassification; therefore, no incremental expense related to the reclassification was recorded.</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127</w:t>
      </w:r>
    </w:p>
    <w:p>
      <w:pPr>
        <w:sectPr>
          <w:pgSz w:w="11880" w:h="15480" w:orient="portrait"/>
          <w:cols w:equalWidth="0" w:num="1">
            <w:col w:w="9800"/>
          </w:cols>
          <w:pgMar w:left="1040" w:top="637" w:right="104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STOCK-BASED COMPENSATION (Continued)</w:t>
      </w:r>
    </w:p>
    <w:p>
      <w:pPr>
        <w:spacing w:after="0" w:line="25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Total fair value of Incentive Units vested during the year ended December 31, 2025 was $2 million. As of December 31, 2025, there was $49 million of unrecognized compensation cost related to Incentive Units, which is expected to be recognized on a graded or straight-line basis over a weighted-average period of 1.1 years. The following table summarizes the information about Class B units in Medline Holdings that were reclassified to Incentive Units in Medline Holdings: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1540" w:type="dxa"/>
            <w:vAlign w:val="bottom"/>
            <w:vMerge w:val="restart"/>
          </w:tcPr>
          <w:p>
            <w:pPr>
              <w:jc w:val="right"/>
              <w:ind w:right="131"/>
              <w:spacing w:after="0"/>
              <w:rPr>
                <w:sz w:val="20"/>
                <w:szCs w:val="20"/>
                <w:color w:val="auto"/>
              </w:rPr>
            </w:pPr>
            <w:r>
              <w:rPr>
                <w:rFonts w:ascii="Arial" w:cs="Arial" w:eastAsia="Arial" w:hAnsi="Arial"/>
                <w:sz w:val="18"/>
                <w:szCs w:val="18"/>
                <w:color w:val="auto"/>
              </w:rPr>
              <w:t>Incentive Units</w:t>
            </w:r>
          </w:p>
        </w:tc>
        <w:tc>
          <w:tcPr>
            <w:tcW w:w="160" w:type="dxa"/>
            <w:vAlign w:val="bottom"/>
          </w:tcPr>
          <w:p>
            <w:pPr>
              <w:spacing w:after="0"/>
              <w:rPr>
                <w:sz w:val="18"/>
                <w:szCs w:val="18"/>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w w:val="92"/>
              </w:rPr>
              <w:t>Wtd. Avg. Grant</w:t>
            </w:r>
          </w:p>
        </w:tc>
        <w:tc>
          <w:tcPr>
            <w:tcW w:w="0" w:type="dxa"/>
            <w:vAlign w:val="bottom"/>
          </w:tcPr>
          <w:p>
            <w:pPr>
              <w:spacing w:after="0"/>
              <w:rPr>
                <w:sz w:val="1"/>
                <w:szCs w:val="1"/>
                <w:color w:val="auto"/>
              </w:rPr>
            </w:pPr>
          </w:p>
        </w:tc>
      </w:tr>
      <w:tr>
        <w:trPr>
          <w:trHeight w:val="127"/>
        </w:trPr>
        <w:tc>
          <w:tcPr>
            <w:tcW w:w="67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color w:val="auto"/>
                <w:w w:val="92"/>
              </w:rPr>
              <w:t>Date Fair Value</w:t>
            </w:r>
          </w:p>
        </w:tc>
        <w:tc>
          <w:tcPr>
            <w:tcW w:w="0" w:type="dxa"/>
            <w:vAlign w:val="bottom"/>
          </w:tcPr>
          <w:p>
            <w:pPr>
              <w:spacing w:after="0"/>
              <w:rPr>
                <w:sz w:val="1"/>
                <w:szCs w:val="1"/>
                <w:color w:val="auto"/>
              </w:rPr>
            </w:pPr>
          </w:p>
        </w:tc>
      </w:tr>
      <w:tr>
        <w:trPr>
          <w:trHeight w:val="107"/>
        </w:trPr>
        <w:tc>
          <w:tcPr>
            <w:tcW w:w="67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720" w:type="dxa"/>
            <w:vAlign w:val="bottom"/>
            <w:vMerge w:val="restart"/>
          </w:tcPr>
          <w:p>
            <w:pPr>
              <w:ind w:left="60"/>
              <w:spacing w:after="0"/>
              <w:rPr>
                <w:sz w:val="20"/>
                <w:szCs w:val="20"/>
                <w:color w:val="auto"/>
              </w:rPr>
            </w:pPr>
            <w:r>
              <w:rPr>
                <w:rFonts w:ascii="Arial" w:cs="Arial" w:eastAsia="Arial" w:hAnsi="Arial"/>
                <w:sz w:val="18"/>
                <w:szCs w:val="18"/>
                <w:color w:val="auto"/>
              </w:rPr>
              <w:t>Effect of the Reorganization and IPO as of December 17, 2025</w:t>
            </w: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6720" w:type="dxa"/>
            <w:vAlign w:val="bottom"/>
            <w:vMerge w:val="continue"/>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17,056,431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7"/>
        </w:trPr>
        <w:tc>
          <w:tcPr>
            <w:tcW w:w="67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720" w:type="dxa"/>
            <w:vAlign w:val="bottom"/>
          </w:tcPr>
          <w:p>
            <w:pPr>
              <w:ind w:left="28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(339,388)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7"/>
        </w:trPr>
        <w:tc>
          <w:tcPr>
            <w:tcW w:w="67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(2,178,225)</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195"/>
        </w:trPr>
        <w:tc>
          <w:tcPr>
            <w:tcW w:w="6720" w:type="dxa"/>
            <w:vAlign w:val="bottom"/>
          </w:tcPr>
          <w:p>
            <w:pPr>
              <w:ind w:left="60"/>
              <w:spacing w:after="0" w:line="195" w:lineRule="exact"/>
              <w:rPr>
                <w:sz w:val="20"/>
                <w:szCs w:val="20"/>
                <w:color w:val="auto"/>
              </w:rPr>
            </w:pPr>
            <w:r>
              <w:rPr>
                <w:rFonts w:ascii="Arial" w:cs="Arial" w:eastAsia="Arial" w:hAnsi="Arial"/>
                <w:sz w:val="18"/>
                <w:szCs w:val="18"/>
                <w:color w:val="auto"/>
              </w:rPr>
              <w:t>Unvested as of December 31, 2025</w:t>
            </w:r>
          </w:p>
        </w:tc>
        <w:tc>
          <w:tcPr>
            <w:tcW w:w="15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14,538,818</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-191135</wp:posOffset>
            </wp:positionV>
            <wp:extent cx="100584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36">
                      <a:extLst>
                        <a:ext uri="{28A0092B-C50C-407E-A947-70E740481C1C}"/>
                      </a:extLst>
                    </a:blip>
                    <a:srcRect/>
                    <a:stretch>
                      <a:fillRect/>
                    </a:stretch>
                  </pic:blipFill>
                  <pic:spPr bwMode="auto">
                    <a:xfrm>
                      <a:off x="0" y="0"/>
                      <a:ext cx="1005840" cy="254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Exchanging Unitholders</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Holdings Incentive Units and Class A units held by participants other than Continuing Unitholders (the “Exchanging Unitholders”) were exchanged for vested Class A common stock and RSUs, in the case of Class A units and Class B CUPIs, and vested Class A common stock, RSUs, RSAs, and options, in the case of Class B units, in the Company. The RSAs, RSUs, and options will vest according to the same vesting schedule as the corresponding Class B units, in respect of which they are being granted, except that no awards will vest until the later of the date that is 180 days following the IPO and the existing vesting date of the underlying Class B units. This modification resulted in the re-measurement of the awards in accordance with ASC 718. Total compensation cost for the modified awards equaled the grant date fair value of the pre-IPO awards, plus any incremental compensation cost measured at the modification date (i.e. the IPO date). The change in fair value of these awards prior to and after the reclassification was not material. The modification impacted 68 participants.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RSAs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of December 31, 2025, there was $13 million of unrecognized compensation cost related to RSAs, which is expected to be recognized on a graded or straight-line basis over a weighted-average period of 1.4 years. The following table summarizes the RSAs activity during the year ended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w w:val="92"/>
              </w:rPr>
              <w:t>Wtd. Avg. Grant</w:t>
            </w:r>
          </w:p>
        </w:tc>
      </w:tr>
      <w:tr>
        <w:trPr>
          <w:trHeight w:val="238"/>
        </w:trPr>
        <w:tc>
          <w:tcPr>
            <w:tcW w:w="6720" w:type="dxa"/>
            <w:vAlign w:val="bottom"/>
          </w:tcPr>
          <w:p>
            <w:pPr>
              <w:spacing w:after="0"/>
              <w:rPr>
                <w:sz w:val="20"/>
                <w:szCs w:val="20"/>
                <w:color w:val="auto"/>
              </w:rPr>
            </w:pPr>
          </w:p>
        </w:tc>
        <w:tc>
          <w:tcPr>
            <w:tcW w:w="15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Restricted Stock</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Date Fair Value</w:t>
            </w:r>
          </w:p>
        </w:tc>
      </w:tr>
      <w:tr>
        <w:trPr>
          <w:trHeight w:val="238"/>
        </w:trPr>
        <w:tc>
          <w:tcPr>
            <w:tcW w:w="6720" w:type="dxa"/>
            <w:vAlign w:val="bottom"/>
          </w:tcPr>
          <w:p>
            <w:pPr>
              <w:ind w:left="60"/>
              <w:spacing w:after="0"/>
              <w:rPr>
                <w:sz w:val="20"/>
                <w:szCs w:val="20"/>
                <w:color w:val="auto"/>
              </w:rPr>
            </w:pPr>
            <w:r>
              <w:rPr>
                <w:rFonts w:ascii="Arial" w:cs="Arial" w:eastAsia="Arial" w:hAnsi="Arial"/>
                <w:sz w:val="18"/>
                <w:szCs w:val="18"/>
                <w:color w:val="auto"/>
              </w:rPr>
              <w:t>Effect of the Reorganization and IPO as of December 17, 2025</w:t>
            </w:r>
          </w:p>
        </w:tc>
        <w:tc>
          <w:tcPr>
            <w:tcW w:w="1540" w:type="dxa"/>
            <w:vAlign w:val="bottom"/>
          </w:tcPr>
          <w:p>
            <w:pPr>
              <w:jc w:val="right"/>
              <w:spacing w:after="0"/>
              <w:rPr>
                <w:sz w:val="20"/>
                <w:szCs w:val="20"/>
                <w:color w:val="auto"/>
              </w:rPr>
            </w:pPr>
            <w:r>
              <w:rPr>
                <w:rFonts w:ascii="Arial" w:cs="Arial" w:eastAsia="Arial" w:hAnsi="Arial"/>
                <w:sz w:val="18"/>
                <w:szCs w:val="18"/>
                <w:color w:val="auto"/>
              </w:rPr>
              <w:t>1,982,467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57"/>
        </w:trPr>
        <w:tc>
          <w:tcPr>
            <w:tcW w:w="67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20" w:type="dxa"/>
            <w:vAlign w:val="bottom"/>
          </w:tcPr>
          <w:p>
            <w:pPr>
              <w:ind w:left="28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67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(23,810)</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29.00</w:t>
            </w:r>
          </w:p>
        </w:tc>
      </w:tr>
      <w:tr>
        <w:trPr>
          <w:trHeight w:val="195"/>
        </w:trPr>
        <w:tc>
          <w:tcPr>
            <w:tcW w:w="6720" w:type="dxa"/>
            <w:vAlign w:val="bottom"/>
          </w:tcPr>
          <w:p>
            <w:pPr>
              <w:ind w:left="60"/>
              <w:spacing w:after="0" w:line="195" w:lineRule="exact"/>
              <w:rPr>
                <w:sz w:val="20"/>
                <w:szCs w:val="20"/>
                <w:color w:val="auto"/>
              </w:rPr>
            </w:pPr>
            <w:r>
              <w:rPr>
                <w:rFonts w:ascii="Arial" w:cs="Arial" w:eastAsia="Arial" w:hAnsi="Arial"/>
                <w:sz w:val="18"/>
                <w:szCs w:val="18"/>
                <w:color w:val="auto"/>
              </w:rPr>
              <w:t>Unvested as of December 31, 2025</w:t>
            </w:r>
          </w:p>
        </w:tc>
        <w:tc>
          <w:tcPr>
            <w:tcW w:w="15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1,958,657</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29.00</w:t>
            </w:r>
          </w:p>
        </w:tc>
      </w:tr>
      <w:tr>
        <w:trPr>
          <w:trHeight w:val="20"/>
        </w:trPr>
        <w:tc>
          <w:tcPr>
            <w:tcW w:w="6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-191135</wp:posOffset>
            </wp:positionV>
            <wp:extent cx="100584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37">
                      <a:extLst>
                        <a:ext uri="{28A0092B-C50C-407E-A947-70E740481C1C}"/>
                      </a:extLst>
                    </a:blip>
                    <a:srcRect/>
                    <a:stretch>
                      <a:fillRect/>
                    </a:stretch>
                  </pic:blipFill>
                  <pic:spPr bwMode="auto">
                    <a:xfrm>
                      <a:off x="0" y="0"/>
                      <a:ext cx="1005840" cy="254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128</w:t>
      </w:r>
    </w:p>
    <w:p>
      <w:pPr>
        <w:sectPr>
          <w:pgSz w:w="11880" w:h="15480" w:orient="portrait"/>
          <w:cols w:equalWidth="0" w:num="1">
            <w:col w:w="9800"/>
          </w:cols>
          <w:pgMar w:left="1040" w:top="637" w:right="104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STOCK-BASED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RSUs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As of December 31, 2025, there was $5 million of unrecognized compensation cost related to unvested RSUs, which is expected to be recognized on a graded or straight-line basis over a weighted-average period of 1.2 years. The following table summarizes the RSUs activity during the year ended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8"/>
                <w:szCs w:val="18"/>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w w:val="92"/>
              </w:rPr>
              <w:t>Wtd. Avg. Grant</w:t>
            </w:r>
          </w:p>
        </w:tc>
      </w:tr>
      <w:tr>
        <w:trPr>
          <w:trHeight w:val="238"/>
        </w:trPr>
        <w:tc>
          <w:tcPr>
            <w:tcW w:w="6720" w:type="dxa"/>
            <w:vAlign w:val="bottom"/>
          </w:tcPr>
          <w:p>
            <w:pPr>
              <w:spacing w:after="0"/>
              <w:rPr>
                <w:sz w:val="20"/>
                <w:szCs w:val="20"/>
                <w:color w:val="auto"/>
              </w:rPr>
            </w:pPr>
          </w:p>
        </w:tc>
        <w:tc>
          <w:tcPr>
            <w:tcW w:w="15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Units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2"/>
              </w:rPr>
              <w:t>Date Fair Value</w:t>
            </w:r>
          </w:p>
        </w:tc>
      </w:tr>
      <w:tr>
        <w:trPr>
          <w:trHeight w:val="238"/>
        </w:trPr>
        <w:tc>
          <w:tcPr>
            <w:tcW w:w="6720" w:type="dxa"/>
            <w:vAlign w:val="bottom"/>
          </w:tcPr>
          <w:p>
            <w:pPr>
              <w:ind w:left="60"/>
              <w:spacing w:after="0"/>
              <w:rPr>
                <w:sz w:val="20"/>
                <w:szCs w:val="20"/>
                <w:color w:val="auto"/>
              </w:rPr>
            </w:pPr>
            <w:r>
              <w:rPr>
                <w:rFonts w:ascii="Arial" w:cs="Arial" w:eastAsia="Arial" w:hAnsi="Arial"/>
                <w:sz w:val="18"/>
                <w:szCs w:val="18"/>
                <w:color w:val="auto"/>
              </w:rPr>
              <w:t>Effect of the Reorganization and IPO as of December 17, 2025</w:t>
            </w:r>
          </w:p>
        </w:tc>
        <w:tc>
          <w:tcPr>
            <w:tcW w:w="1540" w:type="dxa"/>
            <w:vAlign w:val="bottom"/>
          </w:tcPr>
          <w:p>
            <w:pPr>
              <w:jc w:val="right"/>
              <w:spacing w:after="0"/>
              <w:rPr>
                <w:sz w:val="20"/>
                <w:szCs w:val="20"/>
                <w:color w:val="auto"/>
              </w:rPr>
            </w:pPr>
            <w:r>
              <w:rPr>
                <w:rFonts w:ascii="Arial" w:cs="Arial" w:eastAsia="Arial" w:hAnsi="Arial"/>
                <w:sz w:val="18"/>
                <w:szCs w:val="18"/>
                <w:color w:val="auto"/>
              </w:rPr>
              <w:t>513,450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57"/>
        </w:trPr>
        <w:tc>
          <w:tcPr>
            <w:tcW w:w="67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10,345</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29.00</w:t>
            </w:r>
          </w:p>
        </w:tc>
      </w:tr>
      <w:tr>
        <w:trPr>
          <w:trHeight w:val="245"/>
        </w:trPr>
        <w:tc>
          <w:tcPr>
            <w:tcW w:w="6720" w:type="dxa"/>
            <w:vAlign w:val="bottom"/>
          </w:tcPr>
          <w:p>
            <w:pPr>
              <w:ind w:left="28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7"/>
        </w:trPr>
        <w:tc>
          <w:tcPr>
            <w:tcW w:w="67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6720" w:type="dxa"/>
            <w:vAlign w:val="bottom"/>
          </w:tcPr>
          <w:p>
            <w:pPr>
              <w:ind w:left="60"/>
              <w:spacing w:after="0" w:line="195" w:lineRule="exact"/>
              <w:rPr>
                <w:sz w:val="20"/>
                <w:szCs w:val="20"/>
                <w:color w:val="auto"/>
              </w:rPr>
            </w:pPr>
            <w:r>
              <w:rPr>
                <w:rFonts w:ascii="Arial" w:cs="Arial" w:eastAsia="Arial" w:hAnsi="Arial"/>
                <w:sz w:val="18"/>
                <w:szCs w:val="18"/>
                <w:color w:val="auto"/>
              </w:rPr>
              <w:t>Unvested as of December 31, 2025</w:t>
            </w:r>
          </w:p>
        </w:tc>
        <w:tc>
          <w:tcPr>
            <w:tcW w:w="15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523,795</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29.00</w:t>
            </w:r>
          </w:p>
        </w:tc>
      </w:tr>
      <w:tr>
        <w:trPr>
          <w:trHeight w:val="20"/>
        </w:trPr>
        <w:tc>
          <w:tcPr>
            <w:tcW w:w="6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-191135</wp:posOffset>
            </wp:positionV>
            <wp:extent cx="100584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38">
                      <a:extLst>
                        <a:ext uri="{28A0092B-C50C-407E-A947-70E740481C1C}"/>
                      </a:extLst>
                    </a:blip>
                    <a:srcRect/>
                    <a:stretch>
                      <a:fillRect/>
                    </a:stretch>
                  </pic:blipFill>
                  <pic:spPr bwMode="auto">
                    <a:xfrm>
                      <a:off x="0" y="0"/>
                      <a:ext cx="1005840" cy="254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Options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Options issued entitle the holder to future purchases of Class A common stock and are exercisable up to the tenth anniversary of the grant date. As of December 31, 2025, there was $24 million of unrecognized compensation cost related to options, which is expected to be recognized on a graded or straight-line basis over a weighted-average period of 1.5 years. The following table summarizes option activity during the year ended December 31,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8"/>
                <w:szCs w:val="18"/>
                <w:color w:val="auto"/>
              </w:rPr>
            </w:pPr>
          </w:p>
        </w:tc>
        <w:tc>
          <w:tcPr>
            <w:tcW w:w="1240" w:type="dxa"/>
            <w:vAlign w:val="bottom"/>
          </w:tcPr>
          <w:p>
            <w:pPr>
              <w:jc w:val="center"/>
              <w:ind w:right="51"/>
              <w:spacing w:after="0"/>
              <w:rPr>
                <w:sz w:val="20"/>
                <w:szCs w:val="20"/>
                <w:color w:val="auto"/>
              </w:rPr>
            </w:pPr>
            <w:r>
              <w:rPr>
                <w:rFonts w:ascii="Arial" w:cs="Arial" w:eastAsia="Arial" w:hAnsi="Arial"/>
                <w:sz w:val="18"/>
                <w:szCs w:val="18"/>
                <w:color w:val="auto"/>
                <w:w w:val="89"/>
              </w:rPr>
              <w:t>Aggregate</w:t>
            </w:r>
          </w:p>
        </w:tc>
      </w:tr>
      <w:tr>
        <w:trPr>
          <w:trHeight w:val="214"/>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8"/>
              </w:rPr>
              <w:t>Wtd. Avg. Grant</w:t>
            </w:r>
          </w:p>
        </w:tc>
        <w:tc>
          <w:tcPr>
            <w:tcW w:w="180" w:type="dxa"/>
            <w:vAlign w:val="bottom"/>
          </w:tcPr>
          <w:p>
            <w:pPr>
              <w:spacing w:after="0"/>
              <w:rPr>
                <w:sz w:val="18"/>
                <w:szCs w:val="18"/>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Wtd. Avg.</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Contractual Term</w:t>
            </w:r>
          </w:p>
        </w:tc>
        <w:tc>
          <w:tcPr>
            <w:tcW w:w="140" w:type="dxa"/>
            <w:vAlign w:val="bottom"/>
          </w:tcPr>
          <w:p>
            <w:pPr>
              <w:spacing w:after="0"/>
              <w:rPr>
                <w:sz w:val="18"/>
                <w:szCs w:val="18"/>
                <w:color w:val="auto"/>
              </w:rPr>
            </w:pPr>
          </w:p>
        </w:tc>
        <w:tc>
          <w:tcPr>
            <w:tcW w:w="1240" w:type="dxa"/>
            <w:vAlign w:val="bottom"/>
          </w:tcPr>
          <w:p>
            <w:pPr>
              <w:jc w:val="center"/>
              <w:ind w:right="51"/>
              <w:spacing w:after="0"/>
              <w:rPr>
                <w:sz w:val="20"/>
                <w:szCs w:val="20"/>
                <w:color w:val="auto"/>
              </w:rPr>
            </w:pPr>
            <w:r>
              <w:rPr>
                <w:rFonts w:ascii="Arial" w:cs="Arial" w:eastAsia="Arial" w:hAnsi="Arial"/>
                <w:sz w:val="18"/>
                <w:szCs w:val="18"/>
                <w:color w:val="auto"/>
                <w:w w:val="93"/>
              </w:rPr>
              <w:t>Intrinsic Value</w:t>
            </w:r>
          </w:p>
        </w:tc>
      </w:tr>
      <w:tr>
        <w:trPr>
          <w:trHeight w:val="238"/>
        </w:trPr>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Stock Options</w:t>
            </w: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9"/>
              </w:rPr>
              <w:t>Date Fair Value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88"/>
              </w:rPr>
              <w:t>Exercise Price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(in years)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8"/>
              </w:rPr>
              <w:t>(in millions)</w:t>
            </w:r>
          </w:p>
        </w:tc>
      </w:tr>
      <w:tr>
        <w:trPr>
          <w:trHeight w:val="203"/>
        </w:trPr>
        <w:tc>
          <w:tcPr>
            <w:tcW w:w="2900" w:type="dxa"/>
            <w:vAlign w:val="bottom"/>
          </w:tcPr>
          <w:p>
            <w:pPr>
              <w:ind w:left="60"/>
              <w:spacing w:after="0" w:line="203" w:lineRule="exact"/>
              <w:rPr>
                <w:sz w:val="20"/>
                <w:szCs w:val="20"/>
                <w:color w:val="auto"/>
              </w:rPr>
            </w:pPr>
            <w:r>
              <w:rPr>
                <w:rFonts w:ascii="Arial" w:cs="Arial" w:eastAsia="Arial" w:hAnsi="Arial"/>
                <w:sz w:val="18"/>
                <w:szCs w:val="18"/>
                <w:color w:val="auto"/>
                <w:w w:val="96"/>
              </w:rPr>
              <w:t>Effect of the Reorganization and IPO</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2900" w:type="dxa"/>
            <w:vAlign w:val="bottom"/>
          </w:tcPr>
          <w:p>
            <w:pPr>
              <w:ind w:left="60"/>
              <w:spacing w:after="0"/>
              <w:rPr>
                <w:sz w:val="20"/>
                <w:szCs w:val="20"/>
                <w:color w:val="auto"/>
              </w:rPr>
            </w:pPr>
            <w:r>
              <w:rPr>
                <w:rFonts w:ascii="Arial" w:cs="Arial" w:eastAsia="Arial" w:hAnsi="Arial"/>
                <w:sz w:val="18"/>
                <w:szCs w:val="18"/>
                <w:color w:val="auto"/>
              </w:rPr>
              <w:t>as of December 17, 2025</w:t>
            </w:r>
          </w:p>
        </w:tc>
        <w:tc>
          <w:tcPr>
            <w:tcW w:w="1380" w:type="dxa"/>
            <w:vAlign w:val="bottom"/>
          </w:tcPr>
          <w:p>
            <w:pPr>
              <w:jc w:val="right"/>
              <w:spacing w:after="0"/>
              <w:rPr>
                <w:sz w:val="20"/>
                <w:szCs w:val="20"/>
                <w:color w:val="auto"/>
              </w:rPr>
            </w:pPr>
            <w:r>
              <w:rPr>
                <w:rFonts w:ascii="Arial" w:cs="Arial" w:eastAsia="Arial" w:hAnsi="Arial"/>
                <w:sz w:val="18"/>
                <w:szCs w:val="18"/>
                <w:color w:val="auto"/>
              </w:rPr>
              <w:t>6,770,442</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29.00</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0"/>
        </w:trPr>
        <w:tc>
          <w:tcPr>
            <w:tcW w:w="2900" w:type="dxa"/>
            <w:vAlign w:val="bottom"/>
            <w:shd w:val="clear" w:color="auto" w:fill="E6E6E6"/>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22"/>
                <w:szCs w:val="22"/>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1240" w:type="dxa"/>
            <w:vAlign w:val="bottom"/>
            <w:shd w:val="clear" w:color="auto" w:fill="E6E6E6"/>
          </w:tcPr>
          <w:p>
            <w:pPr>
              <w:spacing w:after="0"/>
              <w:rPr>
                <w:sz w:val="22"/>
                <w:szCs w:val="22"/>
                <w:color w:val="auto"/>
              </w:rPr>
            </w:pPr>
          </w:p>
        </w:tc>
      </w:tr>
      <w:tr>
        <w:trPr>
          <w:trHeight w:val="245"/>
        </w:trPr>
        <w:tc>
          <w:tcPr>
            <w:tcW w:w="29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7"/>
        </w:trPr>
        <w:tc>
          <w:tcPr>
            <w:tcW w:w="29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E6E6E6"/>
            </w:tcBorders>
            <w:shd w:val="clear" w:color="auto" w:fill="E6E6E6"/>
          </w:tcPr>
          <w:p>
            <w:pPr>
              <w:spacing w:after="0"/>
              <w:rPr>
                <w:sz w:val="23"/>
                <w:szCs w:val="23"/>
                <w:color w:val="auto"/>
              </w:rPr>
            </w:pPr>
          </w:p>
        </w:tc>
        <w:tc>
          <w:tcPr>
            <w:tcW w:w="1240" w:type="dxa"/>
            <w:vAlign w:val="bottom"/>
            <w:tcBorders>
              <w:bottom w:val="single" w:sz="8" w:color="E6E6E6"/>
            </w:tcBorders>
            <w:shd w:val="clear" w:color="auto" w:fill="E6E6E6"/>
          </w:tcPr>
          <w:p>
            <w:pPr>
              <w:spacing w:after="0"/>
              <w:rPr>
                <w:sz w:val="23"/>
                <w:szCs w:val="23"/>
                <w:color w:val="auto"/>
              </w:rPr>
            </w:pPr>
          </w:p>
        </w:tc>
      </w:tr>
      <w:tr>
        <w:trPr>
          <w:trHeight w:val="234"/>
        </w:trPr>
        <w:tc>
          <w:tcPr>
            <w:tcW w:w="2900" w:type="dxa"/>
            <w:vAlign w:val="bottom"/>
            <w:tcBorders>
              <w:bottom w:val="single" w:sz="8" w:color="E6E6E6"/>
            </w:tcBorders>
          </w:tcPr>
          <w:p>
            <w:pPr>
              <w:ind w:left="60"/>
              <w:spacing w:after="0" w:line="195" w:lineRule="exact"/>
              <w:rPr>
                <w:sz w:val="20"/>
                <w:szCs w:val="20"/>
                <w:color w:val="auto"/>
              </w:rPr>
            </w:pPr>
            <w:r>
              <w:rPr>
                <w:rFonts w:ascii="Arial" w:cs="Arial" w:eastAsia="Arial" w:hAnsi="Arial"/>
                <w:sz w:val="18"/>
                <w:szCs w:val="18"/>
                <w:color w:val="auto"/>
                <w:w w:val="92"/>
              </w:rPr>
              <w:t>Outstanding as of December 31, 2025</w:t>
            </w:r>
          </w:p>
        </w:tc>
        <w:tc>
          <w:tcPr>
            <w:tcW w:w="1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6,770,442</w:t>
            </w:r>
          </w:p>
        </w:tc>
        <w:tc>
          <w:tcPr>
            <w:tcW w:w="520" w:type="dxa"/>
            <w:vAlign w:val="bottom"/>
            <w:tcBorders>
              <w:bottom w:val="single" w:sz="8" w:color="E6E6E6"/>
            </w:tcBorders>
          </w:tcPr>
          <w:p>
            <w:pPr>
              <w:jc w:val="right"/>
              <w:ind w:right="291"/>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11.97</w:t>
            </w:r>
          </w:p>
        </w:tc>
        <w:tc>
          <w:tcPr>
            <w:tcW w:w="18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29.00</w:t>
            </w:r>
          </w:p>
        </w:tc>
        <w:tc>
          <w:tcPr>
            <w:tcW w:w="138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E6E6E6"/>
            </w:tcBorders>
          </w:tcPr>
          <w:p>
            <w:pPr>
              <w:jc w:val="right"/>
              <w:spacing w:after="0" w:line="195" w:lineRule="exact"/>
              <w:rPr>
                <w:sz w:val="20"/>
                <w:szCs w:val="20"/>
                <w:color w:val="auto"/>
              </w:rPr>
            </w:pPr>
            <w:r>
              <w:rPr>
                <w:rFonts w:ascii="Arial" w:cs="Arial" w:eastAsia="Arial" w:hAnsi="Arial"/>
                <w:sz w:val="18"/>
                <w:szCs w:val="18"/>
                <w:color w:val="auto"/>
              </w:rPr>
              <w:t>88</w:t>
            </w:r>
          </w:p>
        </w:tc>
      </w:tr>
      <w:tr>
        <w:trPr>
          <w:trHeight w:val="232"/>
        </w:trPr>
        <w:tc>
          <w:tcPr>
            <w:tcW w:w="2900" w:type="dxa"/>
            <w:vAlign w:val="bottom"/>
            <w:tcBorders>
              <w:bottom w:val="single" w:sz="8" w:color="E6E6E6"/>
            </w:tcBorders>
            <w:shd w:val="clear" w:color="auto" w:fill="E6E6E6"/>
          </w:tcPr>
          <w:p>
            <w:pPr>
              <w:ind w:left="60"/>
              <w:spacing w:after="0" w:line="193" w:lineRule="exact"/>
              <w:rPr>
                <w:sz w:val="20"/>
                <w:szCs w:val="20"/>
                <w:color w:val="auto"/>
              </w:rPr>
            </w:pPr>
            <w:r>
              <w:rPr>
                <w:rFonts w:ascii="Arial" w:cs="Arial" w:eastAsia="Arial" w:hAnsi="Arial"/>
                <w:sz w:val="18"/>
                <w:szCs w:val="18"/>
                <w:color w:val="auto"/>
                <w:w w:val="93"/>
              </w:rPr>
              <w:t>Exercisable as of December 31, 2025</w:t>
            </w:r>
          </w:p>
        </w:tc>
        <w:tc>
          <w:tcPr>
            <w:tcW w:w="1380" w:type="dxa"/>
            <w:vAlign w:val="bottom"/>
            <w:tcBorders>
              <w:bottom w:val="single" w:sz="8" w:color="auto"/>
            </w:tcBorders>
            <w:shd w:val="clear" w:color="auto" w:fill="E6E6E6"/>
          </w:tcPr>
          <w:p>
            <w:pPr>
              <w:jc w:val="right"/>
              <w:spacing w:after="0" w:line="19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E6E6E6"/>
            </w:tcBorders>
            <w:shd w:val="clear" w:color="auto" w:fill="E6E6E6"/>
          </w:tcPr>
          <w:p>
            <w:pPr>
              <w:jc w:val="right"/>
              <w:ind w:right="291"/>
              <w:spacing w:after="0" w:line="19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E6E6E6"/>
            </w:tcBorders>
            <w:shd w:val="clear" w:color="auto" w:fill="E6E6E6"/>
          </w:tcPr>
          <w:p>
            <w:pPr>
              <w:jc w:val="right"/>
              <w:spacing w:after="0" w:line="19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E6E6E6"/>
            </w:tcBorders>
            <w:shd w:val="clear" w:color="auto" w:fill="E6E6E6"/>
          </w:tcPr>
          <w:p>
            <w:pPr>
              <w:jc w:val="right"/>
              <w:spacing w:after="0" w:line="19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E6E6E6"/>
            </w:tcBorders>
            <w:shd w:val="clear" w:color="auto" w:fill="E6E6E6"/>
          </w:tcPr>
          <w:p>
            <w:pPr>
              <w:jc w:val="right"/>
              <w:spacing w:after="0" w:line="19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E6E6E6"/>
            </w:tcBorders>
            <w:shd w:val="clear" w:color="auto" w:fill="E6E6E6"/>
          </w:tcPr>
          <w:p>
            <w:pPr>
              <w:spacing w:after="0"/>
              <w:rPr>
                <w:sz w:val="20"/>
                <w:szCs w:val="20"/>
                <w:color w:val="auto"/>
              </w:rPr>
            </w:pPr>
          </w:p>
        </w:tc>
        <w:tc>
          <w:tcPr>
            <w:tcW w:w="1240" w:type="dxa"/>
            <w:vAlign w:val="bottom"/>
            <w:tcBorders>
              <w:bottom w:val="single" w:sz="8" w:color="E6E6E6"/>
            </w:tcBorders>
            <w:shd w:val="clear" w:color="auto" w:fill="E6E6E6"/>
          </w:tcPr>
          <w:p>
            <w:pPr>
              <w:spacing w:after="0"/>
              <w:rPr>
                <w:sz w:val="20"/>
                <w:szCs w:val="20"/>
                <w:color w:val="auto"/>
              </w:rPr>
            </w:pPr>
          </w:p>
        </w:tc>
      </w:tr>
      <w:tr>
        <w:trPr>
          <w:trHeight w:val="183"/>
        </w:trPr>
        <w:tc>
          <w:tcPr>
            <w:tcW w:w="2900" w:type="dxa"/>
            <w:vAlign w:val="bottom"/>
          </w:tcPr>
          <w:p>
            <w:pPr>
              <w:ind w:left="60"/>
              <w:spacing w:after="0" w:line="183" w:lineRule="exact"/>
              <w:rPr>
                <w:sz w:val="20"/>
                <w:szCs w:val="20"/>
                <w:color w:val="auto"/>
              </w:rPr>
            </w:pPr>
            <w:r>
              <w:rPr>
                <w:rFonts w:ascii="Arial" w:cs="Arial" w:eastAsia="Arial" w:hAnsi="Arial"/>
                <w:sz w:val="18"/>
                <w:szCs w:val="18"/>
                <w:color w:val="auto"/>
                <w:w w:val="95"/>
              </w:rPr>
              <w:t>Expected to vest as of December 31,</w:t>
            </w: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8"/>
        </w:trPr>
        <w:tc>
          <w:tcPr>
            <w:tcW w:w="2900" w:type="dxa"/>
            <w:vAlign w:val="bottom"/>
          </w:tcPr>
          <w:p>
            <w:pPr>
              <w:ind w:left="60"/>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6,770,442</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29.00</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-643890</wp:posOffset>
            </wp:positionV>
            <wp:extent cx="9023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39">
                      <a:extLst>
                        <a:ext uri="{28A0092B-C50C-407E-A947-70E740481C1C}"/>
                      </a:extLst>
                    </a:blip>
                    <a:srcRect/>
                    <a:stretch>
                      <a:fillRect/>
                    </a:stretch>
                  </pic:blipFill>
                  <pic:spPr bwMode="auto">
                    <a:xfrm>
                      <a:off x="0" y="0"/>
                      <a:ext cx="902335" cy="25400"/>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-495935</wp:posOffset>
            </wp:positionV>
            <wp:extent cx="90233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0">
                      <a:extLst>
                        <a:ext uri="{28A0092B-C50C-407E-A947-70E740481C1C}"/>
                      </a:extLst>
                    </a:blip>
                    <a:srcRect/>
                    <a:stretch>
                      <a:fillRect/>
                    </a:stretch>
                  </pic:blipFill>
                  <pic:spPr bwMode="auto">
                    <a:xfrm>
                      <a:off x="0" y="0"/>
                      <a:ext cx="902335" cy="50800"/>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-335915</wp:posOffset>
            </wp:positionV>
            <wp:extent cx="90233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41">
                      <a:extLst>
                        <a:ext uri="{28A0092B-C50C-407E-A947-70E740481C1C}"/>
                      </a:extLst>
                    </a:blip>
                    <a:srcRect/>
                    <a:stretch>
                      <a:fillRect/>
                    </a:stretch>
                  </pic:blipFill>
                  <pic:spPr bwMode="auto">
                    <a:xfrm>
                      <a:off x="0" y="0"/>
                      <a:ext cx="902335" cy="50800"/>
                    </a:xfrm>
                    <a:prstGeom prst="rect">
                      <a:avLst/>
                    </a:prstGeom>
                    <a:noFill/>
                  </pic:spPr>
                </pic:pic>
              </a:graphicData>
            </a:graphic>
          </wp:anchor>
        </w:drawing>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aggregate intrinsic value in the table above represents the cumulative difference between the closing price of Class A common stock on December 31, 2025 and the option exercise prices.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 uses the Black-Scholes option pricing model to determine the fair value of stock options at the grant date. The use of a valuation model for the stock options requires management to make certain assumptions with respect to selected model inputs. The dividend yield was based on the Company’s expected dividend rate. The expected term to maturity was based on the weighted-average vesting terms and contractual terms of the awards. The risk-free interest rate was based on U.S. Treasury rates commensurate with the expected life of the award. Expected volatility was calculated based on the observed volatility for comparable companies.</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129</w:t>
      </w:r>
    </w:p>
    <w:p>
      <w:pPr>
        <w:sectPr>
          <w:pgSz w:w="11880" w:h="15480" w:orient="portrait"/>
          <w:cols w:equalWidth="0" w:num="1">
            <w:col w:w="9800"/>
          </w:cols>
          <w:pgMar w:left="1040" w:top="637" w:right="104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STOCK-BASED COMPENSATION (Continued)</w:t>
      </w:r>
    </w:p>
    <w:p>
      <w:pPr>
        <w:spacing w:after="0" w:line="25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following table provides the weighted average fair value of options granted during 2025 and the related assumptions used in the Black-Scholes option pricing model:</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820" w:type="dxa"/>
            <w:vAlign w:val="bottom"/>
            <w:shd w:val="clear" w:color="auto" w:fill="E6E6E6"/>
          </w:tcPr>
          <w:p>
            <w:pPr>
              <w:ind w:left="60"/>
              <w:spacing w:after="0"/>
              <w:rPr>
                <w:sz w:val="20"/>
                <w:szCs w:val="20"/>
                <w:color w:val="auto"/>
              </w:rPr>
            </w:pPr>
            <w:r>
              <w:rPr>
                <w:rFonts w:ascii="Arial" w:cs="Arial" w:eastAsia="Arial" w:hAnsi="Arial"/>
                <w:sz w:val="18"/>
                <w:szCs w:val="18"/>
                <w:color w:val="auto"/>
              </w:rPr>
              <w:t>Weighted average fair value of options issued</w:t>
            </w:r>
          </w:p>
        </w:tc>
        <w:tc>
          <w:tcPr>
            <w:tcW w:w="2760" w:type="dxa"/>
            <w:vAlign w:val="bottom"/>
            <w:shd w:val="clear" w:color="auto" w:fill="E6E6E6"/>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11.97</w:t>
            </w:r>
          </w:p>
        </w:tc>
      </w:tr>
      <w:tr>
        <w:trPr>
          <w:trHeight w:val="275"/>
        </w:trPr>
        <w:tc>
          <w:tcPr>
            <w:tcW w:w="5820" w:type="dxa"/>
            <w:vAlign w:val="bottom"/>
          </w:tcPr>
          <w:p>
            <w:pPr>
              <w:ind w:left="60"/>
              <w:spacing w:after="0"/>
              <w:rPr>
                <w:sz w:val="20"/>
                <w:szCs w:val="20"/>
                <w:color w:val="auto"/>
              </w:rPr>
            </w:pPr>
            <w:r>
              <w:rPr>
                <w:rFonts w:ascii="Arial" w:cs="Arial" w:eastAsia="Arial" w:hAnsi="Arial"/>
                <w:sz w:val="18"/>
                <w:szCs w:val="18"/>
                <w:color w:val="auto"/>
              </w:rPr>
              <w:t>Assumptions used:</w:t>
            </w:r>
          </w:p>
        </w:tc>
        <w:tc>
          <w:tcPr>
            <w:tcW w:w="27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89"/>
        </w:trPr>
        <w:tc>
          <w:tcPr>
            <w:tcW w:w="58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Dividend yield</w:t>
            </w:r>
          </w:p>
        </w:tc>
        <w:tc>
          <w:tcPr>
            <w:tcW w:w="276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5"/>
        </w:trPr>
        <w:tc>
          <w:tcPr>
            <w:tcW w:w="5820" w:type="dxa"/>
            <w:vAlign w:val="bottom"/>
          </w:tcPr>
          <w:p>
            <w:pPr>
              <w:ind w:left="28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 to 6.5</w:t>
            </w:r>
          </w:p>
        </w:tc>
      </w:tr>
      <w:tr>
        <w:trPr>
          <w:trHeight w:val="289"/>
        </w:trPr>
        <w:tc>
          <w:tcPr>
            <w:tcW w:w="5820" w:type="dxa"/>
            <w:vAlign w:val="bottom"/>
            <w:shd w:val="clear" w:color="auto" w:fill="E6E6E6"/>
          </w:tcPr>
          <w:p>
            <w:pPr>
              <w:ind w:left="280"/>
              <w:spacing w:after="0"/>
              <w:rPr>
                <w:sz w:val="20"/>
                <w:szCs w:val="20"/>
                <w:color w:val="auto"/>
              </w:rPr>
            </w:pPr>
            <w:r>
              <w:rPr>
                <w:rFonts w:ascii="Arial" w:cs="Arial" w:eastAsia="Arial" w:hAnsi="Arial"/>
                <w:sz w:val="18"/>
                <w:szCs w:val="18"/>
                <w:color w:val="auto"/>
              </w:rPr>
              <w:t>Risk-free interest rate</w:t>
            </w:r>
          </w:p>
        </w:tc>
        <w:tc>
          <w:tcPr>
            <w:tcW w:w="2760" w:type="dxa"/>
            <w:vAlign w:val="bottom"/>
            <w:shd w:val="clear" w:color="auto" w:fill="E6E6E6"/>
          </w:tcPr>
          <w:p>
            <w:pPr>
              <w:spacing w:after="0"/>
              <w:rPr>
                <w:sz w:val="24"/>
                <w:szCs w:val="24"/>
                <w:color w:val="auto"/>
              </w:rPr>
            </w:pP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 to 3.8%</w:t>
            </w:r>
          </w:p>
        </w:tc>
      </w:tr>
      <w:tr>
        <w:trPr>
          <w:trHeight w:val="268"/>
        </w:trPr>
        <w:tc>
          <w:tcPr>
            <w:tcW w:w="5820" w:type="dxa"/>
            <w:vAlign w:val="bottom"/>
          </w:tcPr>
          <w:p>
            <w:pPr>
              <w:ind w:left="280"/>
              <w:spacing w:after="0"/>
              <w:rPr>
                <w:sz w:val="20"/>
                <w:szCs w:val="20"/>
                <w:color w:val="auto"/>
              </w:rPr>
            </w:pPr>
            <w:r>
              <w:rPr>
                <w:rFonts w:ascii="Arial" w:cs="Arial" w:eastAsia="Arial" w:hAnsi="Arial"/>
                <w:sz w:val="18"/>
                <w:szCs w:val="18"/>
                <w:color w:val="auto"/>
              </w:rPr>
              <w:t>Expected Volatility</w:t>
            </w:r>
          </w:p>
        </w:tc>
        <w:tc>
          <w:tcPr>
            <w:tcW w:w="2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Liability-classified awards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Liability-classified awards are presented in Other long-term liabilities on the Consolidated Balance Sheets. The fair value of these awards is determined using the same technique and assumptions as the Holdings Incentive Units, and the Company reevaluates the fair value of these liability-classified awards periodically until they are reclassified as equity when granted, with the fair value change recorded ratably in the current-period compensation expense. For the years ended December 31, 2025 and 2024, the Company reclassified liabilities of $10 million and $9 million, respectively, to equity.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Prior to Reorganization and IPO</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first quarter of fiscal years 2025, 2024, and 2023, Medline Holdings authorized Class B units to be granted to certain employees upon fulfillment of certain performance conditions. With each grant, the number of Class B units to be issued and the grant date fair value of the award are dependent on the performance targets achieved and Medline Holdings’ equity value, and will be determined on the official grant date. The Class B units are subject to a five-year service vesting period, with 20% of units vesting on each of the five anniversaries from the official grant date. The award is classified as a liability in accordance with ASC 718 until the official grant date, when it will be reclassified as equity.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the first quarter of fiscal years 2025 and 2024, upon fulfillment of the performance conditions, 50,659,004 Class B units with a fair value of $0.58 per unit and 67,794,018 Class B Units with a fair value of $0.47 per unit, respectively, were legally granted.</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IPO and Reorganization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At the time of IPO, the liability-classified awards authorized in the first quarter of fiscal year 2025 were not yet granted and classified as a liability (“2025 Awards”). Both the underlying equity instrument and the vesting condition were modified upon the IPO. At the achievement of certain performance targets, the 2025 Awards will be settled into RSUs with the same economic value of the equivalent Class B units. At the time of settlement into RSUs, 25% of the 2025 Awards will vest after 180 days post IPO while the remaining 75% of the 2025 Awards will vest on each of the three anniversaries from the official grant date. 2025 Awards continues to be classified as liability until the official grant date, when it will be reclassified as equity.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of December 31, 2025, the number of RSUs probable to be issued is 566,029, with fair value of $24 million. As of December 31, 2025, there was $13 million of unrecognized compensation cost related to liability-classified awards, which is expected to be recognized on a graded basis over a weighted-average period of 1.2 years. The amount of unrecognized compensation cost for liability-classified awards will fluctuate over time as they are marked to market. The final value of the liability-classified awards is contingent upon the Company's actual performance against the performance targets.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NET INCOME (LOSS) PER SHARE</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All net income prior to the IPO was entirely allocable to partners of Medline Holdings. As a result of the Reorganization and IPO, the Company’s capital structure before and after IPO are not comparable, and the presentation of net income per share for the periods prior to the IPO is not meaningful and not presented herein.</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130</w:t>
      </w:r>
    </w:p>
    <w:p>
      <w:pPr>
        <w:sectPr>
          <w:pgSz w:w="11880" w:h="15480" w:orient="portrait"/>
          <w:cols w:equalWidth="0" w:num="1">
            <w:col w:w="9800"/>
          </w:cols>
          <w:pgMar w:left="1040" w:top="637" w:right="1040" w:bottom="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NET INCOME (LOSS) PER SHARE (Continued)</w:t>
      </w: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computes net income (loss) per share of Class A common stock using the two-class method required for participating securities. Shares of Class B common stock are not considered participating securities because they have no right to receive dividends, no right to receive distribution on liquidation or winding up of Medline Inc. and no earnings or losses are allocable to such class. Therefore, basic and diluted net income (loss) per share of Class B common stock has not been presented.</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Basic net income (loss) per share attributable to the Company’s stockholders is computed by dividing net income (loss) attributable to the Company by the weighted-average number of Class A common stock outstanding during the period. Diluted net income (loss) per share attributable to the Company gives effect to all potential shares of Class A common stock, including conversion of Class B common stock, conversion of Medline Holdings Incentive Units, liability-classified stock awards, stock options, RSAs, and RSUs to the extent these are dilutive.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calculation of basic and diluted net loss per share of Class A common stock:</w:t>
      </w: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right="51"/>
              <w:spacing w:after="0"/>
              <w:rPr>
                <w:sz w:val="20"/>
                <w:szCs w:val="20"/>
                <w:color w:val="auto"/>
              </w:rPr>
            </w:pPr>
            <w:r>
              <w:rPr>
                <w:rFonts w:ascii="Arial" w:cs="Arial" w:eastAsia="Arial" w:hAnsi="Arial"/>
                <w:sz w:val="18"/>
                <w:szCs w:val="18"/>
                <w:color w:val="auto"/>
                <w:w w:val="90"/>
              </w:rPr>
              <w:t>Period from December 17,</w:t>
            </w:r>
          </w:p>
        </w:tc>
        <w:tc>
          <w:tcPr>
            <w:tcW w:w="0" w:type="dxa"/>
            <w:vAlign w:val="bottom"/>
          </w:tcPr>
          <w:p>
            <w:pPr>
              <w:spacing w:after="0"/>
              <w:rPr>
                <w:sz w:val="1"/>
                <w:szCs w:val="1"/>
                <w:color w:val="auto"/>
              </w:rPr>
            </w:pPr>
          </w:p>
        </w:tc>
      </w:tr>
      <w:tr>
        <w:trPr>
          <w:trHeight w:val="214"/>
        </w:trPr>
        <w:tc>
          <w:tcPr>
            <w:tcW w:w="756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 except number of shares and per share amounts)</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2025 through December 31,</w:t>
            </w:r>
          </w:p>
        </w:tc>
        <w:tc>
          <w:tcPr>
            <w:tcW w:w="0" w:type="dxa"/>
            <w:vAlign w:val="bottom"/>
          </w:tcPr>
          <w:p>
            <w:pPr>
              <w:spacing w:after="0"/>
              <w:rPr>
                <w:sz w:val="1"/>
                <w:szCs w:val="1"/>
                <w:color w:val="auto"/>
              </w:rPr>
            </w:pPr>
          </w:p>
        </w:tc>
      </w:tr>
      <w:tr>
        <w:trPr>
          <w:trHeight w:val="238"/>
        </w:trPr>
        <w:tc>
          <w:tcPr>
            <w:tcW w:w="756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2"/>
        </w:trPr>
        <w:tc>
          <w:tcPr>
            <w:tcW w:w="756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Class A</w:t>
            </w:r>
          </w:p>
        </w:tc>
        <w:tc>
          <w:tcPr>
            <w:tcW w:w="0" w:type="dxa"/>
            <w:vAlign w:val="bottom"/>
          </w:tcPr>
          <w:p>
            <w:pPr>
              <w:spacing w:after="0"/>
              <w:rPr>
                <w:sz w:val="1"/>
                <w:szCs w:val="1"/>
                <w:color w:val="auto"/>
              </w:rPr>
            </w:pPr>
          </w:p>
        </w:tc>
      </w:tr>
      <w:tr>
        <w:trPr>
          <w:trHeight w:val="242"/>
        </w:trPr>
        <w:tc>
          <w:tcPr>
            <w:tcW w:w="7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shd w:val="clear" w:color="auto" w:fill="E6E6E6"/>
          </w:tcPr>
          <w:p>
            <w:pPr>
              <w:spacing w:after="0"/>
              <w:rPr>
                <w:sz w:val="21"/>
                <w:szCs w:val="21"/>
                <w:color w:val="auto"/>
              </w:rPr>
            </w:pPr>
          </w:p>
        </w:tc>
        <w:tc>
          <w:tcPr>
            <w:tcW w:w="20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560" w:type="dxa"/>
            <w:vAlign w:val="bottom"/>
          </w:tcPr>
          <w:p>
            <w:pPr>
              <w:ind w:left="300"/>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5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E6E6E6"/>
            </w:tcBorders>
          </w:tcPr>
          <w:p>
            <w:pPr>
              <w:ind w:left="64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75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Net loss attributable to Medline Inc.</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2"/>
        </w:trPr>
        <w:tc>
          <w:tcPr>
            <w:tcW w:w="7560" w:type="dxa"/>
            <w:vAlign w:val="bottom"/>
            <w:tcBorders>
              <w:bottom w:val="single" w:sz="8" w:color="E6E6E6"/>
            </w:tcBorders>
          </w:tcPr>
          <w:p>
            <w:pPr>
              <w:ind w:left="640"/>
              <w:spacing w:after="0"/>
              <w:rPr>
                <w:sz w:val="20"/>
                <w:szCs w:val="20"/>
                <w:color w:val="auto"/>
              </w:rPr>
            </w:pPr>
            <w:r>
              <w:rPr>
                <w:rFonts w:ascii="Arial" w:cs="Arial" w:eastAsia="Arial" w:hAnsi="Arial"/>
                <w:sz w:val="18"/>
                <w:szCs w:val="18"/>
                <w:color w:val="auto"/>
              </w:rPr>
              <w:t>Adjustment to net loss attributable to Medline Inc.</w:t>
            </w:r>
          </w:p>
        </w:tc>
        <w:tc>
          <w:tcPr>
            <w:tcW w:w="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560" w:type="dxa"/>
            <w:vAlign w:val="bottom"/>
            <w:shd w:val="clear" w:color="auto" w:fill="E6E6E6"/>
          </w:tcPr>
          <w:p>
            <w:pPr>
              <w:ind w:left="520"/>
              <w:spacing w:after="0"/>
              <w:rPr>
                <w:sz w:val="20"/>
                <w:szCs w:val="20"/>
                <w:color w:val="auto"/>
              </w:rPr>
            </w:pPr>
            <w:r>
              <w:rPr>
                <w:rFonts w:ascii="Arial" w:cs="Arial" w:eastAsia="Arial" w:hAnsi="Arial"/>
                <w:sz w:val="18"/>
                <w:szCs w:val="18"/>
                <w:color w:val="auto"/>
              </w:rPr>
              <w:t>Numerator for net loss per share</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7560" w:type="dxa"/>
            <w:vAlign w:val="bottom"/>
          </w:tcPr>
          <w:p>
            <w:pPr>
              <w:ind w:left="300"/>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8"/>
                <w:szCs w:val="18"/>
                <w:color w:val="auto"/>
              </w:rPr>
              <w:t>Weighted-average number of Class A common stock outstanding</w:t>
            </w:r>
          </w:p>
        </w:tc>
        <w:tc>
          <w:tcPr>
            <w:tcW w:w="140" w:type="dxa"/>
            <w:vAlign w:val="bottom"/>
            <w:tcBorders>
              <w:bottom w:val="single" w:sz="8" w:color="auto"/>
            </w:tcBorders>
            <w:shd w:val="clear" w:color="auto" w:fill="E6E6E6"/>
          </w:tcPr>
          <w:p>
            <w:pPr>
              <w:spacing w:after="0"/>
              <w:rPr>
                <w:sz w:val="19"/>
                <w:szCs w:val="19"/>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809,688,877</w:t>
            </w:r>
          </w:p>
        </w:tc>
        <w:tc>
          <w:tcPr>
            <w:tcW w:w="0" w:type="dxa"/>
            <w:vAlign w:val="bottom"/>
          </w:tcPr>
          <w:p>
            <w:pPr>
              <w:spacing w:after="0"/>
              <w:rPr>
                <w:sz w:val="1"/>
                <w:szCs w:val="1"/>
                <w:color w:val="auto"/>
              </w:rPr>
            </w:pPr>
          </w:p>
        </w:tc>
      </w:tr>
      <w:tr>
        <w:trPr>
          <w:trHeight w:val="242"/>
        </w:trPr>
        <w:tc>
          <w:tcPr>
            <w:tcW w:w="7560" w:type="dxa"/>
            <w:vAlign w:val="bottom"/>
          </w:tcPr>
          <w:p>
            <w:pPr>
              <w:ind w:left="60"/>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-1633855</wp:posOffset>
            </wp:positionV>
            <wp:extent cx="142113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42">
                      <a:extLst>
                        <a:ext uri="{28A0092B-C50C-407E-A947-70E740481C1C}"/>
                      </a:extLst>
                    </a:blip>
                    <a:srcRect/>
                    <a:stretch>
                      <a:fillRect/>
                    </a:stretch>
                  </pic:blipFill>
                  <pic:spPr bwMode="auto">
                    <a:xfrm>
                      <a:off x="0" y="0"/>
                      <a:ext cx="1421130" cy="2540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-993140</wp:posOffset>
            </wp:positionV>
            <wp:extent cx="142113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43">
                      <a:extLst>
                        <a:ext uri="{28A0092B-C50C-407E-A947-70E740481C1C}"/>
                      </a:extLst>
                    </a:blip>
                    <a:srcRect/>
                    <a:stretch>
                      <a:fillRect/>
                    </a:stretch>
                  </pic:blipFill>
                  <pic:spPr bwMode="auto">
                    <a:xfrm>
                      <a:off x="0" y="0"/>
                      <a:ext cx="1421130" cy="2540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-672465</wp:posOffset>
            </wp:positionV>
            <wp:extent cx="142113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44">
                      <a:extLst>
                        <a:ext uri="{28A0092B-C50C-407E-A947-70E740481C1C}"/>
                      </a:extLst>
                    </a:blip>
                    <a:srcRect/>
                    <a:stretch>
                      <a:fillRect/>
                    </a:stretch>
                  </pic:blipFill>
                  <pic:spPr bwMode="auto">
                    <a:xfrm>
                      <a:off x="0" y="0"/>
                      <a:ext cx="1421130" cy="2540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-210185</wp:posOffset>
            </wp:positionV>
            <wp:extent cx="142113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45">
                      <a:extLst>
                        <a:ext uri="{28A0092B-C50C-407E-A947-70E740481C1C}"/>
                      </a:extLst>
                    </a:blip>
                    <a:srcRect/>
                    <a:stretch>
                      <a:fillRect/>
                    </a:stretch>
                  </pic:blipFill>
                  <pic:spPr bwMode="auto">
                    <a:xfrm>
                      <a:off x="0" y="0"/>
                      <a:ext cx="1421130" cy="25400"/>
                    </a:xfrm>
                    <a:prstGeom prst="rect">
                      <a:avLst/>
                    </a:prstGeom>
                    <a:noFill/>
                  </pic:spPr>
                </pic:pic>
              </a:graphicData>
            </a:graphic>
          </wp:anchor>
        </w:drawing>
      </w:r>
    </w:p>
    <w:p>
      <w:pPr>
        <w:spacing w:after="0" w:line="22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following table presents outstanding shares of potentially dilutive securities excluded from the calculation of diluted net income (loss) per share because including them would have had an anti-dilutive effect, or issuance of such shares is contingent upon the satisfaction of certain conditions which were not satisfied at the end of the respective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Period from December 17,</w:t>
            </w:r>
          </w:p>
        </w:tc>
      </w:tr>
      <w:tr>
        <w:trPr>
          <w:trHeight w:val="214"/>
        </w:trPr>
        <w:tc>
          <w:tcPr>
            <w:tcW w:w="75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2025 through December 31,</w:t>
            </w:r>
          </w:p>
        </w:tc>
      </w:tr>
      <w:tr>
        <w:trPr>
          <w:trHeight w:val="238"/>
        </w:trPr>
        <w:tc>
          <w:tcPr>
            <w:tcW w:w="7560" w:type="dxa"/>
            <w:vAlign w:val="bottom"/>
            <w:tcBorders>
              <w:bottom w:val="single" w:sz="8" w:color="E6E6E6"/>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2025</w:t>
            </w:r>
          </w:p>
        </w:tc>
      </w:tr>
      <w:tr>
        <w:trPr>
          <w:trHeight w:val="242"/>
        </w:trPr>
        <w:tc>
          <w:tcPr>
            <w:tcW w:w="7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Class B common stock</w:t>
            </w:r>
          </w:p>
        </w:tc>
        <w:tc>
          <w:tcPr>
            <w:tcW w:w="2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502,045,878</w:t>
            </w:r>
          </w:p>
        </w:tc>
      </w:tr>
      <w:tr>
        <w:trPr>
          <w:trHeight w:val="245"/>
        </w:trPr>
        <w:tc>
          <w:tcPr>
            <w:tcW w:w="7560" w:type="dxa"/>
            <w:vAlign w:val="bottom"/>
          </w:tcPr>
          <w:p>
            <w:pPr>
              <w:ind w:left="60"/>
              <w:spacing w:after="0"/>
              <w:rPr>
                <w:sz w:val="20"/>
                <w:szCs w:val="20"/>
                <w:color w:val="auto"/>
              </w:rPr>
            </w:pPr>
            <w:r>
              <w:rPr>
                <w:rFonts w:ascii="Arial" w:cs="Arial" w:eastAsia="Arial" w:hAnsi="Arial"/>
                <w:sz w:val="18"/>
                <w:szCs w:val="18"/>
                <w:color w:val="auto"/>
              </w:rPr>
              <w:t>RSAs</w:t>
            </w:r>
          </w:p>
        </w:tc>
        <w:tc>
          <w:tcPr>
            <w:tcW w:w="2200" w:type="dxa"/>
            <w:vAlign w:val="bottom"/>
          </w:tcPr>
          <w:p>
            <w:pPr>
              <w:jc w:val="right"/>
              <w:spacing w:after="0"/>
              <w:rPr>
                <w:sz w:val="20"/>
                <w:szCs w:val="20"/>
                <w:color w:val="auto"/>
              </w:rPr>
            </w:pPr>
            <w:r>
              <w:rPr>
                <w:rFonts w:ascii="Arial" w:cs="Arial" w:eastAsia="Arial" w:hAnsi="Arial"/>
                <w:sz w:val="18"/>
                <w:szCs w:val="18"/>
                <w:color w:val="auto"/>
              </w:rPr>
              <w:t>1,958,657</w:t>
            </w:r>
          </w:p>
        </w:tc>
      </w:tr>
      <w:tr>
        <w:trPr>
          <w:trHeight w:val="259"/>
        </w:trPr>
        <w:tc>
          <w:tcPr>
            <w:tcW w:w="7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RSUs</w:t>
            </w:r>
          </w:p>
        </w:tc>
        <w:tc>
          <w:tcPr>
            <w:tcW w:w="2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523,795</w:t>
            </w:r>
          </w:p>
        </w:tc>
      </w:tr>
      <w:tr>
        <w:trPr>
          <w:trHeight w:val="246"/>
        </w:trPr>
        <w:tc>
          <w:tcPr>
            <w:tcW w:w="7560" w:type="dxa"/>
            <w:vAlign w:val="bottom"/>
          </w:tcPr>
          <w:p>
            <w:pPr>
              <w:ind w:left="60"/>
              <w:spacing w:after="0"/>
              <w:rPr>
                <w:sz w:val="20"/>
                <w:szCs w:val="20"/>
                <w:color w:val="auto"/>
              </w:rPr>
            </w:pPr>
            <w:r>
              <w:rPr>
                <w:rFonts w:ascii="Arial" w:cs="Arial" w:eastAsia="Arial" w:hAnsi="Arial"/>
                <w:sz w:val="18"/>
                <w:szCs w:val="18"/>
                <w:color w:val="auto"/>
              </w:rPr>
              <w:t>Stock options</w:t>
            </w:r>
          </w:p>
        </w:tc>
        <w:tc>
          <w:tcPr>
            <w:tcW w:w="2200" w:type="dxa"/>
            <w:vAlign w:val="bottom"/>
          </w:tcPr>
          <w:p>
            <w:pPr>
              <w:jc w:val="right"/>
              <w:spacing w:after="0"/>
              <w:rPr>
                <w:sz w:val="20"/>
                <w:szCs w:val="20"/>
                <w:color w:val="auto"/>
              </w:rPr>
            </w:pPr>
            <w:r>
              <w:rPr>
                <w:rFonts w:ascii="Arial" w:cs="Arial" w:eastAsia="Arial" w:hAnsi="Arial"/>
                <w:sz w:val="18"/>
                <w:szCs w:val="18"/>
                <w:color w:val="auto"/>
              </w:rPr>
              <w:t>6,770,442</w:t>
            </w:r>
          </w:p>
        </w:tc>
      </w:tr>
      <w:tr>
        <w:trPr>
          <w:trHeight w:val="259"/>
        </w:trPr>
        <w:tc>
          <w:tcPr>
            <w:tcW w:w="7560" w:type="dxa"/>
            <w:vAlign w:val="bottom"/>
            <w:shd w:val="clear" w:color="auto" w:fill="E6E6E6"/>
          </w:tcPr>
          <w:p>
            <w:pPr>
              <w:ind w:left="60"/>
              <w:spacing w:after="0"/>
              <w:rPr>
                <w:sz w:val="20"/>
                <w:szCs w:val="20"/>
                <w:color w:val="auto"/>
              </w:rPr>
            </w:pPr>
            <w:r>
              <w:rPr>
                <w:rFonts w:ascii="Arial" w:cs="Arial" w:eastAsia="Arial" w:hAnsi="Arial"/>
                <w:sz w:val="18"/>
                <w:szCs w:val="18"/>
                <w:color w:val="auto"/>
              </w:rPr>
              <w:t>Incentive units</w:t>
            </w:r>
          </w:p>
        </w:tc>
        <w:tc>
          <w:tcPr>
            <w:tcW w:w="2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41,788,894</w:t>
            </w:r>
          </w:p>
        </w:tc>
      </w:tr>
      <w:tr>
        <w:trPr>
          <w:trHeight w:val="242"/>
        </w:trPr>
        <w:tc>
          <w:tcPr>
            <w:tcW w:w="756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Liability-classified awards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566,029</w:t>
            </w:r>
          </w:p>
        </w:tc>
      </w:tr>
      <w:tr>
        <w:trPr>
          <w:trHeight w:val="232"/>
        </w:trPr>
        <w:tc>
          <w:tcPr>
            <w:tcW w:w="756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rPr>
              <w:t>Total anti-dilutive securities</w:t>
            </w:r>
          </w:p>
        </w:tc>
        <w:tc>
          <w:tcPr>
            <w:tcW w:w="2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553,653,695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4786630</wp:posOffset>
            </wp:positionH>
            <wp:positionV relativeFrom="paragraph">
              <wp:posOffset>-1140460</wp:posOffset>
            </wp:positionV>
            <wp:extent cx="142113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46">
                      <a:extLst>
                        <a:ext uri="{28A0092B-C50C-407E-A947-70E740481C1C}"/>
                      </a:extLst>
                    </a:blip>
                    <a:srcRect/>
                    <a:stretch>
                      <a:fillRect/>
                    </a:stretch>
                  </pic:blipFill>
                  <pic:spPr bwMode="auto">
                    <a:xfrm>
                      <a:off x="0" y="0"/>
                      <a:ext cx="1421130" cy="2540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-178435</wp:posOffset>
            </wp:positionV>
            <wp:extent cx="142113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47">
                      <a:extLst>
                        <a:ext uri="{28A0092B-C50C-407E-A947-70E740481C1C}"/>
                      </a:extLst>
                    </a:blip>
                    <a:srcRect/>
                    <a:stretch>
                      <a:fillRect/>
                    </a:stretch>
                  </pic:blipFill>
                  <pic:spPr bwMode="auto">
                    <a:xfrm>
                      <a:off x="0" y="0"/>
                      <a:ext cx="1421130" cy="2540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-18415</wp:posOffset>
            </wp:positionV>
            <wp:extent cx="142113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48">
                      <a:extLst>
                        <a:ext uri="{28A0092B-C50C-407E-A947-70E740481C1C}"/>
                      </a:extLst>
                    </a:blip>
                    <a:srcRect/>
                    <a:stretch>
                      <a:fillRect/>
                    </a:stretch>
                  </pic:blipFill>
                  <pic:spPr bwMode="auto">
                    <a:xfrm>
                      <a:off x="0" y="0"/>
                      <a:ext cx="1421130" cy="25400"/>
                    </a:xfrm>
                    <a:prstGeom prst="rect">
                      <a:avLst/>
                    </a:prstGeom>
                    <a:noFill/>
                  </pic:spPr>
                </pic:pic>
              </a:graphicData>
            </a:graphic>
          </wp:anchor>
        </w:drawing>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131</w:t>
      </w:r>
    </w:p>
    <w:p>
      <w:pPr>
        <w:sectPr>
          <w:pgSz w:w="11880" w:h="15480" w:orient="portrait"/>
          <w:cols w:equalWidth="0" w:num="1">
            <w:col w:w="9800"/>
          </w:cols>
          <w:pgMar w:left="1040" w:top="637" w:right="104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RELATED PARTY</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Agreements and Borrowings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table summarizes the Company’s long-term debts held by certain affiliates of the Company’s private equity sponsors. The terms of these debts are identical to all other debts issued. See Note 7—Credit Agreements and Borrowings for additional information on the long-term debt.</w:t>
      </w: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6320" w:type="dxa"/>
            <w:vAlign w:val="bottom"/>
            <w:tcBorders>
              <w:bottom w:val="single" w:sz="8" w:color="E6E6E6"/>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0"/>
                <w:szCs w:val="20"/>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December 31, 2024</w:t>
            </w:r>
          </w:p>
        </w:tc>
      </w:tr>
      <w:tr>
        <w:trPr>
          <w:trHeight w:val="272"/>
        </w:trPr>
        <w:tc>
          <w:tcPr>
            <w:tcW w:w="6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Current portion of long-term borrowings and other short-term borrowing</w:t>
            </w:r>
          </w:p>
        </w:tc>
        <w:tc>
          <w:tcPr>
            <w:tcW w:w="66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68"/>
        </w:trPr>
        <w:tc>
          <w:tcPr>
            <w:tcW w:w="6320" w:type="dxa"/>
            <w:vAlign w:val="bottom"/>
          </w:tcPr>
          <w:p>
            <w:pPr>
              <w:ind w:left="60"/>
              <w:spacing w:after="0"/>
              <w:rPr>
                <w:sz w:val="20"/>
                <w:szCs w:val="20"/>
                <w:color w:val="auto"/>
              </w:rPr>
            </w:pPr>
            <w:r>
              <w:rPr>
                <w:rFonts w:ascii="Arial" w:cs="Arial" w:eastAsia="Arial" w:hAnsi="Arial"/>
                <w:sz w:val="18"/>
                <w:szCs w:val="18"/>
                <w:color w:val="auto"/>
              </w:rPr>
              <w:t>Long-term borrowings, less current portion</w:t>
            </w:r>
          </w:p>
        </w:tc>
        <w:tc>
          <w:tcPr>
            <w:tcW w:w="6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-361315</wp:posOffset>
            </wp:positionV>
            <wp:extent cx="20059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49">
                      <a:extLst>
                        <a:ext uri="{28A0092B-C50C-407E-A947-70E740481C1C}"/>
                      </a:extLst>
                    </a:blip>
                    <a:srcRect/>
                    <a:stretch>
                      <a:fillRect/>
                    </a:stretch>
                  </pic:blipFill>
                  <pic:spPr bwMode="auto">
                    <a:xfrm>
                      <a:off x="0" y="0"/>
                      <a:ext cx="2005965" cy="2540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connection with the Reorganization and the IPO, the Company has entered into a TRA with certain of its pre-IPO owners. Among these pre-IPO owners are individuals and entities classified as related parties of the Company; consequently, transactions pertaining to the TRA are regarded as related party transactions in relation to these individuals and entities. See Note 11—Tax Receivable Agreement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other significant transactions with related parties during the periods presented.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SEGMENT INFORMATION</w:t>
      </w: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described further as follows:</w:t>
      </w:r>
    </w:p>
    <w:p>
      <w:pPr>
        <w:spacing w:after="0" w:line="161" w:lineRule="exact"/>
        <w:rPr>
          <w:sz w:val="20"/>
          <w:szCs w:val="20"/>
          <w:color w:val="auto"/>
        </w:rPr>
      </w:pPr>
    </w:p>
    <w:p>
      <w:pPr>
        <w:jc w:val="both"/>
        <w:ind w:left="720" w:hanging="364"/>
        <w:spacing w:after="0" w:line="263" w:lineRule="auto"/>
        <w:tabs>
          <w:tab w:leader="none" w:pos="720" w:val="left"/>
        </w:tabs>
        <w:numPr>
          <w:ilvl w:val="0"/>
          <w:numId w:val="33"/>
        </w:numPr>
        <w:rPr>
          <w:rFonts w:ascii="Arial" w:cs="Arial" w:eastAsia="Arial" w:hAnsi="Arial"/>
          <w:sz w:val="20"/>
          <w:szCs w:val="20"/>
          <w:b w:val="1"/>
          <w:bCs w:val="1"/>
          <w:i w:val="1"/>
          <w:iCs w:val="1"/>
          <w:color w:val="auto"/>
        </w:rPr>
      </w:pPr>
      <w:r>
        <w:rPr>
          <w:rFonts w:ascii="Arial" w:cs="Arial" w:eastAsia="Arial" w:hAnsi="Arial"/>
          <w:sz w:val="20"/>
          <w:szCs w:val="20"/>
          <w:color w:val="auto"/>
        </w:rPr>
        <w:t>The Medline Brand segment procures and manufactures products from three product categories - Surgical Solutions, Front Line Care, and Laboratory &amp; Diagnostics. This segment provides its products to domestic and international consumers.</w:t>
      </w:r>
    </w:p>
    <w:p>
      <w:pPr>
        <w:spacing w:after="0" w:line="194" w:lineRule="exact"/>
        <w:rPr>
          <w:rFonts w:ascii="Arial" w:cs="Arial" w:eastAsia="Arial" w:hAnsi="Arial"/>
          <w:sz w:val="20"/>
          <w:szCs w:val="20"/>
          <w:b w:val="1"/>
          <w:bCs w:val="1"/>
          <w:i w:val="1"/>
          <w:iCs w:val="1"/>
          <w:color w:val="auto"/>
        </w:rPr>
      </w:pPr>
    </w:p>
    <w:p>
      <w:pPr>
        <w:jc w:val="both"/>
        <w:ind w:left="720" w:hanging="364"/>
        <w:spacing w:after="0" w:line="252" w:lineRule="auto"/>
        <w:tabs>
          <w:tab w:leader="none" w:pos="720" w:val="left"/>
        </w:tabs>
        <w:numPr>
          <w:ilvl w:val="0"/>
          <w:numId w:val="33"/>
        </w:numPr>
        <w:rPr>
          <w:rFonts w:ascii="Arial" w:cs="Arial" w:eastAsia="Arial" w:hAnsi="Arial"/>
          <w:sz w:val="20"/>
          <w:szCs w:val="20"/>
          <w:b w:val="1"/>
          <w:bCs w:val="1"/>
          <w:i w:val="1"/>
          <w:iCs w:val="1"/>
          <w:color w:val="auto"/>
        </w:rPr>
      </w:pPr>
      <w:r>
        <w:rPr>
          <w:rFonts w:ascii="Arial" w:cs="Arial" w:eastAsia="Arial" w:hAnsi="Arial"/>
          <w:sz w:val="20"/>
          <w:szCs w:val="20"/>
          <w:color w:val="auto"/>
        </w:rPr>
        <w:t>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1,300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organizational structure also includes Corporate &amp; Other which consists of expenses related to centralized corporate functions, such as finance, information technology, legal, human resources, and internal audit.</w:t>
      </w:r>
    </w:p>
    <w:p>
      <w:pPr>
        <w:sectPr>
          <w:pgSz w:w="11880" w:h="15480" w:orient="portrait"/>
          <w:cols w:equalWidth="0" w:num="1">
            <w:col w:w="9800"/>
          </w:cols>
          <w:pgMar w:left="1040" w:top="63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132</w:t>
      </w:r>
    </w:p>
    <w:p>
      <w:pPr>
        <w:sectPr>
          <w:pgSz w:w="11880" w:h="15480" w:orient="portrait"/>
          <w:cols w:equalWidth="0" w:num="1">
            <w:col w:w="9800"/>
          </w:cols>
          <w:pgMar w:left="1040" w:top="637" w:right="104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0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SEGMENT INFORMATION (Continued)</w:t>
      </w:r>
    </w:p>
    <w:p>
      <w:pPr>
        <w:spacing w:after="0" w:line="200" w:lineRule="exact"/>
        <w:rPr>
          <w:sz w:val="20"/>
          <w:szCs w:val="20"/>
          <w:color w:val="auto"/>
        </w:rPr>
      </w:pP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the Company’s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All the segment data disclosed reflects the way the CODM internally receives information and monitors the segment performance and is consistently presented across all public communications.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financial information by segment: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6"/>
              </w:rPr>
              <w:t>Year ended</w:t>
            </w:r>
          </w:p>
        </w:tc>
        <w:tc>
          <w:tcPr>
            <w:tcW w:w="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2"/>
        </w:trPr>
        <w:tc>
          <w:tcPr>
            <w:tcW w:w="60" w:type="dxa"/>
            <w:vAlign w:val="bottom"/>
            <w:tcBorders>
              <w:bottom w:val="single" w:sz="8" w:color="E6E6E6"/>
            </w:tcBorders>
          </w:tcPr>
          <w:p>
            <w:pPr>
              <w:spacing w:after="0"/>
              <w:rPr>
                <w:sz w:val="20"/>
                <w:szCs w:val="20"/>
                <w:color w:val="auto"/>
              </w:rPr>
            </w:pPr>
          </w:p>
        </w:tc>
        <w:tc>
          <w:tcPr>
            <w:tcW w:w="5040" w:type="dxa"/>
            <w:vAlign w:val="bottom"/>
            <w:tcBorders>
              <w:bottom w:val="single" w:sz="8" w:color="E6E6E6"/>
            </w:tcBorders>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2025</w:t>
            </w:r>
          </w:p>
        </w:tc>
        <w:tc>
          <w:tcPr>
            <w:tcW w:w="20" w:type="dxa"/>
            <w:vAlign w:val="bottom"/>
            <w:tcBorders>
              <w:bottom w:val="single" w:sz="8" w:color="E6E6E6"/>
            </w:tcBorders>
          </w:tcPr>
          <w:p>
            <w:pPr>
              <w:spacing w:after="0"/>
              <w:rPr>
                <w:sz w:val="20"/>
                <w:szCs w:val="20"/>
                <w:color w:val="auto"/>
              </w:rPr>
            </w:pPr>
          </w:p>
        </w:tc>
        <w:tc>
          <w:tcPr>
            <w:tcW w:w="4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December 31, 2024</w:t>
            </w:r>
          </w:p>
        </w:tc>
        <w:tc>
          <w:tcPr>
            <w:tcW w:w="60" w:type="dxa"/>
            <w:vAlign w:val="bottom"/>
            <w:tcBorders>
              <w:bottom w:val="single" w:sz="8" w:color="E6E6E6"/>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2023</w:t>
            </w:r>
          </w:p>
        </w:tc>
      </w:tr>
      <w:tr>
        <w:trPr>
          <w:trHeight w:val="252"/>
        </w:trPr>
        <w:tc>
          <w:tcPr>
            <w:tcW w:w="60" w:type="dxa"/>
            <w:vAlign w:val="bottom"/>
            <w:tcBorders>
              <w:bottom w:val="single" w:sz="8" w:color="E6E6E6"/>
            </w:tcBorders>
            <w:shd w:val="clear" w:color="auto" w:fill="E6E6E6"/>
          </w:tcPr>
          <w:p>
            <w:pPr>
              <w:spacing w:after="0"/>
              <w:rPr>
                <w:sz w:val="21"/>
                <w:szCs w:val="21"/>
                <w:color w:val="auto"/>
              </w:rPr>
            </w:pPr>
          </w:p>
        </w:tc>
        <w:tc>
          <w:tcPr>
            <w:tcW w:w="2400" w:type="dxa"/>
            <w:vAlign w:val="bottom"/>
            <w:tcBorders>
              <w:bottom w:val="single" w:sz="8" w:color="auto"/>
            </w:tcBorders>
            <w:gridSpan w:val="2"/>
            <w:shd w:val="clear" w:color="auto" w:fill="E6E6E6"/>
          </w:tcPr>
          <w:p>
            <w:pPr>
              <w:spacing w:after="0"/>
              <w:rPr>
                <w:sz w:val="20"/>
                <w:szCs w:val="20"/>
                <w:color w:val="auto"/>
              </w:rPr>
            </w:pPr>
            <w:r>
              <w:rPr>
                <w:rFonts w:ascii="Arial" w:cs="Arial" w:eastAsia="Arial" w:hAnsi="Arial"/>
                <w:sz w:val="18"/>
                <w:szCs w:val="18"/>
                <w:b w:val="1"/>
                <w:bCs w:val="1"/>
                <w:color w:val="auto"/>
                <w:w w:val="85"/>
              </w:rPr>
              <w:t>Net sales to external customers:</w:t>
            </w:r>
          </w:p>
        </w:tc>
        <w:tc>
          <w:tcPr>
            <w:tcW w:w="264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5040" w:type="dxa"/>
            <w:vAlign w:val="bottom"/>
            <w:gridSpan w:val="3"/>
          </w:tcPr>
          <w:p>
            <w:pPr>
              <w:ind w:left="460"/>
              <w:spacing w:after="0"/>
              <w:rPr>
                <w:sz w:val="20"/>
                <w:szCs w:val="20"/>
                <w:color w:val="auto"/>
              </w:rPr>
            </w:pPr>
            <w:r>
              <w:rPr>
                <w:rFonts w:ascii="Arial" w:cs="Arial" w:eastAsia="Arial" w:hAnsi="Arial"/>
                <w:sz w:val="18"/>
                <w:szCs w:val="18"/>
                <w:color w:val="auto"/>
              </w:rPr>
              <w:t>Front Line Care</w:t>
            </w: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6,514</w:t>
            </w:r>
          </w:p>
        </w:tc>
        <w:tc>
          <w:tcPr>
            <w:tcW w:w="32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6,088</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5,845</w:t>
            </w:r>
          </w:p>
        </w:tc>
      </w:tr>
      <w:tr>
        <w:trPr>
          <w:trHeight w:val="289"/>
        </w:trPr>
        <w:tc>
          <w:tcPr>
            <w:tcW w:w="60" w:type="dxa"/>
            <w:vAlign w:val="bottom"/>
            <w:shd w:val="clear" w:color="auto" w:fill="E6E6E6"/>
          </w:tcPr>
          <w:p>
            <w:pPr>
              <w:spacing w:after="0"/>
              <w:rPr>
                <w:sz w:val="24"/>
                <w:szCs w:val="24"/>
                <w:color w:val="auto"/>
              </w:rPr>
            </w:pPr>
          </w:p>
        </w:tc>
        <w:tc>
          <w:tcPr>
            <w:tcW w:w="5040" w:type="dxa"/>
            <w:vAlign w:val="bottom"/>
            <w:gridSpan w:val="3"/>
            <w:shd w:val="clear" w:color="auto" w:fill="E6E6E6"/>
          </w:tcPr>
          <w:p>
            <w:pPr>
              <w:ind w:left="460"/>
              <w:spacing w:after="0"/>
              <w:rPr>
                <w:sz w:val="20"/>
                <w:szCs w:val="20"/>
                <w:color w:val="auto"/>
              </w:rPr>
            </w:pPr>
            <w:r>
              <w:rPr>
                <w:rFonts w:ascii="Arial" w:cs="Arial" w:eastAsia="Arial" w:hAnsi="Arial"/>
                <w:sz w:val="18"/>
                <w:szCs w:val="18"/>
                <w:color w:val="auto"/>
              </w:rPr>
              <w:t>Surgical Solutions</w:t>
            </w: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6,166</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5,471</w:t>
            </w:r>
          </w:p>
        </w:tc>
        <w:tc>
          <w:tcPr>
            <w:tcW w:w="6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4,931</w:t>
            </w:r>
          </w:p>
        </w:tc>
      </w:tr>
      <w:tr>
        <w:trPr>
          <w:trHeight w:val="272"/>
        </w:trPr>
        <w:tc>
          <w:tcPr>
            <w:tcW w:w="60" w:type="dxa"/>
            <w:vAlign w:val="bottom"/>
            <w:tcBorders>
              <w:bottom w:val="single" w:sz="8" w:color="E6E6E6"/>
            </w:tcBorders>
          </w:tcPr>
          <w:p>
            <w:pPr>
              <w:spacing w:after="0"/>
              <w:rPr>
                <w:sz w:val="23"/>
                <w:szCs w:val="23"/>
                <w:color w:val="auto"/>
              </w:rPr>
            </w:pPr>
          </w:p>
        </w:tc>
        <w:tc>
          <w:tcPr>
            <w:tcW w:w="5040" w:type="dxa"/>
            <w:vAlign w:val="bottom"/>
            <w:tcBorders>
              <w:bottom w:val="single" w:sz="8" w:color="E6E6E6"/>
            </w:tcBorders>
            <w:gridSpan w:val="3"/>
          </w:tcPr>
          <w:p>
            <w:pPr>
              <w:ind w:left="460"/>
              <w:spacing w:after="0"/>
              <w:rPr>
                <w:sz w:val="20"/>
                <w:szCs w:val="20"/>
                <w:color w:val="auto"/>
              </w:rPr>
            </w:pPr>
            <w:r>
              <w:rPr>
                <w:rFonts w:ascii="Arial" w:cs="Arial" w:eastAsia="Arial" w:hAnsi="Arial"/>
                <w:sz w:val="18"/>
                <w:szCs w:val="18"/>
                <w:color w:val="auto"/>
              </w:rPr>
              <w:t>Laboratory and Diagnostics</w:t>
            </w: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6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72"/>
        </w:trPr>
        <w:tc>
          <w:tcPr>
            <w:tcW w:w="60" w:type="dxa"/>
            <w:vAlign w:val="bottom"/>
            <w:shd w:val="clear" w:color="auto" w:fill="E6E6E6"/>
          </w:tcPr>
          <w:p>
            <w:pPr>
              <w:spacing w:after="0"/>
              <w:rPr>
                <w:sz w:val="23"/>
                <w:szCs w:val="23"/>
                <w:color w:val="auto"/>
              </w:rPr>
            </w:pPr>
          </w:p>
        </w:tc>
        <w:tc>
          <w:tcPr>
            <w:tcW w:w="5040" w:type="dxa"/>
            <w:vAlign w:val="bottom"/>
            <w:gridSpan w:val="3"/>
            <w:shd w:val="clear" w:color="auto" w:fill="E6E6E6"/>
          </w:tcPr>
          <w:p>
            <w:pPr>
              <w:ind w:left="180"/>
              <w:spacing w:after="0"/>
              <w:rPr>
                <w:sz w:val="20"/>
                <w:szCs w:val="20"/>
                <w:color w:val="auto"/>
              </w:rPr>
            </w:pPr>
            <w:r>
              <w:rPr>
                <w:rFonts w:ascii="Arial" w:cs="Arial" w:eastAsia="Arial" w:hAnsi="Arial"/>
                <w:sz w:val="18"/>
                <w:szCs w:val="18"/>
                <w:color w:val="auto"/>
              </w:rPr>
              <w:t>Medline Brand</w:t>
            </w:r>
          </w:p>
        </w:tc>
        <w:tc>
          <w:tcPr>
            <w:tcW w:w="540" w:type="dxa"/>
            <w:vAlign w:val="bottom"/>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13,720</w:t>
            </w:r>
          </w:p>
        </w:tc>
        <w:tc>
          <w:tcPr>
            <w:tcW w:w="320" w:type="dxa"/>
            <w:vAlign w:val="bottom"/>
            <w:gridSpan w:val="4"/>
            <w:shd w:val="clear" w:color="auto" w:fill="E6E6E6"/>
          </w:tcPr>
          <w:p>
            <w:pPr>
              <w:ind w:lef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12,515</w:t>
            </w:r>
          </w:p>
        </w:tc>
        <w:tc>
          <w:tcPr>
            <w:tcW w:w="60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11,613</w:t>
            </w:r>
          </w:p>
        </w:tc>
      </w:tr>
      <w:tr>
        <w:trPr>
          <w:trHeight w:val="272"/>
        </w:trPr>
        <w:tc>
          <w:tcPr>
            <w:tcW w:w="60" w:type="dxa"/>
            <w:vAlign w:val="bottom"/>
            <w:tcBorders>
              <w:bottom w:val="single" w:sz="8" w:color="E6E6E6"/>
            </w:tcBorders>
          </w:tcPr>
          <w:p>
            <w:pPr>
              <w:spacing w:after="0"/>
              <w:rPr>
                <w:sz w:val="23"/>
                <w:szCs w:val="23"/>
                <w:color w:val="auto"/>
              </w:rPr>
            </w:pPr>
          </w:p>
        </w:tc>
        <w:tc>
          <w:tcPr>
            <w:tcW w:w="5040" w:type="dxa"/>
            <w:vAlign w:val="bottom"/>
            <w:tcBorders>
              <w:bottom w:val="single" w:sz="8" w:color="E6E6E6"/>
            </w:tcBorders>
            <w:gridSpan w:val="3"/>
          </w:tcPr>
          <w:p>
            <w:pPr>
              <w:ind w:left="180"/>
              <w:spacing w:after="0"/>
              <w:rPr>
                <w:sz w:val="20"/>
                <w:szCs w:val="20"/>
                <w:color w:val="auto"/>
              </w:rPr>
            </w:pPr>
            <w:r>
              <w:rPr>
                <w:rFonts w:ascii="Arial" w:cs="Arial" w:eastAsia="Arial" w:hAnsi="Arial"/>
                <w:sz w:val="18"/>
                <w:szCs w:val="18"/>
                <w:color w:val="auto"/>
              </w:rPr>
              <w:t>Supply Chain Solutions</w:t>
            </w: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20" w:type="dxa"/>
            <w:vAlign w:val="bottom"/>
            <w:tcBorders>
              <w:bottom w:val="single" w:sz="8" w:color="E6E6E6"/>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12,992</w:t>
            </w:r>
          </w:p>
        </w:tc>
        <w:tc>
          <w:tcPr>
            <w:tcW w:w="6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11,618</w:t>
            </w:r>
          </w:p>
        </w:tc>
      </w:tr>
      <w:tr>
        <w:trPr>
          <w:trHeight w:val="252"/>
        </w:trPr>
        <w:tc>
          <w:tcPr>
            <w:tcW w:w="60" w:type="dxa"/>
            <w:vAlign w:val="bottom"/>
            <w:tcBorders>
              <w:bottom w:val="single" w:sz="8" w:color="E6E6E6"/>
            </w:tcBorders>
            <w:shd w:val="clear" w:color="auto" w:fill="E6E6E6"/>
          </w:tcPr>
          <w:p>
            <w:pPr>
              <w:spacing w:after="0"/>
              <w:rPr>
                <w:sz w:val="21"/>
                <w:szCs w:val="21"/>
                <w:color w:val="auto"/>
              </w:rPr>
            </w:pPr>
          </w:p>
        </w:tc>
        <w:tc>
          <w:tcPr>
            <w:tcW w:w="5040" w:type="dxa"/>
            <w:vAlign w:val="bottom"/>
            <w:tcBorders>
              <w:bottom w:val="single" w:sz="8" w:color="E6E6E6"/>
            </w:tcBorders>
            <w:gridSpan w:val="3"/>
            <w:shd w:val="clear" w:color="auto" w:fill="E6E6E6"/>
          </w:tcPr>
          <w:p>
            <w:pPr>
              <w:ind w:left="460"/>
              <w:spacing w:after="0"/>
              <w:rPr>
                <w:sz w:val="20"/>
                <w:szCs w:val="20"/>
                <w:color w:val="auto"/>
              </w:rPr>
            </w:pPr>
            <w:r>
              <w:rPr>
                <w:rFonts w:ascii="Arial" w:cs="Arial" w:eastAsia="Arial" w:hAnsi="Arial"/>
                <w:sz w:val="18"/>
                <w:szCs w:val="18"/>
                <w:b w:val="1"/>
                <w:bCs w:val="1"/>
                <w:color w:val="auto"/>
              </w:rPr>
              <w:t>Consolidated net sales to external customers</w:t>
            </w:r>
          </w:p>
        </w:tc>
        <w:tc>
          <w:tcPr>
            <w:tcW w:w="5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28,432</w:t>
            </w:r>
          </w:p>
        </w:tc>
        <w:tc>
          <w:tcPr>
            <w:tcW w:w="20" w:type="dxa"/>
            <w:vAlign w:val="bottom"/>
            <w:tcBorders>
              <w:bottom w:val="single" w:sz="8" w:color="auto"/>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gridSpan w:val="2"/>
            <w:shd w:val="clear" w:color="auto" w:fill="E6E6E6"/>
          </w:tcPr>
          <w:p>
            <w:pPr>
              <w:ind w:lef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25,507</w:t>
            </w:r>
          </w:p>
        </w:tc>
        <w:tc>
          <w:tcPr>
            <w:tcW w:w="6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23,231</w:t>
            </w:r>
          </w:p>
        </w:tc>
      </w:tr>
      <w:tr>
        <w:trPr>
          <w:trHeight w:val="252"/>
        </w:trPr>
        <w:tc>
          <w:tcPr>
            <w:tcW w:w="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60" w:type="dxa"/>
            <w:vAlign w:val="bottom"/>
            <w:shd w:val="clear" w:color="auto" w:fill="E6E6E6"/>
          </w:tcPr>
          <w:p>
            <w:pPr>
              <w:spacing w:after="0"/>
              <w:rPr>
                <w:sz w:val="22"/>
                <w:szCs w:val="22"/>
                <w:color w:val="auto"/>
              </w:rPr>
            </w:pPr>
          </w:p>
        </w:tc>
        <w:tc>
          <w:tcPr>
            <w:tcW w:w="5040" w:type="dxa"/>
            <w:vAlign w:val="bottom"/>
            <w:gridSpan w:val="3"/>
            <w:shd w:val="clear" w:color="auto" w:fill="E6E6E6"/>
          </w:tcPr>
          <w:p>
            <w:pPr>
              <w:spacing w:after="0"/>
              <w:rPr>
                <w:sz w:val="20"/>
                <w:szCs w:val="20"/>
                <w:color w:val="auto"/>
              </w:rPr>
            </w:pPr>
            <w:r>
              <w:rPr>
                <w:rFonts w:ascii="Arial" w:cs="Arial" w:eastAsia="Arial" w:hAnsi="Arial"/>
                <w:sz w:val="18"/>
                <w:szCs w:val="18"/>
                <w:b w:val="1"/>
                <w:bCs w:val="1"/>
                <w:color w:val="auto"/>
              </w:rPr>
              <w:t>Segment Adjusted EBITDA:</w:t>
            </w:r>
          </w:p>
        </w:tc>
        <w:tc>
          <w:tcPr>
            <w:tcW w:w="54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r>
      <w:tr>
        <w:trPr>
          <w:trHeight w:val="275"/>
        </w:trPr>
        <w:tc>
          <w:tcPr>
            <w:tcW w:w="60" w:type="dxa"/>
            <w:vAlign w:val="bottom"/>
            <w:tcBorders>
              <w:top w:val="single" w:sz="8" w:color="E6E6E6"/>
            </w:tcBorders>
          </w:tcPr>
          <w:p>
            <w:pPr>
              <w:spacing w:after="0"/>
              <w:rPr>
                <w:sz w:val="23"/>
                <w:szCs w:val="23"/>
                <w:color w:val="auto"/>
              </w:rPr>
            </w:pPr>
          </w:p>
        </w:tc>
        <w:tc>
          <w:tcPr>
            <w:tcW w:w="2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Medline Brand</w:t>
            </w:r>
          </w:p>
        </w:tc>
        <w:tc>
          <w:tcPr>
            <w:tcW w:w="2880" w:type="dxa"/>
            <w:vAlign w:val="bottom"/>
            <w:tcBorders>
              <w:top w:val="single" w:sz="8" w:color="E6E6E6"/>
            </w:tcBorders>
            <w:gridSpan w:val="2"/>
          </w:tcPr>
          <w:p>
            <w:pPr>
              <w:spacing w:after="0"/>
              <w:rPr>
                <w:sz w:val="23"/>
                <w:szCs w:val="23"/>
                <w:color w:val="auto"/>
              </w:rPr>
            </w:pPr>
          </w:p>
        </w:tc>
        <w:tc>
          <w:tcPr>
            <w:tcW w:w="540" w:type="dxa"/>
            <w:vAlign w:val="bottom"/>
            <w:tcBorders>
              <w:top w:val="single" w:sz="8" w:color="E6E6E6"/>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rPr>
              <w:t>3,334</w:t>
            </w:r>
          </w:p>
        </w:tc>
        <w:tc>
          <w:tcPr>
            <w:tcW w:w="320" w:type="dxa"/>
            <w:vAlign w:val="bottom"/>
            <w:tcBorders>
              <w:top w:val="single" w:sz="8" w:color="E6E6E6"/>
            </w:tcBorders>
            <w:gridSpan w:val="4"/>
          </w:tcPr>
          <w:p>
            <w:pPr>
              <w:ind w:left="1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rPr>
              <w:t>3,269</w:t>
            </w:r>
          </w:p>
        </w:tc>
        <w:tc>
          <w:tcPr>
            <w:tcW w:w="600" w:type="dxa"/>
            <w:vAlign w:val="bottom"/>
            <w:tcBorders>
              <w:top w:val="single" w:sz="8" w:color="E6E6E6"/>
            </w:tcBorders>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rPr>
              <w:t>2,704</w:t>
            </w:r>
          </w:p>
        </w:tc>
      </w:tr>
      <w:tr>
        <w:trPr>
          <w:trHeight w:val="297"/>
        </w:trPr>
        <w:tc>
          <w:tcPr>
            <w:tcW w:w="60" w:type="dxa"/>
            <w:vAlign w:val="bottom"/>
            <w:tcBorders>
              <w:bottom w:val="single" w:sz="8" w:color="E6E6E6"/>
            </w:tcBorders>
            <w:shd w:val="clear" w:color="auto" w:fill="E6E6E6"/>
          </w:tcPr>
          <w:p>
            <w:pPr>
              <w:spacing w:after="0"/>
              <w:rPr>
                <w:sz w:val="24"/>
                <w:szCs w:val="24"/>
                <w:color w:val="auto"/>
              </w:rPr>
            </w:pPr>
          </w:p>
        </w:tc>
        <w:tc>
          <w:tcPr>
            <w:tcW w:w="5040" w:type="dxa"/>
            <w:vAlign w:val="bottom"/>
            <w:tcBorders>
              <w:bottom w:val="single" w:sz="8" w:color="E6E6E6"/>
            </w:tcBorders>
            <w:gridSpan w:val="3"/>
            <w:shd w:val="clear" w:color="auto" w:fill="E6E6E6"/>
          </w:tcPr>
          <w:p>
            <w:pPr>
              <w:ind w:left="160"/>
              <w:spacing w:after="0"/>
              <w:rPr>
                <w:sz w:val="20"/>
                <w:szCs w:val="20"/>
                <w:color w:val="auto"/>
              </w:rPr>
            </w:pPr>
            <w:r>
              <w:rPr>
                <w:rFonts w:ascii="Arial" w:cs="Arial" w:eastAsia="Arial" w:hAnsi="Arial"/>
                <w:sz w:val="18"/>
                <w:szCs w:val="18"/>
                <w:color w:val="auto"/>
              </w:rPr>
              <w:t>Supply Chain Solutions</w:t>
            </w: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647</w:t>
            </w:r>
          </w:p>
        </w:tc>
        <w:tc>
          <w:tcPr>
            <w:tcW w:w="6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491</w:t>
            </w:r>
          </w:p>
        </w:tc>
      </w:tr>
      <w:tr>
        <w:trPr>
          <w:trHeight w:val="244"/>
        </w:trPr>
        <w:tc>
          <w:tcPr>
            <w:tcW w:w="60" w:type="dxa"/>
            <w:vAlign w:val="bottom"/>
            <w:tcBorders>
              <w:bottom w:val="single" w:sz="8" w:color="E6E6E6"/>
            </w:tcBorders>
          </w:tcPr>
          <w:p>
            <w:pPr>
              <w:spacing w:after="0"/>
              <w:rPr>
                <w:sz w:val="21"/>
                <w:szCs w:val="21"/>
                <w:color w:val="auto"/>
              </w:rPr>
            </w:pPr>
          </w:p>
        </w:tc>
        <w:tc>
          <w:tcPr>
            <w:tcW w:w="5040" w:type="dxa"/>
            <w:vAlign w:val="bottom"/>
            <w:tcBorders>
              <w:bottom w:val="single" w:sz="8" w:color="E6E6E6"/>
            </w:tcBorders>
            <w:gridSpan w:val="3"/>
          </w:tcPr>
          <w:p>
            <w:pPr>
              <w:ind w:left="460"/>
              <w:spacing w:after="0"/>
              <w:rPr>
                <w:sz w:val="20"/>
                <w:szCs w:val="20"/>
                <w:color w:val="auto"/>
              </w:rPr>
            </w:pPr>
            <w:r>
              <w:rPr>
                <w:rFonts w:ascii="Arial" w:cs="Arial" w:eastAsia="Arial" w:hAnsi="Arial"/>
                <w:sz w:val="18"/>
                <w:szCs w:val="18"/>
                <w:b w:val="1"/>
                <w:bCs w:val="1"/>
                <w:color w:val="auto"/>
              </w:rPr>
              <w:t>Subtotal</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60" w:type="dxa"/>
            <w:vAlign w:val="bottom"/>
            <w:tcBorders>
              <w:bottom w:val="single" w:sz="8" w:color="E6E6E6"/>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r>
      <w:tr>
        <w:trPr>
          <w:trHeight w:val="272"/>
        </w:trPr>
        <w:tc>
          <w:tcPr>
            <w:tcW w:w="60" w:type="dxa"/>
            <w:vAlign w:val="bottom"/>
            <w:shd w:val="clear" w:color="auto" w:fill="E6E6E6"/>
          </w:tcPr>
          <w:p>
            <w:pPr>
              <w:spacing w:after="0"/>
              <w:rPr>
                <w:sz w:val="23"/>
                <w:szCs w:val="23"/>
                <w:color w:val="auto"/>
              </w:rPr>
            </w:pPr>
          </w:p>
        </w:tc>
        <w:tc>
          <w:tcPr>
            <w:tcW w:w="5040" w:type="dxa"/>
            <w:vAlign w:val="bottom"/>
            <w:gridSpan w:val="3"/>
            <w:shd w:val="clear" w:color="auto" w:fill="E6E6E6"/>
          </w:tcPr>
          <w:p>
            <w:pPr>
              <w:ind w:left="180"/>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(672)</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(427)</w:t>
            </w:r>
          </w:p>
        </w:tc>
      </w:tr>
      <w:tr>
        <w:trPr>
          <w:trHeight w:val="275"/>
        </w:trPr>
        <w:tc>
          <w:tcPr>
            <w:tcW w:w="60" w:type="dxa"/>
            <w:vAlign w:val="bottom"/>
          </w:tcPr>
          <w:p>
            <w:pPr>
              <w:spacing w:after="0"/>
              <w:rPr>
                <w:sz w:val="23"/>
                <w:szCs w:val="23"/>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89"/>
        </w:trPr>
        <w:tc>
          <w:tcPr>
            <w:tcW w:w="60" w:type="dxa"/>
            <w:vAlign w:val="bottom"/>
            <w:shd w:val="clear" w:color="auto" w:fill="E6E6E6"/>
          </w:tcPr>
          <w:p>
            <w:pPr>
              <w:spacing w:after="0"/>
              <w:rPr>
                <w:sz w:val="24"/>
                <w:szCs w:val="24"/>
                <w:color w:val="auto"/>
              </w:rPr>
            </w:pPr>
          </w:p>
        </w:tc>
        <w:tc>
          <w:tcPr>
            <w:tcW w:w="5040" w:type="dxa"/>
            <w:vAlign w:val="bottom"/>
            <w:gridSpan w:val="3"/>
            <w:shd w:val="clear" w:color="auto" w:fill="E6E6E6"/>
          </w:tcPr>
          <w:p>
            <w:pPr>
              <w:ind w:left="18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(1,011)</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(977)</w:t>
            </w:r>
          </w:p>
        </w:tc>
        <w:tc>
          <w:tcPr>
            <w:tcW w:w="6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(951)</w:t>
            </w:r>
          </w:p>
        </w:tc>
      </w:tr>
      <w:tr>
        <w:trPr>
          <w:trHeight w:val="275"/>
        </w:trPr>
        <w:tc>
          <w:tcPr>
            <w:tcW w:w="60" w:type="dxa"/>
            <w:vAlign w:val="bottom"/>
          </w:tcPr>
          <w:p>
            <w:pPr>
              <w:spacing w:after="0"/>
              <w:rPr>
                <w:sz w:val="23"/>
                <w:szCs w:val="23"/>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Inventory-related adjustments</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89"/>
        </w:trPr>
        <w:tc>
          <w:tcPr>
            <w:tcW w:w="60" w:type="dxa"/>
            <w:vAlign w:val="bottom"/>
            <w:shd w:val="clear" w:color="auto" w:fill="E6E6E6"/>
          </w:tcPr>
          <w:p>
            <w:pPr>
              <w:spacing w:after="0"/>
              <w:rPr>
                <w:sz w:val="24"/>
                <w:szCs w:val="24"/>
                <w:color w:val="auto"/>
              </w:rPr>
            </w:pPr>
          </w:p>
        </w:tc>
        <w:tc>
          <w:tcPr>
            <w:tcW w:w="5040" w:type="dxa"/>
            <w:vAlign w:val="bottom"/>
            <w:gridSpan w:val="3"/>
            <w:shd w:val="clear" w:color="auto" w:fill="E6E6E6"/>
          </w:tcPr>
          <w:p>
            <w:pPr>
              <w:ind w:left="180"/>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r>
      <w:tr>
        <w:trPr>
          <w:trHeight w:val="275"/>
        </w:trPr>
        <w:tc>
          <w:tcPr>
            <w:tcW w:w="60" w:type="dxa"/>
            <w:vAlign w:val="bottom"/>
          </w:tcPr>
          <w:p>
            <w:pPr>
              <w:spacing w:after="0"/>
              <w:rPr>
                <w:sz w:val="23"/>
                <w:szCs w:val="23"/>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Litigation gains (charges), net</w:t>
            </w: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89"/>
        </w:trPr>
        <w:tc>
          <w:tcPr>
            <w:tcW w:w="60" w:type="dxa"/>
            <w:vAlign w:val="bottom"/>
            <w:shd w:val="clear" w:color="auto" w:fill="E6E6E6"/>
          </w:tcPr>
          <w:p>
            <w:pPr>
              <w:spacing w:after="0"/>
              <w:rPr>
                <w:sz w:val="24"/>
                <w:szCs w:val="24"/>
                <w:color w:val="auto"/>
              </w:rPr>
            </w:pPr>
          </w:p>
        </w:tc>
        <w:tc>
          <w:tcPr>
            <w:tcW w:w="5040" w:type="dxa"/>
            <w:vAlign w:val="bottom"/>
            <w:gridSpan w:val="3"/>
            <w:shd w:val="clear" w:color="auto" w:fill="E6E6E6"/>
          </w:tcPr>
          <w:p>
            <w:pPr>
              <w:ind w:left="1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11"/>
                <w:szCs w:val="11"/>
                <w:color w:val="auto"/>
              </w:rPr>
              <w:t>(1)</w:t>
            </w: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w:t>
            </w:r>
          </w:p>
        </w:tc>
      </w:tr>
      <w:tr>
        <w:trPr>
          <w:trHeight w:val="272"/>
        </w:trPr>
        <w:tc>
          <w:tcPr>
            <w:tcW w:w="60" w:type="dxa"/>
            <w:vAlign w:val="bottom"/>
            <w:tcBorders>
              <w:bottom w:val="single" w:sz="8" w:color="E6E6E6"/>
            </w:tcBorders>
          </w:tcPr>
          <w:p>
            <w:pPr>
              <w:spacing w:after="0"/>
              <w:rPr>
                <w:sz w:val="23"/>
                <w:szCs w:val="23"/>
                <w:color w:val="auto"/>
              </w:rPr>
            </w:pPr>
          </w:p>
        </w:tc>
        <w:tc>
          <w:tcPr>
            <w:tcW w:w="5040" w:type="dxa"/>
            <w:vAlign w:val="bottom"/>
            <w:tcBorders>
              <w:bottom w:val="single" w:sz="8" w:color="E6E6E6"/>
            </w:tcBorders>
            <w:gridSpan w:val="3"/>
          </w:tcPr>
          <w:p>
            <w:pPr>
              <w:ind w:left="160"/>
              <w:spacing w:after="0"/>
              <w:rPr>
                <w:sz w:val="20"/>
                <w:szCs w:val="20"/>
                <w:color w:val="auto"/>
              </w:rPr>
            </w:pPr>
            <w:r>
              <w:rPr>
                <w:rFonts w:ascii="Arial" w:cs="Arial" w:eastAsia="Arial" w:hAnsi="Arial"/>
                <w:sz w:val="18"/>
                <w:szCs w:val="18"/>
                <w:color w:val="auto"/>
              </w:rPr>
              <w:t xml:space="preserve">Other non-core charges, net </w:t>
            </w:r>
            <w:r>
              <w:rPr>
                <w:rFonts w:ascii="Arial" w:cs="Arial" w:eastAsia="Arial" w:hAnsi="Arial"/>
                <w:sz w:val="11"/>
                <w:szCs w:val="11"/>
                <w:color w:val="auto"/>
              </w:rPr>
              <w:t>(2)</w:t>
            </w: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82"/>
        </w:trPr>
        <w:tc>
          <w:tcPr>
            <w:tcW w:w="60" w:type="dxa"/>
            <w:vAlign w:val="bottom"/>
            <w:tcBorders>
              <w:bottom w:val="single" w:sz="8" w:color="E6E6E6"/>
            </w:tcBorders>
            <w:shd w:val="clear" w:color="auto" w:fill="E6E6E6"/>
          </w:tcPr>
          <w:p>
            <w:pPr>
              <w:spacing w:after="0"/>
              <w:rPr>
                <w:sz w:val="24"/>
                <w:szCs w:val="24"/>
                <w:color w:val="auto"/>
              </w:rPr>
            </w:pPr>
          </w:p>
        </w:tc>
        <w:tc>
          <w:tcPr>
            <w:tcW w:w="5040" w:type="dxa"/>
            <w:vAlign w:val="bottom"/>
            <w:tcBorders>
              <w:bottom w:val="single" w:sz="8" w:color="E6E6E6"/>
            </w:tcBorders>
            <w:gridSpan w:val="3"/>
            <w:shd w:val="clear" w:color="auto" w:fill="E6E6E6"/>
          </w:tcPr>
          <w:p>
            <w:pPr>
              <w:ind w:left="460"/>
              <w:spacing w:after="0"/>
              <w:rPr>
                <w:sz w:val="20"/>
                <w:szCs w:val="20"/>
                <w:color w:val="auto"/>
              </w:rPr>
            </w:pPr>
            <w:r>
              <w:rPr>
                <w:rFonts w:ascii="Arial" w:cs="Arial" w:eastAsia="Arial" w:hAnsi="Arial"/>
                <w:sz w:val="18"/>
                <w:szCs w:val="18"/>
                <w:b w:val="1"/>
                <w:bCs w:val="1"/>
                <w:color w:val="auto"/>
              </w:rPr>
              <w:t>Income before income taxes</w:t>
            </w:r>
          </w:p>
        </w:tc>
        <w:tc>
          <w:tcPr>
            <w:tcW w:w="5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gridSpan w:val="2"/>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-3774440</wp:posOffset>
            </wp:positionV>
            <wp:extent cx="301434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50">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-3058160</wp:posOffset>
            </wp:positionV>
            <wp:extent cx="301434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51">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-2699385</wp:posOffset>
            </wp:positionV>
            <wp:extent cx="301434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52">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-2552065</wp:posOffset>
            </wp:positionV>
            <wp:extent cx="3014345" cy="508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53">
                      <a:extLst>
                        <a:ext uri="{28A0092B-C50C-407E-A947-70E740481C1C}"/>
                      </a:extLst>
                    </a:blip>
                    <a:srcRect/>
                    <a:stretch>
                      <a:fillRect/>
                    </a:stretch>
                  </pic:blipFill>
                  <pic:spPr bwMode="auto">
                    <a:xfrm>
                      <a:off x="0" y="0"/>
                      <a:ext cx="3014345" cy="508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-1822450</wp:posOffset>
            </wp:positionV>
            <wp:extent cx="301434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54">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-1643380</wp:posOffset>
            </wp:positionV>
            <wp:extent cx="301434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55">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-210185</wp:posOffset>
            </wp:positionV>
            <wp:extent cx="301434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56">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-43815</wp:posOffset>
            </wp:positionV>
            <wp:extent cx="3014345" cy="508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57">
                      <a:extLst>
                        <a:ext uri="{28A0092B-C50C-407E-A947-70E740481C1C}"/>
                      </a:extLst>
                    </a:blip>
                    <a:srcRect/>
                    <a:stretch>
                      <a:fillRect/>
                    </a:stretch>
                  </pic:blipFill>
                  <pic:spPr bwMode="auto">
                    <a:xfrm>
                      <a:off x="0" y="0"/>
                      <a:ext cx="3014345" cy="50800"/>
                    </a:xfrm>
                    <a:prstGeom prst="rect">
                      <a:avLst/>
                    </a:prstGeom>
                    <a:noFill/>
                  </pic:spPr>
                </pic:pic>
              </a:graphicData>
            </a:graphic>
          </wp:anchor>
        </w:drawing>
      </w:r>
    </w:p>
    <w:p>
      <w:pPr>
        <w:jc w:val="both"/>
        <w:spacing w:after="0" w:line="247" w:lineRule="auto"/>
        <w:tabs>
          <w:tab w:leader="none" w:pos="175" w:val="left"/>
        </w:tabs>
        <w:numPr>
          <w:ilvl w:val="0"/>
          <w:numId w:val="34"/>
        </w:numPr>
        <w:rPr>
          <w:rFonts w:ascii="Arial" w:cs="Arial" w:eastAsia="Arial" w:hAnsi="Arial"/>
          <w:sz w:val="12"/>
          <w:szCs w:val="12"/>
          <w:color w:val="auto"/>
        </w:rPr>
      </w:pPr>
      <w:r>
        <w:rPr>
          <w:rFonts w:ascii="Arial" w:cs="Arial" w:eastAsia="Arial" w:hAnsi="Arial"/>
          <w:sz w:val="18"/>
          <w:szCs w:val="18"/>
          <w:color w:val="auto"/>
        </w:rPr>
        <w:t>Represents acquisition and integration related costs, IPO related costs, gain related to acquisition of equity investment, gain due to a change in valuation estimate related to an acquisition, and the compensation expense related to the Liquidity MPU Payouts. See Note 17 —Stock-Based Compensation for additional information on Liquidity MPU Payouts.</w:t>
      </w:r>
    </w:p>
    <w:p>
      <w:pPr>
        <w:spacing w:after="0" w:line="2" w:lineRule="exact"/>
        <w:rPr>
          <w:rFonts w:ascii="Arial" w:cs="Arial" w:eastAsia="Arial" w:hAnsi="Arial"/>
          <w:sz w:val="12"/>
          <w:szCs w:val="12"/>
          <w:color w:val="auto"/>
        </w:rPr>
      </w:pPr>
    </w:p>
    <w:p>
      <w:pPr>
        <w:spacing w:after="0" w:line="343" w:lineRule="auto"/>
        <w:tabs>
          <w:tab w:leader="none" w:pos="166" w:val="left"/>
        </w:tabs>
        <w:numPr>
          <w:ilvl w:val="0"/>
          <w:numId w:val="34"/>
        </w:numPr>
        <w:rPr>
          <w:rFonts w:ascii="Arial" w:cs="Arial" w:eastAsia="Arial" w:hAnsi="Arial"/>
          <w:sz w:val="10"/>
          <w:szCs w:val="10"/>
          <w:color w:val="auto"/>
        </w:rPr>
      </w:pPr>
      <w:r>
        <w:rPr>
          <w:rFonts w:ascii="Arial" w:cs="Arial" w:eastAsia="Arial" w:hAnsi="Arial"/>
          <w:sz w:val="16"/>
          <w:szCs w:val="16"/>
          <w:color w:val="auto"/>
        </w:rPr>
        <w:t>Represents loss on debt extinguishment and other refinancing costs and fees, credit loss expense related to customer bankruptcies, loss on disposals of assets and exits, realized and unrealized foreign currency and investment losses and costs, and other items.</w:t>
      </w:r>
    </w:p>
    <w:p>
      <w:pPr>
        <w:sectPr>
          <w:pgSz w:w="11880" w:h="15480" w:orient="portrait"/>
          <w:cols w:equalWidth="0" w:num="1">
            <w:col w:w="9800"/>
          </w:cols>
          <w:pgMar w:left="1040" w:top="637" w:right="1040" w:bottom="0" w:gutter="0" w:footer="0" w:header="0"/>
        </w:sectPr>
      </w:pPr>
    </w:p>
    <w:p>
      <w:pPr>
        <w:spacing w:after="0" w:line="392"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133</w:t>
      </w:r>
    </w:p>
    <w:p>
      <w:pPr>
        <w:sectPr>
          <w:pgSz w:w="11880" w:h="15480" w:orient="portrait"/>
          <w:cols w:equalWidth="0" w:num="1">
            <w:col w:w="9800"/>
          </w:cols>
          <w:pgMar w:left="1040" w:top="637" w:right="1040" w:bottom="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20"/>
          <w:szCs w:val="20"/>
          <w:color w:val="auto"/>
        </w:rPr>
        <w:t>MEDLINE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148590</wp:posOffset>
                </wp:positionV>
                <wp:extent cx="622363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pt" to="490.05pt,11.7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NOTE 20 - SEGMENT INFORMATION (Continued)</w:t>
      </w:r>
    </w:p>
    <w:p>
      <w:pPr>
        <w:spacing w:after="0" w:line="200" w:lineRule="exact"/>
        <w:rPr>
          <w:sz w:val="20"/>
          <w:szCs w:val="20"/>
          <w:color w:val="auto"/>
        </w:rPr>
      </w:pP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tables present information by sales office and geographic area:</w:t>
      </w:r>
    </w:p>
    <w:p>
      <w:pPr>
        <w:spacing w:after="0" w:line="308"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8"/>
              </w:rPr>
              <w:t>Year ended</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2"/>
        </w:trPr>
        <w:tc>
          <w:tcPr>
            <w:tcW w:w="60" w:type="dxa"/>
            <w:vAlign w:val="bottom"/>
            <w:tcBorders>
              <w:bottom w:val="single" w:sz="8" w:color="E6E6E6"/>
            </w:tcBorders>
          </w:tcPr>
          <w:p>
            <w:pPr>
              <w:spacing w:after="0"/>
              <w:rPr>
                <w:sz w:val="20"/>
                <w:szCs w:val="20"/>
                <w:color w:val="auto"/>
              </w:rPr>
            </w:pPr>
          </w:p>
        </w:tc>
        <w:tc>
          <w:tcPr>
            <w:tcW w:w="504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2025</w:t>
            </w:r>
          </w:p>
        </w:tc>
        <w:tc>
          <w:tcPr>
            <w:tcW w:w="60" w:type="dxa"/>
            <w:vAlign w:val="bottom"/>
            <w:tcBorders>
              <w:bottom w:val="single" w:sz="8" w:color="E6E6E6"/>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2023</w:t>
            </w:r>
          </w:p>
        </w:tc>
      </w:tr>
      <w:tr>
        <w:trPr>
          <w:trHeight w:val="252"/>
        </w:trPr>
        <w:tc>
          <w:tcPr>
            <w:tcW w:w="60" w:type="dxa"/>
            <w:vAlign w:val="bottom"/>
            <w:tcBorders>
              <w:bottom w:val="single" w:sz="8" w:color="E6E6E6"/>
            </w:tcBorders>
            <w:shd w:val="clear" w:color="auto" w:fill="E6E6E6"/>
          </w:tcPr>
          <w:p>
            <w:pPr>
              <w:spacing w:after="0"/>
              <w:rPr>
                <w:sz w:val="21"/>
                <w:szCs w:val="21"/>
                <w:color w:val="auto"/>
              </w:rPr>
            </w:pPr>
          </w:p>
        </w:tc>
        <w:tc>
          <w:tcPr>
            <w:tcW w:w="240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w w:val="85"/>
              </w:rPr>
              <w:t>Net sales to external customers:</w:t>
            </w:r>
          </w:p>
        </w:tc>
        <w:tc>
          <w:tcPr>
            <w:tcW w:w="26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540" w:type="dxa"/>
            <w:vAlign w:val="bottom"/>
            <w:tcBorders>
              <w:bottom w:val="single" w:sz="8" w:color="E6E6E6"/>
            </w:tcBorders>
            <w:shd w:val="clear" w:color="auto" w:fill="E6E6E6"/>
          </w:tcPr>
          <w:p>
            <w:pPr>
              <w:spacing w:after="0"/>
              <w:rPr>
                <w:sz w:val="21"/>
                <w:szCs w:val="21"/>
                <w:color w:val="auto"/>
              </w:rPr>
            </w:pPr>
          </w:p>
        </w:tc>
        <w:tc>
          <w:tcPr>
            <w:tcW w:w="980" w:type="dxa"/>
            <w:vAlign w:val="bottom"/>
            <w:tcBorders>
              <w:bottom w:val="single" w:sz="8" w:color="E6E6E6"/>
            </w:tcBorders>
            <w:shd w:val="clear" w:color="auto" w:fill="E6E6E6"/>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rPr>
              <w:t xml:space="preserve">Acute care </w:t>
            </w:r>
            <w:r>
              <w:rPr>
                <w:rFonts w:ascii="Arial" w:cs="Arial" w:eastAsia="Arial" w:hAnsi="Arial"/>
                <w:sz w:val="11"/>
                <w:szCs w:val="11"/>
                <w:color w:val="auto"/>
              </w:rPr>
              <w:t>(1)</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19,506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17,491</w:t>
            </w:r>
          </w:p>
        </w:tc>
        <w:tc>
          <w:tcPr>
            <w:tcW w:w="6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15,906</w:t>
            </w:r>
          </w:p>
        </w:tc>
      </w:tr>
      <w:tr>
        <w:trPr>
          <w:trHeight w:val="279"/>
        </w:trPr>
        <w:tc>
          <w:tcPr>
            <w:tcW w:w="60" w:type="dxa"/>
            <w:vAlign w:val="bottom"/>
            <w:tcBorders>
              <w:bottom w:val="single" w:sz="8" w:color="E6E6E6"/>
            </w:tcBorders>
            <w:shd w:val="clear" w:color="auto" w:fill="E6E6E6"/>
          </w:tcPr>
          <w:p>
            <w:pPr>
              <w:spacing w:after="0"/>
              <w:rPr>
                <w:sz w:val="24"/>
                <w:szCs w:val="24"/>
                <w:color w:val="auto"/>
              </w:rPr>
            </w:pPr>
          </w:p>
        </w:tc>
        <w:tc>
          <w:tcPr>
            <w:tcW w:w="5040" w:type="dxa"/>
            <w:vAlign w:val="bottom"/>
            <w:tcBorders>
              <w:bottom w:val="single" w:sz="8" w:color="E6E6E6"/>
            </w:tcBorders>
            <w:gridSpan w:val="2"/>
            <w:shd w:val="clear" w:color="auto" w:fill="E6E6E6"/>
          </w:tcPr>
          <w:p>
            <w:pPr>
              <w:ind w:left="220"/>
              <w:spacing w:after="0"/>
              <w:rPr>
                <w:sz w:val="20"/>
                <w:szCs w:val="20"/>
                <w:color w:val="auto"/>
              </w:rPr>
            </w:pPr>
            <w:r>
              <w:rPr>
                <w:rFonts w:ascii="Arial" w:cs="Arial" w:eastAsia="Arial" w:hAnsi="Arial"/>
                <w:sz w:val="18"/>
                <w:szCs w:val="18"/>
                <w:color w:val="auto"/>
              </w:rPr>
              <w:t xml:space="preserve">Non-Acute care </w:t>
            </w:r>
            <w:r>
              <w:rPr>
                <w:rFonts w:ascii="Arial" w:cs="Arial" w:eastAsia="Arial" w:hAnsi="Arial"/>
                <w:sz w:val="11"/>
                <w:szCs w:val="11"/>
                <w:color w:val="auto"/>
              </w:rPr>
              <w:t>(2)</w:t>
            </w:r>
          </w:p>
        </w:tc>
        <w:tc>
          <w:tcPr>
            <w:tcW w:w="20" w:type="dxa"/>
            <w:vAlign w:val="bottom"/>
            <w:tcBorders>
              <w:bottom w:val="single" w:sz="8" w:color="auto"/>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6,256</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5,894</w:t>
            </w:r>
          </w:p>
        </w:tc>
      </w:tr>
      <w:tr>
        <w:trPr>
          <w:trHeight w:val="265"/>
        </w:trPr>
        <w:tc>
          <w:tcPr>
            <w:tcW w:w="60" w:type="dxa"/>
            <w:vAlign w:val="bottom"/>
          </w:tcPr>
          <w:p>
            <w:pPr>
              <w:spacing w:after="0"/>
              <w:rPr>
                <w:sz w:val="23"/>
                <w:szCs w:val="23"/>
                <w:color w:val="auto"/>
              </w:rPr>
            </w:pPr>
          </w:p>
        </w:tc>
        <w:tc>
          <w:tcPr>
            <w:tcW w:w="5040" w:type="dxa"/>
            <w:vAlign w:val="bottom"/>
            <w:gridSpan w:val="2"/>
          </w:tcPr>
          <w:p>
            <w:pPr>
              <w:ind w:left="4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26,479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23,747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21,800</w:t>
            </w:r>
          </w:p>
        </w:tc>
      </w:tr>
      <w:tr>
        <w:trPr>
          <w:trHeight w:val="297"/>
        </w:trPr>
        <w:tc>
          <w:tcPr>
            <w:tcW w:w="60" w:type="dxa"/>
            <w:vAlign w:val="bottom"/>
            <w:tcBorders>
              <w:bottom w:val="single" w:sz="8" w:color="E6E6E6"/>
            </w:tcBorders>
            <w:shd w:val="clear" w:color="auto" w:fill="E6E6E6"/>
          </w:tcPr>
          <w:p>
            <w:pPr>
              <w:spacing w:after="0"/>
              <w:rPr>
                <w:sz w:val="24"/>
                <w:szCs w:val="24"/>
                <w:color w:val="auto"/>
              </w:rPr>
            </w:pPr>
          </w:p>
        </w:tc>
        <w:tc>
          <w:tcPr>
            <w:tcW w:w="5040" w:type="dxa"/>
            <w:vAlign w:val="bottom"/>
            <w:tcBorders>
              <w:bottom w:val="single" w:sz="8" w:color="E6E6E6"/>
            </w:tcBorders>
            <w:gridSpan w:val="2"/>
            <w:shd w:val="clear" w:color="auto" w:fill="E6E6E6"/>
          </w:tcPr>
          <w:p>
            <w:pPr>
              <w:ind w:left="46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1,953</w:t>
            </w:r>
          </w:p>
        </w:tc>
        <w:tc>
          <w:tcPr>
            <w:tcW w:w="6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1,760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1,431</w:t>
            </w:r>
          </w:p>
        </w:tc>
      </w:tr>
      <w:tr>
        <w:trPr>
          <w:trHeight w:val="195"/>
        </w:trPr>
        <w:tc>
          <w:tcPr>
            <w:tcW w:w="6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Consolidated net sales to external customers</w:t>
            </w:r>
          </w:p>
        </w:tc>
        <w:tc>
          <w:tcPr>
            <w:tcW w:w="20" w:type="dxa"/>
            <w:vAlign w:val="bottom"/>
          </w:tcPr>
          <w:p>
            <w:pPr>
              <w:spacing w:after="0"/>
              <w:rPr>
                <w:sz w:val="16"/>
                <w:szCs w:val="16"/>
                <w:color w:val="auto"/>
              </w:rPr>
            </w:pPr>
          </w:p>
        </w:tc>
        <w:tc>
          <w:tcPr>
            <w:tcW w:w="54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28,432</w:t>
            </w:r>
          </w:p>
        </w:tc>
        <w:tc>
          <w:tcPr>
            <w:tcW w:w="3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25,507</w:t>
            </w:r>
          </w:p>
        </w:tc>
        <w:tc>
          <w:tcPr>
            <w:tcW w:w="80" w:type="dxa"/>
            <w:vAlign w:val="bottom"/>
            <w:gridSpan w:val="2"/>
          </w:tcPr>
          <w:p>
            <w:pPr>
              <w:spacing w:after="0"/>
              <w:rPr>
                <w:sz w:val="16"/>
                <w:szCs w:val="16"/>
                <w:color w:val="auto"/>
              </w:rPr>
            </w:pPr>
          </w:p>
        </w:tc>
        <w:tc>
          <w:tcPr>
            <w:tcW w:w="54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23,231</w:t>
            </w:r>
          </w:p>
        </w:tc>
      </w:tr>
      <w:tr>
        <w:trPr>
          <w:trHeight w:val="20"/>
        </w:trPr>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-1087120</wp:posOffset>
            </wp:positionV>
            <wp:extent cx="301434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58">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-549910</wp:posOffset>
            </wp:positionV>
            <wp:extent cx="301434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59">
                      <a:extLst>
                        <a:ext uri="{28A0092B-C50C-407E-A947-70E740481C1C}"/>
                      </a:extLst>
                    </a:blip>
                    <a:srcRect/>
                    <a:stretch>
                      <a:fillRect/>
                    </a:stretch>
                  </pic:blipFill>
                  <pic:spPr bwMode="auto">
                    <a:xfrm>
                      <a:off x="0" y="0"/>
                      <a:ext cx="3014345" cy="2540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-191135</wp:posOffset>
            </wp:positionV>
            <wp:extent cx="301434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60">
                      <a:extLst>
                        <a:ext uri="{28A0092B-C50C-407E-A947-70E740481C1C}"/>
                      </a:extLst>
                    </a:blip>
                    <a:srcRect/>
                    <a:stretch>
                      <a:fillRect/>
                    </a:stretch>
                  </pic:blipFill>
                  <pic:spPr bwMode="auto">
                    <a:xfrm>
                      <a:off x="0" y="0"/>
                      <a:ext cx="3014345" cy="25400"/>
                    </a:xfrm>
                    <a:prstGeom prst="rect">
                      <a:avLst/>
                    </a:prstGeom>
                    <a:noFill/>
                  </pic:spPr>
                </pic:pic>
              </a:graphicData>
            </a:graphic>
          </wp:anchor>
        </w:drawing>
      </w:r>
    </w:p>
    <w:p>
      <w:pPr>
        <w:ind w:left="181" w:hanging="180"/>
        <w:spacing w:after="0"/>
        <w:tabs>
          <w:tab w:leader="none" w:pos="181" w:val="left"/>
        </w:tabs>
        <w:numPr>
          <w:ilvl w:val="0"/>
          <w:numId w:val="35"/>
        </w:numPr>
        <w:rPr>
          <w:rFonts w:ascii="Arial" w:cs="Arial" w:eastAsia="Arial" w:hAnsi="Arial"/>
          <w:sz w:val="12"/>
          <w:szCs w:val="12"/>
          <w:color w:val="auto"/>
        </w:rPr>
      </w:pPr>
      <w:r>
        <w:rPr>
          <w:rFonts w:ascii="Arial" w:cs="Arial" w:eastAsia="Arial" w:hAnsi="Arial"/>
          <w:sz w:val="18"/>
          <w:szCs w:val="18"/>
          <w:color w:val="auto"/>
        </w:rPr>
        <w:t>Acute care represents hospital health systems.</w:t>
      </w:r>
    </w:p>
    <w:p>
      <w:pPr>
        <w:spacing w:after="0" w:line="6" w:lineRule="exact"/>
        <w:rPr>
          <w:rFonts w:ascii="Arial" w:cs="Arial" w:eastAsia="Arial" w:hAnsi="Arial"/>
          <w:sz w:val="12"/>
          <w:szCs w:val="12"/>
          <w:color w:val="auto"/>
        </w:rPr>
      </w:pPr>
    </w:p>
    <w:p>
      <w:pPr>
        <w:ind w:left="161" w:hanging="161"/>
        <w:spacing w:after="0"/>
        <w:tabs>
          <w:tab w:leader="none" w:pos="161" w:val="left"/>
        </w:tabs>
        <w:numPr>
          <w:ilvl w:val="0"/>
          <w:numId w:val="35"/>
        </w:numPr>
        <w:rPr>
          <w:rFonts w:ascii="Arial" w:cs="Arial" w:eastAsia="Arial" w:hAnsi="Arial"/>
          <w:sz w:val="11"/>
          <w:szCs w:val="11"/>
          <w:color w:val="auto"/>
        </w:rPr>
      </w:pPr>
      <w:r>
        <w:rPr>
          <w:rFonts w:ascii="Arial" w:cs="Arial" w:eastAsia="Arial" w:hAnsi="Arial"/>
          <w:sz w:val="17"/>
          <w:szCs w:val="17"/>
          <w:color w:val="auto"/>
        </w:rPr>
        <w:t>Non-Acute care represents other sites of care including outpatient, post acute, physician’s office, surgery centers, and all other.</w:t>
      </w:r>
    </w:p>
    <w:p>
      <w:pPr>
        <w:spacing w:after="0" w:line="305" w:lineRule="exact"/>
        <w:rPr>
          <w:sz w:val="20"/>
          <w:szCs w:val="20"/>
          <w:color w:val="auto"/>
        </w:rPr>
      </w:pPr>
    </w:p>
    <w:tbl>
      <w:tblPr>
        <w:tblLayout w:type="fixed"/>
        <w:tblInd w:w="1" w:type="dxa"/>
        <w:tblCellMar>
          <w:top w:w="0" w:type="dxa"/>
          <w:left w:w="0" w:type="dxa"/>
          <w:bottom w:w="0" w:type="dxa"/>
          <w:right w:w="0" w:type="dxa"/>
        </w:tblCellMar>
      </w:tblPr>
      <w:tr>
        <w:trPr>
          <w:trHeight w:val="249"/>
        </w:trPr>
        <w:tc>
          <w:tcPr>
            <w:tcW w:w="60" w:type="dxa"/>
            <w:vAlign w:val="bottom"/>
            <w:tcBorders>
              <w:bottom w:val="single" w:sz="8" w:color="E6E6E6"/>
            </w:tcBorders>
          </w:tcPr>
          <w:p>
            <w:pPr>
              <w:spacing w:after="0"/>
              <w:rPr>
                <w:sz w:val="21"/>
                <w:szCs w:val="21"/>
                <w:color w:val="auto"/>
              </w:rPr>
            </w:pPr>
          </w:p>
        </w:tc>
        <w:tc>
          <w:tcPr>
            <w:tcW w:w="662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December 31, 2025</w:t>
            </w:r>
          </w:p>
        </w:tc>
        <w:tc>
          <w:tcPr>
            <w:tcW w:w="60" w:type="dxa"/>
            <w:vAlign w:val="bottom"/>
            <w:tcBorders>
              <w:bottom w:val="single" w:sz="8" w:color="E6E6E6"/>
            </w:tcBorders>
          </w:tcPr>
          <w:p>
            <w:pPr>
              <w:spacing w:after="0"/>
              <w:rPr>
                <w:sz w:val="21"/>
                <w:szCs w:val="2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December 31, 2024</w:t>
            </w:r>
          </w:p>
        </w:tc>
      </w:tr>
      <w:tr>
        <w:trPr>
          <w:trHeight w:val="252"/>
        </w:trPr>
        <w:tc>
          <w:tcPr>
            <w:tcW w:w="60" w:type="dxa"/>
            <w:vAlign w:val="bottom"/>
            <w:shd w:val="clear" w:color="auto" w:fill="E6E6E6"/>
          </w:tcPr>
          <w:p>
            <w:pPr>
              <w:spacing w:after="0"/>
              <w:rPr>
                <w:sz w:val="21"/>
                <w:szCs w:val="21"/>
                <w:color w:val="auto"/>
              </w:rPr>
            </w:pPr>
          </w:p>
        </w:tc>
        <w:tc>
          <w:tcPr>
            <w:tcW w:w="662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 xml:space="preserve">Long-lived assets by geographical area </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60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8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r>
      <w:tr>
        <w:trPr>
          <w:trHeight w:val="275"/>
        </w:trPr>
        <w:tc>
          <w:tcPr>
            <w:tcW w:w="60" w:type="dxa"/>
            <w:vAlign w:val="bottom"/>
            <w:tcBorders>
              <w:top w:val="single" w:sz="8" w:color="E6E6E6"/>
            </w:tcBorders>
          </w:tcPr>
          <w:p>
            <w:pPr>
              <w:spacing w:after="0"/>
              <w:rPr>
                <w:sz w:val="23"/>
                <w:szCs w:val="23"/>
                <w:color w:val="auto"/>
              </w:rPr>
            </w:pPr>
          </w:p>
        </w:tc>
        <w:tc>
          <w:tcPr>
            <w:tcW w:w="29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United States</w:t>
            </w:r>
          </w:p>
        </w:tc>
        <w:tc>
          <w:tcPr>
            <w:tcW w:w="3640" w:type="dxa"/>
            <w:vAlign w:val="bottom"/>
            <w:tcBorders>
              <w:top w:val="single" w:sz="8" w:color="E6E6E6"/>
            </w:tcBorders>
          </w:tcPr>
          <w:p>
            <w:pPr>
              <w:spacing w:after="0"/>
              <w:rPr>
                <w:sz w:val="23"/>
                <w:szCs w:val="23"/>
                <w:color w:val="auto"/>
              </w:rPr>
            </w:pPr>
          </w:p>
        </w:tc>
        <w:tc>
          <w:tcPr>
            <w:tcW w:w="600" w:type="dxa"/>
            <w:vAlign w:val="bottom"/>
            <w:tcBorders>
              <w:top w:val="single" w:sz="8" w:color="E6E6E6"/>
            </w:tcBorders>
          </w:tcPr>
          <w:p>
            <w:pPr>
              <w:ind w:lef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rPr>
              <w:t>4,433</w:t>
            </w:r>
          </w:p>
        </w:tc>
        <w:tc>
          <w:tcPr>
            <w:tcW w:w="640" w:type="dxa"/>
            <w:vAlign w:val="bottom"/>
            <w:tcBorders>
              <w:top w:val="single" w:sz="8" w:color="E6E6E6"/>
            </w:tcBorders>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rPr>
              <w:t>4,329</w:t>
            </w:r>
          </w:p>
        </w:tc>
      </w:tr>
      <w:tr>
        <w:trPr>
          <w:trHeight w:val="297"/>
        </w:trPr>
        <w:tc>
          <w:tcPr>
            <w:tcW w:w="60" w:type="dxa"/>
            <w:vAlign w:val="bottom"/>
            <w:tcBorders>
              <w:bottom w:val="single" w:sz="8" w:color="E6E6E6"/>
            </w:tcBorders>
            <w:shd w:val="clear" w:color="auto" w:fill="E6E6E6"/>
          </w:tcPr>
          <w:p>
            <w:pPr>
              <w:spacing w:after="0"/>
              <w:rPr>
                <w:sz w:val="24"/>
                <w:szCs w:val="24"/>
                <w:color w:val="auto"/>
              </w:rPr>
            </w:pPr>
          </w:p>
        </w:tc>
        <w:tc>
          <w:tcPr>
            <w:tcW w:w="6620" w:type="dxa"/>
            <w:vAlign w:val="bottom"/>
            <w:tcBorders>
              <w:bottom w:val="single" w:sz="8" w:color="E6E6E6"/>
            </w:tcBorders>
            <w:gridSpan w:val="2"/>
            <w:shd w:val="clear" w:color="auto" w:fill="E6E6E6"/>
          </w:tcPr>
          <w:p>
            <w:pPr>
              <w:ind w:left="220"/>
              <w:spacing w:after="0"/>
              <w:rPr>
                <w:sz w:val="20"/>
                <w:szCs w:val="20"/>
                <w:color w:val="auto"/>
              </w:rPr>
            </w:pPr>
            <w:r>
              <w:rPr>
                <w:rFonts w:ascii="Arial" w:cs="Arial" w:eastAsia="Arial" w:hAnsi="Arial"/>
                <w:sz w:val="18"/>
                <w:szCs w:val="18"/>
                <w:color w:val="auto"/>
              </w:rPr>
              <w:t>International</w:t>
            </w:r>
          </w:p>
        </w:tc>
        <w:tc>
          <w:tcPr>
            <w:tcW w:w="6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777</w:t>
            </w:r>
          </w:p>
        </w:tc>
        <w:tc>
          <w:tcPr>
            <w:tcW w:w="60" w:type="dxa"/>
            <w:vAlign w:val="bottom"/>
            <w:tcBorders>
              <w:bottom w:val="single" w:sz="8" w:color="auto"/>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650</w:t>
            </w:r>
          </w:p>
        </w:tc>
      </w:tr>
      <w:tr>
        <w:trPr>
          <w:trHeight w:val="224"/>
        </w:trPr>
        <w:tc>
          <w:tcPr>
            <w:tcW w:w="60" w:type="dxa"/>
            <w:vAlign w:val="bottom"/>
          </w:tcPr>
          <w:p>
            <w:pPr>
              <w:spacing w:after="0"/>
              <w:rPr>
                <w:sz w:val="19"/>
                <w:szCs w:val="19"/>
                <w:color w:val="auto"/>
              </w:rPr>
            </w:pPr>
          </w:p>
        </w:tc>
        <w:tc>
          <w:tcPr>
            <w:tcW w:w="6620" w:type="dxa"/>
            <w:vAlign w:val="bottom"/>
            <w:gridSpan w:val="2"/>
          </w:tcPr>
          <w:p>
            <w:pPr>
              <w:ind w:left="460"/>
              <w:spacing w:after="0"/>
              <w:rPr>
                <w:sz w:val="20"/>
                <w:szCs w:val="20"/>
                <w:color w:val="auto"/>
              </w:rPr>
            </w:pPr>
            <w:r>
              <w:rPr>
                <w:rFonts w:ascii="Arial" w:cs="Arial" w:eastAsia="Arial" w:hAnsi="Arial"/>
                <w:sz w:val="18"/>
                <w:szCs w:val="18"/>
                <w:b w:val="1"/>
                <w:bCs w:val="1"/>
                <w:color w:val="auto"/>
              </w:rPr>
              <w:t>Consolidated long-lived assets, net</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5,210</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4,979</w:t>
            </w:r>
          </w:p>
        </w:tc>
      </w:tr>
      <w:tr>
        <w:trPr>
          <w:trHeight w:val="20"/>
        </w:trPr>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-747395</wp:posOffset>
            </wp:positionV>
            <wp:extent cx="20059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61">
                      <a:extLst>
                        <a:ext uri="{28A0092B-C50C-407E-A947-70E740481C1C}"/>
                      </a:extLst>
                    </a:blip>
                    <a:srcRect/>
                    <a:stretch>
                      <a:fillRect/>
                    </a:stretch>
                  </pic:blipFill>
                  <pic:spPr bwMode="auto">
                    <a:xfrm>
                      <a:off x="0" y="0"/>
                      <a:ext cx="2005965"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-210185</wp:posOffset>
            </wp:positionV>
            <wp:extent cx="20059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62">
                      <a:extLst>
                        <a:ext uri="{28A0092B-C50C-407E-A947-70E740481C1C}"/>
                      </a:extLst>
                    </a:blip>
                    <a:srcRect/>
                    <a:stretch>
                      <a:fillRect/>
                    </a:stretch>
                  </pic:blipFill>
                  <pic:spPr bwMode="auto">
                    <a:xfrm>
                      <a:off x="0" y="0"/>
                      <a:ext cx="2005965" cy="25400"/>
                    </a:xfrm>
                    <a:prstGeom prst="rect">
                      <a:avLst/>
                    </a:prstGeom>
                    <a:noFill/>
                  </pic:spPr>
                </pic:pic>
              </a:graphicData>
            </a:graphic>
          </wp:anchor>
        </w:drawing>
      </w:r>
    </w:p>
    <w:p>
      <w:pPr>
        <w:ind w:left="161" w:hanging="160"/>
        <w:spacing w:after="0"/>
        <w:tabs>
          <w:tab w:leader="none" w:pos="161" w:val="left"/>
        </w:tabs>
        <w:numPr>
          <w:ilvl w:val="0"/>
          <w:numId w:val="36"/>
        </w:numPr>
        <w:rPr>
          <w:rFonts w:ascii="Arial" w:cs="Arial" w:eastAsia="Arial" w:hAnsi="Arial"/>
          <w:sz w:val="12"/>
          <w:szCs w:val="12"/>
          <w:color w:val="auto"/>
        </w:rPr>
      </w:pPr>
      <w:r>
        <w:rPr>
          <w:rFonts w:ascii="Arial" w:cs="Arial" w:eastAsia="Arial" w:hAnsi="Arial"/>
          <w:sz w:val="18"/>
          <w:szCs w:val="18"/>
          <w:color w:val="auto"/>
        </w:rPr>
        <w:t>Includes property, plant, and equipment, net, and operating lease right-of-use assets.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NOTE 21 - SUBSEQUENT EVENTS</w:t>
      </w:r>
    </w:p>
    <w:p>
      <w:pPr>
        <w:spacing w:after="0" w:line="252" w:lineRule="exact"/>
        <w:rPr>
          <w:sz w:val="20"/>
          <w:szCs w:val="20"/>
          <w:color w:val="auto"/>
        </w:rPr>
      </w:pPr>
    </w:p>
    <w:p>
      <w:pPr>
        <w:ind w:left="1" w:right="20"/>
        <w:spacing w:after="0" w:line="278" w:lineRule="auto"/>
        <w:rPr>
          <w:sz w:val="20"/>
          <w:szCs w:val="20"/>
          <w:color w:val="auto"/>
        </w:rPr>
      </w:pPr>
      <w:r>
        <w:rPr>
          <w:rFonts w:ascii="Arial" w:cs="Arial" w:eastAsia="Arial" w:hAnsi="Arial"/>
          <w:sz w:val="20"/>
          <w:szCs w:val="20"/>
          <w:color w:val="auto"/>
        </w:rPr>
        <w:t>The Company has evaluated its consolidated financial statements for subsequent events through February 25, 2026, the date the consolidated financial statements were available to be issued.</w:t>
      </w:r>
    </w:p>
    <w:p>
      <w:pPr>
        <w:sectPr>
          <w:pgSz w:w="11880" w:h="15480" w:orient="portrait"/>
          <w:cols w:equalWidth="0" w:num="1">
            <w:col w:w="9821"/>
          </w:cols>
          <w:pgMar w:left="1039" w:top="637"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601"/>
        <w:spacing w:after="0"/>
        <w:rPr>
          <w:sz w:val="20"/>
          <w:szCs w:val="20"/>
          <w:color w:val="auto"/>
        </w:rPr>
      </w:pPr>
      <w:r>
        <w:rPr>
          <w:rFonts w:ascii="Arial" w:cs="Arial" w:eastAsia="Arial" w:hAnsi="Arial"/>
          <w:sz w:val="11"/>
          <w:szCs w:val="11"/>
          <w:color w:val="auto"/>
        </w:rPr>
        <w:t>134</w:t>
      </w:r>
    </w:p>
    <w:p>
      <w:pPr>
        <w:sectPr>
          <w:pgSz w:w="11880" w:h="15480" w:orient="portrait"/>
          <w:cols w:equalWidth="0" w:num="1">
            <w:col w:w="9821"/>
          </w:cols>
          <w:pgMar w:left="1039" w:top="637" w:right="102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Annual Report.</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that evaluation, the Company’s principal executive officer and principal financial officer concluded that, as of the end of the period covered by this Annual Report, the Company’s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This Annual Report does not include a report of management’s assessments regarding internal controls over financial reporting or an attestation report of our independent registered public accounting firm due to a transition period established by the rules of the SEC for newly public companies.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There were no changes in our internal controls over financial reporting identified in connection with the evaluation required by Rules 13a-15(d) and 15d-15(d) of the Exchange Act during the quarter ended December 31, 2025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w:t>
      </w: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Plan Arrangements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the fiscal quarter ended December 31, 2025, none of our directors or officers (as defined in Rule 16a-1(f) of the Exchange Act) adopted or terminated a "Rule 10b5-1 trading arrangement" or a "non-Rule 10b5-1 trading arrangement" as such terms are defined under Item 408 of Regulation S-K.</w:t>
      </w:r>
    </w:p>
    <w:p>
      <w:pPr>
        <w:sectPr>
          <w:pgSz w:w="11880" w:h="15480" w:orient="portrait"/>
          <w:cols w:equalWidth="0" w:num="1">
            <w:col w:w="9800"/>
          </w:cols>
          <w:pgMar w:left="1040" w:top="52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135</w:t>
      </w:r>
    </w:p>
    <w:p>
      <w:pPr>
        <w:sectPr>
          <w:pgSz w:w="11880" w:h="15480" w:orient="portrait"/>
          <w:cols w:equalWidth="0" w:num="1">
            <w:col w:w="9800"/>
          </w:cols>
          <w:pgMar w:left="1040" w:top="523" w:right="104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b w:val="1"/>
          <w:bCs w:val="1"/>
          <w:i w:val="1"/>
          <w:iCs w:val="1"/>
          <w:color w:val="auto"/>
        </w:rPr>
        <w:t>Designation of Principal Accounting Officer</w:t>
      </w:r>
    </w:p>
    <w:p>
      <w:pPr>
        <w:spacing w:after="0" w:line="289"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On February 24, 2026, our Board of Directors designated Jessi L. Corcoran, our Chief Accounting Officer, as our principal accounting officer, effective as of February 24, 2026. Ms. Corcoran assumes the designation of principal accounting officer from Michael B. Drazin, who continues in his capacity as our Chief Financial Officer and principal financial officer.</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Ms. Corcoran, age 43, has served as our Chief Accounting Officer since November 2025. Prior to joining the Company, she served in a series of senior accounting roles at JBT Marel Corporation (formerly JBT Corporation), a global technology solutions and service provider to the food and beverage industry, from June 2015 through November 2025, most recently serving as Chief Accounting Officer beginning August 2018. Prior to JBT Marel Corporation, she worked in the Audit &amp; Assurance practice at Deloitte for nine years, with increasing levels of responsibility through senior manager. Ms. Corcoran received her B.S. in Accounting from the University of Arizona.</w:t>
      </w:r>
    </w:p>
    <w:p>
      <w:pPr>
        <w:spacing w:after="0" w:line="241"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Ms. Corcoran was not selected pursuant to any arrangement or understanding between her and any other person. Ms. Corcoran has no familial relationships with any of our directors or executive officers, and there are no transactions between Ms. Corcoran and the Company that would require disclosure under Item 404(a) of Regulation S-K.</w:t>
      </w:r>
    </w:p>
    <w:p>
      <w:pPr>
        <w:spacing w:after="0" w:line="154" w:lineRule="exact"/>
        <w:rPr>
          <w:sz w:val="20"/>
          <w:szCs w:val="20"/>
          <w:color w:val="auto"/>
        </w:rPr>
      </w:pPr>
    </w:p>
    <w:p>
      <w:pPr>
        <w:ind w:right="3240"/>
        <w:spacing w:after="0" w:line="371"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Not applicable.</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64"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w:t>
      </w:r>
    </w:p>
    <w:p>
      <w:pPr>
        <w:sectPr>
          <w:pgSz w:w="11880" w:h="15480" w:orient="portrait"/>
          <w:cols w:equalWidth="0" w:num="1">
            <w:col w:w="9800"/>
          </w:cols>
          <w:pgMar w:left="1040" w:top="52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136</w:t>
      </w:r>
    </w:p>
    <w:p>
      <w:pPr>
        <w:sectPr>
          <w:pgSz w:w="11880" w:h="15480" w:orient="portrait"/>
          <w:cols w:equalWidth="0" w:num="1">
            <w:col w:w="9800"/>
          </w:cols>
          <w:pgMar w:left="1040" w:top="521" w:right="1040" w:bottom="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PART IV</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(a)(1) Financial Statements</w:t>
      </w: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Our consolidated financial statements are listed in the “Index to the Consolidated Financial Statements” under Part II, Item 8 of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(a)(2) Financial Statement Schedules</w:t>
      </w: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All other schedules are omitted because they are not applicable, not required, or because the required information is otherwise included in the consolidated financial statements or Notes thereto.</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(a)(3)</w:t>
        <w:tab/>
        <w:t>Exhibits.</w:t>
      </w: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exhibits listed below are filed or furnished, as applicable, as part of this Annual Report and are incorporated herein by reference, in each case as indicated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400" w:type="dxa"/>
            <w:vAlign w:val="bottom"/>
            <w:gridSpan w:val="4"/>
          </w:tcPr>
          <w:p>
            <w:pPr>
              <w:jc w:val="right"/>
              <w:ind w:right="3620"/>
              <w:spacing w:after="0"/>
              <w:rPr>
                <w:sz w:val="20"/>
                <w:szCs w:val="20"/>
                <w:color w:val="auto"/>
              </w:rPr>
            </w:pPr>
            <w:r>
              <w:rPr>
                <w:rFonts w:ascii="Arial" w:cs="Arial" w:eastAsia="Arial" w:hAnsi="Arial"/>
                <w:sz w:val="20"/>
                <w:szCs w:val="20"/>
                <w:b w:val="1"/>
                <w:bCs w:val="1"/>
                <w:color w:val="auto"/>
              </w:rPr>
              <w:t>EXHIBIT INDEX</w:t>
            </w:r>
          </w:p>
        </w:tc>
      </w:tr>
      <w:tr>
        <w:trPr>
          <w:trHeight w:val="652"/>
        </w:trPr>
        <w:tc>
          <w:tcPr>
            <w:tcW w:w="1180" w:type="dxa"/>
            <w:vAlign w:val="bottom"/>
            <w:gridSpan w:val="2"/>
          </w:tcPr>
          <w:p>
            <w:pPr>
              <w:spacing w:after="0"/>
              <w:rPr>
                <w:sz w:val="20"/>
                <w:szCs w:val="20"/>
                <w:color w:val="auto"/>
              </w:rPr>
            </w:pPr>
            <w:r>
              <w:rPr>
                <w:rFonts w:ascii="Arial" w:cs="Arial" w:eastAsia="Arial" w:hAnsi="Arial"/>
                <w:sz w:val="20"/>
                <w:szCs w:val="20"/>
                <w:b w:val="1"/>
                <w:bCs w:val="1"/>
                <w:color w:val="auto"/>
              </w:rPr>
              <w:t>Exhibit</w:t>
            </w:r>
          </w:p>
        </w:tc>
        <w:tc>
          <w:tcPr>
            <w:tcW w:w="1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1"/>
        </w:trPr>
        <w:tc>
          <w:tcPr>
            <w:tcW w:w="1180" w:type="dxa"/>
            <w:vAlign w:val="bottom"/>
            <w:gridSpan w:val="2"/>
          </w:tcPr>
          <w:p>
            <w:pPr>
              <w:spacing w:after="0"/>
              <w:rPr>
                <w:sz w:val="20"/>
                <w:szCs w:val="20"/>
                <w:color w:val="auto"/>
              </w:rPr>
            </w:pPr>
            <w:r>
              <w:rPr>
                <w:rFonts w:ascii="Arial" w:cs="Arial" w:eastAsia="Arial" w:hAnsi="Arial"/>
                <w:sz w:val="20"/>
                <w:szCs w:val="20"/>
                <w:b w:val="1"/>
                <w:bCs w:val="1"/>
                <w:color w:val="auto"/>
              </w:rPr>
              <w:t>No.</w:t>
            </w:r>
          </w:p>
        </w:tc>
        <w:tc>
          <w:tcPr>
            <w:tcW w:w="4240" w:type="dxa"/>
            <w:vAlign w:val="bottom"/>
            <w:gridSpan w:val="2"/>
          </w:tcPr>
          <w:p>
            <w:pPr>
              <w:spacing w:after="0"/>
              <w:rPr>
                <w:sz w:val="20"/>
                <w:szCs w:val="20"/>
                <w:color w:val="auto"/>
              </w:rPr>
            </w:pPr>
            <w:r>
              <w:rPr>
                <w:rFonts w:ascii="Arial" w:cs="Arial" w:eastAsia="Arial" w:hAnsi="Arial"/>
                <w:sz w:val="20"/>
                <w:szCs w:val="20"/>
                <w:b w:val="1"/>
                <w:bCs w:val="1"/>
                <w:color w:val="auto"/>
              </w:rPr>
              <w:t>Description of Exhibit</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840" w:type="dxa"/>
            <w:vAlign w:val="bottom"/>
            <w:tcBorders>
              <w:top w:val="single" w:sz="8" w:color="auto"/>
            </w:tcBorders>
          </w:tcPr>
          <w:p>
            <w:pPr>
              <w:spacing w:after="0" w:line="196" w:lineRule="exact"/>
              <w:rPr>
                <w:sz w:val="20"/>
                <w:szCs w:val="20"/>
                <w:color w:val="auto"/>
              </w:rPr>
            </w:pPr>
            <w:r>
              <w:rPr>
                <w:rFonts w:ascii="Arial" w:cs="Arial" w:eastAsia="Arial" w:hAnsi="Arial"/>
                <w:sz w:val="20"/>
                <w:szCs w:val="20"/>
                <w:color w:val="auto"/>
              </w:rPr>
              <w:t>3.1</w:t>
            </w:r>
          </w:p>
        </w:tc>
        <w:tc>
          <w:tcPr>
            <w:tcW w:w="340" w:type="dxa"/>
            <w:vAlign w:val="bottom"/>
          </w:tcPr>
          <w:p>
            <w:pPr>
              <w:spacing w:after="0"/>
              <w:rPr>
                <w:sz w:val="17"/>
                <w:szCs w:val="17"/>
                <w:color w:val="auto"/>
              </w:rPr>
            </w:pPr>
          </w:p>
        </w:tc>
        <w:tc>
          <w:tcPr>
            <w:tcW w:w="8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20"/>
                <w:szCs w:val="20"/>
                <w:color w:val="auto"/>
                <w:w w:val="93"/>
              </w:rPr>
              <w:t>Amended and Restated Certificate of Incorporation of the Registrant (incorporated by reference to</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gridSpan w:val="5"/>
          </w:tcPr>
          <w:p>
            <w:pPr>
              <w:spacing w:after="0"/>
              <w:rPr>
                <w:sz w:val="20"/>
                <w:szCs w:val="20"/>
                <w:color w:val="auto"/>
              </w:rPr>
            </w:pPr>
            <w:r>
              <w:rPr>
                <w:rFonts w:ascii="Arial" w:cs="Arial" w:eastAsia="Arial" w:hAnsi="Arial"/>
                <w:sz w:val="20"/>
                <w:szCs w:val="20"/>
                <w:color w:val="auto"/>
              </w:rPr>
              <w:t>Exhibit 3.1 to the Registrant’s Current Report on Form 8-K filed on December 22, 2025)</w:t>
            </w: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920" w:type="dxa"/>
            <w:vAlign w:val="bottom"/>
            <w:gridSpan w:val="2"/>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4"/>
        </w:trPr>
        <w:tc>
          <w:tcPr>
            <w:tcW w:w="840" w:type="dxa"/>
            <w:vAlign w:val="bottom"/>
          </w:tcPr>
          <w:p>
            <w:pPr>
              <w:spacing w:after="0"/>
              <w:rPr>
                <w:sz w:val="20"/>
                <w:szCs w:val="20"/>
                <w:color w:val="auto"/>
              </w:rPr>
            </w:pPr>
            <w:r>
              <w:rPr>
                <w:rFonts w:ascii="Arial" w:cs="Arial" w:eastAsia="Arial" w:hAnsi="Arial"/>
                <w:sz w:val="20"/>
                <w:szCs w:val="20"/>
                <w:color w:val="auto"/>
              </w:rPr>
              <w:t>3.2</w:t>
            </w: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5"/>
              </w:rPr>
              <w:t>Amended and Restated Bylaws of the Registrant (incorporated by reference to Exhibit 3.2 to the</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Registrant’s Current Report on Form 8-K filed on December 22, 2025)</w:t>
            </w:r>
          </w:p>
        </w:tc>
        <w:tc>
          <w:tcPr>
            <w:tcW w:w="2480" w:type="dxa"/>
            <w:vAlign w:val="bottom"/>
            <w:gridSpan w:val="2"/>
          </w:tcPr>
          <w:p>
            <w:pPr>
              <w:spacing w:after="0"/>
              <w:rPr>
                <w:sz w:val="22"/>
                <w:szCs w:val="22"/>
                <w:color w:val="auto"/>
              </w:rPr>
            </w:pPr>
          </w:p>
        </w:tc>
      </w:tr>
      <w:tr>
        <w:trPr>
          <w:trHeight w:val="254"/>
        </w:trPr>
        <w:tc>
          <w:tcPr>
            <w:tcW w:w="840" w:type="dxa"/>
            <w:vAlign w:val="bottom"/>
          </w:tcPr>
          <w:p>
            <w:pPr>
              <w:spacing w:after="0"/>
              <w:rPr>
                <w:sz w:val="20"/>
                <w:szCs w:val="20"/>
                <w:color w:val="auto"/>
              </w:rPr>
            </w:pPr>
            <w:r>
              <w:rPr>
                <w:rFonts w:ascii="Arial" w:cs="Arial" w:eastAsia="Arial" w:hAnsi="Arial"/>
                <w:sz w:val="20"/>
                <w:szCs w:val="20"/>
                <w:color w:val="auto"/>
              </w:rPr>
              <w:t>4.1</w:t>
            </w: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9"/>
              </w:rPr>
              <w:t>Indenture, dated as of October  15, 2021, by and between Mozart Debt Merger Sub Inc. and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9"/>
              </w:rPr>
              <w:t>Wilmington Trust, National Association as trustee, paying agent, transfer agent and registrar</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(incorporated by reference to Exhibit 4.1 to the Registrant’s Registration Statement on Form S-1 filed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on October 28, 2025)</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20"/>
                <w:szCs w:val="20"/>
                <w:color w:val="auto"/>
              </w:rPr>
              <w:t>4.2</w:t>
            </w:r>
          </w:p>
        </w:tc>
        <w:tc>
          <w:tcPr>
            <w:tcW w:w="340" w:type="dxa"/>
            <w:vAlign w:val="bottom"/>
          </w:tcPr>
          <w:p>
            <w:pPr>
              <w:spacing w:after="0"/>
              <w:rPr>
                <w:sz w:val="22"/>
                <w:szCs w:val="22"/>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First Supplemental Indenture, dated as of October</w:t>
            </w:r>
          </w:p>
        </w:tc>
        <w:tc>
          <w:tcPr>
            <w:tcW w:w="3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w w:val="97"/>
              </w:rPr>
              <w:t>21, 2021, among each of the subsidiaries of</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(incorporated by reference to Exhibit 4.2 to the Registrant’s Registration Statement on Form S-1 filed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on October 28, 2025)</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20"/>
                <w:szCs w:val="20"/>
                <w:color w:val="auto"/>
              </w:rPr>
              <w:t>4.3</w:t>
            </w:r>
          </w:p>
        </w:tc>
        <w:tc>
          <w:tcPr>
            <w:tcW w:w="340" w:type="dxa"/>
            <w:vAlign w:val="bottom"/>
          </w:tcPr>
          <w:p>
            <w:pPr>
              <w:spacing w:after="0"/>
              <w:rPr>
                <w:sz w:val="22"/>
                <w:szCs w:val="22"/>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Second Supplemental Indenture, dated as of July</w:t>
            </w:r>
          </w:p>
        </w:tc>
        <w:tc>
          <w:tcPr>
            <w:tcW w:w="3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w w:val="97"/>
              </w:rPr>
              <w:t>19, 2024, among each of the subsidiaries of</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(incorporated by reference to Exhibit 4.3 to the Registrant’s Registration Statement on Form S-1 filed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on October 28, 2025)</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20"/>
                <w:szCs w:val="20"/>
                <w:color w:val="auto"/>
              </w:rPr>
              <w:t>4.4</w:t>
            </w: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3"/>
              </w:rPr>
              <w:t>Third Supplemental Indenture, dated as of December 20, 2024, among each of the subsidiaries of</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(incorporated by reference to Exhibit 4.4 to the Registrant’s Registration Statement on Form S-1 filed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on October 28, 2025)</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20"/>
                <w:szCs w:val="20"/>
                <w:color w:val="auto"/>
              </w:rPr>
              <w:t>4.5</w:t>
            </w: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Indenture, dated as of October 15, 2021, among Mozart Debt Merger Sub Inc. and Wilmington Trust,</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4"/>
              </w:rPr>
              <w:t>National Association as trustee, paying agent, transfer agent, registrar and notes collateral agent</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1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(incorporated by reference to Exhibit 4.5 to the Registrant’s Registration Statement on Form S-1 filed</w:t>
            </w:r>
          </w:p>
        </w:tc>
      </w:tr>
      <w:tr>
        <w:trPr>
          <w:trHeight w:val="255"/>
        </w:trPr>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on October 28, 2025)</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52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137</w:t>
      </w:r>
    </w:p>
    <w:p>
      <w:pPr>
        <w:sectPr>
          <w:pgSz w:w="11880" w:h="15480" w:orient="portrait"/>
          <w:cols w:equalWidth="0" w:num="1">
            <w:col w:w="9800"/>
          </w:cols>
          <w:pgMar w:left="1040" w:top="523" w:right="104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4.6</w:t>
            </w:r>
          </w:p>
        </w:tc>
        <w:tc>
          <w:tcPr>
            <w:tcW w:w="424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5"/>
              </w:rPr>
              <w:t>First Supplemental Indenture, dated as of October</w:t>
            </w:r>
          </w:p>
        </w:tc>
        <w:tc>
          <w:tcPr>
            <w:tcW w:w="3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20"/>
                <w:szCs w:val="20"/>
                <w:color w:val="auto"/>
                <w:w w:val="97"/>
              </w:rPr>
              <w:t>21, 2021, among each of the subsidiaries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(incorporated by reference to Exhibit 4.6 to the Registrant’s Registration Statement on Form S-1 filed</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on October 28,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4.7</w:t>
            </w:r>
          </w:p>
        </w:tc>
        <w:tc>
          <w:tcPr>
            <w:tcW w:w="424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6"/>
              </w:rPr>
              <w:t>Second Supplemental Indenture, dated as of July</w:t>
            </w:r>
          </w:p>
        </w:tc>
        <w:tc>
          <w:tcPr>
            <w:tcW w:w="3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20"/>
                <w:szCs w:val="20"/>
                <w:color w:val="auto"/>
                <w:w w:val="97"/>
              </w:rPr>
              <w:t>19, 2024, among each of the subsidiaries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(incorporated by reference to Exhibit 4.7 to the Registrant’s Registration Statement on Form S-1 filed</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on October 28,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4.8</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3"/>
              </w:rPr>
              <w:t>Third Supplemental Indenture, dated as of December 20, 2024, among each of the subsidiaries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rPr>
              <w:t>Medline Borrower, LP listed thereto and Wilmington Trust, National Association, as trustee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(incorporated by reference to Exhibit 4.8 to the Registrant’s Registration Statement on Form S-1 filed</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on October 28,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4.9</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6"/>
              </w:rPr>
              <w:t>Indenture, dated as of March  27, 2024, among Medline Borrower, LP, Medline Co-Issuer, Inc.,</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Medline Intermediate, LP, the Subsidiary Guarantors named therein and Wilmington Trust, National</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89"/>
              </w:rPr>
              <w:t>Association as trustee, paying agent, transfer agent, registrar and notes collateral agent (incorporated</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by reference to Exhibit 4.9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7"/>
              </w:rPr>
              <w:t>28, 2025)</w:t>
            </w: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20"/>
                <w:szCs w:val="20"/>
                <w:color w:val="auto"/>
              </w:rPr>
              <w:t>4.10</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First Supplemental Indenture, dated as of June 24, 2024, among each of the subsidiaries of Medline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5"/>
              </w:rPr>
              <w:t>Borrower, LP listed thereto and Wilmington Trust, National Association, as trustee and collateral</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agent (incorporated by reference to Exhibit 4.10 to the Registrant’s Registration Statement on Form</w:t>
            </w:r>
          </w:p>
        </w:tc>
      </w:tr>
      <w:tr>
        <w:trPr>
          <w:trHeight w:val="255"/>
        </w:trPr>
        <w:tc>
          <w:tcPr>
            <w:tcW w:w="1180" w:type="dxa"/>
            <w:vAlign w:val="bottom"/>
          </w:tcPr>
          <w:p>
            <w:pPr>
              <w:spacing w:after="0"/>
              <w:rPr>
                <w:sz w:val="22"/>
                <w:szCs w:val="22"/>
                <w:color w:val="auto"/>
              </w:rPr>
            </w:pPr>
          </w:p>
        </w:tc>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0"/>
              </w:rPr>
              <w:t>S-1 filed on October 28, 2025)</w:t>
            </w:r>
          </w:p>
        </w:tc>
        <w:tc>
          <w:tcPr>
            <w:tcW w:w="1800" w:type="dxa"/>
            <w:vAlign w:val="bottom"/>
            <w:gridSpan w:val="3"/>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4.11</w:t>
            </w:r>
          </w:p>
        </w:tc>
        <w:tc>
          <w:tcPr>
            <w:tcW w:w="424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6"/>
              </w:rPr>
              <w:t>Second Supplemental Indenture, dated as of July</w:t>
            </w:r>
          </w:p>
        </w:tc>
        <w:tc>
          <w:tcPr>
            <w:tcW w:w="3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20"/>
                <w:szCs w:val="20"/>
                <w:color w:val="auto"/>
                <w:w w:val="97"/>
              </w:rPr>
              <w:t>19, 2024, among each of the subsidiaries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6"/>
              </w:rPr>
              <w:t>Medline Borrower, LP listed thereto and Wilmington Trust, National Association, as trustee and</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collateral agent (incorporated by reference to Exhibit 4.11 to the Registrant’s Registration Statement</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on Form S-1 filed on October 28,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60" w:type="dxa"/>
            <w:vAlign w:val="bottom"/>
            <w:gridSpan w:val="4"/>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4.12</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3"/>
              </w:rPr>
              <w:t>Third Supplemental Indenture, dated as of December 20, 2024, among each of the subsidiaries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6"/>
              </w:rPr>
              <w:t>Medline Borrower, LP listed thereto and Wilmington Trust, National Association, as trustee and</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collateral agent (incorporated by reference to Exhibit 4.12 to the Registrant’s Registration Statement</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on Form S-1 filed on October 28,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60" w:type="dxa"/>
            <w:vAlign w:val="bottom"/>
            <w:gridSpan w:val="4"/>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4.13</w:t>
            </w:r>
          </w:p>
        </w:tc>
        <w:tc>
          <w:tcPr>
            <w:tcW w:w="796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90"/>
              </w:rPr>
              <w:t>Description of Securities Registered pursuant to Section 12 of the Securities Exchange Act of 1934*</w:t>
            </w:r>
          </w:p>
        </w:tc>
        <w:tc>
          <w:tcPr>
            <w:tcW w:w="140" w:type="dxa"/>
            <w:vAlign w:val="bottom"/>
          </w:tcPr>
          <w:p>
            <w:pPr>
              <w:spacing w:after="0"/>
              <w:rPr>
                <w:sz w:val="22"/>
                <w:szCs w:val="22"/>
                <w:color w:val="auto"/>
              </w:rPr>
            </w:pPr>
          </w:p>
        </w:tc>
      </w:tr>
      <w:tr>
        <w:trPr>
          <w:trHeight w:val="262"/>
        </w:trPr>
        <w:tc>
          <w:tcPr>
            <w:tcW w:w="1180" w:type="dxa"/>
            <w:vAlign w:val="bottom"/>
          </w:tcPr>
          <w:p>
            <w:pPr>
              <w:spacing w:after="0"/>
              <w:rPr>
                <w:sz w:val="20"/>
                <w:szCs w:val="20"/>
                <w:color w:val="auto"/>
              </w:rPr>
            </w:pPr>
            <w:r>
              <w:rPr>
                <w:rFonts w:ascii="Arial" w:cs="Arial" w:eastAsia="Arial" w:hAnsi="Arial"/>
                <w:sz w:val="20"/>
                <w:szCs w:val="20"/>
                <w:color w:val="auto"/>
              </w:rPr>
              <w:t>10.1</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Second Amended and Restated Limited Partnership Agreement of Medline Holdings, LP, dated as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December 16, 2025 (incorporated by reference to Exhibit 10.1 to the Registrant’s Current Report on</w:t>
            </w:r>
          </w:p>
        </w:tc>
      </w:tr>
      <w:tr>
        <w:trPr>
          <w:trHeight w:val="255"/>
        </w:trPr>
        <w:tc>
          <w:tcPr>
            <w:tcW w:w="1180" w:type="dxa"/>
            <w:vAlign w:val="bottom"/>
          </w:tcPr>
          <w:p>
            <w:pPr>
              <w:spacing w:after="0"/>
              <w:rPr>
                <w:sz w:val="22"/>
                <w:szCs w:val="22"/>
                <w:color w:val="auto"/>
              </w:rPr>
            </w:pPr>
          </w:p>
        </w:tc>
        <w:tc>
          <w:tcPr>
            <w:tcW w:w="4240" w:type="dxa"/>
            <w:vAlign w:val="bottom"/>
            <w:gridSpan w:val="7"/>
          </w:tcPr>
          <w:p>
            <w:pPr>
              <w:spacing w:after="0"/>
              <w:rPr>
                <w:sz w:val="20"/>
                <w:szCs w:val="20"/>
                <w:color w:val="auto"/>
              </w:rPr>
            </w:pPr>
            <w:r>
              <w:rPr>
                <w:rFonts w:ascii="Arial" w:cs="Arial" w:eastAsia="Arial" w:hAnsi="Arial"/>
                <w:sz w:val="20"/>
                <w:szCs w:val="20"/>
                <w:color w:val="auto"/>
              </w:rPr>
              <w:t>Form 8-K filed on December 22, 2025)</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60" w:type="dxa"/>
            <w:vAlign w:val="bottom"/>
            <w:gridSpan w:val="4"/>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10.2</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Tax Receivable Agreement, dated as of December 16, 2025, by and among Medline Inc. and each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4"/>
              </w:rPr>
              <w:t>the other persons from time to time party thereto (incorporated by reference to Exhibit 10.2 to the</w:t>
            </w:r>
          </w:p>
        </w:tc>
      </w:tr>
      <w:tr>
        <w:trPr>
          <w:trHeight w:val="255"/>
        </w:trPr>
        <w:tc>
          <w:tcPr>
            <w:tcW w:w="1180" w:type="dxa"/>
            <w:vAlign w:val="bottom"/>
          </w:tcPr>
          <w:p>
            <w:pPr>
              <w:spacing w:after="0"/>
              <w:rPr>
                <w:sz w:val="22"/>
                <w:szCs w:val="22"/>
                <w:color w:val="auto"/>
              </w:rPr>
            </w:pPr>
          </w:p>
        </w:tc>
        <w:tc>
          <w:tcPr>
            <w:tcW w:w="562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Registrant’s Current Report on Form 8-K filed on December 22, 2025)</w:t>
            </w:r>
          </w:p>
        </w:tc>
        <w:tc>
          <w:tcPr>
            <w:tcW w:w="2480" w:type="dxa"/>
            <w:vAlign w:val="bottom"/>
            <w:gridSpan w:val="3"/>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10.3</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9"/>
              </w:rPr>
              <w:t>Exchange Agreement, dated as of December 16, 2025, by and among Medline Inc., Medline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rPr>
              <w:t>Holdings, LP and holders of Common Units from time to time party thereto (incorporated by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6"/>
              </w:rPr>
              <w:t>reference to Exhibit 10.3 to the Registrant’s Current Report on Form 8-K filed on December 22,</w:t>
            </w:r>
          </w:p>
        </w:tc>
      </w:tr>
      <w:tr>
        <w:trPr>
          <w:trHeight w:val="255"/>
        </w:trPr>
        <w:tc>
          <w:tcPr>
            <w:tcW w:w="1180" w:type="dxa"/>
            <w:vAlign w:val="bottom"/>
          </w:tcPr>
          <w:p>
            <w:pPr>
              <w:spacing w:after="0"/>
              <w:rPr>
                <w:sz w:val="22"/>
                <w:szCs w:val="22"/>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2025)</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8"/>
        </w:trPr>
        <w:tc>
          <w:tcPr>
            <w:tcW w:w="1180" w:type="dxa"/>
            <w:vAlign w:val="bottom"/>
          </w:tcPr>
          <w:p>
            <w:pPr>
              <w:spacing w:after="0"/>
              <w:rPr>
                <w:sz w:val="20"/>
                <w:szCs w:val="20"/>
                <w:color w:val="auto"/>
              </w:rPr>
            </w:pPr>
            <w:r>
              <w:rPr>
                <w:rFonts w:ascii="Arial" w:cs="Arial" w:eastAsia="Arial" w:hAnsi="Arial"/>
                <w:sz w:val="20"/>
                <w:szCs w:val="20"/>
                <w:color w:val="auto"/>
              </w:rPr>
              <w:t>10.4</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89"/>
              </w:rPr>
              <w:t>Registration Rights Agreement, dated as of December 16, 2025, by and among Medline Inc. and each</w:t>
            </w:r>
          </w:p>
        </w:tc>
      </w:tr>
      <w:tr>
        <w:trPr>
          <w:trHeight w:val="218"/>
        </w:trPr>
        <w:tc>
          <w:tcPr>
            <w:tcW w:w="1180" w:type="dxa"/>
            <w:vAlign w:val="bottom"/>
          </w:tcPr>
          <w:p>
            <w:pPr>
              <w:spacing w:after="0"/>
              <w:rPr>
                <w:sz w:val="18"/>
                <w:szCs w:val="18"/>
                <w:color w:val="auto"/>
              </w:rPr>
            </w:pPr>
          </w:p>
        </w:tc>
        <w:tc>
          <w:tcPr>
            <w:tcW w:w="8100" w:type="dxa"/>
            <w:vAlign w:val="bottom"/>
            <w:tcBorders>
              <w:bottom w:val="single" w:sz="8" w:color="auto"/>
            </w:tcBorders>
            <w:gridSpan w:val="12"/>
          </w:tcPr>
          <w:p>
            <w:pPr>
              <w:spacing w:after="0" w:line="218" w:lineRule="exact"/>
              <w:rPr>
                <w:sz w:val="20"/>
                <w:szCs w:val="20"/>
                <w:color w:val="auto"/>
              </w:rPr>
            </w:pPr>
            <w:r>
              <w:rPr>
                <w:rFonts w:ascii="Arial" w:cs="Arial" w:eastAsia="Arial" w:hAnsi="Arial"/>
                <w:sz w:val="20"/>
                <w:szCs w:val="20"/>
                <w:color w:val="auto"/>
                <w:w w:val="92"/>
              </w:rPr>
              <w:t>of the other persons from time to time party thereto (incorporated by reference to Exhibit 10.4 to the</w:t>
            </w:r>
          </w:p>
        </w:tc>
      </w:tr>
      <w:tr>
        <w:trPr>
          <w:trHeight w:val="218"/>
        </w:trPr>
        <w:tc>
          <w:tcPr>
            <w:tcW w:w="1180" w:type="dxa"/>
            <w:vAlign w:val="bottom"/>
          </w:tcPr>
          <w:p>
            <w:pPr>
              <w:spacing w:after="0"/>
              <w:rPr>
                <w:sz w:val="18"/>
                <w:szCs w:val="18"/>
                <w:color w:val="auto"/>
              </w:rPr>
            </w:pPr>
          </w:p>
        </w:tc>
        <w:tc>
          <w:tcPr>
            <w:tcW w:w="5660" w:type="dxa"/>
            <w:vAlign w:val="bottom"/>
            <w:tcBorders>
              <w:bottom w:val="single" w:sz="8" w:color="auto"/>
            </w:tcBorders>
            <w:gridSpan w:val="10"/>
          </w:tcPr>
          <w:p>
            <w:pPr>
              <w:spacing w:after="0" w:line="218" w:lineRule="exact"/>
              <w:rPr>
                <w:sz w:val="20"/>
                <w:szCs w:val="20"/>
                <w:color w:val="auto"/>
              </w:rPr>
            </w:pPr>
            <w:r>
              <w:rPr>
                <w:rFonts w:ascii="Arial" w:cs="Arial" w:eastAsia="Arial" w:hAnsi="Arial"/>
                <w:sz w:val="20"/>
                <w:szCs w:val="20"/>
                <w:color w:val="auto"/>
                <w:w w:val="91"/>
              </w:rPr>
              <w:t>Registrant’s Current Report on Form 8-K filed on December 22, 2025)</w:t>
            </w:r>
          </w:p>
        </w:tc>
        <w:tc>
          <w:tcPr>
            <w:tcW w:w="2440" w:type="dxa"/>
            <w:vAlign w:val="bottom"/>
            <w:gridSpan w:val="2"/>
          </w:tcPr>
          <w:p>
            <w:pPr>
              <w:spacing w:after="0"/>
              <w:rPr>
                <w:sz w:val="18"/>
                <w:szCs w:val="18"/>
                <w:color w:val="auto"/>
              </w:rPr>
            </w:pPr>
          </w:p>
        </w:tc>
      </w:tr>
      <w:tr>
        <w:trPr>
          <w:trHeight w:val="440"/>
        </w:trPr>
        <w:tc>
          <w:tcPr>
            <w:tcW w:w="1180" w:type="dxa"/>
            <w:vAlign w:val="bottom"/>
          </w:tcPr>
          <w:p>
            <w:pPr>
              <w:spacing w:after="0"/>
              <w:rPr>
                <w:sz w:val="20"/>
                <w:szCs w:val="20"/>
                <w:color w:val="auto"/>
              </w:rPr>
            </w:pPr>
            <w:r>
              <w:rPr>
                <w:rFonts w:ascii="Arial" w:cs="Arial" w:eastAsia="Arial" w:hAnsi="Arial"/>
                <w:sz w:val="20"/>
                <w:szCs w:val="20"/>
                <w:color w:val="auto"/>
              </w:rPr>
              <w:t>10.5.1</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Director Nomination Agreement, dated as of December 16, 2025, between Medline Inc. and entities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affiliated with Blackstone Inc. (incorporated by reference to Exhibit 10.5.1 to the Registrant’s Current</w:t>
            </w:r>
          </w:p>
        </w:tc>
      </w:tr>
      <w:tr>
        <w:trPr>
          <w:trHeight w:val="255"/>
        </w:trPr>
        <w:tc>
          <w:tcPr>
            <w:tcW w:w="1180" w:type="dxa"/>
            <w:vAlign w:val="bottom"/>
          </w:tcPr>
          <w:p>
            <w:pPr>
              <w:spacing w:after="0"/>
              <w:rPr>
                <w:sz w:val="22"/>
                <w:szCs w:val="22"/>
                <w:color w:val="auto"/>
              </w:rPr>
            </w:pPr>
          </w:p>
        </w:tc>
        <w:tc>
          <w:tcPr>
            <w:tcW w:w="39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0"/>
              </w:rPr>
              <w:t>Report on Form 8-K filed on December 22, 2025)</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10.5.2</w:t>
            </w: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1"/>
              </w:rPr>
              <w:t>Director Nomination Agreement, dated as of December 16, 2025, between Medline Inc. and entities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affiliated with The Carlyle Group Inc. (incorporated by reference to Exhibit 10.5.2 to the Registrant’s</w:t>
            </w:r>
          </w:p>
        </w:tc>
      </w:tr>
      <w:tr>
        <w:trPr>
          <w:trHeight w:val="255"/>
        </w:trPr>
        <w:tc>
          <w:tcPr>
            <w:tcW w:w="1180" w:type="dxa"/>
            <w:vAlign w:val="bottom"/>
          </w:tcPr>
          <w:p>
            <w:pPr>
              <w:spacing w:after="0"/>
              <w:rPr>
                <w:sz w:val="22"/>
                <w:szCs w:val="22"/>
                <w:color w:val="auto"/>
              </w:rPr>
            </w:pPr>
          </w:p>
        </w:tc>
        <w:tc>
          <w:tcPr>
            <w:tcW w:w="462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0"/>
              </w:rPr>
              <w:t>Current Report on Form 8-K filed on December 22, 2025)</w:t>
            </w:r>
          </w:p>
        </w:tc>
        <w:tc>
          <w:tcPr>
            <w:tcW w:w="3480" w:type="dxa"/>
            <w:vAlign w:val="bottom"/>
            <w:gridSpan w:val="4"/>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800"/>
          </w:cols>
          <w:pgMar w:left="1040" w:top="567" w:right="1040"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138</w:t>
      </w:r>
    </w:p>
    <w:p>
      <w:pPr>
        <w:sectPr>
          <w:pgSz w:w="11880" w:h="15480" w:orient="portrait"/>
          <w:cols w:equalWidth="0" w:num="1">
            <w:col w:w="9800"/>
          </w:cols>
          <w:pgMar w:left="1040" w:top="567" w:right="104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10.5.3</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1"/>
              </w:rPr>
              <w:t>Director Nomination Agreement, dated as of December 16, 2025, between Medline Inc. and entities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rPr>
              <w:t>affiliated with Hellman &amp; Friedman LLC (incorporated by reference to Exhibit 10.5.3 to the</w:t>
            </w:r>
          </w:p>
        </w:tc>
      </w:tr>
      <w:tr>
        <w:trPr>
          <w:trHeight w:val="255"/>
        </w:trPr>
        <w:tc>
          <w:tcPr>
            <w:tcW w:w="1180" w:type="dxa"/>
            <w:vAlign w:val="bottom"/>
          </w:tcPr>
          <w:p>
            <w:pPr>
              <w:spacing w:after="0"/>
              <w:rPr>
                <w:sz w:val="22"/>
                <w:szCs w:val="22"/>
                <w:color w:val="auto"/>
              </w:rPr>
            </w:pPr>
          </w:p>
        </w:tc>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Registrant’s Current Report on Form 8-K filed on December 22, 2025)</w:t>
            </w:r>
          </w:p>
        </w:tc>
        <w:tc>
          <w:tcPr>
            <w:tcW w:w="2480" w:type="dxa"/>
            <w:vAlign w:val="bottom"/>
            <w:gridSpan w:val="6"/>
          </w:tcPr>
          <w:p>
            <w:pPr>
              <w:spacing w:after="0"/>
              <w:rPr>
                <w:sz w:val="22"/>
                <w:szCs w:val="22"/>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10.5.4</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Family Director Nomination Agreement, dated as of December 16, 2025, between Medline Inc. and</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rPr>
              <w:t>entities affiliated with the Mills Family (incorporated by reference to Exhibit 10.5.4 to the</w:t>
            </w:r>
          </w:p>
        </w:tc>
      </w:tr>
      <w:tr>
        <w:trPr>
          <w:trHeight w:val="255"/>
        </w:trPr>
        <w:tc>
          <w:tcPr>
            <w:tcW w:w="1180" w:type="dxa"/>
            <w:vAlign w:val="bottom"/>
          </w:tcPr>
          <w:p>
            <w:pPr>
              <w:spacing w:after="0"/>
              <w:rPr>
                <w:sz w:val="22"/>
                <w:szCs w:val="22"/>
                <w:color w:val="auto"/>
              </w:rPr>
            </w:pPr>
          </w:p>
        </w:tc>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Registrant’s Current Report on Form 8-K filed on December 22, 2025)</w:t>
            </w:r>
          </w:p>
        </w:tc>
        <w:tc>
          <w:tcPr>
            <w:tcW w:w="2480" w:type="dxa"/>
            <w:vAlign w:val="bottom"/>
            <w:gridSpan w:val="6"/>
          </w:tcPr>
          <w:p>
            <w:pPr>
              <w:spacing w:after="0"/>
              <w:rPr>
                <w:sz w:val="22"/>
                <w:szCs w:val="22"/>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10.6</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Form of Indemnification Agreement (incorporated by reference to Exhibit 10.6 to the Registrant’s</w:t>
            </w:r>
          </w:p>
        </w:tc>
      </w:tr>
      <w:tr>
        <w:trPr>
          <w:trHeight w:val="255"/>
        </w:trPr>
        <w:tc>
          <w:tcPr>
            <w:tcW w:w="1180" w:type="dxa"/>
            <w:vAlign w:val="bottom"/>
          </w:tcPr>
          <w:p>
            <w:pPr>
              <w:spacing w:after="0"/>
              <w:rPr>
                <w:sz w:val="22"/>
                <w:szCs w:val="22"/>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Registration Statement on Form S-1 filed on October 28, 2025)</w:t>
            </w:r>
          </w:p>
        </w:tc>
        <w:tc>
          <w:tcPr>
            <w:tcW w:w="3080" w:type="dxa"/>
            <w:vAlign w:val="bottom"/>
            <w:gridSpan w:val="7"/>
          </w:tcPr>
          <w:p>
            <w:pPr>
              <w:spacing w:after="0"/>
              <w:rPr>
                <w:sz w:val="22"/>
                <w:szCs w:val="22"/>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10.7</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1"/>
              </w:rPr>
              <w:t>Support and Services Agreement, dated as of October 21, 2021, among Medline Holdings, LP (f/k/a</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Mozart Holdings, LP), Medline Industries, LP, Blackstone Capital Partners VIII L.P. and Blackstone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Management  Partners  L.L.C.  (incorporated  by  reference  to  Exhibit  10.7  to  the  Registrant’s</w:t>
            </w:r>
          </w:p>
        </w:tc>
      </w:tr>
      <w:tr>
        <w:trPr>
          <w:trHeight w:val="255"/>
        </w:trPr>
        <w:tc>
          <w:tcPr>
            <w:tcW w:w="1180" w:type="dxa"/>
            <w:vAlign w:val="bottom"/>
          </w:tcPr>
          <w:p>
            <w:pPr>
              <w:spacing w:after="0"/>
              <w:rPr>
                <w:sz w:val="22"/>
                <w:szCs w:val="22"/>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Registration Statement on Form S-1 filed on October 28, 2025)</w:t>
            </w:r>
          </w:p>
        </w:tc>
        <w:tc>
          <w:tcPr>
            <w:tcW w:w="3080" w:type="dxa"/>
            <w:vAlign w:val="bottom"/>
            <w:gridSpan w:val="7"/>
          </w:tcPr>
          <w:p>
            <w:pPr>
              <w:spacing w:after="0"/>
              <w:rPr>
                <w:sz w:val="22"/>
                <w:szCs w:val="22"/>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10.8</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1"/>
              </w:rPr>
              <w:t>Consulting Services Agreement, dated as of October 21, 2021, between Medline Holdings, LP (f/k/a</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6"/>
              </w:rPr>
              <w:t>Mozart Holdings, LP) and Carlyle Investment Management L.L.C. (incorporated by reference to</w:t>
            </w:r>
          </w:p>
        </w:tc>
      </w:tr>
      <w:tr>
        <w:trPr>
          <w:trHeight w:val="255"/>
        </w:trPr>
        <w:tc>
          <w:tcPr>
            <w:tcW w:w="1180" w:type="dxa"/>
            <w:vAlign w:val="bottom"/>
          </w:tcPr>
          <w:p>
            <w:pPr>
              <w:spacing w:after="0"/>
              <w:rPr>
                <w:sz w:val="22"/>
                <w:szCs w:val="22"/>
                <w:color w:val="auto"/>
              </w:rPr>
            </w:pPr>
          </w:p>
        </w:tc>
        <w:tc>
          <w:tcPr>
            <w:tcW w:w="8100" w:type="dxa"/>
            <w:vAlign w:val="bottom"/>
            <w:gridSpan w:val="9"/>
          </w:tcPr>
          <w:p>
            <w:pPr>
              <w:spacing w:after="0"/>
              <w:rPr>
                <w:sz w:val="20"/>
                <w:szCs w:val="20"/>
                <w:color w:val="auto"/>
              </w:rPr>
            </w:pPr>
            <w:r>
              <w:rPr>
                <w:rFonts w:ascii="Arial" w:cs="Arial" w:eastAsia="Arial" w:hAnsi="Arial"/>
                <w:sz w:val="20"/>
                <w:szCs w:val="20"/>
                <w:color w:val="auto"/>
                <w:w w:val="96"/>
              </w:rPr>
              <w:t>Exhibit 10.8 to the 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8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10.9</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6"/>
              </w:rPr>
              <w:t>Service Agreement, dated as of October 21, 2021, between Medline Holdings, LP (f/k/a Mozart</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9"/>
              </w:rPr>
              <w:t>Holdings, LP) and Hellman  &amp; Friedman LP (incorporated by reference to Exhibit 10.9 to the</w:t>
            </w:r>
          </w:p>
        </w:tc>
      </w:tr>
      <w:tr>
        <w:trPr>
          <w:trHeight w:val="255"/>
        </w:trPr>
        <w:tc>
          <w:tcPr>
            <w:tcW w:w="1180" w:type="dxa"/>
            <w:vAlign w:val="bottom"/>
          </w:tcPr>
          <w:p>
            <w:pPr>
              <w:spacing w:after="0"/>
              <w:rPr>
                <w:sz w:val="22"/>
                <w:szCs w:val="22"/>
                <w:color w:val="auto"/>
              </w:rPr>
            </w:pPr>
          </w:p>
        </w:tc>
        <w:tc>
          <w:tcPr>
            <w:tcW w:w="8100" w:type="dxa"/>
            <w:vAlign w:val="bottom"/>
            <w:gridSpan w:val="9"/>
          </w:tcPr>
          <w:p>
            <w:pPr>
              <w:spacing w:after="0"/>
              <w:rPr>
                <w:sz w:val="20"/>
                <w:szCs w:val="20"/>
                <w:color w:val="auto"/>
              </w:rPr>
            </w:pPr>
            <w:r>
              <w:rPr>
                <w:rFonts w:ascii="Arial" w:cs="Arial" w:eastAsia="Arial" w:hAnsi="Arial"/>
                <w:sz w:val="20"/>
                <w:szCs w:val="20"/>
                <w:color w:val="auto"/>
              </w:rPr>
              <w:t>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8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10.10</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6"/>
              </w:rPr>
              <w:t>Service Agreement, dated as of October 21, 2021, between Medline Holdings, LP (f/k/a Mozart</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1"/>
              </w:rPr>
              <w:t>Holdings, LP) and Mozart Holdco, Inc. (incorporated by reference to Exhibit 10.10 to the Registrant’s</w:t>
            </w:r>
          </w:p>
        </w:tc>
      </w:tr>
      <w:tr>
        <w:trPr>
          <w:trHeight w:val="255"/>
        </w:trPr>
        <w:tc>
          <w:tcPr>
            <w:tcW w:w="1180" w:type="dxa"/>
            <w:vAlign w:val="bottom"/>
          </w:tcPr>
          <w:p>
            <w:pPr>
              <w:spacing w:after="0"/>
              <w:rPr>
                <w:sz w:val="22"/>
                <w:szCs w:val="22"/>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Registration Statement on Form S-1 filed on October 28, 2025)</w:t>
            </w:r>
          </w:p>
        </w:tc>
        <w:tc>
          <w:tcPr>
            <w:tcW w:w="3080" w:type="dxa"/>
            <w:vAlign w:val="bottom"/>
            <w:gridSpan w:val="7"/>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10.11</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Medline Inc. 2025 Omnibus Incentive Plan (incorporated by reference to Exhibit 4.3 filed with the</w:t>
            </w:r>
          </w:p>
        </w:tc>
      </w:tr>
      <w:tr>
        <w:trPr>
          <w:trHeight w:val="255"/>
        </w:trPr>
        <w:tc>
          <w:tcPr>
            <w:tcW w:w="1180" w:type="dxa"/>
            <w:vAlign w:val="bottom"/>
          </w:tcPr>
          <w:p>
            <w:pPr>
              <w:spacing w:after="0"/>
              <w:rPr>
                <w:sz w:val="22"/>
                <w:szCs w:val="22"/>
                <w:color w:val="auto"/>
              </w:rPr>
            </w:pPr>
          </w:p>
        </w:tc>
        <w:tc>
          <w:tcPr>
            <w:tcW w:w="63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9"/>
              </w:rPr>
              <w:t>Registrant’s Registration Statement on Form S-8 filed on December 16, 2025)†</w:t>
            </w:r>
          </w:p>
        </w:tc>
        <w:tc>
          <w:tcPr>
            <w:tcW w:w="1800" w:type="dxa"/>
            <w:vAlign w:val="bottom"/>
            <w:gridSpan w:val="4"/>
          </w:tcPr>
          <w:p>
            <w:pPr>
              <w:spacing w:after="0"/>
              <w:rPr>
                <w:sz w:val="22"/>
                <w:szCs w:val="22"/>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10.12</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Employment Agreement between Medline Industries, LP and James M. Boyle, dated October 1, 2023</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(incorporated by reference to Exhibit 10.12 to the Registrant’s Registration Statement on Form S-1</w:t>
            </w:r>
          </w:p>
        </w:tc>
      </w:tr>
      <w:tr>
        <w:trPr>
          <w:trHeight w:val="255"/>
        </w:trPr>
        <w:tc>
          <w:tcPr>
            <w:tcW w:w="118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filed on October 28, 2025)†</w:t>
            </w:r>
          </w:p>
        </w:tc>
        <w:tc>
          <w:tcPr>
            <w:tcW w:w="5880" w:type="dxa"/>
            <w:vAlign w:val="bottom"/>
            <w:gridSpan w:val="8"/>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10.13</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Employment Agreement between Medline Industries, LP and James M. Pigott, dated October 1, 2023</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(incorporated by reference to Exhibit 10.13 to the Registrant’s Registration Statement on Form S-1</w:t>
            </w:r>
          </w:p>
        </w:tc>
      </w:tr>
      <w:tr>
        <w:trPr>
          <w:trHeight w:val="255"/>
        </w:trPr>
        <w:tc>
          <w:tcPr>
            <w:tcW w:w="1180" w:type="dxa"/>
            <w:vAlign w:val="bottom"/>
          </w:tcPr>
          <w:p>
            <w:pPr>
              <w:spacing w:after="0"/>
              <w:rPr>
                <w:sz w:val="22"/>
                <w:szCs w:val="22"/>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filed on October 28, 2025)†</w:t>
            </w:r>
          </w:p>
        </w:tc>
        <w:tc>
          <w:tcPr>
            <w:tcW w:w="5880" w:type="dxa"/>
            <w:vAlign w:val="bottom"/>
            <w:gridSpan w:val="8"/>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10.14</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1"/>
              </w:rPr>
              <w:t>Transition and Release Agreement by and among James M. Pigott, Medline Industries, LP, Medline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Management Aggregator LLC (f/k/a Mozart Management Aggregator LLC) and Medline Holdings,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LP (f/k/a Mozart Holdings, LP), dated October 14, 2024 (incorporated by reference to Exhibit 10.14</w:t>
            </w:r>
          </w:p>
        </w:tc>
      </w:tr>
      <w:tr>
        <w:trPr>
          <w:trHeight w:val="255"/>
        </w:trPr>
        <w:tc>
          <w:tcPr>
            <w:tcW w:w="1180" w:type="dxa"/>
            <w:vAlign w:val="bottom"/>
          </w:tcPr>
          <w:p>
            <w:pPr>
              <w:spacing w:after="0"/>
              <w:rPr>
                <w:sz w:val="22"/>
                <w:szCs w:val="22"/>
                <w:color w:val="auto"/>
              </w:rPr>
            </w:pPr>
          </w:p>
        </w:tc>
        <w:tc>
          <w:tcPr>
            <w:tcW w:w="662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89"/>
              </w:rPr>
              <w:t>to the Registrant’s Registration Statement on Form S-1 filed on October 28, 2025)†</w:t>
            </w:r>
          </w:p>
        </w:tc>
        <w:tc>
          <w:tcPr>
            <w:tcW w:w="1480" w:type="dxa"/>
            <w:vAlign w:val="bottom"/>
            <w:gridSpan w:val="3"/>
          </w:tcPr>
          <w:p>
            <w:pPr>
              <w:spacing w:after="0"/>
              <w:rPr>
                <w:sz w:val="22"/>
                <w:szCs w:val="22"/>
                <w:color w:val="auto"/>
              </w:rPr>
            </w:pPr>
          </w:p>
        </w:tc>
      </w:tr>
      <w:tr>
        <w:trPr>
          <w:trHeight w:val="253"/>
        </w:trPr>
        <w:tc>
          <w:tcPr>
            <w:tcW w:w="1180" w:type="dxa"/>
            <w:vAlign w:val="bottom"/>
          </w:tcPr>
          <w:p>
            <w:pPr>
              <w:spacing w:after="0"/>
              <w:rPr>
                <w:sz w:val="20"/>
                <w:szCs w:val="20"/>
                <w:color w:val="auto"/>
              </w:rPr>
            </w:pPr>
            <w:r>
              <w:rPr>
                <w:rFonts w:ascii="Arial" w:cs="Arial" w:eastAsia="Arial" w:hAnsi="Arial"/>
                <w:sz w:val="20"/>
                <w:szCs w:val="20"/>
                <w:color w:val="auto"/>
              </w:rPr>
              <w:t>10.15</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Credit Agreement, dated as of October  21, 2021, among Medline Borrower, LP, as successor in</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interest to Mozart Debt Merger Sub Inc., Medline Intermediate, LP, the guarantors from time to time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party thereto, the lending institutions from time to time party thereto, and Bank of America, N.A., as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rPr>
              <w:t>administrative agent and collateral agent (incorporated by reference to Exhibit 10.15 to the</w:t>
            </w:r>
          </w:p>
        </w:tc>
      </w:tr>
      <w:tr>
        <w:trPr>
          <w:trHeight w:val="255"/>
        </w:trPr>
        <w:tc>
          <w:tcPr>
            <w:tcW w:w="1180" w:type="dxa"/>
            <w:vAlign w:val="bottom"/>
          </w:tcPr>
          <w:p>
            <w:pPr>
              <w:spacing w:after="0"/>
              <w:rPr>
                <w:sz w:val="22"/>
                <w:szCs w:val="22"/>
                <w:color w:val="auto"/>
              </w:rPr>
            </w:pPr>
          </w:p>
        </w:tc>
        <w:tc>
          <w:tcPr>
            <w:tcW w:w="8100" w:type="dxa"/>
            <w:vAlign w:val="bottom"/>
            <w:gridSpan w:val="9"/>
          </w:tcPr>
          <w:p>
            <w:pPr>
              <w:spacing w:after="0"/>
              <w:rPr>
                <w:sz w:val="20"/>
                <w:szCs w:val="20"/>
                <w:color w:val="auto"/>
              </w:rPr>
            </w:pPr>
            <w:r>
              <w:rPr>
                <w:rFonts w:ascii="Arial" w:cs="Arial" w:eastAsia="Arial" w:hAnsi="Arial"/>
                <w:sz w:val="20"/>
                <w:szCs w:val="20"/>
                <w:color w:val="auto"/>
              </w:rPr>
              <w:t>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6020" w:type="dxa"/>
            <w:vAlign w:val="bottom"/>
            <w:gridSpan w:val="4"/>
            <w:shd w:val="clear" w:color="auto" w:fill="000000"/>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20"/>
                <w:szCs w:val="20"/>
                <w:color w:val="auto"/>
              </w:rPr>
              <w:t>10.16</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3"/>
              </w:rPr>
              <w:t>Amendment No. 1 to the Credit Agreement, dated as of June  28, 2023, among Medline Borrower,</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rPr>
              <w:t>LP, as successor in interest to Mozart Debt Merger Sub Inc., Medline Intermediate, LP, the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guarantors from time to time party thereto, the lending institutions from time to time party thereto,</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and Bank of America, N.A., as administrative agent and collateral agent (incorporated by reference to</w:t>
            </w:r>
          </w:p>
        </w:tc>
      </w:tr>
      <w:tr>
        <w:trPr>
          <w:trHeight w:val="255"/>
        </w:trPr>
        <w:tc>
          <w:tcPr>
            <w:tcW w:w="1180" w:type="dxa"/>
            <w:vAlign w:val="bottom"/>
          </w:tcPr>
          <w:p>
            <w:pPr>
              <w:spacing w:after="0"/>
              <w:rPr>
                <w:sz w:val="22"/>
                <w:szCs w:val="22"/>
                <w:color w:val="auto"/>
              </w:rPr>
            </w:pPr>
          </w:p>
        </w:tc>
        <w:tc>
          <w:tcPr>
            <w:tcW w:w="8100" w:type="dxa"/>
            <w:vAlign w:val="bottom"/>
            <w:gridSpan w:val="9"/>
          </w:tcPr>
          <w:p>
            <w:pPr>
              <w:spacing w:after="0"/>
              <w:rPr>
                <w:sz w:val="20"/>
                <w:szCs w:val="20"/>
                <w:color w:val="auto"/>
              </w:rPr>
            </w:pPr>
            <w:r>
              <w:rPr>
                <w:rFonts w:ascii="Arial" w:cs="Arial" w:eastAsia="Arial" w:hAnsi="Arial"/>
                <w:sz w:val="20"/>
                <w:szCs w:val="20"/>
                <w:color w:val="auto"/>
                <w:w w:val="95"/>
              </w:rPr>
              <w:t>Exhibit 10.16 to the 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7640" w:type="dxa"/>
            <w:vAlign w:val="bottom"/>
            <w:gridSpan w:val="8"/>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20"/>
                <w:szCs w:val="20"/>
                <w:color w:val="auto"/>
              </w:rPr>
              <w:t>10.17</w:t>
            </w: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2"/>
              </w:rPr>
              <w:t>Amendment No. 2 to the Credit Agreement, dated as of March 27, 2024, among Medline Borrower,</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rPr>
              <w:t>LP, as successor in interest to Mozart Debt Merger Sub Inc., Medline Intermediate, LP, the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guarantors from time to time party thereto, the lending institutions from time to time party thereto,</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and Bank of America, N.A., as administrative agent and collateral agent (incorporated by reference to</w:t>
            </w:r>
          </w:p>
        </w:tc>
      </w:tr>
      <w:tr>
        <w:trPr>
          <w:trHeight w:val="255"/>
        </w:trPr>
        <w:tc>
          <w:tcPr>
            <w:tcW w:w="1180" w:type="dxa"/>
            <w:vAlign w:val="bottom"/>
          </w:tcPr>
          <w:p>
            <w:pPr>
              <w:spacing w:after="0"/>
              <w:rPr>
                <w:sz w:val="22"/>
                <w:szCs w:val="22"/>
                <w:color w:val="auto"/>
              </w:rPr>
            </w:pPr>
          </w:p>
        </w:tc>
        <w:tc>
          <w:tcPr>
            <w:tcW w:w="8100" w:type="dxa"/>
            <w:vAlign w:val="bottom"/>
            <w:gridSpan w:val="9"/>
          </w:tcPr>
          <w:p>
            <w:pPr>
              <w:spacing w:after="0"/>
              <w:rPr>
                <w:sz w:val="20"/>
                <w:szCs w:val="20"/>
                <w:color w:val="auto"/>
              </w:rPr>
            </w:pPr>
            <w:r>
              <w:rPr>
                <w:rFonts w:ascii="Arial" w:cs="Arial" w:eastAsia="Arial" w:hAnsi="Arial"/>
                <w:sz w:val="20"/>
                <w:szCs w:val="20"/>
                <w:color w:val="auto"/>
                <w:w w:val="95"/>
              </w:rPr>
              <w:t>Exhibit 10.17 to the 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56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139</w:t>
      </w:r>
    </w:p>
    <w:p>
      <w:pPr>
        <w:sectPr>
          <w:pgSz w:w="11880" w:h="15480" w:orient="portrait"/>
          <w:cols w:equalWidth="0" w:num="1">
            <w:col w:w="9800"/>
          </w:cols>
          <w:pgMar w:left="1040" w:top="567" w:right="104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10.18</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Amendment No. 3 to the Credit Agreement, dated as of July 8, 2024, among Medline Borrower, LP,</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as successor in interest to Mozart Debt Merger Sub Inc., Medline Intermediate, LP, the guarantors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from time to time party thereto, the lending institutions from time to time party thereto, and Bank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5"/>
              </w:rPr>
              <w:t>America, N.A., as administrative agent and collateral agent (incorporated by reference to Exhibit</w:t>
            </w:r>
          </w:p>
        </w:tc>
      </w:tr>
      <w:tr>
        <w:trPr>
          <w:trHeight w:val="255"/>
        </w:trPr>
        <w:tc>
          <w:tcPr>
            <w:tcW w:w="1180" w:type="dxa"/>
            <w:vAlign w:val="bottom"/>
          </w:tcPr>
          <w:p>
            <w:pPr>
              <w:spacing w:after="0"/>
              <w:rPr>
                <w:sz w:val="22"/>
                <w:szCs w:val="22"/>
                <w:color w:val="auto"/>
              </w:rPr>
            </w:pPr>
          </w:p>
        </w:tc>
        <w:tc>
          <w:tcPr>
            <w:tcW w:w="702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9"/>
              </w:rPr>
              <w:t>10.</w:t>
            </w:r>
            <w:r>
              <w:rPr>
                <w:rFonts w:ascii="Arial" w:cs="Arial" w:eastAsia="Arial" w:hAnsi="Arial"/>
                <w:sz w:val="20"/>
                <w:szCs w:val="20"/>
                <w:u w:val="single" w:color="auto"/>
                <w:color w:val="auto"/>
                <w:w w:val="89"/>
              </w:rPr>
              <w:t>18</w:t>
            </w:r>
            <w:r>
              <w:rPr>
                <w:rFonts w:ascii="Arial" w:cs="Arial" w:eastAsia="Arial" w:hAnsi="Arial"/>
                <w:sz w:val="20"/>
                <w:szCs w:val="20"/>
                <w:color w:val="auto"/>
                <w:w w:val="89"/>
              </w:rPr>
              <w:t xml:space="preserve"> to the Registrant’s Registration Statement on Form S-1 filed on October 28, 2025)</w:t>
            </w:r>
          </w:p>
        </w:tc>
        <w:tc>
          <w:tcPr>
            <w:tcW w:w="1080" w:type="dxa"/>
            <w:vAlign w:val="bottom"/>
            <w:gridSpan w:val="3"/>
          </w:tcPr>
          <w:p>
            <w:pPr>
              <w:spacing w:after="0"/>
              <w:rPr>
                <w:sz w:val="22"/>
                <w:szCs w:val="22"/>
                <w:color w:val="auto"/>
              </w:rPr>
            </w:pPr>
          </w:p>
        </w:tc>
      </w:tr>
      <w:tr>
        <w:trPr>
          <w:trHeight w:val="245"/>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10.19</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8"/>
              </w:rPr>
              <w:t>Amendment No. 4 to the Credit Agreement, dated as of November  19, 2024, among Medline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0"/>
              </w:rPr>
              <w:t>Borrower, LP, as successor in interest to Mozart Debt Merger Sub Inc., Medline Intermediate, LP, the</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4"/>
              </w:rPr>
              <w:t>guarantors from time to time party thereto, the lending institutions from time to time party thereto,</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0"/>
              </w:rPr>
              <w:t>and Bank of America, N.A., as administrative agent and collateral agent (incorporated by reference to</w:t>
            </w:r>
          </w:p>
        </w:tc>
      </w:tr>
      <w:tr>
        <w:trPr>
          <w:trHeight w:val="255"/>
        </w:trPr>
        <w:tc>
          <w:tcPr>
            <w:tcW w:w="1180" w:type="dxa"/>
            <w:vAlign w:val="bottom"/>
          </w:tcPr>
          <w:p>
            <w:pPr>
              <w:spacing w:after="0"/>
              <w:rPr>
                <w:sz w:val="22"/>
                <w:szCs w:val="22"/>
                <w:color w:val="auto"/>
              </w:rPr>
            </w:pPr>
          </w:p>
        </w:tc>
        <w:tc>
          <w:tcPr>
            <w:tcW w:w="8100" w:type="dxa"/>
            <w:vAlign w:val="bottom"/>
            <w:gridSpan w:val="10"/>
          </w:tcPr>
          <w:p>
            <w:pPr>
              <w:spacing w:after="0"/>
              <w:rPr>
                <w:sz w:val="20"/>
                <w:szCs w:val="20"/>
                <w:color w:val="auto"/>
              </w:rPr>
            </w:pPr>
            <w:r>
              <w:rPr>
                <w:rFonts w:ascii="Arial" w:cs="Arial" w:eastAsia="Arial" w:hAnsi="Arial"/>
                <w:sz w:val="20"/>
                <w:szCs w:val="20"/>
                <w:color w:val="auto"/>
                <w:w w:val="95"/>
              </w:rPr>
              <w:t>Exhibit 10.19 to the Registrant’s Registration Statement on Form S-1 filed on October 28, 2025)</w:t>
            </w:r>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5"/>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10.20</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Security Agreement, dated as of October 21, 2021, among the grantors party thereto and Bank of</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5"/>
              </w:rPr>
              <w:t>America, N.A., as collateral agent (incorporated by reference to Exhibit 10.20 to the Registrant’s</w:t>
            </w:r>
          </w:p>
        </w:tc>
      </w:tr>
      <w:tr>
        <w:trPr>
          <w:trHeight w:val="255"/>
        </w:trPr>
        <w:tc>
          <w:tcPr>
            <w:tcW w:w="1180" w:type="dxa"/>
            <w:vAlign w:val="bottom"/>
          </w:tcPr>
          <w:p>
            <w:pPr>
              <w:spacing w:after="0"/>
              <w:rPr>
                <w:sz w:val="22"/>
                <w:szCs w:val="22"/>
                <w:color w:val="auto"/>
              </w:rPr>
            </w:pPr>
          </w:p>
        </w:tc>
        <w:tc>
          <w:tcPr>
            <w:tcW w:w="50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9"/>
              </w:rPr>
              <w:t>Registration Statement on Form S-1 filed on October 28, 2025)</w:t>
            </w:r>
          </w:p>
        </w:tc>
        <w:tc>
          <w:tcPr>
            <w:tcW w:w="3080" w:type="dxa"/>
            <w:vAlign w:val="bottom"/>
            <w:gridSpan w:val="7"/>
          </w:tcPr>
          <w:p>
            <w:pPr>
              <w:spacing w:after="0"/>
              <w:rPr>
                <w:sz w:val="22"/>
                <w:szCs w:val="22"/>
                <w:color w:val="auto"/>
              </w:rPr>
            </w:pPr>
          </w:p>
        </w:tc>
      </w:tr>
      <w:tr>
        <w:trPr>
          <w:trHeight w:val="261"/>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10.21</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Supplement No. 1, dated as of July 19, 2024, to the Security Agreement, dated as of October  21,</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1"/>
              </w:rPr>
              <w:t>2021, among the grantors party thereto and Bank of America, N.A., as collateral agent (incorporated</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0"/>
              </w:rPr>
              <w:t>by reference to Exhibit 10.21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28, 2025)</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3"/>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10.22</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1"/>
              </w:rPr>
              <w:t>Supplement No. 2 to the Security Agreement, dated as of December  20, 2024, among the grantors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4"/>
              </w:rPr>
              <w:t>party thereto and Bank of America, N.A., as collateral agent (incorporated by reference to Exhibit</w:t>
            </w:r>
          </w:p>
        </w:tc>
      </w:tr>
      <w:tr>
        <w:trPr>
          <w:trHeight w:val="255"/>
        </w:trPr>
        <w:tc>
          <w:tcPr>
            <w:tcW w:w="1180" w:type="dxa"/>
            <w:vAlign w:val="bottom"/>
          </w:tcPr>
          <w:p>
            <w:pPr>
              <w:spacing w:after="0"/>
              <w:rPr>
                <w:sz w:val="22"/>
                <w:szCs w:val="22"/>
                <w:color w:val="auto"/>
              </w:rPr>
            </w:pPr>
          </w:p>
        </w:tc>
        <w:tc>
          <w:tcPr>
            <w:tcW w:w="702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9"/>
              </w:rPr>
              <w:t>10.</w:t>
            </w:r>
            <w:r>
              <w:rPr>
                <w:rFonts w:ascii="Arial" w:cs="Arial" w:eastAsia="Arial" w:hAnsi="Arial"/>
                <w:sz w:val="20"/>
                <w:szCs w:val="20"/>
                <w:u w:val="single" w:color="auto"/>
                <w:color w:val="auto"/>
                <w:w w:val="89"/>
              </w:rPr>
              <w:t>22</w:t>
            </w:r>
            <w:r>
              <w:rPr>
                <w:rFonts w:ascii="Arial" w:cs="Arial" w:eastAsia="Arial" w:hAnsi="Arial"/>
                <w:sz w:val="20"/>
                <w:szCs w:val="20"/>
                <w:color w:val="auto"/>
                <w:w w:val="89"/>
              </w:rPr>
              <w:t xml:space="preserve"> to the Registrant’s Registration Statement on Form S-1 filed on October 28, 2025)</w:t>
            </w:r>
          </w:p>
        </w:tc>
        <w:tc>
          <w:tcPr>
            <w:tcW w:w="1080" w:type="dxa"/>
            <w:vAlign w:val="bottom"/>
            <w:gridSpan w:val="3"/>
          </w:tcPr>
          <w:p>
            <w:pPr>
              <w:spacing w:after="0"/>
              <w:rPr>
                <w:sz w:val="22"/>
                <w:szCs w:val="22"/>
                <w:color w:val="auto"/>
              </w:rPr>
            </w:pPr>
          </w:p>
        </w:tc>
      </w:tr>
      <w:tr>
        <w:trPr>
          <w:trHeight w:val="261"/>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10.23</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0"/>
              </w:rPr>
              <w:t>Security Agreement, dated as of October 21, 2021, among the grantors party thereto and Wilmington</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Trust, National Association as notes collateral agent (incorporated by reference to Exhibit 10.23 to</w:t>
            </w:r>
          </w:p>
        </w:tc>
      </w:tr>
      <w:tr>
        <w:trPr>
          <w:trHeight w:val="255"/>
        </w:trPr>
        <w:tc>
          <w:tcPr>
            <w:tcW w:w="1180" w:type="dxa"/>
            <w:vAlign w:val="bottom"/>
          </w:tcPr>
          <w:p>
            <w:pPr>
              <w:spacing w:after="0"/>
              <w:rPr>
                <w:sz w:val="22"/>
                <w:szCs w:val="22"/>
                <w:color w:val="auto"/>
              </w:rPr>
            </w:pPr>
          </w:p>
        </w:tc>
        <w:tc>
          <w:tcPr>
            <w:tcW w:w="63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9"/>
              </w:rPr>
              <w:t>the Registrant’s Registration Statement on Form S-1 filed on October 28, 2025)</w:t>
            </w:r>
          </w:p>
        </w:tc>
        <w:tc>
          <w:tcPr>
            <w:tcW w:w="1780" w:type="dxa"/>
            <w:vAlign w:val="bottom"/>
            <w:gridSpan w:val="5"/>
          </w:tcPr>
          <w:p>
            <w:pPr>
              <w:spacing w:after="0"/>
              <w:rPr>
                <w:sz w:val="22"/>
                <w:szCs w:val="22"/>
                <w:color w:val="auto"/>
              </w:rPr>
            </w:pPr>
          </w:p>
        </w:tc>
      </w:tr>
      <w:tr>
        <w:trPr>
          <w:trHeight w:val="261"/>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10.24</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Supplement No. 1 to the Security Agreement, dated as of July  19, 2024, among the grantors party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8"/>
              </w:rPr>
              <w:t>thereto and Wilmington Trust, National Association as notes collateral agent (incorporated by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reference to Exhibit 10.24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28, 2025)</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68"/>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10.25</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1"/>
              </w:rPr>
              <w:t>Supplement No. 2 to the Security Agreement, dated as of December  20, 2024, among the grantors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party thereto and Wilmington Trust, National Association as notes collateral agent (incorporated by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reference to Exhibit 10.25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28, 2025)</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3"/>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10.26</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Security Agreement, dated as of March 27, 2024, among the grantors party thereto and Wilmington</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Trust, National Association as notes collateral agent (incorporated by reference to Exhibit 10.26 to</w:t>
            </w:r>
          </w:p>
        </w:tc>
      </w:tr>
      <w:tr>
        <w:trPr>
          <w:trHeight w:val="255"/>
        </w:trPr>
        <w:tc>
          <w:tcPr>
            <w:tcW w:w="1180" w:type="dxa"/>
            <w:vAlign w:val="bottom"/>
          </w:tcPr>
          <w:p>
            <w:pPr>
              <w:spacing w:after="0"/>
              <w:rPr>
                <w:sz w:val="22"/>
                <w:szCs w:val="22"/>
                <w:color w:val="auto"/>
              </w:rPr>
            </w:pPr>
          </w:p>
        </w:tc>
        <w:tc>
          <w:tcPr>
            <w:tcW w:w="63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9"/>
              </w:rPr>
              <w:t>the Registrant’s Registration Statement on Form S-1 filed on October 28, 2025)</w:t>
            </w:r>
          </w:p>
        </w:tc>
        <w:tc>
          <w:tcPr>
            <w:tcW w:w="1780" w:type="dxa"/>
            <w:vAlign w:val="bottom"/>
            <w:gridSpan w:val="5"/>
          </w:tcPr>
          <w:p>
            <w:pPr>
              <w:spacing w:after="0"/>
              <w:rPr>
                <w:sz w:val="22"/>
                <w:szCs w:val="22"/>
                <w:color w:val="auto"/>
              </w:rPr>
            </w:pPr>
          </w:p>
        </w:tc>
      </w:tr>
      <w:tr>
        <w:trPr>
          <w:trHeight w:val="261"/>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10.27</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Supplement No. 1 to the Security Agreement, dated as of July  19, 2024, among the grantors party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8"/>
              </w:rPr>
              <w:t>thereto and Wilmington Trust, National Association as notes collateral agent (incorporated by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reference to Exhibit 10.27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28, 2025)</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68"/>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10.28</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1"/>
              </w:rPr>
              <w:t>Supplement No. 2 to the Security Agreement, dated as of December  20, 2024, among the grantors</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party thereto and Wilmington Trust, National Association as notes collateral agent (incorporated by</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3"/>
              </w:rPr>
              <w:t>reference to Exhibit 10.28 to the Registrant’s Registration Statement on Form S-1 filed on October</w:t>
            </w:r>
          </w:p>
        </w:tc>
      </w:tr>
      <w:tr>
        <w:trPr>
          <w:trHeight w:val="255"/>
        </w:trPr>
        <w:tc>
          <w:tcPr>
            <w:tcW w:w="1180" w:type="dxa"/>
            <w:vAlign w:val="bottom"/>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28, 2025)</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3"/>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10.29</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0"/>
              </w:rPr>
              <w:t>Medline Inc. 2025 Employee Stock Purchase Plan (incorporated by reference to Exhibit 4.4 filed with</w:t>
            </w:r>
          </w:p>
        </w:tc>
      </w:tr>
      <w:tr>
        <w:trPr>
          <w:trHeight w:val="255"/>
        </w:trPr>
        <w:tc>
          <w:tcPr>
            <w:tcW w:w="1180" w:type="dxa"/>
            <w:vAlign w:val="bottom"/>
          </w:tcPr>
          <w:p>
            <w:pPr>
              <w:spacing w:after="0"/>
              <w:rPr>
                <w:sz w:val="22"/>
                <w:szCs w:val="22"/>
                <w:color w:val="auto"/>
              </w:rPr>
            </w:pPr>
          </w:p>
        </w:tc>
        <w:tc>
          <w:tcPr>
            <w:tcW w:w="8100" w:type="dxa"/>
            <w:vAlign w:val="bottom"/>
            <w:gridSpan w:val="10"/>
          </w:tcPr>
          <w:p>
            <w:pPr>
              <w:spacing w:after="0"/>
              <w:rPr>
                <w:sz w:val="20"/>
                <w:szCs w:val="20"/>
                <w:color w:val="auto"/>
              </w:rPr>
            </w:pPr>
            <w:r>
              <w:rPr>
                <w:rFonts w:ascii="Arial" w:cs="Arial" w:eastAsia="Arial" w:hAnsi="Arial"/>
                <w:sz w:val="20"/>
                <w:szCs w:val="20"/>
                <w:color w:val="auto"/>
              </w:rPr>
              <w:t>the Registrant’s Registration Statement on Form S-8 filed on December 16, 2025)†</w:t>
            </w:r>
          </w:p>
        </w:tc>
      </w:tr>
      <w:tr>
        <w:trPr>
          <w:trHeight w:val="254"/>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10.30</w:t>
            </w:r>
          </w:p>
        </w:tc>
        <w:tc>
          <w:tcPr>
            <w:tcW w:w="658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rPr>
              <w:t>Amended and Restated Medline Inc. Executive Severance Plan*†</w:t>
            </w:r>
          </w:p>
        </w:tc>
        <w:tc>
          <w:tcPr>
            <w:tcW w:w="1520" w:type="dxa"/>
            <w:vAlign w:val="bottom"/>
            <w:gridSpan w:val="4"/>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62"/>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10.31</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4"/>
              </w:rPr>
              <w:t>Medline Management Aggregator LLC Equity Incentive Plan (incorporated by reference to Exhibit</w:t>
            </w:r>
          </w:p>
        </w:tc>
      </w:tr>
      <w:tr>
        <w:trPr>
          <w:trHeight w:val="255"/>
        </w:trPr>
        <w:tc>
          <w:tcPr>
            <w:tcW w:w="1180" w:type="dxa"/>
            <w:vAlign w:val="bottom"/>
          </w:tcPr>
          <w:p>
            <w:pPr>
              <w:spacing w:after="0"/>
              <w:rPr>
                <w:sz w:val="22"/>
                <w:szCs w:val="22"/>
                <w:color w:val="auto"/>
              </w:rPr>
            </w:pPr>
          </w:p>
        </w:tc>
        <w:tc>
          <w:tcPr>
            <w:tcW w:w="712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89"/>
              </w:rPr>
              <w:t>10.</w:t>
            </w:r>
            <w:r>
              <w:rPr>
                <w:rFonts w:ascii="Arial" w:cs="Arial" w:eastAsia="Arial" w:hAnsi="Arial"/>
                <w:sz w:val="20"/>
                <w:szCs w:val="20"/>
                <w:u w:val="single" w:color="auto"/>
                <w:color w:val="auto"/>
                <w:w w:val="89"/>
              </w:rPr>
              <w:t>31</w:t>
            </w:r>
            <w:r>
              <w:rPr>
                <w:rFonts w:ascii="Arial" w:cs="Arial" w:eastAsia="Arial" w:hAnsi="Arial"/>
                <w:sz w:val="20"/>
                <w:szCs w:val="20"/>
                <w:color w:val="auto"/>
                <w:w w:val="89"/>
              </w:rPr>
              <w:t xml:space="preserve"> to the Registrant’s Registration Statement on Form S-1 filed on October 28, 2025)†</w:t>
            </w:r>
          </w:p>
        </w:tc>
        <w:tc>
          <w:tcPr>
            <w:tcW w:w="980" w:type="dxa"/>
            <w:vAlign w:val="bottom"/>
            <w:gridSpan w:val="2"/>
          </w:tcPr>
          <w:p>
            <w:pPr>
              <w:spacing w:after="0"/>
              <w:rPr>
                <w:sz w:val="22"/>
                <w:szCs w:val="22"/>
                <w:color w:val="auto"/>
              </w:rPr>
            </w:pPr>
          </w:p>
        </w:tc>
      </w:tr>
      <w:tr>
        <w:trPr>
          <w:trHeight w:val="254"/>
        </w:trPr>
        <w:tc>
          <w:tcPr>
            <w:tcW w:w="1180" w:type="dxa"/>
            <w:vAlign w:val="bottom"/>
          </w:tcPr>
          <w:p>
            <w:pPr>
              <w:jc w:val="right"/>
              <w:ind w:right="641"/>
              <w:spacing w:after="0"/>
              <w:rPr>
                <w:sz w:val="20"/>
                <w:szCs w:val="20"/>
                <w:color w:val="auto"/>
              </w:rPr>
            </w:pPr>
            <w:r>
              <w:rPr>
                <w:rFonts w:ascii="Arial" w:cs="Arial" w:eastAsia="Arial" w:hAnsi="Arial"/>
                <w:sz w:val="20"/>
                <w:szCs w:val="20"/>
                <w:color w:val="auto"/>
                <w:w w:val="83"/>
              </w:rPr>
              <w:t>10.32</w:t>
            </w: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rPr>
              <w:t>Form of Unit Subscription Agreement (Class A Units and Class B Units of the Aggregator)</w:t>
            </w: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2"/>
              </w:rPr>
              <w:t>(incorporated by reference to Exhibit 10.32 to the Registrant’s Registration Statement on Form S-1</w:t>
            </w:r>
          </w:p>
        </w:tc>
      </w:tr>
      <w:tr>
        <w:trPr>
          <w:trHeight w:val="255"/>
        </w:trPr>
        <w:tc>
          <w:tcPr>
            <w:tcW w:w="1180" w:type="dxa"/>
            <w:vAlign w:val="bottom"/>
          </w:tcPr>
          <w:p>
            <w:pPr>
              <w:spacing w:after="0"/>
              <w:rPr>
                <w:sz w:val="22"/>
                <w:szCs w:val="22"/>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filed on October 28, 2025)†</w:t>
            </w:r>
          </w:p>
        </w:tc>
        <w:tc>
          <w:tcPr>
            <w:tcW w:w="5880" w:type="dxa"/>
            <w:vAlign w:val="bottom"/>
            <w:gridSpan w:val="8"/>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800"/>
          </w:cols>
          <w:pgMar w:left="1040" w:top="567" w:right="1040" w:bottom="0" w:gutter="0" w:footer="0" w:header="0"/>
        </w:sectPr>
      </w:pPr>
    </w:p>
    <w:p>
      <w:pPr>
        <w:spacing w:after="0" w:line="270"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140</w:t>
      </w:r>
    </w:p>
    <w:p>
      <w:pPr>
        <w:sectPr>
          <w:pgSz w:w="11880" w:h="15480" w:orient="portrait"/>
          <w:cols w:equalWidth="0" w:num="1">
            <w:col w:w="9800"/>
          </w:cols>
          <w:pgMar w:left="1040" w:top="567" w:right="104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10.33</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rPr>
              <w:t>Form of Incentive Unit Subscription Agreement (Class B Units of the Aggregator) (General)</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2"/>
              </w:rPr>
              <w:t>(incorporated by reference to Exhibit 10.33 to the Registrant’s Registration Statement on Form S-1</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0"/>
              </w:rPr>
              <w:t>filed on October 28, 2025)†</w:t>
            </w:r>
          </w:p>
        </w:tc>
        <w:tc>
          <w:tcPr>
            <w:tcW w:w="588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10.34</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4"/>
              </w:rPr>
              <w:t>Form of Incentive Unit Subscription Agreement (Class B Units of the Aggregator) (Messrs. Boyle</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rPr>
              <w:t>and Pigott Promotion Grant) (incorporated by reference to Exhibit 10.34 to the Registrant’s</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512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89"/>
              </w:rPr>
              <w:t>Registration Statement on Form S-1 filed on October 28, 2025)†</w:t>
            </w:r>
          </w:p>
        </w:tc>
        <w:tc>
          <w:tcPr>
            <w:tcW w:w="29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20"/>
                <w:szCs w:val="20"/>
                <w:color w:val="auto"/>
              </w:rPr>
              <w:t>10.35</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Amendment No. 5 to the Credit Agreement, dated March 28, 2025, among Medline Borrower, LP, as</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successor in interest to Mozart Debt Merger Sub Inc., Medline Intermediate, LP, the guarantors from</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8"/>
              </w:rPr>
              <w:t>time to time party thereto, the lending institutions from time to time party thereto, and Bank of</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5"/>
              </w:rPr>
              <w:t>America, N.A., as administrative agent and collateral agent (incorporated by reference to Exhibit</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7020" w:type="dxa"/>
            <w:vAlign w:val="bottom"/>
            <w:tcBorders>
              <w:bottom w:val="single" w:sz="8" w:color="auto"/>
            </w:tcBorders>
            <w:gridSpan w:val="14"/>
          </w:tcPr>
          <w:p>
            <w:pPr>
              <w:spacing w:after="0"/>
              <w:rPr>
                <w:sz w:val="20"/>
                <w:szCs w:val="20"/>
                <w:color w:val="auto"/>
              </w:rPr>
            </w:pPr>
            <w:r>
              <w:rPr>
                <w:rFonts w:ascii="Arial" w:cs="Arial" w:eastAsia="Arial" w:hAnsi="Arial"/>
                <w:sz w:val="20"/>
                <w:szCs w:val="20"/>
                <w:color w:val="auto"/>
                <w:w w:val="89"/>
              </w:rPr>
              <w:t>10.</w:t>
            </w:r>
            <w:r>
              <w:rPr>
                <w:rFonts w:ascii="Arial" w:cs="Arial" w:eastAsia="Arial" w:hAnsi="Arial"/>
                <w:sz w:val="20"/>
                <w:szCs w:val="20"/>
                <w:u w:val="single" w:color="auto"/>
                <w:color w:val="auto"/>
                <w:w w:val="89"/>
              </w:rPr>
              <w:t>35</w:t>
            </w:r>
            <w:r>
              <w:rPr>
                <w:rFonts w:ascii="Arial" w:cs="Arial" w:eastAsia="Arial" w:hAnsi="Arial"/>
                <w:sz w:val="20"/>
                <w:szCs w:val="20"/>
                <w:color w:val="auto"/>
                <w:w w:val="89"/>
              </w:rPr>
              <w:t xml:space="preserve"> to the Registrant’s Registration Statement on Form S-1 filed on October 28, 2025)</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20"/>
                <w:szCs w:val="20"/>
                <w:color w:val="auto"/>
              </w:rPr>
              <w:t>10.36</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3"/>
              </w:rPr>
              <w:t>Amendment No. 6 to the Credit Agreement, dated July 31, 2025, among Medline Borrower, LP, as</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successor in interest to Mozart Debt Merger Sub Inc., Medline Intermediate, LP, the guarantors from</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8"/>
              </w:rPr>
              <w:t>time to time party thereto, the lending institutions from time to time party thereto, and Bank of</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5"/>
              </w:rPr>
              <w:t>America, N.A., as administrative agent and collateral agent (incorporated by reference to Exhibit</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7020" w:type="dxa"/>
            <w:vAlign w:val="bottom"/>
            <w:tcBorders>
              <w:bottom w:val="single" w:sz="8" w:color="auto"/>
            </w:tcBorders>
            <w:gridSpan w:val="14"/>
          </w:tcPr>
          <w:p>
            <w:pPr>
              <w:spacing w:after="0"/>
              <w:rPr>
                <w:sz w:val="20"/>
                <w:szCs w:val="20"/>
                <w:color w:val="auto"/>
              </w:rPr>
            </w:pPr>
            <w:r>
              <w:rPr>
                <w:rFonts w:ascii="Arial" w:cs="Arial" w:eastAsia="Arial" w:hAnsi="Arial"/>
                <w:sz w:val="20"/>
                <w:szCs w:val="20"/>
                <w:color w:val="auto"/>
                <w:w w:val="89"/>
              </w:rPr>
              <w:t>10.</w:t>
            </w:r>
            <w:r>
              <w:rPr>
                <w:rFonts w:ascii="Arial" w:cs="Arial" w:eastAsia="Arial" w:hAnsi="Arial"/>
                <w:sz w:val="20"/>
                <w:szCs w:val="20"/>
                <w:u w:val="single" w:color="auto"/>
                <w:color w:val="auto"/>
                <w:w w:val="89"/>
              </w:rPr>
              <w:t>36</w:t>
            </w:r>
            <w:r>
              <w:rPr>
                <w:rFonts w:ascii="Arial" w:cs="Arial" w:eastAsia="Arial" w:hAnsi="Arial"/>
                <w:sz w:val="20"/>
                <w:szCs w:val="20"/>
                <w:color w:val="auto"/>
                <w:w w:val="89"/>
              </w:rPr>
              <w:t xml:space="preserve"> to the Registrant’s Registration Statement on Form S-1 filed on October 28, 2025)</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0"/>
                <w:szCs w:val="20"/>
                <w:color w:val="auto"/>
              </w:rPr>
            </w:pPr>
            <w:r>
              <w:rPr>
                <w:rFonts w:ascii="Arial" w:cs="Arial" w:eastAsia="Arial" w:hAnsi="Arial"/>
                <w:sz w:val="20"/>
                <w:szCs w:val="20"/>
                <w:color w:val="auto"/>
              </w:rPr>
              <w:t>10.37</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5"/>
              </w:rPr>
              <w:t>Information and Access Agreement, dated as of December 16, 2025, between Medline Inc. and</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6"/>
              </w:rPr>
              <w:t>entities affiliated with Hux Investment Pte. Ltd. (incorporated by reference to Exhibit 10.6 to the</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562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Registrant’s Current Report on Form 8-K filed on December 22, 2025)</w:t>
            </w:r>
          </w:p>
        </w:tc>
        <w:tc>
          <w:tcPr>
            <w:tcW w:w="24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10.38</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3"/>
              </w:rPr>
              <w:t>Form of Initial Restricted Stock Unit Grant Notice and Agreement (Director) under the Medline Inc.</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26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1"/>
              </w:rPr>
              <w:t>2025 Omnibus Incentive Plan.*†</w:t>
            </w:r>
          </w:p>
        </w:tc>
        <w:tc>
          <w:tcPr>
            <w:tcW w:w="54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10.39</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Form of Restricted Stock Unit Grant Notice and Agreement (Employee) under the Medline Inc. 2025</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3"/>
              </w:rPr>
              <w:t>Omnibus Incentive Plan.*†</w:t>
            </w:r>
          </w:p>
        </w:tc>
        <w:tc>
          <w:tcPr>
            <w:tcW w:w="588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line="225" w:lineRule="exact"/>
              <w:rPr>
                <w:sz w:val="20"/>
                <w:szCs w:val="20"/>
                <w:color w:val="auto"/>
              </w:rPr>
            </w:pPr>
            <w:r>
              <w:rPr>
                <w:rFonts w:ascii="Arial" w:cs="Arial" w:eastAsia="Arial" w:hAnsi="Arial"/>
                <w:sz w:val="20"/>
                <w:szCs w:val="20"/>
                <w:color w:val="auto"/>
              </w:rPr>
              <w:t>10.40</w:t>
            </w:r>
          </w:p>
        </w:tc>
        <w:tc>
          <w:tcPr>
            <w:tcW w:w="8100" w:type="dxa"/>
            <w:vAlign w:val="bottom"/>
            <w:tcBorders>
              <w:bottom w:val="single" w:sz="8" w:color="auto"/>
            </w:tcBorders>
            <w:gridSpan w:val="15"/>
          </w:tcPr>
          <w:p>
            <w:pPr>
              <w:spacing w:after="0" w:line="225" w:lineRule="exact"/>
              <w:rPr>
                <w:sz w:val="20"/>
                <w:szCs w:val="20"/>
                <w:color w:val="auto"/>
              </w:rPr>
            </w:pPr>
            <w:r>
              <w:rPr>
                <w:rFonts w:ascii="Arial" w:cs="Arial" w:eastAsia="Arial" w:hAnsi="Arial"/>
                <w:sz w:val="20"/>
                <w:szCs w:val="20"/>
                <w:color w:val="auto"/>
                <w:w w:val="93"/>
              </w:rPr>
              <w:t>Form of Restricted Stock Unit Grant Notice and Agreement (Director) under the Medline Inc. 2025</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gridSpan w:val="15"/>
          </w:tcPr>
          <w:p>
            <w:pPr>
              <w:spacing w:after="0"/>
              <w:rPr>
                <w:sz w:val="20"/>
                <w:szCs w:val="20"/>
                <w:color w:val="auto"/>
              </w:rPr>
            </w:pPr>
            <w:r>
              <w:rPr>
                <w:rFonts w:ascii="Arial" w:cs="Arial" w:eastAsia="Arial" w:hAnsi="Arial"/>
                <w:sz w:val="20"/>
                <w:szCs w:val="20"/>
                <w:color w:val="auto"/>
              </w:rPr>
              <w:t>Omnibus Incentive Plan.*†</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vMerge w:val="restart"/>
          </w:tcPr>
          <w:p>
            <w:pPr>
              <w:ind w:left="60"/>
              <w:spacing w:after="0"/>
              <w:rPr>
                <w:sz w:val="20"/>
                <w:szCs w:val="20"/>
                <w:color w:val="auto"/>
              </w:rPr>
            </w:pPr>
            <w:r>
              <w:rPr>
                <w:rFonts w:ascii="Arial" w:cs="Arial" w:eastAsia="Arial" w:hAnsi="Arial"/>
                <w:sz w:val="20"/>
                <w:szCs w:val="20"/>
                <w:color w:val="auto"/>
              </w:rPr>
              <w:t>10.41</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4"/>
              </w:rPr>
              <w:t>Form of Performance Stock Unit Grant Notice and Agreement (Employee) under the Medline Inc.</w:t>
            </w:r>
          </w:p>
        </w:tc>
        <w:tc>
          <w:tcPr>
            <w:tcW w:w="0" w:type="dxa"/>
            <w:vAlign w:val="bottom"/>
          </w:tcPr>
          <w:p>
            <w:pPr>
              <w:spacing w:after="0"/>
              <w:rPr>
                <w:sz w:val="1"/>
                <w:szCs w:val="1"/>
                <w:color w:val="auto"/>
              </w:rPr>
            </w:pPr>
          </w:p>
        </w:tc>
      </w:tr>
      <w:tr>
        <w:trPr>
          <w:trHeight w:val="153"/>
        </w:trPr>
        <w:tc>
          <w:tcPr>
            <w:tcW w:w="1180" w:type="dxa"/>
            <w:vAlign w:val="bottom"/>
            <w:vMerge w:val="continue"/>
          </w:tcPr>
          <w:p>
            <w:pPr>
              <w:spacing w:after="0"/>
              <w:rPr>
                <w:sz w:val="13"/>
                <w:szCs w:val="13"/>
                <w:color w:val="auto"/>
              </w:rPr>
            </w:pPr>
          </w:p>
        </w:tc>
        <w:tc>
          <w:tcPr>
            <w:tcW w:w="2640" w:type="dxa"/>
            <w:vAlign w:val="bottom"/>
            <w:gridSpan w:val="6"/>
            <w:vMerge w:val="restart"/>
          </w:tcPr>
          <w:p>
            <w:pPr>
              <w:spacing w:after="0"/>
              <w:rPr>
                <w:sz w:val="20"/>
                <w:szCs w:val="20"/>
                <w:color w:val="auto"/>
              </w:rPr>
            </w:pPr>
            <w:r>
              <w:rPr>
                <w:rFonts w:ascii="Arial" w:cs="Arial" w:eastAsia="Arial" w:hAnsi="Arial"/>
                <w:sz w:val="20"/>
                <w:szCs w:val="20"/>
                <w:color w:val="auto"/>
                <w:w w:val="91"/>
              </w:rPr>
              <w:t>2025 Omnibus Incentive Plan.*†</w:t>
            </w:r>
          </w:p>
        </w:tc>
        <w:tc>
          <w:tcPr>
            <w:tcW w:w="5460" w:type="dxa"/>
            <w:vAlign w:val="bottom"/>
            <w:gridSpan w:val="9"/>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8"/>
                <w:szCs w:val="8"/>
                <w:color w:val="auto"/>
              </w:rPr>
            </w:pPr>
          </w:p>
        </w:tc>
        <w:tc>
          <w:tcPr>
            <w:tcW w:w="2640" w:type="dxa"/>
            <w:vAlign w:val="bottom"/>
            <w:tcBorders>
              <w:bottom w:val="single" w:sz="8" w:color="auto"/>
            </w:tcBorders>
            <w:gridSpan w:val="6"/>
            <w:vMerge w:val="continue"/>
          </w:tcPr>
          <w:p>
            <w:pPr>
              <w:spacing w:after="0"/>
              <w:rPr>
                <w:sz w:val="8"/>
                <w:szCs w:val="8"/>
                <w:color w:val="auto"/>
              </w:rPr>
            </w:pPr>
          </w:p>
        </w:tc>
        <w:tc>
          <w:tcPr>
            <w:tcW w:w="54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180" w:type="dxa"/>
            <w:vAlign w:val="bottom"/>
            <w:vMerge w:val="restart"/>
          </w:tcPr>
          <w:p>
            <w:pPr>
              <w:ind w:left="60"/>
              <w:spacing w:after="0"/>
              <w:rPr>
                <w:sz w:val="20"/>
                <w:szCs w:val="20"/>
                <w:color w:val="auto"/>
              </w:rPr>
            </w:pPr>
            <w:r>
              <w:rPr>
                <w:rFonts w:ascii="Arial" w:cs="Arial" w:eastAsia="Arial" w:hAnsi="Arial"/>
                <w:sz w:val="20"/>
                <w:szCs w:val="20"/>
                <w:color w:val="auto"/>
              </w:rPr>
              <w:t>10.42</w:t>
            </w:r>
          </w:p>
        </w:tc>
        <w:tc>
          <w:tcPr>
            <w:tcW w:w="8100" w:type="dxa"/>
            <w:vAlign w:val="bottom"/>
            <w:tcBorders>
              <w:bottom w:val="single" w:sz="8" w:color="auto"/>
            </w:tcBorders>
            <w:gridSpan w:val="15"/>
          </w:tcPr>
          <w:p>
            <w:pPr>
              <w:spacing w:after="0" w:line="225" w:lineRule="exact"/>
              <w:rPr>
                <w:sz w:val="20"/>
                <w:szCs w:val="20"/>
                <w:color w:val="auto"/>
              </w:rPr>
            </w:pPr>
            <w:r>
              <w:rPr>
                <w:rFonts w:ascii="Arial" w:cs="Arial" w:eastAsia="Arial" w:hAnsi="Arial"/>
                <w:sz w:val="20"/>
                <w:szCs w:val="20"/>
                <w:color w:val="auto"/>
                <w:w w:val="92"/>
              </w:rPr>
              <w:t>Form of Converted Restricted Stock Unit Grant Notice and Agreement (Director) under the Medline</w:t>
            </w:r>
          </w:p>
        </w:tc>
        <w:tc>
          <w:tcPr>
            <w:tcW w:w="0" w:type="dxa"/>
            <w:vAlign w:val="bottom"/>
          </w:tcPr>
          <w:p>
            <w:pPr>
              <w:spacing w:after="0"/>
              <w:rPr>
                <w:sz w:val="1"/>
                <w:szCs w:val="1"/>
                <w:color w:val="auto"/>
              </w:rPr>
            </w:pPr>
          </w:p>
        </w:tc>
      </w:tr>
      <w:tr>
        <w:trPr>
          <w:trHeight w:val="167"/>
        </w:trPr>
        <w:tc>
          <w:tcPr>
            <w:tcW w:w="1180" w:type="dxa"/>
            <w:vAlign w:val="bottom"/>
            <w:vMerge w:val="continue"/>
          </w:tcPr>
          <w:p>
            <w:pPr>
              <w:spacing w:after="0"/>
              <w:rPr>
                <w:sz w:val="14"/>
                <w:szCs w:val="14"/>
                <w:color w:val="auto"/>
              </w:rPr>
            </w:pPr>
          </w:p>
        </w:tc>
        <w:tc>
          <w:tcPr>
            <w:tcW w:w="8100" w:type="dxa"/>
            <w:vAlign w:val="bottom"/>
            <w:gridSpan w:val="15"/>
            <w:vMerge w:val="restart"/>
          </w:tcPr>
          <w:p>
            <w:pPr>
              <w:spacing w:after="0"/>
              <w:rPr>
                <w:sz w:val="20"/>
                <w:szCs w:val="20"/>
                <w:color w:val="auto"/>
              </w:rPr>
            </w:pPr>
            <w:r>
              <w:rPr>
                <w:rFonts w:ascii="Arial" w:cs="Arial" w:eastAsia="Arial" w:hAnsi="Arial"/>
                <w:sz w:val="20"/>
                <w:szCs w:val="20"/>
                <w:color w:val="auto"/>
              </w:rPr>
              <w:t>Inc. 2025 Omnibus Incentive Plan.*†</w:t>
            </w: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810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19.1</w:t>
            </w:r>
          </w:p>
        </w:tc>
        <w:tc>
          <w:tcPr>
            <w:tcW w:w="2960" w:type="dxa"/>
            <w:vAlign w:val="bottom"/>
            <w:tcBorders>
              <w:top w:val="single" w:sz="8" w:color="auto"/>
            </w:tcBorders>
            <w:gridSpan w:val="8"/>
          </w:tcPr>
          <w:p>
            <w:pPr>
              <w:spacing w:after="0"/>
              <w:rPr>
                <w:sz w:val="20"/>
                <w:szCs w:val="20"/>
                <w:color w:val="auto"/>
              </w:rPr>
            </w:pPr>
            <w:r>
              <w:rPr>
                <w:rFonts w:ascii="Arial" w:cs="Arial" w:eastAsia="Arial" w:hAnsi="Arial"/>
                <w:sz w:val="20"/>
                <w:szCs w:val="20"/>
                <w:color w:val="auto"/>
                <w:w w:val="93"/>
              </w:rPr>
              <w:t>Medline Inc. Insider Trading Policy*</w:t>
            </w:r>
          </w:p>
        </w:tc>
        <w:tc>
          <w:tcPr>
            <w:tcW w:w="51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180" w:type="dxa"/>
            <w:vAlign w:val="bottom"/>
          </w:tcPr>
          <w:p>
            <w:pPr>
              <w:spacing w:after="0"/>
              <w:rPr>
                <w:sz w:val="20"/>
                <w:szCs w:val="20"/>
                <w:color w:val="auto"/>
              </w:rPr>
            </w:pPr>
            <w:r>
              <w:rPr>
                <w:rFonts w:ascii="Arial" w:cs="Arial" w:eastAsia="Arial" w:hAnsi="Arial"/>
                <w:sz w:val="20"/>
                <w:szCs w:val="20"/>
                <w:color w:val="auto"/>
              </w:rPr>
              <w:t>21.1</w:t>
            </w:r>
          </w:p>
        </w:tc>
        <w:tc>
          <w:tcPr>
            <w:tcW w:w="2940" w:type="dxa"/>
            <w:vAlign w:val="bottom"/>
            <w:tcBorders>
              <w:top w:val="single" w:sz="8" w:color="auto"/>
            </w:tcBorders>
            <w:gridSpan w:val="7"/>
          </w:tcPr>
          <w:p>
            <w:pPr>
              <w:spacing w:after="0"/>
              <w:rPr>
                <w:sz w:val="20"/>
                <w:szCs w:val="20"/>
                <w:color w:val="auto"/>
              </w:rPr>
            </w:pPr>
            <w:r>
              <w:rPr>
                <w:rFonts w:ascii="Arial" w:cs="Arial" w:eastAsia="Arial" w:hAnsi="Arial"/>
                <w:sz w:val="20"/>
                <w:szCs w:val="20"/>
                <w:color w:val="auto"/>
              </w:rPr>
              <w:t>Subsidiaries of the Registrant*</w:t>
            </w:r>
          </w:p>
        </w:tc>
        <w:tc>
          <w:tcPr>
            <w:tcW w:w="5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180" w:type="dxa"/>
            <w:vAlign w:val="bottom"/>
          </w:tcPr>
          <w:p>
            <w:pPr>
              <w:spacing w:after="0"/>
              <w:rPr>
                <w:sz w:val="20"/>
                <w:szCs w:val="20"/>
                <w:color w:val="auto"/>
              </w:rPr>
            </w:pPr>
            <w:r>
              <w:rPr>
                <w:rFonts w:ascii="Arial" w:cs="Arial" w:eastAsia="Arial" w:hAnsi="Arial"/>
                <w:sz w:val="20"/>
                <w:szCs w:val="20"/>
                <w:color w:val="auto"/>
              </w:rPr>
              <w:t>23.1</w:t>
            </w:r>
          </w:p>
        </w:tc>
        <w:tc>
          <w:tcPr>
            <w:tcW w:w="8100" w:type="dxa"/>
            <w:vAlign w:val="bottom"/>
            <w:gridSpan w:val="15"/>
          </w:tcPr>
          <w:p>
            <w:pPr>
              <w:spacing w:after="0"/>
              <w:rPr>
                <w:sz w:val="20"/>
                <w:szCs w:val="20"/>
                <w:color w:val="auto"/>
              </w:rPr>
            </w:pPr>
            <w:r>
              <w:rPr>
                <w:rFonts w:ascii="Arial" w:cs="Arial" w:eastAsia="Arial" w:hAnsi="Arial"/>
                <w:sz w:val="20"/>
                <w:szCs w:val="20"/>
                <w:color w:val="auto"/>
              </w:rPr>
              <w:t>Consent of Ernst &amp; Young LLP as to Medline Inc.*</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80" w:type="dxa"/>
            <w:vAlign w:val="bottom"/>
          </w:tcPr>
          <w:p>
            <w:pPr>
              <w:spacing w:after="0"/>
              <w:rPr>
                <w:sz w:val="20"/>
                <w:szCs w:val="20"/>
                <w:color w:val="auto"/>
              </w:rPr>
            </w:pPr>
            <w:r>
              <w:rPr>
                <w:rFonts w:ascii="Arial" w:cs="Arial" w:eastAsia="Arial" w:hAnsi="Arial"/>
                <w:sz w:val="20"/>
                <w:szCs w:val="20"/>
                <w:color w:val="auto"/>
              </w:rPr>
              <w:t>24.1</w:t>
            </w:r>
          </w:p>
        </w:tc>
        <w:tc>
          <w:tcPr>
            <w:tcW w:w="8100" w:type="dxa"/>
            <w:vAlign w:val="bottom"/>
            <w:gridSpan w:val="15"/>
          </w:tcPr>
          <w:p>
            <w:pPr>
              <w:spacing w:after="0"/>
              <w:rPr>
                <w:sz w:val="20"/>
                <w:szCs w:val="20"/>
                <w:color w:val="auto"/>
              </w:rPr>
            </w:pPr>
            <w:r>
              <w:rPr>
                <w:rFonts w:ascii="Arial" w:cs="Arial" w:eastAsia="Arial" w:hAnsi="Arial"/>
                <w:sz w:val="20"/>
                <w:szCs w:val="20"/>
                <w:color w:val="auto"/>
              </w:rPr>
              <w:t>Power of Attorney (included in signature pages of this Annual Report)*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80" w:type="dxa"/>
            <w:vAlign w:val="bottom"/>
          </w:tcPr>
          <w:p>
            <w:pPr>
              <w:spacing w:after="0"/>
              <w:rPr>
                <w:sz w:val="20"/>
                <w:szCs w:val="20"/>
                <w:color w:val="auto"/>
              </w:rPr>
            </w:pPr>
            <w:r>
              <w:rPr>
                <w:rFonts w:ascii="Arial" w:cs="Arial" w:eastAsia="Arial" w:hAnsi="Arial"/>
                <w:sz w:val="20"/>
                <w:szCs w:val="20"/>
                <w:color w:val="auto"/>
              </w:rPr>
              <w:t>31.1</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5"/>
              </w:rPr>
              <w:t>Certification of Principal Executive Officer Pursuant to Rules 13a-14(a) and 15d-14(a) under the</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2002*</w:t>
            </w: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31.2</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6"/>
              </w:rPr>
              <w:t>Certification of Principal Financial Officer Pursuant to Rules 13a-14(a) and 15d-14(a) under the</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Securities Exchange Act of 1934, as Adopted Pursuant to Section 302 of the Sarbanes-Oxley Act of</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2002*</w:t>
            </w: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32.1</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Certification of Principal Executive Officer Pursuant to 18 U.S.C. Section 1350, as Adopted Pursuant</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gridSpan w:val="15"/>
          </w:tcPr>
          <w:p>
            <w:pPr>
              <w:spacing w:after="0"/>
              <w:rPr>
                <w:sz w:val="20"/>
                <w:szCs w:val="20"/>
                <w:color w:val="auto"/>
              </w:rPr>
            </w:pPr>
            <w:r>
              <w:rPr>
                <w:rFonts w:ascii="Arial" w:cs="Arial" w:eastAsia="Arial" w:hAnsi="Arial"/>
                <w:sz w:val="20"/>
                <w:szCs w:val="20"/>
                <w:color w:val="auto"/>
              </w:rPr>
              <w:t>to Section 906 of the Sarbanes-Oxley Act of 2002**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20" w:type="dxa"/>
            <w:vAlign w:val="bottom"/>
            <w:gridSpan w:val="5"/>
            <w:shd w:val="clear" w:color="auto" w:fill="000000"/>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32.2</w:t>
            </w:r>
          </w:p>
        </w:tc>
        <w:tc>
          <w:tcPr>
            <w:tcW w:w="81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255"/>
        </w:trPr>
        <w:tc>
          <w:tcPr>
            <w:tcW w:w="1180" w:type="dxa"/>
            <w:vAlign w:val="bottom"/>
          </w:tcPr>
          <w:p>
            <w:pPr>
              <w:spacing w:after="0"/>
              <w:rPr>
                <w:sz w:val="22"/>
                <w:szCs w:val="22"/>
                <w:color w:val="auto"/>
              </w:rPr>
            </w:pPr>
          </w:p>
        </w:tc>
        <w:tc>
          <w:tcPr>
            <w:tcW w:w="8100" w:type="dxa"/>
            <w:vAlign w:val="bottom"/>
            <w:gridSpan w:val="15"/>
          </w:tcPr>
          <w:p>
            <w:pPr>
              <w:spacing w:after="0"/>
              <w:rPr>
                <w:sz w:val="20"/>
                <w:szCs w:val="20"/>
                <w:color w:val="auto"/>
              </w:rPr>
            </w:pPr>
            <w:r>
              <w:rPr>
                <w:rFonts w:ascii="Arial" w:cs="Arial" w:eastAsia="Arial" w:hAnsi="Arial"/>
                <w:sz w:val="20"/>
                <w:szCs w:val="20"/>
                <w:color w:val="auto"/>
              </w:rPr>
              <w:t>to Section 906 of the Sarbanes-Oxley Act of 2002**</w:t>
            </w:r>
          </w:p>
        </w:tc>
        <w:tc>
          <w:tcPr>
            <w:tcW w:w="0" w:type="dxa"/>
            <w:vAlign w:val="bottom"/>
          </w:tcPr>
          <w:p>
            <w:pPr>
              <w:spacing w:after="0"/>
              <w:rPr>
                <w:sz w:val="1"/>
                <w:szCs w:val="1"/>
                <w:color w:val="auto"/>
              </w:rPr>
            </w:pPr>
          </w:p>
        </w:tc>
      </w:tr>
      <w:tr>
        <w:trPr>
          <w:trHeight w:val="254"/>
        </w:trPr>
        <w:tc>
          <w:tcPr>
            <w:tcW w:w="1180" w:type="dxa"/>
            <w:vAlign w:val="bottom"/>
          </w:tcPr>
          <w:p>
            <w:pPr>
              <w:spacing w:after="0"/>
              <w:rPr>
                <w:sz w:val="20"/>
                <w:szCs w:val="20"/>
                <w:color w:val="auto"/>
              </w:rPr>
            </w:pPr>
            <w:r>
              <w:rPr>
                <w:rFonts w:ascii="Arial" w:cs="Arial" w:eastAsia="Arial" w:hAnsi="Arial"/>
                <w:sz w:val="20"/>
                <w:szCs w:val="20"/>
                <w:color w:val="auto"/>
              </w:rPr>
              <w:t>97.1</w:t>
            </w:r>
          </w:p>
        </w:tc>
        <w:tc>
          <w:tcPr>
            <w:tcW w:w="26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0"/>
                <w:szCs w:val="20"/>
                <w:color w:val="auto"/>
                <w:w w:val="93"/>
              </w:rPr>
              <w:t>Medline Inc. Clawback Policy*†</w:t>
            </w:r>
          </w:p>
        </w:tc>
        <w:tc>
          <w:tcPr>
            <w:tcW w:w="1540" w:type="dxa"/>
            <w:vAlign w:val="bottom"/>
            <w:tcBorders>
              <w:top w:val="single" w:sz="8" w:color="auto"/>
            </w:tcBorders>
            <w:gridSpan w:val="5"/>
          </w:tcPr>
          <w:p>
            <w:pPr>
              <w:spacing w:after="0"/>
              <w:rPr>
                <w:sz w:val="22"/>
                <w:szCs w:val="22"/>
                <w:color w:val="auto"/>
              </w:rPr>
            </w:pPr>
          </w:p>
        </w:tc>
        <w:tc>
          <w:tcPr>
            <w:tcW w:w="39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0"/>
                <w:szCs w:val="20"/>
                <w:color w:val="auto"/>
              </w:rPr>
            </w:pPr>
            <w:r>
              <w:rPr>
                <w:rFonts w:ascii="Arial" w:cs="Arial" w:eastAsia="Arial" w:hAnsi="Arial"/>
                <w:sz w:val="20"/>
                <w:szCs w:val="20"/>
                <w:color w:val="auto"/>
              </w:rPr>
              <w:t>101.INS</w:t>
            </w:r>
          </w:p>
        </w:tc>
        <w:tc>
          <w:tcPr>
            <w:tcW w:w="8100" w:type="dxa"/>
            <w:vAlign w:val="bottom"/>
            <w:gridSpan w:val="15"/>
          </w:tcPr>
          <w:p>
            <w:pPr>
              <w:spacing w:after="0"/>
              <w:rPr>
                <w:sz w:val="20"/>
                <w:szCs w:val="20"/>
                <w:color w:val="auto"/>
              </w:rPr>
            </w:pPr>
            <w:r>
              <w:rPr>
                <w:rFonts w:ascii="Arial" w:cs="Arial" w:eastAsia="Arial" w:hAnsi="Arial"/>
                <w:sz w:val="20"/>
                <w:szCs w:val="20"/>
                <w:color w:val="auto"/>
              </w:rPr>
              <w:t>XBRL Instance Document*</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Arial" w:cs="Arial" w:eastAsia="Arial" w:hAnsi="Arial"/>
                <w:sz w:val="20"/>
                <w:szCs w:val="20"/>
                <w:color w:val="auto"/>
              </w:rPr>
              <w:t>101.SCH</w:t>
            </w:r>
          </w:p>
        </w:tc>
        <w:tc>
          <w:tcPr>
            <w:tcW w:w="8100" w:type="dxa"/>
            <w:vAlign w:val="bottom"/>
            <w:gridSpan w:val="15"/>
          </w:tcPr>
          <w:p>
            <w:pPr>
              <w:spacing w:after="0"/>
              <w:rPr>
                <w:sz w:val="20"/>
                <w:szCs w:val="20"/>
                <w:color w:val="auto"/>
              </w:rPr>
            </w:pPr>
            <w:r>
              <w:rPr>
                <w:rFonts w:ascii="Arial" w:cs="Arial" w:eastAsia="Arial" w:hAnsi="Arial"/>
                <w:sz w:val="20"/>
                <w:szCs w:val="20"/>
                <w:color w:val="auto"/>
              </w:rPr>
              <w:t>XBRL Taxonomy Extension Schema Document*</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Arial" w:cs="Arial" w:eastAsia="Arial" w:hAnsi="Arial"/>
                <w:sz w:val="20"/>
                <w:szCs w:val="20"/>
                <w:color w:val="auto"/>
              </w:rPr>
              <w:t>101.CAL</w:t>
            </w:r>
          </w:p>
        </w:tc>
        <w:tc>
          <w:tcPr>
            <w:tcW w:w="8100" w:type="dxa"/>
            <w:vAlign w:val="bottom"/>
            <w:gridSpan w:val="15"/>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Arial" w:cs="Arial" w:eastAsia="Arial" w:hAnsi="Arial"/>
                <w:sz w:val="20"/>
                <w:szCs w:val="20"/>
                <w:color w:val="auto"/>
              </w:rPr>
              <w:t>101.DEF</w:t>
            </w:r>
          </w:p>
        </w:tc>
        <w:tc>
          <w:tcPr>
            <w:tcW w:w="8100" w:type="dxa"/>
            <w:vAlign w:val="bottom"/>
            <w:gridSpan w:val="15"/>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Arial" w:cs="Arial" w:eastAsia="Arial" w:hAnsi="Arial"/>
                <w:sz w:val="20"/>
                <w:szCs w:val="20"/>
                <w:color w:val="auto"/>
              </w:rPr>
              <w:t>101.LAB</w:t>
            </w:r>
          </w:p>
        </w:tc>
        <w:tc>
          <w:tcPr>
            <w:tcW w:w="8100" w:type="dxa"/>
            <w:vAlign w:val="bottom"/>
            <w:gridSpan w:val="15"/>
          </w:tcPr>
          <w:p>
            <w:pPr>
              <w:spacing w:after="0"/>
              <w:rPr>
                <w:sz w:val="20"/>
                <w:szCs w:val="20"/>
                <w:color w:val="auto"/>
              </w:rPr>
            </w:pPr>
            <w:r>
              <w:rPr>
                <w:rFonts w:ascii="Arial" w:cs="Arial" w:eastAsia="Arial" w:hAnsi="Arial"/>
                <w:sz w:val="20"/>
                <w:szCs w:val="20"/>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567" w:right="1040" w:bottom="0" w:gutter="0" w:footer="0" w:header="0"/>
        </w:sectPr>
      </w:pPr>
    </w:p>
    <w:p>
      <w:pPr>
        <w:spacing w:after="0" w:line="341"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141</w:t>
      </w:r>
    </w:p>
    <w:p>
      <w:pPr>
        <w:sectPr>
          <w:pgSz w:w="11880" w:h="15480" w:orient="portrait"/>
          <w:cols w:equalWidth="0" w:num="1">
            <w:col w:w="9800"/>
          </w:cols>
          <w:pgMar w:left="1040" w:top="567" w:right="104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59"/>
        </w:trPr>
        <w:tc>
          <w:tcPr>
            <w:tcW w:w="940" w:type="dxa"/>
            <w:vAlign w:val="bottom"/>
          </w:tcPr>
          <w:p>
            <w:pPr>
              <w:spacing w:after="0"/>
              <w:rPr>
                <w:sz w:val="20"/>
                <w:szCs w:val="20"/>
                <w:color w:val="auto"/>
              </w:rPr>
            </w:pPr>
            <w:r>
              <w:rPr>
                <w:rFonts w:ascii="Arial" w:cs="Arial" w:eastAsia="Arial" w:hAnsi="Arial"/>
                <w:sz w:val="20"/>
                <w:szCs w:val="20"/>
                <w:color w:val="auto"/>
              </w:rPr>
              <w:t>101.PRE</w:t>
            </w:r>
          </w:p>
        </w:tc>
        <w:tc>
          <w:tcPr>
            <w:tcW w:w="6700" w:type="dxa"/>
            <w:vAlign w:val="bottom"/>
          </w:tcPr>
          <w:p>
            <w:pPr>
              <w:ind w:left="2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282"/>
        </w:trPr>
        <w:tc>
          <w:tcPr>
            <w:tcW w:w="940" w:type="dxa"/>
            <w:vAlign w:val="bottom"/>
          </w:tcPr>
          <w:p>
            <w:pPr>
              <w:spacing w:after="0"/>
              <w:rPr>
                <w:sz w:val="20"/>
                <w:szCs w:val="20"/>
                <w:color w:val="auto"/>
              </w:rPr>
            </w:pPr>
            <w:r>
              <w:rPr>
                <w:rFonts w:ascii="Arial" w:cs="Arial" w:eastAsia="Arial" w:hAnsi="Arial"/>
                <w:sz w:val="20"/>
                <w:szCs w:val="20"/>
                <w:color w:val="auto"/>
              </w:rPr>
              <w:t>104</w:t>
            </w:r>
          </w:p>
        </w:tc>
        <w:tc>
          <w:tcPr>
            <w:tcW w:w="6700" w:type="dxa"/>
            <w:vAlign w:val="bottom"/>
          </w:tcPr>
          <w:p>
            <w:pPr>
              <w:ind w:left="240"/>
              <w:spacing w:after="0"/>
              <w:rPr>
                <w:sz w:val="20"/>
                <w:szCs w:val="20"/>
                <w:color w:val="auto"/>
              </w:rPr>
            </w:pPr>
            <w:r>
              <w:rPr>
                <w:rFonts w:ascii="Arial" w:cs="Arial" w:eastAsia="Arial" w:hAnsi="Arial"/>
                <w:sz w:val="20"/>
                <w:szCs w:val="20"/>
                <w:color w:val="auto"/>
                <w:w w:val="91"/>
              </w:rPr>
              <w:t>Cover Page Interactive Data File (embedded within the Inline XBRL document)*</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 Filed herewith.</w:t>
      </w:r>
    </w:p>
    <w:p>
      <w:pPr>
        <w:spacing w:after="0" w:line="45" w:lineRule="exact"/>
        <w:rPr>
          <w:sz w:val="20"/>
          <w:szCs w:val="20"/>
          <w:color w:val="auto"/>
        </w:rPr>
      </w:pPr>
    </w:p>
    <w:p>
      <w:pPr>
        <w:jc w:val="both"/>
        <w:spacing w:after="0" w:line="287" w:lineRule="auto"/>
        <w:tabs>
          <w:tab w:leader="none" w:pos="263" w:val="left"/>
        </w:tabs>
        <w:numPr>
          <w:ilvl w:val="0"/>
          <w:numId w:val="37"/>
        </w:numPr>
        <w:rPr>
          <w:rFonts w:ascii="Arial" w:cs="Arial" w:eastAsia="Arial" w:hAnsi="Arial"/>
          <w:sz w:val="20"/>
          <w:szCs w:val="20"/>
          <w:color w:val="auto"/>
        </w:rPr>
      </w:pPr>
      <w:r>
        <w:rPr>
          <w:rFonts w:ascii="Arial" w:cs="Arial" w:eastAsia="Arial" w:hAnsi="Arial"/>
          <w:sz w:val="20"/>
          <w:szCs w:val="20"/>
          <w:color w:val="auto"/>
        </w:rPr>
        <w:t>Furnished herewith. The certifications attached as Exhibits 32.1 and 32.2 to this Annual Report are deemed furnished and not filed with the SEC and are not to be incorporated by reference into any filing of the Company under the Securities Act or the Exchange Act, whether made before or after the date of this Annual Report, irrespective of any general incorporation language contained in such filing.</w:t>
      </w:r>
    </w:p>
    <w:p>
      <w:pPr>
        <w:spacing w:after="0"/>
        <w:rPr>
          <w:rFonts w:ascii="Arial" w:cs="Arial" w:eastAsia="Arial" w:hAnsi="Arial"/>
          <w:sz w:val="20"/>
          <w:szCs w:val="20"/>
          <w:color w:val="auto"/>
        </w:rPr>
      </w:pPr>
      <w:r>
        <w:rPr>
          <w:rFonts w:ascii="Arial" w:cs="Arial" w:eastAsia="Arial" w:hAnsi="Arial"/>
          <w:sz w:val="20"/>
          <w:szCs w:val="20"/>
          <w:color w:val="auto"/>
        </w:rPr>
        <w:t>† Management contract or compensatory plan or arrangement.</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800"/>
          </w:cols>
          <w:pgMar w:left="1040" w:top="582"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142</w:t>
      </w:r>
    </w:p>
    <w:p>
      <w:pPr>
        <w:sectPr>
          <w:pgSz w:w="11880" w:h="15480" w:orient="portrait"/>
          <w:cols w:equalWidth="0" w:num="1">
            <w:col w:w="9800"/>
          </w:cols>
          <w:pgMar w:left="1040" w:top="582" w:right="1040" w:bottom="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SIGNATURES</w:t>
      </w:r>
    </w:p>
    <w:p>
      <w:pPr>
        <w:spacing w:after="0" w:line="226" w:lineRule="exact"/>
        <w:rPr>
          <w:sz w:val="20"/>
          <w:szCs w:val="20"/>
          <w:color w:val="auto"/>
        </w:rPr>
      </w:pPr>
    </w:p>
    <w:p>
      <w:pPr>
        <w:jc w:val="both"/>
        <w:ind w:firstLine="485"/>
        <w:spacing w:after="0" w:line="288"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25, 2026</w:t>
      </w:r>
    </w:p>
    <w:p>
      <w:pPr>
        <w:spacing w:after="0" w:line="334" w:lineRule="exact"/>
        <w:rPr>
          <w:sz w:val="20"/>
          <w:szCs w:val="20"/>
          <w:color w:val="auto"/>
        </w:rPr>
      </w:pPr>
    </w:p>
    <w:p>
      <w:pPr>
        <w:ind w:left="6460"/>
        <w:spacing w:after="0"/>
        <w:rPr>
          <w:sz w:val="20"/>
          <w:szCs w:val="20"/>
          <w:color w:val="auto"/>
        </w:rPr>
      </w:pPr>
      <w:r>
        <w:rPr>
          <w:rFonts w:ascii="Arial" w:cs="Arial" w:eastAsia="Arial" w:hAnsi="Arial"/>
          <w:sz w:val="20"/>
          <w:szCs w:val="20"/>
          <w:b w:val="1"/>
          <w:bCs w:val="1"/>
          <w:color w:val="auto"/>
        </w:rPr>
        <w:t>MEDLINE INC.</w:t>
      </w:r>
    </w:p>
    <w:p>
      <w:pPr>
        <w:spacing w:after="0" w:line="312" w:lineRule="exact"/>
        <w:rPr>
          <w:sz w:val="20"/>
          <w:szCs w:val="20"/>
          <w:color w:val="auto"/>
        </w:rPr>
      </w:pPr>
    </w:p>
    <w:p>
      <w:pPr>
        <w:ind w:left="6460"/>
        <w:spacing w:after="0"/>
        <w:tabs>
          <w:tab w:leader="none" w:pos="6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5"/>
          <w:szCs w:val="15"/>
          <w:b w:val="1"/>
          <w:bCs w:val="1"/>
          <w:i w:val="1"/>
          <w:iCs w:val="1"/>
          <w:color w:val="auto"/>
        </w:rPr>
        <w:t xml:space="preserve">/s/ </w:t>
      </w:r>
      <w:r>
        <w:rPr>
          <w:rFonts w:ascii="Arial" w:cs="Arial" w:eastAsia="Arial" w:hAnsi="Arial"/>
          <w:sz w:val="16"/>
          <w:szCs w:val="16"/>
          <w:b w:val="1"/>
          <w:bCs w:val="1"/>
          <w:i w:val="1"/>
          <w:iCs w:val="1"/>
          <w:color w:val="auto"/>
        </w:rPr>
        <w:t>James M. Boyle</w:t>
      </w:r>
    </w:p>
    <w:p>
      <w:pPr>
        <w:spacing w:after="0" w:line="6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James M. Boyle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4356100</wp:posOffset>
                </wp:positionH>
                <wp:positionV relativeFrom="paragraph">
                  <wp:posOffset>-139065</wp:posOffset>
                </wp:positionV>
                <wp:extent cx="175387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38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pt,-10.9499pt" to="481.1pt,-10.9499pt" o:allowincell="f" strokecolor="#000000" strokeweight="1pt"/>
            </w:pict>
          </mc:Fallback>
        </mc:AlternateContent>
      </w:r>
    </w:p>
    <w:p>
      <w:pPr>
        <w:spacing w:after="0" w:line="4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Chief Executive Officer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72" w:lineRule="exact"/>
        <w:rPr>
          <w:sz w:val="20"/>
          <w:szCs w:val="20"/>
          <w:color w:val="auto"/>
        </w:rPr>
      </w:pPr>
    </w:p>
    <w:p>
      <w:pPr>
        <w:jc w:val="both"/>
        <w:ind w:firstLine="485"/>
        <w:spacing w:after="0" w:line="249" w:lineRule="auto"/>
        <w:rPr>
          <w:sz w:val="20"/>
          <w:szCs w:val="20"/>
          <w:color w:val="auto"/>
        </w:rPr>
      </w:pPr>
      <w:r>
        <w:rPr>
          <w:rFonts w:ascii="Arial" w:cs="Arial" w:eastAsia="Arial" w:hAnsi="Arial"/>
          <w:sz w:val="19"/>
          <w:szCs w:val="19"/>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83" w:lineRule="exact"/>
        <w:rPr>
          <w:sz w:val="20"/>
          <w:szCs w:val="20"/>
          <w:color w:val="auto"/>
        </w:rPr>
      </w:pPr>
    </w:p>
    <w:p>
      <w:pPr>
        <w:jc w:val="both"/>
        <w:ind w:firstLine="485"/>
        <w:spacing w:after="0" w:line="288" w:lineRule="auto"/>
        <w:rPr>
          <w:sz w:val="20"/>
          <w:szCs w:val="20"/>
          <w:color w:val="auto"/>
        </w:rPr>
      </w:pPr>
      <w:r>
        <w:rPr>
          <w:rFonts w:ascii="Arial" w:cs="Arial" w:eastAsia="Arial" w:hAnsi="Arial"/>
          <w:sz w:val="19"/>
          <w:szCs w:val="19"/>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ind w:left="1140"/>
        <w:spacing w:after="0"/>
        <w:tabs>
          <w:tab w:leader="none" w:pos="4460" w:val="left"/>
          <w:tab w:leader="none" w:pos="78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73660</wp:posOffset>
                </wp:positionV>
                <wp:extent cx="616648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6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pt" to="485.55pt,5.8pt" o:allowincell="f" strokecolor="#000000" strokeweight="1pt"/>
            </w:pict>
          </mc:Fallback>
        </mc:AlternateConten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 xml:space="preserve">/s/ </w:t>
            </w:r>
            <w:r>
              <w:rPr>
                <w:rFonts w:ascii="Arial" w:cs="Arial" w:eastAsia="Arial" w:hAnsi="Arial"/>
                <w:sz w:val="19"/>
                <w:szCs w:val="19"/>
                <w:b w:val="1"/>
                <w:bCs w:val="1"/>
                <w:i w:val="1"/>
                <w:iCs w:val="1"/>
                <w:color w:val="auto"/>
                <w:w w:val="87"/>
              </w:rPr>
              <w:t>James M. Boyle</w:t>
            </w:r>
          </w:p>
        </w:tc>
        <w:tc>
          <w:tcPr>
            <w:tcW w:w="3760" w:type="dxa"/>
            <w:vAlign w:val="bottom"/>
          </w:tcPr>
          <w:p>
            <w:pPr>
              <w:jc w:val="center"/>
              <w:ind w:right="281"/>
              <w:spacing w:after="0"/>
              <w:rPr>
                <w:sz w:val="20"/>
                <w:szCs w:val="20"/>
                <w:color w:val="auto"/>
              </w:rPr>
            </w:pPr>
            <w:r>
              <w:rPr>
                <w:rFonts w:ascii="Arial" w:cs="Arial" w:eastAsia="Arial" w:hAnsi="Arial"/>
                <w:sz w:val="20"/>
                <w:szCs w:val="20"/>
                <w:color w:val="auto"/>
                <w:w w:val="92"/>
              </w:rPr>
              <w:t>Chief Executive Officer and 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3"/>
              </w:rPr>
              <w:t>(Principal Executive Officer)</w:t>
            </w:r>
          </w:p>
        </w:tc>
        <w:tc>
          <w:tcPr>
            <w:tcW w:w="20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1"/>
              </w:rPr>
              <w:t>James M. Boyle</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294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7"/>
              </w:rPr>
              <w:t>/s/ Michael B. Drazin</w:t>
            </w:r>
          </w:p>
        </w:tc>
        <w:tc>
          <w:tcPr>
            <w:tcW w:w="3760" w:type="dxa"/>
            <w:vAlign w:val="bottom"/>
          </w:tcPr>
          <w:p>
            <w:pPr>
              <w:jc w:val="center"/>
              <w:ind w:right="261"/>
              <w:spacing w:after="0"/>
              <w:rPr>
                <w:sz w:val="20"/>
                <w:szCs w:val="20"/>
                <w:color w:val="auto"/>
              </w:rPr>
            </w:pPr>
            <w:r>
              <w:rPr>
                <w:rFonts w:ascii="Arial" w:cs="Arial" w:eastAsia="Arial" w:hAnsi="Arial"/>
                <w:sz w:val="20"/>
                <w:szCs w:val="20"/>
                <w:color w:val="auto"/>
                <w:w w:val="93"/>
              </w:rPr>
              <w:t>Chief Financial Officer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(Principal Financial Officer)</w:t>
            </w:r>
          </w:p>
        </w:tc>
        <w:tc>
          <w:tcPr>
            <w:tcW w:w="20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3"/>
              </w:rPr>
              <w:t>Michael B. Drazin</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294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4"/>
              </w:rPr>
              <w:t>/s/ Jessi L. Corcoran</w:t>
            </w:r>
          </w:p>
        </w:tc>
        <w:tc>
          <w:tcPr>
            <w:tcW w:w="3760" w:type="dxa"/>
            <w:vAlign w:val="bottom"/>
          </w:tcPr>
          <w:p>
            <w:pPr>
              <w:jc w:val="center"/>
              <w:ind w:right="281"/>
              <w:spacing w:after="0"/>
              <w:rPr>
                <w:sz w:val="20"/>
                <w:szCs w:val="20"/>
                <w:color w:val="auto"/>
              </w:rPr>
            </w:pPr>
            <w:r>
              <w:rPr>
                <w:rFonts w:ascii="Arial" w:cs="Arial" w:eastAsia="Arial" w:hAnsi="Arial"/>
                <w:sz w:val="20"/>
                <w:szCs w:val="20"/>
                <w:color w:val="auto"/>
                <w:w w:val="93"/>
              </w:rPr>
              <w:t>Chief Accounting Officer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 Principal Accounting Officer)</w:t>
            </w:r>
          </w:p>
        </w:tc>
        <w:tc>
          <w:tcPr>
            <w:tcW w:w="20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8"/>
              </w:rPr>
              <w:t>Jessi L. Corcoran</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7"/>
              </w:rPr>
              <w:t>/s/ Charles N. Mills</w:t>
            </w:r>
          </w:p>
        </w:tc>
        <w:tc>
          <w:tcPr>
            <w:tcW w:w="3760" w:type="dxa"/>
            <w:vAlign w:val="bottom"/>
            <w:vMerge w:val="restart"/>
          </w:tcPr>
          <w:p>
            <w:pPr>
              <w:jc w:val="center"/>
              <w:ind w:right="261"/>
              <w:spacing w:after="0"/>
              <w:rPr>
                <w:sz w:val="20"/>
                <w:szCs w:val="20"/>
                <w:color w:val="auto"/>
              </w:rPr>
            </w:pPr>
            <w:r>
              <w:rPr>
                <w:rFonts w:ascii="Arial" w:cs="Arial" w:eastAsia="Arial" w:hAnsi="Arial"/>
                <w:sz w:val="20"/>
                <w:szCs w:val="20"/>
                <w:color w:val="auto"/>
                <w:w w:val="91"/>
              </w:rPr>
              <w:t>Chair of the Board of Directors</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2"/>
              </w:rPr>
              <w:t>Charles N. Mills</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4"/>
              </w:rPr>
              <w:t>/s/ Joseph P. Baratta</w:t>
            </w: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6"/>
              </w:rPr>
              <w:t>Joseph P. Baratta</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3"/>
              </w:rPr>
              <w:t>/s/ Jacob D. Best</w:t>
            </w: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8"/>
              </w:rPr>
              <w:t>Jacob D. Best</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5"/>
              </w:rPr>
              <w:t>/s/ Todd M. Bluedorn</w:t>
            </w: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1"/>
              </w:rPr>
              <w:t>Todd M. Bluedorn</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6"/>
              </w:rPr>
              <w:t>/s/ Richard A. Galanti</w:t>
            </w: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2"/>
              </w:rPr>
              <w:t>Richard A. Galanti</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7"/>
              </w:rPr>
              <w:t>/s/ Patrick J. Healy</w:t>
            </w:r>
          </w:p>
        </w:tc>
        <w:tc>
          <w:tcPr>
            <w:tcW w:w="3760" w:type="dxa"/>
            <w:vAlign w:val="bottom"/>
            <w:vMerge w:val="restart"/>
          </w:tcPr>
          <w:p>
            <w:pPr>
              <w:jc w:val="center"/>
              <w:ind w:right="281"/>
              <w:spacing w:after="0"/>
              <w:rPr>
                <w:sz w:val="20"/>
                <w:szCs w:val="20"/>
                <w:color w:val="auto"/>
              </w:rPr>
            </w:pPr>
            <w:r>
              <w:rPr>
                <w:rFonts w:ascii="Arial" w:cs="Arial" w:eastAsia="Arial" w:hAnsi="Arial"/>
                <w:sz w:val="20"/>
                <w:szCs w:val="20"/>
                <w:color w:val="auto"/>
                <w:w w:val="94"/>
              </w:rPr>
              <w:t>Director</w:t>
            </w:r>
          </w:p>
        </w:tc>
        <w:tc>
          <w:tcPr>
            <w:tcW w:w="2040" w:type="dxa"/>
            <w:vAlign w:val="bottom"/>
            <w:vMerge w:val="restart"/>
          </w:tcPr>
          <w:p>
            <w:pPr>
              <w:ind w:left="60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0"/>
              </w:rPr>
              <w:t>Patrick J. Healy</w:t>
            </w:r>
          </w:p>
        </w:tc>
        <w:tc>
          <w:tcPr>
            <w:tcW w:w="376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523" w:right="1040" w:bottom="0" w:gutter="0" w:footer="0" w:header="0"/>
        </w:sectPr>
      </w:pPr>
    </w:p>
    <w:p>
      <w:pPr>
        <w:spacing w:after="0" w:line="309"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143</w:t>
      </w:r>
    </w:p>
    <w:p>
      <w:pPr>
        <w:sectPr>
          <w:pgSz w:w="11880" w:h="15480" w:orient="portrait"/>
          <w:cols w:equalWidth="0" w:num="1">
            <w:col w:w="9800"/>
          </w:cols>
          <w:pgMar w:left="1040" w:top="523" w:right="104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65"/>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6"/>
              </w:rPr>
              <w:t>/s/ Andrew J. Mills</w:t>
            </w:r>
          </w:p>
        </w:tc>
        <w:tc>
          <w:tcPr>
            <w:tcW w:w="3180" w:type="dxa"/>
            <w:vAlign w:val="bottom"/>
            <w:vMerge w:val="restart"/>
          </w:tcPr>
          <w:p>
            <w:pPr>
              <w:ind w:left="1360"/>
              <w:spacing w:after="0"/>
              <w:rPr>
                <w:sz w:val="20"/>
                <w:szCs w:val="20"/>
                <w:color w:val="auto"/>
              </w:rPr>
            </w:pPr>
            <w:r>
              <w:rPr>
                <w:rFonts w:ascii="Arial" w:cs="Arial" w:eastAsia="Arial" w:hAnsi="Arial"/>
                <w:sz w:val="20"/>
                <w:szCs w:val="20"/>
                <w:color w:val="auto"/>
              </w:rPr>
              <w:t>Director</w:t>
            </w:r>
          </w:p>
        </w:tc>
        <w:tc>
          <w:tcPr>
            <w:tcW w:w="2620" w:type="dxa"/>
            <w:vAlign w:val="bottom"/>
            <w:vMerge w:val="restart"/>
          </w:tcPr>
          <w:p>
            <w:pPr>
              <w:ind w:left="118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96"/>
              </w:rPr>
              <w:t>Andrew J. Mills</w:t>
            </w:r>
          </w:p>
        </w:tc>
        <w:tc>
          <w:tcPr>
            <w:tcW w:w="31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4"/>
              </w:rPr>
              <w:t>/s/ Robert R. Schmidt</w:t>
            </w:r>
          </w:p>
        </w:tc>
        <w:tc>
          <w:tcPr>
            <w:tcW w:w="3180" w:type="dxa"/>
            <w:vAlign w:val="bottom"/>
            <w:vMerge w:val="restart"/>
          </w:tcPr>
          <w:p>
            <w:pPr>
              <w:ind w:left="1360"/>
              <w:spacing w:after="0"/>
              <w:rPr>
                <w:sz w:val="20"/>
                <w:szCs w:val="20"/>
                <w:color w:val="auto"/>
              </w:rPr>
            </w:pPr>
            <w:r>
              <w:rPr>
                <w:rFonts w:ascii="Arial" w:cs="Arial" w:eastAsia="Arial" w:hAnsi="Arial"/>
                <w:sz w:val="20"/>
                <w:szCs w:val="20"/>
                <w:color w:val="auto"/>
              </w:rPr>
              <w:t>Director</w:t>
            </w:r>
          </w:p>
        </w:tc>
        <w:tc>
          <w:tcPr>
            <w:tcW w:w="2620" w:type="dxa"/>
            <w:vAlign w:val="bottom"/>
            <w:vMerge w:val="restart"/>
          </w:tcPr>
          <w:p>
            <w:pPr>
              <w:ind w:left="118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9"/>
              </w:rPr>
              <w:t>Robert R. Schmidt</w:t>
            </w:r>
          </w:p>
        </w:tc>
        <w:tc>
          <w:tcPr>
            <w:tcW w:w="31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2"/>
              </w:rPr>
              <w:t>/s/ Anushka M. Sunder</w:t>
            </w:r>
          </w:p>
        </w:tc>
        <w:tc>
          <w:tcPr>
            <w:tcW w:w="3180" w:type="dxa"/>
            <w:vAlign w:val="bottom"/>
            <w:vMerge w:val="restart"/>
          </w:tcPr>
          <w:p>
            <w:pPr>
              <w:ind w:left="1360"/>
              <w:spacing w:after="0"/>
              <w:rPr>
                <w:sz w:val="20"/>
                <w:szCs w:val="20"/>
                <w:color w:val="auto"/>
              </w:rPr>
            </w:pPr>
            <w:r>
              <w:rPr>
                <w:rFonts w:ascii="Arial" w:cs="Arial" w:eastAsia="Arial" w:hAnsi="Arial"/>
                <w:sz w:val="20"/>
                <w:szCs w:val="20"/>
                <w:color w:val="auto"/>
              </w:rPr>
              <w:t>Director</w:t>
            </w:r>
          </w:p>
        </w:tc>
        <w:tc>
          <w:tcPr>
            <w:tcW w:w="2620" w:type="dxa"/>
            <w:vAlign w:val="bottom"/>
            <w:vMerge w:val="restart"/>
          </w:tcPr>
          <w:p>
            <w:pPr>
              <w:ind w:left="118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9"/>
              </w:rPr>
              <w:t>Anushka M. Sunder</w:t>
            </w:r>
          </w:p>
        </w:tc>
        <w:tc>
          <w:tcPr>
            <w:tcW w:w="31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1"/>
              </w:rPr>
              <w:t>/s/ Thomas W. Sweet</w:t>
            </w:r>
          </w:p>
        </w:tc>
        <w:tc>
          <w:tcPr>
            <w:tcW w:w="3180" w:type="dxa"/>
            <w:vAlign w:val="bottom"/>
            <w:vMerge w:val="restart"/>
          </w:tcPr>
          <w:p>
            <w:pPr>
              <w:ind w:left="1360"/>
              <w:spacing w:after="0"/>
              <w:rPr>
                <w:sz w:val="20"/>
                <w:szCs w:val="20"/>
                <w:color w:val="auto"/>
              </w:rPr>
            </w:pPr>
            <w:r>
              <w:rPr>
                <w:rFonts w:ascii="Arial" w:cs="Arial" w:eastAsia="Arial" w:hAnsi="Arial"/>
                <w:sz w:val="20"/>
                <w:szCs w:val="20"/>
                <w:color w:val="auto"/>
              </w:rPr>
              <w:t>Director</w:t>
            </w:r>
          </w:p>
        </w:tc>
        <w:tc>
          <w:tcPr>
            <w:tcW w:w="2620" w:type="dxa"/>
            <w:vAlign w:val="bottom"/>
            <w:vMerge w:val="restart"/>
          </w:tcPr>
          <w:p>
            <w:pPr>
              <w:ind w:left="118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9"/>
              </w:rPr>
              <w:t>Thomas W. Sweet</w:t>
            </w:r>
          </w:p>
        </w:tc>
        <w:tc>
          <w:tcPr>
            <w:tcW w:w="31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3"/>
              </w:rPr>
              <w:t>/s/ Stephen H. Wise</w:t>
            </w:r>
          </w:p>
        </w:tc>
        <w:tc>
          <w:tcPr>
            <w:tcW w:w="3180" w:type="dxa"/>
            <w:vAlign w:val="bottom"/>
            <w:vMerge w:val="restart"/>
          </w:tcPr>
          <w:p>
            <w:pPr>
              <w:ind w:left="1360"/>
              <w:spacing w:after="0"/>
              <w:rPr>
                <w:sz w:val="20"/>
                <w:szCs w:val="20"/>
                <w:color w:val="auto"/>
              </w:rPr>
            </w:pPr>
            <w:r>
              <w:rPr>
                <w:rFonts w:ascii="Arial" w:cs="Arial" w:eastAsia="Arial" w:hAnsi="Arial"/>
                <w:sz w:val="20"/>
                <w:szCs w:val="20"/>
                <w:color w:val="auto"/>
              </w:rPr>
              <w:t>Director</w:t>
            </w:r>
          </w:p>
        </w:tc>
        <w:tc>
          <w:tcPr>
            <w:tcW w:w="2620" w:type="dxa"/>
            <w:vAlign w:val="bottom"/>
            <w:vMerge w:val="restart"/>
          </w:tcPr>
          <w:p>
            <w:pPr>
              <w:ind w:left="118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108"/>
        </w:trPr>
        <w:tc>
          <w:tcPr>
            <w:tcW w:w="2940" w:type="dxa"/>
            <w:vAlign w:val="bottom"/>
            <w:vMerge w:val="restart"/>
          </w:tcPr>
          <w:p>
            <w:pPr>
              <w:jc w:val="center"/>
              <w:spacing w:after="0"/>
              <w:rPr>
                <w:sz w:val="20"/>
                <w:szCs w:val="20"/>
                <w:color w:val="auto"/>
              </w:rPr>
            </w:pPr>
            <w:r>
              <w:rPr>
                <w:rFonts w:ascii="Arial" w:cs="Arial" w:eastAsia="Arial" w:hAnsi="Arial"/>
                <w:sz w:val="20"/>
                <w:szCs w:val="20"/>
                <w:color w:val="auto"/>
                <w:w w:val="89"/>
              </w:rPr>
              <w:t>Stephen H. Wise</w:t>
            </w:r>
          </w:p>
        </w:tc>
        <w:tc>
          <w:tcPr>
            <w:tcW w:w="31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3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00"/>
          </w:cols>
          <w:pgMar w:left="1040" w:top="59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600"/>
        <w:spacing w:after="0"/>
        <w:rPr>
          <w:sz w:val="20"/>
          <w:szCs w:val="20"/>
          <w:color w:val="auto"/>
        </w:rPr>
      </w:pPr>
      <w:r>
        <w:rPr>
          <w:rFonts w:ascii="Arial" w:cs="Arial" w:eastAsia="Arial" w:hAnsi="Arial"/>
          <w:sz w:val="11"/>
          <w:szCs w:val="11"/>
          <w:color w:val="auto"/>
        </w:rPr>
        <w:t>144</w:t>
      </w:r>
    </w:p>
    <w:sectPr>
      <w:pgSz w:w="11880" w:h="15480" w:orient="portrait"/>
      <w:cols w:equalWidth="0" w:num="1">
        <w:col w:w="9800"/>
      </w:cols>
      <w:pgMar w:left="1040" w:top="599" w:right="10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
      <w:numFmt w:val="bullet"/>
      <w:start w:val="1"/>
    </w:lvl>
  </w:abstractNum>
  <w:abstractNum w:abstractNumId="1">
    <w:nsid w:val="257130A3"/>
    <w:multiLevelType w:val="hybridMultilevel"/>
    <w:lvl w:ilvl="0">
      <w:lvlJc w:val="left"/>
      <w:lvlText w:val=" "/>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lowerRoman"/>
      <w:start w:val="4"/>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2026-04-23T19:46:20Z</dcterms:created>
  <dcterms:modified xsi:type="dcterms:W3CDTF">2026-04-23T19:46:20Z</dcterms:modified>
</cp:coreProperties>
</file>