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94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943725"/>
                    </a:xfrm>
                    <a:prstGeom prst="rect">
                      <a:avLst/>
                    </a:prstGeom>
                    <a:noFill/>
                  </pic:spPr>
                </pic:pic>
              </a:graphicData>
            </a:graphic>
          </wp:anchor>
        </w:drawing>
      </w:r>
    </w:p>
    <w:p>
      <w:pPr>
        <w:sectPr>
          <w:pgSz w:w="11900" w:h="1690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Abrams William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90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0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4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250"/>
              <w:spacing w:after="0"/>
              <w:rPr>
                <w:sz w:val="20"/>
                <w:szCs w:val="20"/>
                <w:color w:val="auto"/>
              </w:rPr>
            </w:pPr>
            <w:r>
              <w:rPr>
                <w:rFonts w:ascii="Times New Roman" w:cs="Times New Roman" w:eastAsia="Times New Roman" w:hAnsi="Times New Roman"/>
                <w:sz w:val="20"/>
                <w:szCs w:val="20"/>
                <w:color w:val="0000FF"/>
              </w:rPr>
              <w:t>495,680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20"/>
                <w:szCs w:val="20"/>
                <w:color w:val="0000FF"/>
              </w:rPr>
              <w:t>30,655</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680" w:type="dxa"/>
            <w:vAlign w:val="bottom"/>
            <w:gridSpan w:val="7"/>
          </w:tcPr>
          <w:p>
            <w:pPr>
              <w:ind w:left="3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495,680</w:t>
            </w:r>
          </w:p>
        </w:tc>
        <w:tc>
          <w:tcPr>
            <w:tcW w:w="60" w:type="dxa"/>
            <w:vAlign w:val="bottom"/>
          </w:tcPr>
          <w:p>
            <w:pPr>
              <w:spacing w:after="0"/>
              <w:rPr>
                <w:sz w:val="24"/>
                <w:szCs w:val="24"/>
                <w:color w:val="auto"/>
              </w:rPr>
            </w:pPr>
          </w:p>
        </w:tc>
        <w:tc>
          <w:tcPr>
            <w:tcW w:w="580" w:type="dxa"/>
            <w:vAlign w:val="bottom"/>
            <w:vMerge w:val="restart"/>
          </w:tcPr>
          <w:p>
            <w:pPr>
              <w:jc w:val="center"/>
              <w:ind w:left="211"/>
              <w:spacing w:after="0"/>
              <w:rPr>
                <w:sz w:val="20"/>
                <w:szCs w:val="20"/>
                <w:color w:val="auto"/>
              </w:rPr>
            </w:pPr>
            <w:r>
              <w:rPr>
                <w:rFonts w:ascii="Times New Roman" w:cs="Times New Roman" w:eastAsia="Times New Roman" w:hAnsi="Times New Roman"/>
                <w:sz w:val="13"/>
                <w:szCs w:val="13"/>
                <w:color w:val="008000"/>
                <w:w w:val="92"/>
              </w:rPr>
              <w:t>(3)</w:t>
            </w:r>
          </w:p>
        </w:tc>
        <w:tc>
          <w:tcPr>
            <w:tcW w:w="3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30,655</w:t>
            </w:r>
          </w:p>
        </w:tc>
        <w:tc>
          <w:tcPr>
            <w:tcW w:w="60" w:type="dxa"/>
            <w:vAlign w:val="bottom"/>
          </w:tcPr>
          <w:p>
            <w:pPr>
              <w:spacing w:after="0"/>
              <w:rPr>
                <w:sz w:val="24"/>
                <w:szCs w:val="24"/>
                <w:color w:val="auto"/>
              </w:rPr>
            </w:pPr>
          </w:p>
        </w:tc>
        <w:tc>
          <w:tcPr>
            <w:tcW w:w="580" w:type="dxa"/>
            <w:vAlign w:val="bottom"/>
            <w:vMerge w:val="restart"/>
          </w:tcPr>
          <w:p>
            <w:pPr>
              <w:jc w:val="center"/>
              <w:ind w:left="211"/>
              <w:spacing w:after="0"/>
              <w:rPr>
                <w:sz w:val="20"/>
                <w:szCs w:val="20"/>
                <w:color w:val="auto"/>
              </w:rPr>
            </w:pPr>
            <w:r>
              <w:rPr>
                <w:rFonts w:ascii="Times New Roman" w:cs="Times New Roman" w:eastAsia="Times New Roman" w:hAnsi="Times New Roman"/>
                <w:sz w:val="13"/>
                <w:szCs w:val="13"/>
                <w:color w:val="008000"/>
                <w:w w:val="92"/>
              </w:rPr>
              <w:t>(3)</w:t>
            </w:r>
          </w:p>
        </w:tc>
        <w:tc>
          <w:tcPr>
            <w:tcW w:w="3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1,129,447</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15.42</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170,204</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15.23</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91,078</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19.01</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(4)(5)(9)</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97,531</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27.68</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of which the Reporting Person serves as a trustee.</w:t>
      </w:r>
    </w:p>
    <w:p>
      <w:pPr>
        <w:spacing w:after="0" w:line="52"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80% of these Incentive Units have vested, and the remaining 20% vests on October 21, 2026.</w:t>
      </w:r>
    </w:p>
    <w:p>
      <w:pPr>
        <w:sectPr>
          <w:pgSz w:w="11900" w:h="16900"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Title: Executive Vice President, Supply Chain Solutions 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8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/s/ William J. Abrams</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William J. Abrams</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1059"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2025-12-17T18:11:02Z</dcterms:created>
  <dcterms:modified xsi:type="dcterms:W3CDTF">2025-12-17T18:11:02Z</dcterms:modified>
</cp:coreProperties>
</file>