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49770" cy="855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8557260"/>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280" w:space="44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Boyle James M</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MEDLINE INC.</w:t>
      </w:r>
    </w:p>
    <w:p>
      <w:pPr>
        <w:spacing w:after="0" w:line="6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LAKES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Medline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MDLN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12/16/2025</w:t>
      </w:r>
    </w:p>
    <w:p>
      <w:pPr>
        <w:spacing w:after="0" w:line="20" w:lineRule="exact"/>
        <w:rPr>
          <w:sz w:val="24"/>
          <w:szCs w:val="24"/>
          <w:color w:val="auto"/>
        </w:rPr>
      </w:pPr>
      <w:r>
        <w:rPr>
          <w:sz w:val="24"/>
          <w:szCs w:val="24"/>
          <w:color w:val="auto"/>
        </w:rPr>
        <w:br w:type="column"/>
      </w:r>
    </w:p>
    <w:p>
      <w:pPr>
        <w:ind w:left="-1" w:right="780" w:firstLine="1"/>
        <w:spacing w:after="0" w:line="27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0"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83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18" w:lineRule="exact"/>
        <w:rPr>
          <w:sz w:val="24"/>
          <w:szCs w:val="24"/>
          <w:color w:val="auto"/>
        </w:rPr>
      </w:pPr>
    </w:p>
    <w:p>
      <w:pPr>
        <w:sectPr>
          <w:pgSz w:w="11900" w:h="16838" w:orient="portrait"/>
          <w:cols w:equalWidth="0" w:num="3">
            <w:col w:w="3180" w:space="720"/>
            <w:col w:w="3101" w:space="720"/>
            <w:col w:w="3359"/>
          </w:cols>
          <w:pgMar w:left="460" w:top="212" w:right="359" w:bottom="0" w:gutter="0" w:footer="0" w:header="0"/>
          <w:type w:val="continuous"/>
        </w:sectPr>
      </w:pP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gridSpan w:val="9"/>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00" w:type="dxa"/>
            <w:vAlign w:val="bottom"/>
            <w:gridSpan w:val="8"/>
          </w:tcPr>
          <w:p>
            <w:pPr>
              <w:ind w:left="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NORTHFIELD</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IL</w:t>
            </w:r>
          </w:p>
        </w:tc>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60093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gridSpan w:val="5"/>
          </w:tcPr>
          <w:p>
            <w:pPr>
              <w:ind w:left="180"/>
              <w:spacing w:after="0" w:line="128" w:lineRule="exact"/>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8"/>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160" w:type="dxa"/>
            <w:vAlign w:val="bottom"/>
            <w:tcBorders>
              <w:top w:val="single" w:sz="8" w:color="2C2C2C"/>
            </w:tcBorders>
            <w:gridSpan w:val="19"/>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4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spacing w:after="0"/>
              <w:rPr>
                <w:sz w:val="13"/>
                <w:szCs w:val="13"/>
                <w:color w:val="auto"/>
              </w:rPr>
            </w:pPr>
          </w:p>
        </w:tc>
        <w:tc>
          <w:tcPr>
            <w:tcW w:w="5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5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4"/>
          </w:tcPr>
          <w:p>
            <w:pPr>
              <w:ind w:left="94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7"/>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4"/>
          </w:tcPr>
          <w:p>
            <w:pPr>
              <w:jc w:val="center"/>
              <w:ind w:left="876"/>
              <w:spacing w:after="0" w:line="123"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5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8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5"/>
                <w:szCs w:val="5"/>
                <w:color w:val="auto"/>
              </w:rPr>
            </w:pPr>
          </w:p>
        </w:tc>
        <w:tc>
          <w:tcPr>
            <w:tcW w:w="84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6"/>
              </w:rPr>
              <w:t>Amount</w:t>
            </w:r>
          </w:p>
        </w:tc>
        <w:tc>
          <w:tcPr>
            <w:tcW w:w="840" w:type="dxa"/>
            <w:vAlign w:val="bottom"/>
            <w:gridSpan w:val="3"/>
          </w:tcPr>
          <w:p>
            <w:pPr>
              <w:ind w:left="440"/>
              <w:spacing w:after="0" w:line="123" w:lineRule="exact"/>
              <w:rPr>
                <w:sz w:val="20"/>
                <w:szCs w:val="20"/>
                <w:color w:val="auto"/>
              </w:rPr>
            </w:pPr>
            <w:r>
              <w:rPr>
                <w:rFonts w:ascii="Arial" w:cs="Arial" w:eastAsia="Arial" w:hAnsi="Arial"/>
                <w:sz w:val="11"/>
                <w:szCs w:val="11"/>
                <w:b w:val="1"/>
                <w:bCs w:val="1"/>
                <w:color w:val="auto"/>
              </w:rPr>
              <w:t>(A) or</w:t>
            </w:r>
          </w:p>
        </w:tc>
        <w:tc>
          <w:tcPr>
            <w:tcW w:w="5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w w:val="91"/>
              </w:rPr>
              <w:t>(D)</w:t>
            </w:r>
          </w:p>
        </w:tc>
        <w:tc>
          <w:tcPr>
            <w:tcW w:w="24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8"/>
              </w:rPr>
              <w:t>12/16/2025</w:t>
            </w: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2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102"/>
              <w:spacing w:after="0"/>
              <w:rPr>
                <w:sz w:val="20"/>
                <w:szCs w:val="20"/>
                <w:color w:val="auto"/>
              </w:rPr>
            </w:pPr>
            <w:r>
              <w:rPr>
                <w:rFonts w:ascii="Times New Roman" w:cs="Times New Roman" w:eastAsia="Times New Roman" w:hAnsi="Times New Roman"/>
                <w:sz w:val="16"/>
                <w:szCs w:val="16"/>
                <w:color w:val="0000FF"/>
                <w:w w:val="93"/>
              </w:rPr>
              <w:t>24,313</w:t>
            </w:r>
            <w:r>
              <w:rPr>
                <w:rFonts w:ascii="Times New Roman" w:cs="Times New Roman" w:eastAsia="Times New Roman" w:hAnsi="Times New Roman"/>
                <w:sz w:val="20"/>
                <w:szCs w:val="20"/>
                <w:color w:val="008000"/>
                <w:w w:val="93"/>
                <w:vertAlign w:val="superscript"/>
              </w:rPr>
              <w:t>(2)</w:t>
            </w:r>
          </w:p>
        </w:tc>
        <w:tc>
          <w:tcPr>
            <w:tcW w:w="3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42"/>
              <w:spacing w:after="0"/>
              <w:rPr>
                <w:sz w:val="20"/>
                <w:szCs w:val="20"/>
                <w:color w:val="auto"/>
              </w:rPr>
            </w:pPr>
            <w:r>
              <w:rPr>
                <w:rFonts w:ascii="Times New Roman" w:cs="Times New Roman" w:eastAsia="Times New Roman" w:hAnsi="Times New Roman"/>
                <w:sz w:val="16"/>
                <w:szCs w:val="16"/>
                <w:color w:val="0000FF"/>
                <w:w w:val="99"/>
              </w:rPr>
              <w:t>24,313</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00" w:type="dxa"/>
            <w:vAlign w:val="bottom"/>
          </w:tcPr>
          <w:p>
            <w:pPr>
              <w:spacing w:after="0"/>
              <w:rPr>
                <w:sz w:val="20"/>
                <w:szCs w:val="20"/>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12/16/2025</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280" w:type="dxa"/>
            <w:vAlign w:val="bottom"/>
          </w:tcPr>
          <w:p>
            <w:pPr>
              <w:spacing w:after="0"/>
              <w:rPr>
                <w:sz w:val="20"/>
                <w:szCs w:val="20"/>
                <w:color w:val="auto"/>
              </w:rPr>
            </w:pPr>
          </w:p>
        </w:tc>
        <w:tc>
          <w:tcPr>
            <w:tcW w:w="1000" w:type="dxa"/>
            <w:vAlign w:val="bottom"/>
            <w:gridSpan w:val="2"/>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4"/>
              </w:rPr>
              <w:t>514,876</w:t>
            </w:r>
            <w:r>
              <w:rPr>
                <w:rFonts w:ascii="Times New Roman" w:cs="Times New Roman" w:eastAsia="Times New Roman" w:hAnsi="Times New Roman"/>
                <w:sz w:val="20"/>
                <w:szCs w:val="20"/>
                <w:color w:val="008000"/>
                <w:w w:val="94"/>
                <w:vertAlign w:val="superscript"/>
              </w:rPr>
              <w:t>(2)</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40" w:type="dxa"/>
            <w:vAlign w:val="bottom"/>
          </w:tcPr>
          <w:p>
            <w:pPr>
              <w:spacing w:after="0"/>
              <w:rPr>
                <w:sz w:val="20"/>
                <w:szCs w:val="20"/>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(1)</w:t>
            </w:r>
          </w:p>
        </w:tc>
        <w:tc>
          <w:tcPr>
            <w:tcW w:w="40" w:type="dxa"/>
            <w:vAlign w:val="bottom"/>
          </w:tcPr>
          <w:p>
            <w:pPr>
              <w:spacing w:after="0"/>
              <w:rPr>
                <w:sz w:val="20"/>
                <w:szCs w:val="20"/>
                <w:color w:val="auto"/>
              </w:rPr>
            </w:pPr>
          </w:p>
        </w:tc>
        <w:tc>
          <w:tcPr>
            <w:tcW w:w="1340" w:type="dxa"/>
            <w:vAlign w:val="bottom"/>
            <w:gridSpan w:val="3"/>
            <w:vMerge w:val="restart"/>
          </w:tcPr>
          <w:p>
            <w:pPr>
              <w:jc w:val="center"/>
              <w:ind w:left="42"/>
              <w:spacing w:after="0"/>
              <w:rPr>
                <w:sz w:val="20"/>
                <w:szCs w:val="20"/>
                <w:color w:val="auto"/>
              </w:rPr>
            </w:pPr>
            <w:r>
              <w:rPr>
                <w:rFonts w:ascii="Times New Roman" w:cs="Times New Roman" w:eastAsia="Times New Roman" w:hAnsi="Times New Roman"/>
                <w:sz w:val="16"/>
                <w:szCs w:val="16"/>
                <w:color w:val="0000FF"/>
                <w:w w:val="99"/>
              </w:rPr>
              <w:t>514,876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8"/>
              </w:rPr>
              <w:t>03/05/2026</w:t>
            </w:r>
          </w:p>
        </w:tc>
        <w:tc>
          <w:tcPr>
            <w:tcW w:w="60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28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31,739</w:t>
            </w:r>
          </w:p>
        </w:tc>
        <w:tc>
          <w:tcPr>
            <w:tcW w:w="320" w:type="dxa"/>
            <w:vAlign w:val="bottom"/>
            <w:tcBorders>
              <w:top w:val="single" w:sz="8" w:color="2C2C2C"/>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gridSpan w:val="3"/>
          </w:tcPr>
          <w:p>
            <w:pPr>
              <w:jc w:val="center"/>
              <w:ind w:left="42"/>
              <w:spacing w:after="0"/>
              <w:rPr>
                <w:sz w:val="20"/>
                <w:szCs w:val="20"/>
                <w:color w:val="auto"/>
              </w:rPr>
            </w:pPr>
            <w:r>
              <w:rPr>
                <w:rFonts w:ascii="Times New Roman" w:cs="Times New Roman" w:eastAsia="Times New Roman" w:hAnsi="Times New Roman"/>
                <w:sz w:val="16"/>
                <w:szCs w:val="16"/>
                <w:color w:val="0000FF"/>
                <w:w w:val="99"/>
              </w:rPr>
              <w:t>31,739</w:t>
            </w:r>
          </w:p>
        </w:tc>
        <w:tc>
          <w:tcPr>
            <w:tcW w:w="8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160" w:type="dxa"/>
            <w:vAlign w:val="bottom"/>
            <w:tcBorders>
              <w:top w:val="single" w:sz="8" w:color="2C2C2C"/>
            </w:tcBorders>
            <w:gridSpan w:val="19"/>
          </w:tcPr>
          <w:p>
            <w:pPr>
              <w:jc w:val="right"/>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gridSpan w:val="17"/>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5"/>
          </w:tcPr>
          <w:p>
            <w:pPr>
              <w:spacing w:after="0"/>
              <w:rPr>
                <w:sz w:val="2"/>
                <w:szCs w:val="2"/>
                <w:color w:val="auto"/>
              </w:rPr>
            </w:pPr>
          </w:p>
        </w:tc>
        <w:tc>
          <w:tcPr>
            <w:tcW w:w="13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    10.</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2"/>
          </w:tcPr>
          <w:p>
            <w:pPr>
              <w:jc w:val="center"/>
              <w:ind w:right="19"/>
              <w:spacing w:after="0" w:line="123" w:lineRule="exact"/>
              <w:rPr>
                <w:sz w:val="20"/>
                <w:szCs w:val="20"/>
                <w:color w:val="auto"/>
              </w:rPr>
            </w:pPr>
            <w:r>
              <w:rPr>
                <w:rFonts w:ascii="Arial" w:cs="Arial" w:eastAsia="Arial" w:hAnsi="Arial"/>
                <w:sz w:val="11"/>
                <w:szCs w:val="11"/>
                <w:b w:val="1"/>
                <w:bCs w:val="1"/>
                <w:color w:val="auto"/>
                <w:w w:val="99"/>
              </w:rPr>
              <w:t>Transaction</w:t>
            </w: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40" w:type="dxa"/>
            <w:vAlign w:val="bottom"/>
            <w:gridSpan w:val="6"/>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jc w:val="center"/>
              <w:ind w:right="3"/>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Ownership</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8"/>
              <w:spacing w:after="0" w:line="123"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2"/>
          </w:tcPr>
          <w:p>
            <w:pPr>
              <w:jc w:val="center"/>
              <w:ind w:right="19"/>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08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23"/>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Form:</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Acquired (A)</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23"/>
              <w:spacing w:after="0" w:line="123"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Direct (D)</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 Disposed of</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Owned</w:t>
            </w:r>
          </w:p>
        </w:tc>
        <w:tc>
          <w:tcPr>
            <w:tcW w:w="8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or Indirect</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(Instr. 3, 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100"/>
              <w:spacing w:after="0" w:line="271"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rPr>
              <w:t>(5)</w:t>
            </w:r>
          </w:p>
        </w:tc>
        <w:tc>
          <w:tcPr>
            <w:tcW w:w="280" w:type="dxa"/>
            <w:vAlign w:val="bottom"/>
          </w:tcPr>
          <w:p>
            <w:pPr>
              <w:spacing w:after="0"/>
              <w:rPr>
                <w:sz w:val="11"/>
                <w:szCs w:val="11"/>
                <w:color w:val="auto"/>
              </w:rPr>
            </w:pPr>
          </w:p>
        </w:tc>
        <w:tc>
          <w:tcPr>
            <w:tcW w:w="4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1"/>
                <w:szCs w:val="11"/>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24,313</w:t>
            </w:r>
          </w:p>
        </w:tc>
        <w:tc>
          <w:tcPr>
            <w:tcW w:w="40" w:type="dxa"/>
            <w:vAlign w:val="bottom"/>
          </w:tcPr>
          <w:p>
            <w:pPr>
              <w:spacing w:after="0"/>
              <w:rPr>
                <w:sz w:val="11"/>
                <w:szCs w:val="11"/>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Medline</w:t>
            </w:r>
          </w:p>
        </w:tc>
        <w:tc>
          <w:tcPr>
            <w:tcW w:w="680" w:type="dxa"/>
            <w:vAlign w:val="bottom"/>
            <w:vMerge w:val="continue"/>
          </w:tcPr>
          <w:p>
            <w:pPr>
              <w:spacing w:after="0"/>
              <w:rPr>
                <w:sz w:val="11"/>
                <w:szCs w:val="11"/>
                <w:color w:val="auto"/>
              </w:rPr>
            </w:pPr>
          </w:p>
        </w:tc>
        <w:tc>
          <w:tcPr>
            <w:tcW w:w="1080" w:type="dxa"/>
            <w:vAlign w:val="bottom"/>
          </w:tcPr>
          <w:p>
            <w:pPr>
              <w:jc w:val="center"/>
              <w:ind w:left="18"/>
              <w:spacing w:after="0" w:line="136" w:lineRule="exact"/>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tcPr>
          <w:p>
            <w:pPr>
              <w:jc w:val="center"/>
              <w:ind w:right="2"/>
              <w:spacing w:after="0" w:line="136" w:lineRule="exact"/>
              <w:rPr>
                <w:sz w:val="20"/>
                <w:szCs w:val="20"/>
                <w:color w:val="auto"/>
              </w:rPr>
            </w:pPr>
            <w:r>
              <w:rPr>
                <w:rFonts w:ascii="Times New Roman" w:cs="Times New Roman" w:eastAsia="Times New Roman" w:hAnsi="Times New Roman"/>
                <w:sz w:val="12"/>
                <w:szCs w:val="12"/>
                <w:color w:val="0000FF"/>
              </w:rPr>
              <w:t>24,313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tcPr>
          <w:p>
            <w:pPr>
              <w:jc w:val="center"/>
              <w:ind w:left="102"/>
              <w:spacing w:after="0" w:line="136" w:lineRule="exact"/>
              <w:rPr>
                <w:sz w:val="20"/>
                <w:szCs w:val="20"/>
                <w:color w:val="auto"/>
              </w:rPr>
            </w:pPr>
            <w:r>
              <w:rPr>
                <w:rFonts w:ascii="Times New Roman" w:cs="Times New Roman" w:eastAsia="Times New Roman" w:hAnsi="Times New Roman"/>
                <w:sz w:val="12"/>
                <w:szCs w:val="12"/>
                <w:color w:val="0000FF"/>
              </w:rPr>
              <w:t>24,313</w:t>
            </w:r>
          </w:p>
        </w:tc>
        <w:tc>
          <w:tcPr>
            <w:tcW w:w="860" w:type="dxa"/>
            <w:vAlign w:val="bottom"/>
          </w:tcPr>
          <w:p>
            <w:pPr>
              <w:ind w:left="5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color w:val="0000FF"/>
              </w:rPr>
              <w:t>514,876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rPr>
              <w:t>(5)</w:t>
            </w:r>
          </w:p>
        </w:tc>
        <w:tc>
          <w:tcPr>
            <w:tcW w:w="280" w:type="dxa"/>
            <w:vAlign w:val="bottom"/>
          </w:tcPr>
          <w:p>
            <w:pPr>
              <w:spacing w:after="0"/>
              <w:rPr>
                <w:sz w:val="17"/>
                <w:szCs w:val="17"/>
                <w:color w:val="auto"/>
              </w:rPr>
            </w:pPr>
          </w:p>
        </w:tc>
        <w:tc>
          <w:tcPr>
            <w:tcW w:w="4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514,876</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82"/>
              <w:spacing w:after="0"/>
              <w:rPr>
                <w:sz w:val="20"/>
                <w:szCs w:val="20"/>
                <w:color w:val="auto"/>
              </w:rPr>
            </w:pPr>
            <w:r>
              <w:rPr>
                <w:rFonts w:ascii="Times New Roman" w:cs="Times New Roman" w:eastAsia="Times New Roman" w:hAnsi="Times New Roman"/>
                <w:sz w:val="12"/>
                <w:szCs w:val="12"/>
                <w:color w:val="0000FF"/>
              </w:rPr>
              <w:t>514,876</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Arial" w:cs="Arial" w:eastAsia="Arial" w:hAnsi="Arial"/>
                <w:sz w:val="22"/>
                <w:szCs w:val="22"/>
                <w:color w:val="000000"/>
                <w:w w:val="82"/>
                <w:vertAlign w:val="subscript"/>
              </w:rPr>
              <w:t>$</w:t>
            </w:r>
            <w:r>
              <w:rPr>
                <w:rFonts w:ascii="Times New Roman" w:cs="Times New Roman" w:eastAsia="Times New Roman" w:hAnsi="Times New Roman"/>
                <w:sz w:val="24"/>
                <w:szCs w:val="24"/>
                <w:color w:val="0000FF"/>
                <w:w w:val="82"/>
                <w:vertAlign w:val="subscript"/>
              </w:rPr>
              <w:t>15.42</w:t>
            </w:r>
            <w:r>
              <w:rPr>
                <w:rFonts w:ascii="Times New Roman" w:cs="Times New Roman" w:eastAsia="Times New Roman" w:hAnsi="Times New Roman"/>
                <w:sz w:val="10"/>
                <w:szCs w:val="10"/>
                <w:color w:val="008000"/>
                <w:w w:val="82"/>
              </w:rPr>
              <w:t>(6)(7)</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1,201,584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rPr>
              <w:t>(6)(7)(8)</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(6)(7)(8)</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1,201,584</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rPr>
              <w:t>1,201,584</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Arial" w:cs="Arial" w:eastAsia="Arial" w:hAnsi="Arial"/>
                <w:sz w:val="11"/>
                <w:szCs w:val="11"/>
                <w:color w:val="auto"/>
                <w:w w:val="87"/>
              </w:rPr>
              <w:t>$</w:t>
            </w:r>
            <w:r>
              <w:rPr>
                <w:rFonts w:ascii="Times New Roman" w:cs="Times New Roman" w:eastAsia="Times New Roman" w:hAnsi="Times New Roman"/>
                <w:sz w:val="12"/>
                <w:szCs w:val="12"/>
                <w:color w:val="0000FF"/>
                <w:w w:val="87"/>
              </w:rPr>
              <w:t>15.23</w:t>
            </w:r>
            <w:r>
              <w:rPr>
                <w:rFonts w:ascii="Times New Roman" w:cs="Times New Roman" w:eastAsia="Times New Roman" w:hAnsi="Times New Roman"/>
                <w:sz w:val="20"/>
                <w:szCs w:val="20"/>
                <w:color w:val="008000"/>
                <w:w w:val="87"/>
                <w:vertAlign w:val="superscript"/>
              </w:rPr>
              <w:t>(6)(7)</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color w:val="0000FF"/>
              </w:rPr>
              <w:t>340,407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87"/>
              <w:spacing w:after="0"/>
              <w:rPr>
                <w:sz w:val="20"/>
                <w:szCs w:val="20"/>
                <w:color w:val="auto"/>
              </w:rPr>
            </w:pPr>
            <w:r>
              <w:rPr>
                <w:rFonts w:ascii="Times New Roman" w:cs="Times New Roman" w:eastAsia="Times New Roman" w:hAnsi="Times New Roman"/>
                <w:sz w:val="10"/>
                <w:szCs w:val="10"/>
                <w:color w:val="008000"/>
              </w:rPr>
              <w:t>(6)(7)(9)</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(6)(7)(9)</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340,407</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82"/>
              <w:spacing w:after="0"/>
              <w:rPr>
                <w:sz w:val="20"/>
                <w:szCs w:val="20"/>
                <w:color w:val="auto"/>
              </w:rPr>
            </w:pPr>
            <w:r>
              <w:rPr>
                <w:rFonts w:ascii="Times New Roman" w:cs="Times New Roman" w:eastAsia="Times New Roman" w:hAnsi="Times New Roman"/>
                <w:sz w:val="12"/>
                <w:szCs w:val="12"/>
                <w:color w:val="0000FF"/>
              </w:rPr>
              <w:t>340,407</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Arial" w:cs="Arial" w:eastAsia="Arial" w:hAnsi="Arial"/>
                <w:sz w:val="22"/>
                <w:szCs w:val="22"/>
                <w:color w:val="000000"/>
                <w:w w:val="82"/>
                <w:vertAlign w:val="subscript"/>
              </w:rPr>
              <w:t>$</w:t>
            </w:r>
            <w:r>
              <w:rPr>
                <w:rFonts w:ascii="Times New Roman" w:cs="Times New Roman" w:eastAsia="Times New Roman" w:hAnsi="Times New Roman"/>
                <w:sz w:val="24"/>
                <w:szCs w:val="24"/>
                <w:color w:val="0000FF"/>
                <w:w w:val="82"/>
                <w:vertAlign w:val="subscript"/>
              </w:rPr>
              <w:t>16.49</w:t>
            </w:r>
            <w:r>
              <w:rPr>
                <w:rFonts w:ascii="Times New Roman" w:cs="Times New Roman" w:eastAsia="Times New Roman" w:hAnsi="Times New Roman"/>
                <w:sz w:val="10"/>
                <w:szCs w:val="10"/>
                <w:color w:val="008000"/>
                <w:w w:val="82"/>
              </w:rPr>
              <w:t>(6)(7)</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1,146,379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67"/>
              <w:spacing w:after="0"/>
              <w:rPr>
                <w:sz w:val="20"/>
                <w:szCs w:val="20"/>
                <w:color w:val="auto"/>
              </w:rPr>
            </w:pPr>
            <w:r>
              <w:rPr>
                <w:rFonts w:ascii="Times New Roman" w:cs="Times New Roman" w:eastAsia="Times New Roman" w:hAnsi="Times New Roman"/>
                <w:sz w:val="10"/>
                <w:szCs w:val="10"/>
                <w:color w:val="008000"/>
              </w:rPr>
              <w:t>(6)(7)(10)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(6)(7)(10)</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1,146,379</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rPr>
              <w:t>1,146,379</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Arial" w:cs="Arial" w:eastAsia="Arial" w:hAnsi="Arial"/>
                <w:sz w:val="11"/>
                <w:szCs w:val="11"/>
                <w:color w:val="auto"/>
                <w:w w:val="87"/>
              </w:rPr>
              <w:t>$</w:t>
            </w:r>
            <w:r>
              <w:rPr>
                <w:rFonts w:ascii="Times New Roman" w:cs="Times New Roman" w:eastAsia="Times New Roman" w:hAnsi="Times New Roman"/>
                <w:sz w:val="12"/>
                <w:szCs w:val="12"/>
                <w:color w:val="0000FF"/>
                <w:w w:val="87"/>
              </w:rPr>
              <w:t>19.01</w:t>
            </w:r>
            <w:r>
              <w:rPr>
                <w:rFonts w:ascii="Times New Roman" w:cs="Times New Roman" w:eastAsia="Times New Roman" w:hAnsi="Times New Roman"/>
                <w:sz w:val="20"/>
                <w:szCs w:val="20"/>
                <w:color w:val="008000"/>
                <w:w w:val="87"/>
                <w:vertAlign w:val="superscript"/>
              </w:rPr>
              <w:t>(6)(7)</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color w:val="0000FF"/>
              </w:rPr>
              <w:t>252,481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67"/>
              <w:spacing w:after="0"/>
              <w:rPr>
                <w:sz w:val="20"/>
                <w:szCs w:val="20"/>
                <w:color w:val="auto"/>
              </w:rPr>
            </w:pPr>
            <w:r>
              <w:rPr>
                <w:rFonts w:ascii="Times New Roman" w:cs="Times New Roman" w:eastAsia="Times New Roman" w:hAnsi="Times New Roman"/>
                <w:sz w:val="10"/>
                <w:szCs w:val="10"/>
                <w:color w:val="008000"/>
              </w:rPr>
              <w:t>(6)(7)(11)</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(6)(7)(11)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252,481</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82"/>
              <w:spacing w:after="0"/>
              <w:rPr>
                <w:sz w:val="20"/>
                <w:szCs w:val="20"/>
                <w:color w:val="auto"/>
              </w:rPr>
            </w:pPr>
            <w:r>
              <w:rPr>
                <w:rFonts w:ascii="Times New Roman" w:cs="Times New Roman" w:eastAsia="Times New Roman" w:hAnsi="Times New Roman"/>
                <w:sz w:val="12"/>
                <w:szCs w:val="12"/>
                <w:color w:val="0000FF"/>
              </w:rPr>
              <w:t>252,481</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Arial" w:cs="Arial" w:eastAsia="Arial" w:hAnsi="Arial"/>
                <w:sz w:val="22"/>
                <w:szCs w:val="22"/>
                <w:color w:val="000000"/>
                <w:w w:val="82"/>
                <w:vertAlign w:val="subscript"/>
              </w:rPr>
              <w:t>$</w:t>
            </w:r>
            <w:r>
              <w:rPr>
                <w:rFonts w:ascii="Times New Roman" w:cs="Times New Roman" w:eastAsia="Times New Roman" w:hAnsi="Times New Roman"/>
                <w:sz w:val="24"/>
                <w:szCs w:val="24"/>
                <w:color w:val="0000FF"/>
                <w:w w:val="82"/>
                <w:vertAlign w:val="subscript"/>
              </w:rPr>
              <w:t>27.68</w:t>
            </w:r>
            <w:r>
              <w:rPr>
                <w:rFonts w:ascii="Times New Roman" w:cs="Times New Roman" w:eastAsia="Times New Roman" w:hAnsi="Times New Roman"/>
                <w:sz w:val="10"/>
                <w:szCs w:val="10"/>
                <w:color w:val="008000"/>
                <w:w w:val="82"/>
              </w:rPr>
              <w:t>(6)(7)</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color w:val="0000FF"/>
              </w:rPr>
              <w:t>183,699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67"/>
              <w:spacing w:after="0"/>
              <w:rPr>
                <w:sz w:val="20"/>
                <w:szCs w:val="20"/>
                <w:color w:val="auto"/>
              </w:rPr>
            </w:pPr>
            <w:r>
              <w:rPr>
                <w:rFonts w:ascii="Times New Roman" w:cs="Times New Roman" w:eastAsia="Times New Roman" w:hAnsi="Times New Roman"/>
                <w:sz w:val="10"/>
                <w:szCs w:val="10"/>
                <w:color w:val="008000"/>
              </w:rPr>
              <w:t>(6)(7)(12)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(6)(7)(12)</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183,699</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82"/>
              <w:spacing w:after="0"/>
              <w:rPr>
                <w:sz w:val="20"/>
                <w:szCs w:val="20"/>
                <w:color w:val="auto"/>
              </w:rPr>
            </w:pPr>
            <w:r>
              <w:rPr>
                <w:rFonts w:ascii="Times New Roman" w:cs="Times New Roman" w:eastAsia="Times New Roman" w:hAnsi="Times New Roman"/>
                <w:sz w:val="12"/>
                <w:szCs w:val="12"/>
                <w:color w:val="0000FF"/>
              </w:rPr>
              <w:t>183,699</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80" w:type="dxa"/>
            <w:vAlign w:val="bottom"/>
            <w:vMerge w:val="restart"/>
          </w:tcPr>
          <w:p>
            <w:pPr>
              <w:jc w:val="center"/>
              <w:ind w:left="27"/>
              <w:spacing w:after="0"/>
              <w:rPr>
                <w:sz w:val="20"/>
                <w:szCs w:val="20"/>
                <w:color w:val="auto"/>
              </w:rPr>
            </w:pPr>
            <w:r>
              <w:rPr>
                <w:rFonts w:ascii="Arial" w:cs="Arial" w:eastAsia="Arial" w:hAnsi="Arial"/>
                <w:sz w:val="22"/>
                <w:szCs w:val="22"/>
                <w:color w:val="000000"/>
                <w:w w:val="82"/>
                <w:vertAlign w:val="subscript"/>
              </w:rPr>
              <w:t>$</w:t>
            </w:r>
            <w:r>
              <w:rPr>
                <w:rFonts w:ascii="Times New Roman" w:cs="Times New Roman" w:eastAsia="Times New Roman" w:hAnsi="Times New Roman"/>
                <w:sz w:val="24"/>
                <w:szCs w:val="24"/>
                <w:color w:val="0000FF"/>
                <w:w w:val="82"/>
                <w:vertAlign w:val="subscript"/>
              </w:rPr>
              <w:t>15.42</w:t>
            </w:r>
            <w:r>
              <w:rPr>
                <w:rFonts w:ascii="Times New Roman" w:cs="Times New Roman" w:eastAsia="Times New Roman" w:hAnsi="Times New Roman"/>
                <w:sz w:val="10"/>
                <w:szCs w:val="10"/>
                <w:color w:val="008000"/>
                <w:w w:val="82"/>
              </w:rPr>
              <w:t>(6)(7)</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12/16/2025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1,057,309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vMerge w:val="restart"/>
          </w:tcPr>
          <w:p>
            <w:pPr>
              <w:jc w:val="center"/>
              <w:ind w:right="67"/>
              <w:spacing w:after="0"/>
              <w:rPr>
                <w:sz w:val="20"/>
                <w:szCs w:val="20"/>
                <w:color w:val="auto"/>
              </w:rPr>
            </w:pPr>
            <w:r>
              <w:rPr>
                <w:rFonts w:ascii="Times New Roman" w:cs="Times New Roman" w:eastAsia="Times New Roman" w:hAnsi="Times New Roman"/>
                <w:sz w:val="10"/>
                <w:szCs w:val="10"/>
                <w:color w:val="008000"/>
              </w:rPr>
              <w:t>(6)(7)(13)</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(6)(7)(13)</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1,057,309</w:t>
            </w:r>
          </w:p>
        </w:tc>
        <w:tc>
          <w:tcPr>
            <w:tcW w:w="40" w:type="dxa"/>
            <w:vAlign w:val="bottom"/>
          </w:tcPr>
          <w:p>
            <w:pPr>
              <w:spacing w:after="0"/>
              <w:rPr>
                <w:sz w:val="17"/>
                <w:szCs w:val="17"/>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left="102"/>
              <w:spacing w:after="0"/>
              <w:rPr>
                <w:sz w:val="20"/>
                <w:szCs w:val="20"/>
                <w:color w:val="auto"/>
              </w:rPr>
            </w:pPr>
            <w:r>
              <w:rPr>
                <w:rFonts w:ascii="Times New Roman" w:cs="Times New Roman" w:eastAsia="Times New Roman" w:hAnsi="Times New Roman"/>
                <w:sz w:val="12"/>
                <w:szCs w:val="12"/>
                <w:color w:val="0000FF"/>
              </w:rPr>
              <w:t>1,057,309</w:t>
            </w:r>
          </w:p>
        </w:tc>
        <w:tc>
          <w:tcPr>
            <w:tcW w:w="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0000FF"/>
                <w:w w:val="96"/>
              </w:rPr>
              <w:t>See Footnote</w:t>
            </w:r>
            <w:r>
              <w:rPr>
                <w:rFonts w:ascii="Times New Roman" w:cs="Times New Roman" w:eastAsia="Times New Roman" w:hAnsi="Times New Roman"/>
                <w:sz w:val="20"/>
                <w:szCs w:val="20"/>
                <w:color w:val="008000"/>
                <w:w w:val="96"/>
                <w:vertAlign w:val="superscript"/>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color w:val="0000FF"/>
              </w:rPr>
              <w:t>Medline</w:t>
            </w:r>
          </w:p>
        </w:tc>
        <w:tc>
          <w:tcPr>
            <w:tcW w:w="6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Common</w:t>
            </w: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8000"/>
              </w:rPr>
              <w:t>(6)(7)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0000FF"/>
              </w:rPr>
              <w:t>Holdings,</w:t>
            </w: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These securities were acquired in connection with the reclassification of the interests of Medline Holdings, LP prior to the Issuer's initial public offering (as more fully described in the Registration Statement on Form S-</w:t>
      </w:r>
    </w:p>
    <w:p>
      <w:pPr>
        <w:sectPr>
          <w:pgSz w:w="11900" w:h="16838" w:orient="portrait"/>
          <w:cols w:equalWidth="0" w:num="1">
            <w:col w:w="11080"/>
          </w:cols>
          <w:pgMar w:left="460" w:top="212" w:right="359" w:bottom="0" w:gutter="0" w:footer="0" w:header="0"/>
          <w:type w:val="continuous"/>
        </w:sectPr>
      </w:pPr>
    </w:p>
    <w:bookmarkStart w:id="1" w:name="page2"/>
    <w:bookmarkEnd w:id="1"/>
    <w:p>
      <w:pPr>
        <w:ind w:left="5"/>
        <w:spacing w:after="0"/>
        <w:rPr>
          <w:sz w:val="20"/>
          <w:szCs w:val="20"/>
          <w:color w:val="auto"/>
        </w:rPr>
      </w:pPr>
      <w:r>
        <w:rPr>
          <w:rFonts w:ascii="Times New Roman" w:cs="Times New Roman" w:eastAsia="Times New Roman" w:hAnsi="Times New Roman"/>
          <w:sz w:val="12"/>
          <w:szCs w:val="12"/>
          <w:color w:val="008000"/>
        </w:rPr>
        <w:t>1). These securities were previously reported on the Reporting Person's Form 3 filed on December 17, 2025.</w:t>
      </w:r>
    </w:p>
    <w:p>
      <w:pPr>
        <w:spacing w:after="0" w:line="46" w:lineRule="exact"/>
        <w:rPr>
          <w:sz w:val="20"/>
          <w:szCs w:val="20"/>
          <w:color w:val="auto"/>
        </w:rPr>
      </w:pPr>
    </w:p>
    <w:p>
      <w:pPr>
        <w:ind w:left="5" w:hanging="5"/>
        <w:spacing w:after="0" w:line="25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18"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a family trust of which the Reporting Person's spouse is the trustee.</w:t>
      </w:r>
    </w:p>
    <w:p>
      <w:pPr>
        <w:spacing w:after="0" w:line="45"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of which 25% vest on June 15, 2026 and the remaining 75% vest in three equal annual installments beginning on March 1, 2027.</w:t>
      </w:r>
    </w:p>
    <w:p>
      <w:pPr>
        <w:spacing w:after="0" w:line="45" w:lineRule="exact"/>
        <w:rPr>
          <w:rFonts w:ascii="Times New Roman" w:cs="Times New Roman" w:eastAsia="Times New Roman" w:hAnsi="Times New Roman"/>
          <w:sz w:val="12"/>
          <w:szCs w:val="12"/>
          <w:color w:val="008000"/>
        </w:rPr>
      </w:pPr>
    </w:p>
    <w:p>
      <w:pPr>
        <w:ind w:left="5" w:right="20" w:hanging="5"/>
        <w:spacing w:after="0" w:line="25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(the "Exchange Agreement"), holders have the right to exchange their Common Units for shares of the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18" w:lineRule="exact"/>
        <w:rPr>
          <w:rFonts w:ascii="Times New Roman" w:cs="Times New Roman" w:eastAsia="Times New Roman" w:hAnsi="Times New Roman"/>
          <w:sz w:val="12"/>
          <w:szCs w:val="12"/>
          <w:color w:val="008000"/>
        </w:rPr>
      </w:pPr>
    </w:p>
    <w:p>
      <w:pPr>
        <w:jc w:val="both"/>
        <w:ind w:left="5" w:hanging="5"/>
        <w:spacing w:after="0" w:line="246"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22" w:lineRule="exact"/>
        <w:rPr>
          <w:rFonts w:ascii="Times New Roman" w:cs="Times New Roman" w:eastAsia="Times New Roman" w:hAnsi="Times New Roman"/>
          <w:sz w:val="12"/>
          <w:szCs w:val="12"/>
          <w:color w:val="008000"/>
        </w:rPr>
      </w:pPr>
    </w:p>
    <w:p>
      <w:pPr>
        <w:ind w:left="5" w:right="320" w:hanging="5"/>
        <w:spacing w:after="0" w:line="27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7"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62% of these Incentive Units have vested, and the remaining 38% vest on October 21, 2026.</w:t>
      </w:r>
    </w:p>
    <w:p>
      <w:pPr>
        <w:spacing w:after="0" w:line="45"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5"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October 1, 2026.</w:t>
      </w:r>
    </w:p>
    <w:p>
      <w:pPr>
        <w:spacing w:after="0" w:line="45"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pacing w:after="0" w:line="45"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vest in five equal annual installments beginning on March 28, 2026.</w:t>
      </w:r>
    </w:p>
    <w:p>
      <w:pPr>
        <w:spacing w:after="0" w:line="45"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are fully vested.</w:t>
      </w:r>
    </w:p>
    <w:p>
      <w:pPr>
        <w:spacing w:after="0" w:line="7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-6985</wp:posOffset>
            </wp:positionV>
            <wp:extent cx="18624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2455" cy="7620"/>
                    </a:xfrm>
                    <a:prstGeom prst="rect">
                      <a:avLst/>
                    </a:prstGeom>
                    <a:noFill/>
                  </pic:spPr>
                </pic:pic>
              </a:graphicData>
            </a:graphic>
          </wp:anchor>
        </w:drawing>
      </w:r>
    </w:p>
    <w:p>
      <w:pPr>
        <w:spacing w:after="0" w:line="41" w:lineRule="exact"/>
        <w:rPr>
          <w:sz w:val="20"/>
          <w:szCs w:val="20"/>
          <w:color w:val="auto"/>
        </w:rPr>
      </w:pPr>
    </w:p>
    <w:p>
      <w:pPr>
        <w:ind w:left="6565"/>
        <w:spacing w:after="0"/>
        <w:tabs>
          <w:tab w:leader="none" w:pos="8745"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780" w:hanging="5"/>
        <w:spacing w:after="0" w:line="31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5"/>
      </w:cols>
      <w:pgMar w:left="495"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052"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2026-03-06T15:36:19Z</dcterms:created>
  <dcterms:modified xsi:type="dcterms:W3CDTF">2026-03-06T15:36:19Z</dcterms:modified>
</cp:coreProperties>
</file>