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74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743825"/>
                    </a:xfrm>
                    <a:prstGeom prst="rect">
                      <a:avLst/>
                    </a:prstGeom>
                    <a:noFill/>
                  </pic:spPr>
                </pic:pic>
              </a:graphicData>
            </a:graphic>
          </wp:anchor>
        </w:drawing>
      </w:r>
    </w:p>
    <w:p>
      <w:pPr>
        <w:sectPr>
          <w:pgSz w:w="11900" w:h="16885"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Boyle James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85"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MEDLINE INC.</w:t>
            </w:r>
          </w:p>
        </w:tc>
        <w:tc>
          <w:tcPr>
            <w:tcW w:w="1200" w:type="dxa"/>
            <w:vAlign w:val="bottom"/>
          </w:tcPr>
          <w:p>
            <w:pPr>
              <w:spacing w:after="0"/>
              <w:rPr>
                <w:sz w:val="24"/>
                <w:szCs w:val="24"/>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 LAKES DRIVE</w:t>
            </w:r>
          </w:p>
        </w:tc>
        <w:tc>
          <w:tcPr>
            <w:tcW w:w="12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NORTHFIELD IL</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60093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85"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140"/>
              <w:spacing w:after="0"/>
              <w:rPr>
                <w:sz w:val="20"/>
                <w:szCs w:val="20"/>
                <w:color w:val="auto"/>
              </w:rPr>
            </w:pPr>
            <w:r>
              <w:rPr>
                <w:rFonts w:ascii="Arial" w:cs="Arial" w:eastAsia="Arial" w:hAnsi="Arial"/>
                <w:sz w:val="15"/>
                <w:szCs w:val="15"/>
                <w:b w:val="1"/>
                <w:bCs w:val="1"/>
                <w:color w:val="auto"/>
                <w:w w:val="99"/>
              </w:rPr>
              <w:t>2. Amount of Securities</w:t>
            </w:r>
          </w:p>
        </w:tc>
        <w:tc>
          <w:tcPr>
            <w:tcW w:w="1580" w:type="dxa"/>
            <w:vAlign w:val="bottom"/>
            <w:gridSpan w:val="3"/>
          </w:tcPr>
          <w:p>
            <w:pPr>
              <w:ind w:left="4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0" w:type="dxa"/>
            <w:vAlign w:val="bottom"/>
            <w:gridSpan w:val="4"/>
          </w:tcPr>
          <w:p>
            <w:pPr>
              <w:ind w:left="14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4)</w:t>
            </w:r>
          </w:p>
        </w:tc>
        <w:tc>
          <w:tcPr>
            <w:tcW w:w="1580" w:type="dxa"/>
            <w:vAlign w:val="bottom"/>
            <w:gridSpan w:val="3"/>
          </w:tcPr>
          <w:p>
            <w:pPr>
              <w:ind w:left="400"/>
              <w:spacing w:after="0" w:line="165" w:lineRule="exact"/>
              <w:rPr>
                <w:sz w:val="20"/>
                <w:szCs w:val="20"/>
                <w:color w:val="auto"/>
              </w:rPr>
            </w:pPr>
            <w:r>
              <w:rPr>
                <w:rFonts w:ascii="Arial" w:cs="Arial" w:eastAsia="Arial" w:hAnsi="Arial"/>
                <w:sz w:val="15"/>
                <w:szCs w:val="15"/>
                <w:b w:val="1"/>
                <w:bCs w:val="1"/>
                <w:color w:val="auto"/>
              </w:rPr>
              <w:t>(D) or Indirect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80" w:type="dxa"/>
            <w:vAlign w:val="bottom"/>
            <w:gridSpan w:val="3"/>
          </w:tcPr>
          <w:p>
            <w:pPr>
              <w:ind w:left="400"/>
              <w:spacing w:after="0"/>
              <w:rPr>
                <w:sz w:val="20"/>
                <w:szCs w:val="20"/>
                <w:color w:val="auto"/>
              </w:rPr>
            </w:pPr>
            <w:r>
              <w:rPr>
                <w:rFonts w:ascii="Arial" w:cs="Arial" w:eastAsia="Arial" w:hAnsi="Arial"/>
                <w:sz w:val="15"/>
                <w:szCs w:val="15"/>
                <w:b w:val="1"/>
                <w:bCs w:val="1"/>
                <w:color w:val="auto"/>
              </w:rPr>
              <w:t>(I) (Instr. 5)</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4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right="269"/>
              <w:spacing w:after="0"/>
              <w:rPr>
                <w:sz w:val="20"/>
                <w:szCs w:val="20"/>
                <w:color w:val="auto"/>
              </w:rPr>
            </w:pPr>
            <w:r>
              <w:rPr>
                <w:rFonts w:ascii="Times New Roman" w:cs="Times New Roman" w:eastAsia="Times New Roman" w:hAnsi="Times New Roman"/>
                <w:sz w:val="20"/>
                <w:szCs w:val="20"/>
                <w:color w:val="0000FF"/>
              </w:rPr>
              <w:t>24,313</w:t>
            </w:r>
            <w:r>
              <w:rPr>
                <w:rFonts w:ascii="Times New Roman" w:cs="Times New Roman" w:eastAsia="Times New Roman" w:hAnsi="Times New Roman"/>
                <w:sz w:val="25"/>
                <w:szCs w:val="25"/>
                <w:color w:val="008000"/>
                <w:vertAlign w:val="superscript"/>
              </w:rPr>
              <w:t>(1)</w:t>
            </w: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D</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4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right="209"/>
              <w:spacing w:after="0"/>
              <w:rPr>
                <w:sz w:val="20"/>
                <w:szCs w:val="20"/>
                <w:color w:val="auto"/>
              </w:rPr>
            </w:pPr>
            <w:r>
              <w:rPr>
                <w:rFonts w:ascii="Times New Roman" w:cs="Times New Roman" w:eastAsia="Times New Roman" w:hAnsi="Times New Roman"/>
                <w:sz w:val="20"/>
                <w:szCs w:val="20"/>
                <w:color w:val="0000FF"/>
              </w:rPr>
              <w:t>514,876</w:t>
            </w:r>
            <w:r>
              <w:rPr>
                <w:rFonts w:ascii="Times New Roman" w:cs="Times New Roman" w:eastAsia="Times New Roman" w:hAnsi="Times New Roman"/>
                <w:sz w:val="25"/>
                <w:szCs w:val="25"/>
                <w:color w:val="008000"/>
                <w:vertAlign w:val="superscript"/>
              </w:rPr>
              <w:t>(1)</w:t>
            </w: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12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w w:val="96"/>
              </w:rPr>
              <w:t>See Footnote</w:t>
            </w:r>
            <w:r>
              <w:rPr>
                <w:rFonts w:ascii="Times New Roman" w:cs="Times New Roman" w:eastAsia="Times New Roman" w:hAnsi="Times New Roman"/>
                <w:sz w:val="25"/>
                <w:szCs w:val="25"/>
                <w:color w:val="008000"/>
                <w:w w:val="96"/>
                <w:vertAlign w:val="superscript"/>
              </w:rPr>
              <w:t>(2)</w:t>
            </w: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46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5280" w:type="dxa"/>
            <w:vAlign w:val="bottom"/>
            <w:tcBorders>
              <w:top w:val="single" w:sz="8" w:color="2C2C2C"/>
            </w:tcBorders>
            <w:gridSpan w:val="6"/>
          </w:tcPr>
          <w:p>
            <w:pPr>
              <w:ind w:left="3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15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680" w:type="dxa"/>
            <w:vAlign w:val="bottom"/>
            <w:gridSpan w:val="7"/>
          </w:tcPr>
          <w:p>
            <w:pPr>
              <w:ind w:left="30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86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760" w:type="dxa"/>
            <w:vAlign w:val="bottom"/>
            <w:gridSpan w:val="2"/>
          </w:tcPr>
          <w:p>
            <w:pPr>
              <w:ind w:left="120"/>
              <w:spacing w:after="0"/>
              <w:rPr>
                <w:sz w:val="20"/>
                <w:szCs w:val="20"/>
                <w:color w:val="auto"/>
              </w:rPr>
            </w:pPr>
            <w:r>
              <w:rPr>
                <w:rFonts w:ascii="Arial" w:cs="Arial" w:eastAsia="Arial" w:hAnsi="Arial"/>
                <w:sz w:val="15"/>
                <w:szCs w:val="15"/>
                <w:b w:val="1"/>
                <w:bCs w:val="1"/>
                <w:color w:val="auto"/>
              </w:rPr>
              <w:t>4.</w:t>
            </w:r>
          </w:p>
        </w:tc>
        <w:tc>
          <w:tcPr>
            <w:tcW w:w="26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6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260" w:type="dxa"/>
            <w:vAlign w:val="bottom"/>
          </w:tcPr>
          <w:p>
            <w:pPr>
              <w:spacing w:after="0"/>
              <w:rPr>
                <w:sz w:val="7"/>
                <w:szCs w:val="7"/>
                <w:color w:val="auto"/>
              </w:rPr>
            </w:pPr>
          </w:p>
        </w:tc>
        <w:tc>
          <w:tcPr>
            <w:tcW w:w="9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20" w:type="dxa"/>
            <w:vAlign w:val="bottom"/>
            <w:vMerge w:val="restart"/>
          </w:tcPr>
          <w:p>
            <w:pPr>
              <w:spacing w:after="0"/>
              <w:rPr>
                <w:sz w:val="20"/>
                <w:szCs w:val="20"/>
                <w:color w:val="auto"/>
              </w:rPr>
            </w:pPr>
            <w:r>
              <w:rPr>
                <w:rFonts w:ascii="Arial" w:cs="Arial" w:eastAsia="Arial" w:hAnsi="Arial"/>
                <w:sz w:val="15"/>
                <w:szCs w:val="15"/>
                <w:b w:val="1"/>
                <w:bCs w:val="1"/>
                <w:color w:val="auto"/>
              </w:rPr>
              <w:t>Amount or</w:t>
            </w: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6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spacing w:after="0" w:line="165" w:lineRule="exact"/>
              <w:rPr>
                <w:sz w:val="20"/>
                <w:szCs w:val="20"/>
                <w:color w:val="auto"/>
              </w:rPr>
            </w:pPr>
            <w:r>
              <w:rPr>
                <w:rFonts w:ascii="Arial" w:cs="Arial" w:eastAsia="Arial" w:hAnsi="Arial"/>
                <w:sz w:val="15"/>
                <w:szCs w:val="15"/>
                <w:b w:val="1"/>
                <w:bCs w:val="1"/>
                <w:color w:val="auto"/>
              </w:rPr>
              <w:t>Number of</w:t>
            </w:r>
          </w:p>
        </w:tc>
        <w:tc>
          <w:tcPr>
            <w:tcW w:w="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260" w:type="dxa"/>
            <w:vAlign w:val="bottom"/>
          </w:tcPr>
          <w:p>
            <w:pPr>
              <w:spacing w:after="0"/>
              <w:rPr>
                <w:sz w:val="14"/>
                <w:szCs w:val="14"/>
                <w:color w:val="auto"/>
              </w:rPr>
            </w:pPr>
          </w:p>
        </w:tc>
        <w:tc>
          <w:tcPr>
            <w:tcW w:w="9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5"/>
                <w:szCs w:val="15"/>
                <w:b w:val="1"/>
                <w:bCs w:val="1"/>
                <w:color w:val="auto"/>
              </w:rPr>
              <w:t>Shares</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380" w:type="dxa"/>
            <w:vAlign w:val="bottom"/>
            <w:gridSpan w:val="2"/>
            <w:vMerge w:val="restart"/>
          </w:tcPr>
          <w:p>
            <w:pPr>
              <w:jc w:val="center"/>
              <w:ind w:left="334"/>
              <w:spacing w:after="0"/>
              <w:rPr>
                <w:sz w:val="20"/>
                <w:szCs w:val="20"/>
                <w:color w:val="auto"/>
              </w:rPr>
            </w:pPr>
            <w:r>
              <w:rPr>
                <w:rFonts w:ascii="Times New Roman" w:cs="Times New Roman" w:eastAsia="Times New Roman" w:hAnsi="Times New Roman"/>
                <w:sz w:val="13"/>
                <w:szCs w:val="13"/>
                <w:color w:val="008000"/>
                <w:w w:val="92"/>
              </w:rPr>
              <w:t>(3)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24,313</w:t>
            </w:r>
          </w:p>
        </w:tc>
        <w:tc>
          <w:tcPr>
            <w:tcW w:w="760" w:type="dxa"/>
            <w:vAlign w:val="bottom"/>
            <w:gridSpan w:val="2"/>
            <w:vMerge w:val="restart"/>
          </w:tcPr>
          <w:p>
            <w:pPr>
              <w:jc w:val="center"/>
              <w:ind w:left="253"/>
              <w:spacing w:after="0"/>
              <w:rPr>
                <w:sz w:val="20"/>
                <w:szCs w:val="20"/>
                <w:color w:val="auto"/>
              </w:rPr>
            </w:pPr>
            <w:r>
              <w:rPr>
                <w:rFonts w:ascii="Times New Roman" w:cs="Times New Roman" w:eastAsia="Times New Roman" w:hAnsi="Times New Roman"/>
                <w:sz w:val="13"/>
                <w:szCs w:val="13"/>
                <w:color w:val="008000"/>
              </w:rPr>
              <w:t>(3)</w:t>
            </w:r>
          </w:p>
        </w:tc>
        <w:tc>
          <w:tcPr>
            <w:tcW w:w="260" w:type="dxa"/>
            <w:vAlign w:val="bottom"/>
          </w:tcPr>
          <w:p>
            <w:pPr>
              <w:spacing w:after="0"/>
              <w:rPr>
                <w:sz w:val="24"/>
                <w:szCs w:val="24"/>
                <w:color w:val="auto"/>
              </w:rPr>
            </w:pP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3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380" w:type="dxa"/>
            <w:vAlign w:val="bottom"/>
            <w:gridSpan w:val="2"/>
            <w:vMerge w:val="restart"/>
          </w:tcPr>
          <w:p>
            <w:pPr>
              <w:jc w:val="center"/>
              <w:ind w:left="334"/>
              <w:spacing w:after="0"/>
              <w:rPr>
                <w:sz w:val="20"/>
                <w:szCs w:val="20"/>
                <w:color w:val="auto"/>
              </w:rPr>
            </w:pPr>
            <w:r>
              <w:rPr>
                <w:rFonts w:ascii="Times New Roman" w:cs="Times New Roman" w:eastAsia="Times New Roman" w:hAnsi="Times New Roman"/>
                <w:sz w:val="13"/>
                <w:szCs w:val="13"/>
                <w:color w:val="008000"/>
                <w:w w:val="92"/>
              </w:rPr>
              <w:t>(3)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514,876</w:t>
            </w:r>
          </w:p>
        </w:tc>
        <w:tc>
          <w:tcPr>
            <w:tcW w:w="760" w:type="dxa"/>
            <w:vAlign w:val="bottom"/>
            <w:gridSpan w:val="2"/>
            <w:vMerge w:val="restart"/>
          </w:tcPr>
          <w:p>
            <w:pPr>
              <w:jc w:val="center"/>
              <w:ind w:left="253"/>
              <w:spacing w:after="0"/>
              <w:rPr>
                <w:sz w:val="20"/>
                <w:szCs w:val="20"/>
                <w:color w:val="auto"/>
              </w:rPr>
            </w:pPr>
            <w:r>
              <w:rPr>
                <w:rFonts w:ascii="Times New Roman" w:cs="Times New Roman" w:eastAsia="Times New Roman" w:hAnsi="Times New Roman"/>
                <w:sz w:val="13"/>
                <w:szCs w:val="13"/>
                <w:color w:val="008000"/>
              </w:rPr>
              <w:t>(3)</w:t>
            </w:r>
          </w:p>
        </w:tc>
        <w:tc>
          <w:tcPr>
            <w:tcW w:w="260" w:type="dxa"/>
            <w:vAlign w:val="bottom"/>
          </w:tcPr>
          <w:p>
            <w:pPr>
              <w:spacing w:after="0"/>
              <w:rPr>
                <w:sz w:val="24"/>
                <w:szCs w:val="24"/>
                <w:color w:val="auto"/>
              </w:rPr>
            </w:pP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w w:val="97"/>
              </w:rPr>
              <w:t>See Footnotes</w:t>
            </w:r>
            <w:r>
              <w:rPr>
                <w:rFonts w:ascii="Times New Roman" w:cs="Times New Roman" w:eastAsia="Times New Roman" w:hAnsi="Times New Roman"/>
                <w:sz w:val="25"/>
                <w:szCs w:val="25"/>
                <w:color w:val="008000"/>
                <w:w w:val="97"/>
                <w:vertAlign w:val="superscript"/>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3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380" w:type="dxa"/>
            <w:vAlign w:val="bottom"/>
            <w:gridSpan w:val="2"/>
            <w:vMerge w:val="restart"/>
          </w:tcPr>
          <w:p>
            <w:pPr>
              <w:jc w:val="center"/>
              <w:ind w:left="354"/>
              <w:spacing w:after="0"/>
              <w:rPr>
                <w:sz w:val="20"/>
                <w:szCs w:val="20"/>
                <w:color w:val="auto"/>
              </w:rPr>
            </w:pPr>
            <w:r>
              <w:rPr>
                <w:rFonts w:ascii="Times New Roman" w:cs="Times New Roman" w:eastAsia="Times New Roman" w:hAnsi="Times New Roman"/>
                <w:sz w:val="13"/>
                <w:szCs w:val="13"/>
                <w:color w:val="008000"/>
                <w:w w:val="96"/>
              </w:rPr>
              <w:t>(4)(5)(6)</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(4)(5)(6)</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1,201,584</w:t>
            </w: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9"/>
                <w:szCs w:val="39"/>
                <w:color w:val="0000FF"/>
                <w:w w:val="81"/>
                <w:vertAlign w:val="subscript"/>
              </w:rPr>
              <w:t>15.42</w:t>
            </w:r>
            <w:r>
              <w:rPr>
                <w:rFonts w:ascii="Times New Roman" w:cs="Times New Roman" w:eastAsia="Times New Roman" w:hAnsi="Times New Roman"/>
                <w:sz w:val="13"/>
                <w:szCs w:val="13"/>
                <w:color w:val="008000"/>
                <w:w w:val="81"/>
              </w:rPr>
              <w:t>(4)(5)</w:t>
            </w: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3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380" w:type="dxa"/>
            <w:vAlign w:val="bottom"/>
            <w:gridSpan w:val="2"/>
            <w:vMerge w:val="restart"/>
          </w:tcPr>
          <w:p>
            <w:pPr>
              <w:jc w:val="center"/>
              <w:ind w:left="354"/>
              <w:spacing w:after="0"/>
              <w:rPr>
                <w:sz w:val="20"/>
                <w:szCs w:val="20"/>
                <w:color w:val="auto"/>
              </w:rPr>
            </w:pPr>
            <w:r>
              <w:rPr>
                <w:rFonts w:ascii="Times New Roman" w:cs="Times New Roman" w:eastAsia="Times New Roman" w:hAnsi="Times New Roman"/>
                <w:sz w:val="13"/>
                <w:szCs w:val="13"/>
                <w:color w:val="008000"/>
                <w:w w:val="96"/>
              </w:rPr>
              <w:t>(4)(5)(7)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(4)(5)(7)</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340,407</w:t>
            </w: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9"/>
                <w:szCs w:val="39"/>
                <w:color w:val="0000FF"/>
                <w:w w:val="81"/>
                <w:vertAlign w:val="subscript"/>
              </w:rPr>
              <w:t>15.23</w:t>
            </w:r>
            <w:r>
              <w:rPr>
                <w:rFonts w:ascii="Times New Roman" w:cs="Times New Roman" w:eastAsia="Times New Roman" w:hAnsi="Times New Roman"/>
                <w:sz w:val="13"/>
                <w:szCs w:val="13"/>
                <w:color w:val="008000"/>
                <w:w w:val="81"/>
              </w:rPr>
              <w:t>(4)(5)</w:t>
            </w: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3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380" w:type="dxa"/>
            <w:vAlign w:val="bottom"/>
            <w:gridSpan w:val="2"/>
            <w:vMerge w:val="restart"/>
          </w:tcPr>
          <w:p>
            <w:pPr>
              <w:jc w:val="center"/>
              <w:ind w:left="354"/>
              <w:spacing w:after="0"/>
              <w:rPr>
                <w:sz w:val="20"/>
                <w:szCs w:val="20"/>
                <w:color w:val="auto"/>
              </w:rPr>
            </w:pPr>
            <w:r>
              <w:rPr>
                <w:rFonts w:ascii="Times New Roman" w:cs="Times New Roman" w:eastAsia="Times New Roman" w:hAnsi="Times New Roman"/>
                <w:sz w:val="13"/>
                <w:szCs w:val="13"/>
                <w:color w:val="008000"/>
                <w:w w:val="96"/>
              </w:rPr>
              <w:t>(4)(5)(8)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(4)(5)(8)</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1,146,379</w:t>
            </w: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9"/>
                <w:szCs w:val="39"/>
                <w:color w:val="0000FF"/>
                <w:w w:val="81"/>
                <w:vertAlign w:val="subscript"/>
              </w:rPr>
              <w:t>16.49</w:t>
            </w:r>
            <w:r>
              <w:rPr>
                <w:rFonts w:ascii="Times New Roman" w:cs="Times New Roman" w:eastAsia="Times New Roman" w:hAnsi="Times New Roman"/>
                <w:sz w:val="13"/>
                <w:szCs w:val="13"/>
                <w:color w:val="008000"/>
                <w:w w:val="81"/>
              </w:rPr>
              <w:t>(4)(5)</w:t>
            </w: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3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380" w:type="dxa"/>
            <w:vAlign w:val="bottom"/>
            <w:gridSpan w:val="2"/>
            <w:vMerge w:val="restart"/>
          </w:tcPr>
          <w:p>
            <w:pPr>
              <w:jc w:val="center"/>
              <w:ind w:left="354"/>
              <w:spacing w:after="0"/>
              <w:rPr>
                <w:sz w:val="20"/>
                <w:szCs w:val="20"/>
                <w:color w:val="auto"/>
              </w:rPr>
            </w:pPr>
            <w:r>
              <w:rPr>
                <w:rFonts w:ascii="Times New Roman" w:cs="Times New Roman" w:eastAsia="Times New Roman" w:hAnsi="Times New Roman"/>
                <w:sz w:val="13"/>
                <w:szCs w:val="13"/>
                <w:color w:val="008000"/>
                <w:w w:val="96"/>
              </w:rPr>
              <w:t>(4)(5)(9)</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(4)(5)(9)</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252,481</w:t>
            </w: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9"/>
                <w:szCs w:val="39"/>
                <w:color w:val="0000FF"/>
                <w:w w:val="81"/>
                <w:vertAlign w:val="subscript"/>
              </w:rPr>
              <w:t>19.01</w:t>
            </w:r>
            <w:r>
              <w:rPr>
                <w:rFonts w:ascii="Times New Roman" w:cs="Times New Roman" w:eastAsia="Times New Roman" w:hAnsi="Times New Roman"/>
                <w:sz w:val="13"/>
                <w:szCs w:val="13"/>
                <w:color w:val="008000"/>
                <w:w w:val="81"/>
              </w:rPr>
              <w:t>(4)(5)</w:t>
            </w: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3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380" w:type="dxa"/>
            <w:vAlign w:val="bottom"/>
            <w:gridSpan w:val="2"/>
            <w:vMerge w:val="restart"/>
          </w:tcPr>
          <w:p>
            <w:pPr>
              <w:jc w:val="center"/>
              <w:ind w:left="334"/>
              <w:spacing w:after="0"/>
              <w:rPr>
                <w:sz w:val="20"/>
                <w:szCs w:val="20"/>
                <w:color w:val="auto"/>
              </w:rPr>
            </w:pPr>
            <w:r>
              <w:rPr>
                <w:rFonts w:ascii="Times New Roman" w:cs="Times New Roman" w:eastAsia="Times New Roman" w:hAnsi="Times New Roman"/>
                <w:sz w:val="13"/>
                <w:szCs w:val="13"/>
                <w:color w:val="008000"/>
                <w:w w:val="96"/>
              </w:rPr>
              <w:t>(4)(5)(10)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(4)(5)(10)</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183,699</w:t>
            </w: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9"/>
                <w:szCs w:val="39"/>
                <w:color w:val="0000FF"/>
                <w:w w:val="81"/>
                <w:vertAlign w:val="subscript"/>
              </w:rPr>
              <w:t>27.68</w:t>
            </w:r>
            <w:r>
              <w:rPr>
                <w:rFonts w:ascii="Times New Roman" w:cs="Times New Roman" w:eastAsia="Times New Roman" w:hAnsi="Times New Roman"/>
                <w:sz w:val="13"/>
                <w:szCs w:val="13"/>
                <w:color w:val="008000"/>
                <w:w w:val="81"/>
              </w:rPr>
              <w:t>(4)(5)</w:t>
            </w: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3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380" w:type="dxa"/>
            <w:vAlign w:val="bottom"/>
            <w:gridSpan w:val="2"/>
            <w:vMerge w:val="restart"/>
          </w:tcPr>
          <w:p>
            <w:pPr>
              <w:jc w:val="center"/>
              <w:ind w:left="334"/>
              <w:spacing w:after="0"/>
              <w:rPr>
                <w:sz w:val="20"/>
                <w:szCs w:val="20"/>
                <w:color w:val="auto"/>
              </w:rPr>
            </w:pPr>
            <w:r>
              <w:rPr>
                <w:rFonts w:ascii="Times New Roman" w:cs="Times New Roman" w:eastAsia="Times New Roman" w:hAnsi="Times New Roman"/>
                <w:sz w:val="13"/>
                <w:szCs w:val="13"/>
                <w:color w:val="008000"/>
                <w:w w:val="96"/>
              </w:rPr>
              <w:t>(4)(5)(11)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(4)(5)(11)</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1,057,309</w:t>
            </w: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9"/>
                <w:szCs w:val="39"/>
                <w:color w:val="0000FF"/>
                <w:w w:val="81"/>
                <w:vertAlign w:val="subscript"/>
              </w:rPr>
              <w:t>15.42</w:t>
            </w:r>
            <w:r>
              <w:rPr>
                <w:rFonts w:ascii="Times New Roman" w:cs="Times New Roman" w:eastAsia="Times New Roman" w:hAnsi="Times New Roman"/>
                <w:sz w:val="13"/>
                <w:szCs w:val="13"/>
                <w:color w:val="008000"/>
                <w:w w:val="81"/>
              </w:rPr>
              <w:t>(4)(5)</w:t>
            </w: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60" w:type="dxa"/>
            <w:vAlign w:val="bottom"/>
            <w:gridSpan w:val="2"/>
          </w:tcPr>
          <w:p>
            <w:pPr>
              <w:ind w:left="60"/>
              <w:spacing w:after="0" w:line="284" w:lineRule="exact"/>
              <w:rPr>
                <w:sz w:val="20"/>
                <w:szCs w:val="20"/>
                <w:color w:val="auto"/>
              </w:rPr>
            </w:pPr>
            <w:r>
              <w:rPr>
                <w:rFonts w:ascii="Times New Roman" w:cs="Times New Roman" w:eastAsia="Times New Roman" w:hAnsi="Times New Roman"/>
                <w:sz w:val="20"/>
                <w:szCs w:val="20"/>
                <w:color w:val="0000FF"/>
                <w:w w:val="97"/>
              </w:rPr>
              <w:t>See Footnotes</w:t>
            </w:r>
            <w:r>
              <w:rPr>
                <w:rFonts w:ascii="Times New Roman" w:cs="Times New Roman" w:eastAsia="Times New Roman" w:hAnsi="Times New Roman"/>
                <w:sz w:val="25"/>
                <w:szCs w:val="25"/>
                <w:color w:val="008000"/>
                <w:w w:val="97"/>
                <w:vertAlign w:val="superscript"/>
              </w:rPr>
              <w:t>(2)(4)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3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5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8000"/>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by a family trust of which the Reporting Person's spouse is the trustee.</w:t>
      </w:r>
    </w:p>
    <w:p>
      <w:pPr>
        <w:spacing w:after="0" w:line="52" w:lineRule="exact"/>
        <w:rPr>
          <w:rFonts w:ascii="Times New Roman" w:cs="Times New Roman" w:eastAsia="Times New Roman" w:hAnsi="Times New Roman"/>
          <w:sz w:val="15"/>
          <w:szCs w:val="15"/>
          <w:color w:val="008000"/>
        </w:rPr>
      </w:pPr>
    </w:p>
    <w:p>
      <w:pPr>
        <w:jc w:val="both"/>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an exchange agreement, dated as of December 16, 2025 (the "Exchange Agreement"), holders have the right to exchange their Common Units for shares of Class A Common Stock on a one-for-one basis, subject to customary conversion rate adjustments for stock splits, stock dividends and reclassifications. These exchange rights do not expire. Such Common Units are held indirectly through Medline Management Aggregator LLC.</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 incentive units of Medline Holdings, LP ("Incentive Units"), which are "profit interests" having economic characteristics similar to stock appreciation rights. Vested</w:t>
      </w:r>
    </w:p>
    <w:p>
      <w:pPr>
        <w:sectPr>
          <w:pgSz w:w="11900" w:h="16885" w:orient="portrait"/>
          <w:cols w:equalWidth="0" w:num="1">
            <w:col w:w="10940"/>
          </w:cols>
          <w:pgMar w:left="480" w:top="230" w:right="479" w:bottom="0" w:gutter="0" w:footer="0" w:header="0"/>
          <w:type w:val="continuous"/>
        </w:sectPr>
      </w:pPr>
    </w:p>
    <w:bookmarkStart w:id="1" w:name="page2"/>
    <w:bookmarkEnd w:id="1"/>
    <w:p>
      <w:pPr>
        <w:spacing w:after="0" w:line="239" w:lineRule="auto"/>
        <w:rPr>
          <w:sz w:val="20"/>
          <w:szCs w:val="20"/>
          <w:color w:val="auto"/>
        </w:rPr>
      </w:pPr>
      <w:r>
        <w:rPr>
          <w:rFonts w:ascii="Times New Roman" w:cs="Times New Roman" w:eastAsia="Times New Roman" w:hAnsi="Times New Roman"/>
          <w:sz w:val="15"/>
          <w:szCs w:val="15"/>
          <w:color w:val="008000"/>
        </w:rPr>
        <w:t>Incentive Units are convertible, at the holder's election, into a number of Common Units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w:t>
      </w:r>
    </w:p>
    <w:p>
      <w:pPr>
        <w:spacing w:after="0" w:line="33" w:lineRule="exact"/>
        <w:rPr>
          <w:sz w:val="20"/>
          <w:szCs w:val="20"/>
          <w:color w:val="auto"/>
        </w:rPr>
      </w:pPr>
    </w:p>
    <w:p>
      <w:pPr>
        <w:ind w:right="54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4 above) Common Units are exchangeable on a one-for-one basis for shares of Class A Common Stock pursuant to the terms of the Exchange Agreement. These Incentive Units have no expiration date. Such Incentive Units are held indirectly through Medline Management Aggregator LLC.</w:t>
      </w:r>
    </w:p>
    <w:p>
      <w:pPr>
        <w:spacing w:after="0" w:line="17"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62% of these Incentive Units have vested, and the remaining 38% vest on October 21, 2026.</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40% of these Incentive Units have vested, and the remaining 60% vest in three equal annual installments beginning on April 1, 2026.</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40% of these Incentive Units have vested, and the remaining 60% vest in three equal annual installments beginning on October 1, 2026.</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20% of these Incentive Units have vested, and the remaining 80% vest in four equal annual installments beginning on March 29, 2026.</w:t>
      </w:r>
    </w:p>
    <w:p>
      <w:pPr>
        <w:spacing w:after="0" w:line="52" w:lineRule="exact"/>
        <w:rPr>
          <w:rFonts w:ascii="Times New Roman" w:cs="Times New Roman" w:eastAsia="Times New Roman" w:hAnsi="Times New Roman"/>
          <w:sz w:val="15"/>
          <w:szCs w:val="15"/>
          <w:color w:val="008000"/>
        </w:rPr>
      </w:pPr>
    </w:p>
    <w:p>
      <w:pPr>
        <w:ind w:left="240" w:hanging="235"/>
        <w:spacing w:after="0"/>
        <w:tabs>
          <w:tab w:leader="none" w:pos="24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Incentive Units vest in five equal annual installments beginning on March 28, 2026.</w:t>
      </w:r>
    </w:p>
    <w:p>
      <w:pPr>
        <w:spacing w:after="0" w:line="52" w:lineRule="exact"/>
        <w:rPr>
          <w:rFonts w:ascii="Times New Roman" w:cs="Times New Roman" w:eastAsia="Times New Roman" w:hAnsi="Times New Roman"/>
          <w:sz w:val="15"/>
          <w:szCs w:val="15"/>
          <w:color w:val="008000"/>
        </w:rPr>
      </w:pPr>
    </w:p>
    <w:p>
      <w:pPr>
        <w:ind w:left="220" w:hanging="215"/>
        <w:spacing w:after="0"/>
        <w:tabs>
          <w:tab w:leader="none" w:pos="22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Incentive Units are fully vested.</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Nicole Fritz,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12/17/2025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line="10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7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Alexander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Liberman, Nicole Fritz and Katherine Morgan </w:t>
      </w:r>
      <w:r>
        <w:rPr>
          <w:rFonts w:ascii="Times New Roman" w:cs="Times New Roman" w:eastAsia="Times New Roman" w:hAnsi="Times New Roman"/>
          <w:sz w:val="24"/>
          <w:szCs w:val="24"/>
          <w:color w:val="auto"/>
        </w:rPr>
        <w:t>or any one of them, as a true and lawful attorney-in-fact of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(ii) pursuant to Rule 144 under the Securities Act of 1933, as amended, including without limitation notices on Form 144 (including any amendments thereto), and (iii) in connection with any applications for EDGAR access codes, including without limitation the Form ID.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Alexander Liberman, Nicole Fritz and Katherine Morgan,</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40" w:lineRule="exact"/>
        <w:rPr>
          <w:sz w:val="20"/>
          <w:szCs w:val="20"/>
          <w:color w:val="auto"/>
        </w:rPr>
      </w:pPr>
    </w:p>
    <w:tbl>
      <w:tblPr>
        <w:tblLayout w:type="fixed"/>
        <w:tblInd w:w="5480" w:type="dxa"/>
        <w:tblCellMar>
          <w:top w:w="0" w:type="dxa"/>
          <w:left w:w="0" w:type="dxa"/>
          <w:bottom w:w="0" w:type="dxa"/>
          <w:right w:w="0" w:type="dxa"/>
        </w:tblCellMar>
      </w:tblPr>
      <w:tr>
        <w:trPr>
          <w:trHeight w:val="300"/>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By:</w:t>
            </w:r>
          </w:p>
        </w:tc>
        <w:tc>
          <w:tcPr>
            <w:tcW w:w="4760" w:type="dxa"/>
            <w:vAlign w:val="bottom"/>
            <w:gridSpan w:val="2"/>
          </w:tcPr>
          <w:p>
            <w:pPr>
              <w:jc w:val="center"/>
              <w:ind w:right="2680"/>
              <w:spacing w:after="0"/>
              <w:rPr>
                <w:sz w:val="20"/>
                <w:szCs w:val="20"/>
                <w:color w:val="auto"/>
              </w:rPr>
            </w:pPr>
            <w:r>
              <w:rPr>
                <w:rFonts w:ascii="Times New Roman" w:cs="Times New Roman" w:eastAsia="Times New Roman" w:hAnsi="Times New Roman"/>
                <w:sz w:val="24"/>
                <w:szCs w:val="24"/>
                <w:color w:val="auto"/>
                <w:w w:val="99"/>
              </w:rPr>
              <w:t>/s/ James M. Boyle</w:t>
            </w:r>
          </w:p>
        </w:tc>
      </w:tr>
      <w:tr>
        <w:trPr>
          <w:trHeight w:val="313"/>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Name:</w:t>
            </w:r>
          </w:p>
        </w:tc>
        <w:tc>
          <w:tcPr>
            <w:tcW w:w="60" w:type="dxa"/>
            <w:vAlign w:val="bottom"/>
          </w:tcPr>
          <w:p>
            <w:pPr>
              <w:spacing w:after="0"/>
              <w:rPr>
                <w:sz w:val="24"/>
                <w:szCs w:val="24"/>
                <w:color w:val="auto"/>
              </w:rPr>
            </w:pPr>
          </w:p>
        </w:tc>
        <w:tc>
          <w:tcPr>
            <w:tcW w:w="4700" w:type="dxa"/>
            <w:vAlign w:val="bottom"/>
            <w:tcBorders>
              <w:top w:val="single" w:sz="8" w:color="auto"/>
            </w:tcBorders>
          </w:tcPr>
          <w:p>
            <w:pPr>
              <w:jc w:val="center"/>
              <w:ind w:right="2720"/>
              <w:spacing w:after="0"/>
              <w:rPr>
                <w:sz w:val="20"/>
                <w:szCs w:val="20"/>
                <w:color w:val="auto"/>
              </w:rPr>
            </w:pPr>
            <w:r>
              <w:rPr>
                <w:rFonts w:ascii="Times New Roman" w:cs="Times New Roman" w:eastAsia="Times New Roman" w:hAnsi="Times New Roman"/>
                <w:sz w:val="24"/>
                <w:szCs w:val="24"/>
                <w:b w:val="1"/>
                <w:bCs w:val="1"/>
                <w:color w:val="auto"/>
                <w:w w:val="99"/>
              </w:rPr>
              <w:t>James M. Boyle</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1146175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61052"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2025-12-17T18:09:11Z</dcterms:created>
  <dcterms:modified xsi:type="dcterms:W3CDTF">2025-12-17T18:09:11Z</dcterms:modified>
</cp:coreProperties>
</file>