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62953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6295390"/>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Drazin Michael B</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720" w:type="dxa"/>
            <w:vAlign w:val="bottom"/>
            <w:tcBorders>
              <w:top w:val="single" w:sz="8" w:color="0000EE"/>
              <w:bottom w:val="single" w:sz="8" w:color="9A9A9A"/>
            </w:tcBorders>
          </w:tcPr>
          <w:p>
            <w:pPr>
              <w:spacing w:after="0"/>
              <w:rPr>
                <w:sz w:val="17"/>
                <w:szCs w:val="17"/>
                <w:color w:val="auto"/>
              </w:rPr>
            </w:pPr>
          </w:p>
        </w:tc>
        <w:tc>
          <w:tcPr>
            <w:tcW w:w="13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12/17/2025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Medline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MDLN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120" w:type="dxa"/>
            <w:vAlign w:val="bottom"/>
          </w:tcPr>
          <w:p>
            <w:pPr>
              <w:ind w:left="280"/>
              <w:spacing w:after="0"/>
              <w:rPr>
                <w:sz w:val="20"/>
                <w:szCs w:val="20"/>
                <w:color w:val="auto"/>
              </w:rPr>
            </w:pPr>
            <w:r>
              <w:rPr>
                <w:rFonts w:ascii="Arial" w:cs="Arial" w:eastAsia="Arial" w:hAnsi="Arial"/>
                <w:sz w:val="15"/>
                <w:szCs w:val="15"/>
                <w:color w:val="auto"/>
              </w:rPr>
              <w:t>(First)</w:t>
            </w:r>
          </w:p>
        </w:tc>
        <w:tc>
          <w:tcPr>
            <w:tcW w:w="1200" w:type="dxa"/>
            <w:vAlign w:val="bottom"/>
          </w:tcPr>
          <w:p>
            <w:pPr>
              <w:jc w:val="right"/>
              <w:ind w:right="374"/>
              <w:spacing w:after="0"/>
              <w:rPr>
                <w:sz w:val="20"/>
                <w:szCs w:val="20"/>
                <w:color w:val="auto"/>
              </w:rPr>
            </w:pPr>
            <w:r>
              <w:rPr>
                <w:rFonts w:ascii="Arial" w:cs="Arial" w:eastAsia="Arial" w:hAnsi="Arial"/>
                <w:sz w:val="15"/>
                <w:szCs w:val="15"/>
                <w:color w:val="auto"/>
              </w:rPr>
              <w:t>(Middle)</w:t>
            </w:r>
          </w:p>
        </w:tc>
      </w:tr>
      <w:tr>
        <w:trPr>
          <w:trHeight w:val="310"/>
        </w:trPr>
        <w:tc>
          <w:tcPr>
            <w:tcW w:w="19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C/O MEDLINE INC.</w:t>
            </w:r>
          </w:p>
        </w:tc>
        <w:tc>
          <w:tcPr>
            <w:tcW w:w="1200" w:type="dxa"/>
            <w:vAlign w:val="bottom"/>
          </w:tcPr>
          <w:p>
            <w:pPr>
              <w:spacing w:after="0"/>
              <w:rPr>
                <w:sz w:val="24"/>
                <w:szCs w:val="24"/>
                <w:color w:val="auto"/>
              </w:rPr>
            </w:pPr>
          </w:p>
        </w:tc>
      </w:tr>
      <w:tr>
        <w:trPr>
          <w:trHeight w:val="300"/>
        </w:trPr>
        <w:tc>
          <w:tcPr>
            <w:tcW w:w="19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3 LAKES DRIVE</w:t>
            </w:r>
          </w:p>
        </w:tc>
        <w:tc>
          <w:tcPr>
            <w:tcW w:w="1200" w:type="dxa"/>
            <w:vAlign w:val="bottom"/>
          </w:tcPr>
          <w:p>
            <w:pPr>
              <w:spacing w:after="0"/>
              <w:rPr>
                <w:sz w:val="24"/>
                <w:szCs w:val="24"/>
                <w:color w:val="auto"/>
              </w:rPr>
            </w:pPr>
          </w:p>
        </w:tc>
      </w:tr>
      <w:tr>
        <w:trPr>
          <w:trHeight w:val="177"/>
        </w:trPr>
        <w:tc>
          <w:tcPr>
            <w:tcW w:w="78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65"/>
        </w:trPr>
        <w:tc>
          <w:tcPr>
            <w:tcW w:w="19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NORTHFIELD IL</w:t>
            </w:r>
          </w:p>
        </w:tc>
        <w:tc>
          <w:tcPr>
            <w:tcW w:w="1200" w:type="dxa"/>
            <w:vAlign w:val="bottom"/>
          </w:tcPr>
          <w:p>
            <w:pPr>
              <w:jc w:val="right"/>
              <w:ind w:right="354"/>
              <w:spacing w:after="0"/>
              <w:rPr>
                <w:sz w:val="20"/>
                <w:szCs w:val="20"/>
                <w:color w:val="auto"/>
              </w:rPr>
            </w:pPr>
            <w:r>
              <w:rPr>
                <w:rFonts w:ascii="Times New Roman" w:cs="Times New Roman" w:eastAsia="Times New Roman" w:hAnsi="Times New Roman"/>
                <w:sz w:val="20"/>
                <w:szCs w:val="20"/>
                <w:color w:val="0000FF"/>
              </w:rPr>
              <w:t>60093</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43"/>
        <w:spacing w:after="0"/>
        <w:rPr>
          <w:sz w:val="20"/>
          <w:szCs w:val="20"/>
          <w:color w:val="auto"/>
        </w:rPr>
      </w:pPr>
      <w:r>
        <w:rPr>
          <w:rFonts w:ascii="Times New Roman" w:cs="Times New Roman" w:eastAsia="Times New Roman" w:hAnsi="Times New Roman"/>
          <w:sz w:val="20"/>
          <w:szCs w:val="20"/>
          <w:color w:val="0000FF"/>
        </w:rPr>
        <w:t>Chief Financial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4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ind w:left="100"/>
              <w:spacing w:after="0"/>
              <w:rPr>
                <w:sz w:val="20"/>
                <w:szCs w:val="20"/>
                <w:color w:val="auto"/>
              </w:rPr>
            </w:pPr>
            <w:r>
              <w:rPr>
                <w:rFonts w:ascii="Arial" w:cs="Arial" w:eastAsia="Arial" w:hAnsi="Arial"/>
                <w:sz w:val="15"/>
                <w:szCs w:val="15"/>
                <w:b w:val="1"/>
                <w:bCs w:val="1"/>
                <w:color w:val="auto"/>
              </w:rPr>
              <w:t>2. Amount of Securities</w:t>
            </w:r>
          </w:p>
        </w:tc>
        <w:tc>
          <w:tcPr>
            <w:tcW w:w="1540" w:type="dxa"/>
            <w:vAlign w:val="bottom"/>
            <w:gridSpan w:val="3"/>
          </w:tcPr>
          <w:p>
            <w:pPr>
              <w:ind w:left="36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360" w:type="dxa"/>
            <w:vAlign w:val="bottom"/>
            <w:gridSpan w:val="4"/>
          </w:tcPr>
          <w:p>
            <w:pPr>
              <w:ind w:left="100"/>
              <w:spacing w:after="0" w:line="165" w:lineRule="exact"/>
              <w:rPr>
                <w:sz w:val="20"/>
                <w:szCs w:val="20"/>
                <w:color w:val="auto"/>
              </w:rPr>
            </w:pPr>
            <w:r>
              <w:rPr>
                <w:rFonts w:ascii="Arial" w:cs="Arial" w:eastAsia="Arial" w:hAnsi="Arial"/>
                <w:sz w:val="15"/>
                <w:szCs w:val="15"/>
                <w:b w:val="1"/>
                <w:bCs w:val="1"/>
                <w:color w:val="auto"/>
              </w:rPr>
              <w:t>Beneficially Owned (Instr.   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4)</w:t>
            </w:r>
          </w:p>
        </w:tc>
        <w:tc>
          <w:tcPr>
            <w:tcW w:w="1540" w:type="dxa"/>
            <w:vAlign w:val="bottom"/>
            <w:gridSpan w:val="3"/>
          </w:tcPr>
          <w:p>
            <w:pPr>
              <w:ind w:left="360"/>
              <w:spacing w:after="0" w:line="165" w:lineRule="exact"/>
              <w:rPr>
                <w:sz w:val="20"/>
                <w:szCs w:val="20"/>
                <w:color w:val="auto"/>
              </w:rPr>
            </w:pPr>
            <w:r>
              <w:rPr>
                <w:rFonts w:ascii="Arial" w:cs="Arial" w:eastAsia="Arial" w:hAnsi="Arial"/>
                <w:sz w:val="15"/>
                <w:szCs w:val="15"/>
                <w:b w:val="1"/>
                <w:bCs w:val="1"/>
                <w:color w:val="auto"/>
              </w:rPr>
              <w:t>(D) or Indirect</w:t>
            </w: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540" w:type="dxa"/>
            <w:vAlign w:val="bottom"/>
            <w:gridSpan w:val="3"/>
          </w:tcPr>
          <w:p>
            <w:pPr>
              <w:ind w:left="360"/>
              <w:spacing w:after="0"/>
              <w:rPr>
                <w:sz w:val="20"/>
                <w:szCs w:val="20"/>
                <w:color w:val="auto"/>
              </w:rPr>
            </w:pPr>
            <w:r>
              <w:rPr>
                <w:rFonts w:ascii="Arial" w:cs="Arial" w:eastAsia="Arial" w:hAnsi="Arial"/>
                <w:sz w:val="15"/>
                <w:szCs w:val="15"/>
                <w:b w:val="1"/>
                <w:bCs w:val="1"/>
                <w:color w:val="auto"/>
              </w:rPr>
              <w:t>(I) (Instr. 5)</w:t>
            </w: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4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B Common Stock</w:t>
            </w:r>
          </w:p>
        </w:tc>
        <w:tc>
          <w:tcPr>
            <w:tcW w:w="44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ind w:left="680"/>
              <w:spacing w:after="0"/>
              <w:rPr>
                <w:sz w:val="20"/>
                <w:szCs w:val="20"/>
                <w:color w:val="auto"/>
              </w:rPr>
            </w:pPr>
            <w:r>
              <w:rPr>
                <w:rFonts w:ascii="Times New Roman" w:cs="Times New Roman" w:eastAsia="Times New Roman" w:hAnsi="Times New Roman"/>
                <w:sz w:val="20"/>
                <w:szCs w:val="20"/>
                <w:color w:val="0000FF"/>
              </w:rPr>
              <w:t>486,028</w:t>
            </w:r>
            <w:r>
              <w:rPr>
                <w:rFonts w:ascii="Times New Roman" w:cs="Times New Roman" w:eastAsia="Times New Roman" w:hAnsi="Times New Roman"/>
                <w:sz w:val="25"/>
                <w:szCs w:val="25"/>
                <w:color w:val="008000"/>
                <w:vertAlign w:val="superscript"/>
              </w:rPr>
              <w:t>(1)</w:t>
            </w:r>
          </w:p>
        </w:tc>
        <w:tc>
          <w:tcPr>
            <w:tcW w:w="96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20"/>
                <w:szCs w:val="20"/>
                <w:color w:val="0000FF"/>
                <w:w w:val="96"/>
              </w:rPr>
              <w:t>D</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46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5240" w:type="dxa"/>
            <w:vAlign w:val="bottom"/>
            <w:tcBorders>
              <w:top w:val="single" w:sz="8" w:color="2C2C2C"/>
            </w:tcBorders>
            <w:gridSpan w:val="6"/>
          </w:tcPr>
          <w:p>
            <w:pPr>
              <w:ind w:left="26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4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5680" w:type="dxa"/>
            <w:vAlign w:val="bottom"/>
            <w:gridSpan w:val="7"/>
          </w:tcPr>
          <w:p>
            <w:pPr>
              <w:ind w:left="300"/>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900" w:type="dxa"/>
            <w:vAlign w:val="bottom"/>
            <w:tcBorders>
              <w:bottom w:val="single" w:sz="8" w:color="2C2C2C"/>
            </w:tcBorders>
            <w:gridSpan w:val="2"/>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7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gridSpan w:val="4"/>
          </w:tcPr>
          <w:p>
            <w:pPr>
              <w:ind w:left="80"/>
              <w:spacing w:after="0"/>
              <w:rPr>
                <w:sz w:val="20"/>
                <w:szCs w:val="20"/>
                <w:color w:val="auto"/>
              </w:rPr>
            </w:pPr>
            <w:r>
              <w:rPr>
                <w:rFonts w:ascii="Arial" w:cs="Arial" w:eastAsia="Arial" w:hAnsi="Arial"/>
                <w:sz w:val="15"/>
                <w:szCs w:val="15"/>
                <w:b w:val="1"/>
                <w:bCs w:val="1"/>
                <w:color w:val="auto"/>
              </w:rPr>
              <w:t>1. Title of Derivative Security (Instr. 4)   2. Date Exercisable and</w:t>
            </w:r>
          </w:p>
        </w:tc>
        <w:tc>
          <w:tcPr>
            <w:tcW w:w="278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58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34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8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w w:val="98"/>
              </w:rPr>
              <w:t>Price of</w:t>
            </w:r>
          </w:p>
        </w:tc>
        <w:tc>
          <w:tcPr>
            <w:tcW w:w="340" w:type="dxa"/>
            <w:vAlign w:val="bottom"/>
          </w:tcPr>
          <w:p>
            <w:pPr>
              <w:spacing w:after="0"/>
              <w:rPr>
                <w:sz w:val="7"/>
                <w:szCs w:val="7"/>
                <w:color w:val="auto"/>
              </w:rPr>
            </w:pP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5"/>
                <w:szCs w:val="15"/>
                <w:b w:val="1"/>
                <w:bCs w:val="1"/>
                <w:color w:val="auto"/>
              </w:rPr>
              <w:t>Amount or</w:t>
            </w:r>
          </w:p>
        </w:tc>
        <w:tc>
          <w:tcPr>
            <w:tcW w:w="5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920" w:type="dxa"/>
            <w:vAlign w:val="bottom"/>
            <w:gridSpan w:val="2"/>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8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96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Number of</w:t>
            </w: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820" w:type="dxa"/>
            <w:vAlign w:val="bottom"/>
            <w:vMerge w:val="continue"/>
          </w:tcPr>
          <w:p>
            <w:pPr>
              <w:spacing w:after="0"/>
              <w:rPr>
                <w:sz w:val="17"/>
                <w:szCs w:val="17"/>
                <w:color w:val="auto"/>
              </w:rPr>
            </w:pPr>
          </w:p>
        </w:tc>
        <w:tc>
          <w:tcPr>
            <w:tcW w:w="960" w:type="dxa"/>
            <w:vAlign w:val="bottom"/>
            <w:gridSpan w:val="2"/>
          </w:tcPr>
          <w:p>
            <w:pPr>
              <w:ind w:left="40"/>
              <w:spacing w:after="0"/>
              <w:rPr>
                <w:sz w:val="20"/>
                <w:szCs w:val="20"/>
                <w:color w:val="auto"/>
              </w:rPr>
            </w:pPr>
            <w:r>
              <w:rPr>
                <w:rFonts w:ascii="Arial" w:cs="Arial" w:eastAsia="Arial" w:hAnsi="Arial"/>
                <w:sz w:val="15"/>
                <w:szCs w:val="15"/>
                <w:b w:val="1"/>
                <w:bCs w:val="1"/>
                <w:color w:val="auto"/>
              </w:rPr>
              <w:t>Shares</w:t>
            </w: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4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Units of Medline</w:t>
            </w:r>
          </w:p>
        </w:tc>
        <w:tc>
          <w:tcPr>
            <w:tcW w:w="1440" w:type="dxa"/>
            <w:vAlign w:val="bottom"/>
            <w:gridSpan w:val="2"/>
            <w:vMerge w:val="restart"/>
          </w:tcPr>
          <w:p>
            <w:pPr>
              <w:jc w:val="center"/>
              <w:ind w:left="372"/>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rPr>
              <w:t>(2)</w:t>
            </w: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486,028</w:t>
            </w:r>
          </w:p>
        </w:tc>
        <w:tc>
          <w:tcPr>
            <w:tcW w:w="60" w:type="dxa"/>
            <w:vAlign w:val="bottom"/>
          </w:tcPr>
          <w:p>
            <w:pPr>
              <w:spacing w:after="0"/>
              <w:rPr>
                <w:sz w:val="24"/>
                <w:szCs w:val="24"/>
                <w:color w:val="auto"/>
              </w:rPr>
            </w:pPr>
          </w:p>
        </w:tc>
        <w:tc>
          <w:tcPr>
            <w:tcW w:w="580" w:type="dxa"/>
            <w:vAlign w:val="bottom"/>
            <w:vMerge w:val="restart"/>
          </w:tcPr>
          <w:p>
            <w:pPr>
              <w:jc w:val="center"/>
              <w:ind w:left="211"/>
              <w:spacing w:after="0"/>
              <w:rPr>
                <w:sz w:val="20"/>
                <w:szCs w:val="20"/>
                <w:color w:val="auto"/>
              </w:rPr>
            </w:pPr>
            <w:r>
              <w:rPr>
                <w:rFonts w:ascii="Times New Roman" w:cs="Times New Roman" w:eastAsia="Times New Roman" w:hAnsi="Times New Roman"/>
                <w:sz w:val="13"/>
                <w:szCs w:val="13"/>
                <w:color w:val="008000"/>
                <w:w w:val="92"/>
              </w:rPr>
              <w:t>(2)</w:t>
            </w:r>
          </w:p>
        </w:tc>
        <w:tc>
          <w:tcPr>
            <w:tcW w:w="340" w:type="dxa"/>
            <w:vAlign w:val="bottom"/>
          </w:tcPr>
          <w:p>
            <w:pPr>
              <w:spacing w:after="0"/>
              <w:rPr>
                <w:sz w:val="24"/>
                <w:szCs w:val="24"/>
                <w:color w:val="auto"/>
              </w:rPr>
            </w:pP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50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Holdings, LP</w:t>
            </w:r>
          </w:p>
        </w:tc>
        <w:tc>
          <w:tcPr>
            <w:tcW w:w="1440" w:type="dxa"/>
            <w:vAlign w:val="bottom"/>
            <w:gridSpan w:val="2"/>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9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5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46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4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4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Incentive Units of Medline</w:t>
            </w:r>
          </w:p>
        </w:tc>
        <w:tc>
          <w:tcPr>
            <w:tcW w:w="1440" w:type="dxa"/>
            <w:vAlign w:val="bottom"/>
            <w:gridSpan w:val="2"/>
            <w:vMerge w:val="restart"/>
          </w:tcPr>
          <w:p>
            <w:pPr>
              <w:jc w:val="center"/>
              <w:ind w:left="372"/>
              <w:spacing w:after="0"/>
              <w:rPr>
                <w:sz w:val="20"/>
                <w:szCs w:val="20"/>
                <w:color w:val="auto"/>
              </w:rPr>
            </w:pPr>
            <w:r>
              <w:rPr>
                <w:rFonts w:ascii="Times New Roman" w:cs="Times New Roman" w:eastAsia="Times New Roman" w:hAnsi="Times New Roman"/>
                <w:sz w:val="13"/>
                <w:szCs w:val="13"/>
                <w:color w:val="008000"/>
                <w:w w:val="96"/>
              </w:rPr>
              <w:t>(3)(4)(5)</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6"/>
              </w:rPr>
              <w:t>(3)(4)(5)</w:t>
            </w: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2,033,004</w:t>
            </w:r>
          </w:p>
        </w:tc>
        <w:tc>
          <w:tcPr>
            <w:tcW w:w="60" w:type="dxa"/>
            <w:vAlign w:val="bottom"/>
          </w:tcPr>
          <w:p>
            <w:pPr>
              <w:spacing w:after="0"/>
              <w:rPr>
                <w:sz w:val="24"/>
                <w:szCs w:val="24"/>
                <w:color w:val="auto"/>
              </w:rPr>
            </w:pPr>
          </w:p>
        </w:tc>
        <w:tc>
          <w:tcPr>
            <w:tcW w:w="9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39"/>
                <w:szCs w:val="39"/>
                <w:color w:val="0000FF"/>
                <w:w w:val="83"/>
                <w:vertAlign w:val="subscript"/>
              </w:rPr>
              <w:t>15.42</w:t>
            </w:r>
            <w:r>
              <w:rPr>
                <w:rFonts w:ascii="Times New Roman" w:cs="Times New Roman" w:eastAsia="Times New Roman" w:hAnsi="Times New Roman"/>
                <w:sz w:val="13"/>
                <w:szCs w:val="13"/>
                <w:color w:val="008000"/>
                <w:w w:val="83"/>
              </w:rPr>
              <w:t>(3)(4)</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50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0000FF"/>
                <w:w w:val="97"/>
              </w:rPr>
              <w:t>See Footnote</w:t>
            </w:r>
            <w:r>
              <w:rPr>
                <w:rFonts w:ascii="Times New Roman" w:cs="Times New Roman" w:eastAsia="Times New Roman" w:hAnsi="Times New Roman"/>
                <w:sz w:val="25"/>
                <w:szCs w:val="25"/>
                <w:color w:val="008000"/>
                <w:w w:val="97"/>
                <w:vertAlign w:val="superscript"/>
              </w:rPr>
              <w:t>(3)(4)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Holdings, LP</w:t>
            </w:r>
          </w:p>
        </w:tc>
        <w:tc>
          <w:tcPr>
            <w:tcW w:w="1440" w:type="dxa"/>
            <w:vAlign w:val="bottom"/>
            <w:gridSpan w:val="2"/>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9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5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46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4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4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Incentive Units of Medline</w:t>
            </w:r>
          </w:p>
        </w:tc>
        <w:tc>
          <w:tcPr>
            <w:tcW w:w="1440" w:type="dxa"/>
            <w:vAlign w:val="bottom"/>
            <w:gridSpan w:val="2"/>
            <w:vMerge w:val="restart"/>
          </w:tcPr>
          <w:p>
            <w:pPr>
              <w:jc w:val="center"/>
              <w:ind w:left="372"/>
              <w:spacing w:after="0"/>
              <w:rPr>
                <w:sz w:val="20"/>
                <w:szCs w:val="20"/>
                <w:color w:val="auto"/>
              </w:rPr>
            </w:pPr>
            <w:r>
              <w:rPr>
                <w:rFonts w:ascii="Times New Roman" w:cs="Times New Roman" w:eastAsia="Times New Roman" w:hAnsi="Times New Roman"/>
                <w:sz w:val="13"/>
                <w:szCs w:val="13"/>
                <w:color w:val="008000"/>
                <w:w w:val="96"/>
              </w:rPr>
              <w:t>(3)(4)(6)</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6"/>
              </w:rPr>
              <w:t>(3)(4)(6)</w:t>
            </w: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273,782</w:t>
            </w:r>
          </w:p>
        </w:tc>
        <w:tc>
          <w:tcPr>
            <w:tcW w:w="60" w:type="dxa"/>
            <w:vAlign w:val="bottom"/>
          </w:tcPr>
          <w:p>
            <w:pPr>
              <w:spacing w:after="0"/>
              <w:rPr>
                <w:sz w:val="24"/>
                <w:szCs w:val="24"/>
                <w:color w:val="auto"/>
              </w:rPr>
            </w:pPr>
          </w:p>
        </w:tc>
        <w:tc>
          <w:tcPr>
            <w:tcW w:w="9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39"/>
                <w:szCs w:val="39"/>
                <w:color w:val="0000FF"/>
                <w:w w:val="83"/>
                <w:vertAlign w:val="subscript"/>
              </w:rPr>
              <w:t>15.23</w:t>
            </w:r>
            <w:r>
              <w:rPr>
                <w:rFonts w:ascii="Times New Roman" w:cs="Times New Roman" w:eastAsia="Times New Roman" w:hAnsi="Times New Roman"/>
                <w:sz w:val="13"/>
                <w:szCs w:val="13"/>
                <w:color w:val="008000"/>
                <w:w w:val="83"/>
              </w:rPr>
              <w:t>(3)(4)</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50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0000FF"/>
                <w:w w:val="97"/>
              </w:rPr>
              <w:t>See Footnote</w:t>
            </w:r>
            <w:r>
              <w:rPr>
                <w:rFonts w:ascii="Times New Roman" w:cs="Times New Roman" w:eastAsia="Times New Roman" w:hAnsi="Times New Roman"/>
                <w:sz w:val="25"/>
                <w:szCs w:val="25"/>
                <w:color w:val="008000"/>
                <w:w w:val="97"/>
                <w:vertAlign w:val="superscript"/>
              </w:rPr>
              <w:t>(3)(4)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Holdings, LP</w:t>
            </w:r>
          </w:p>
        </w:tc>
        <w:tc>
          <w:tcPr>
            <w:tcW w:w="1440" w:type="dxa"/>
            <w:vAlign w:val="bottom"/>
            <w:gridSpan w:val="2"/>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9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5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46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4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4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Incentive Units of Medline</w:t>
            </w:r>
          </w:p>
        </w:tc>
        <w:tc>
          <w:tcPr>
            <w:tcW w:w="1440" w:type="dxa"/>
            <w:vAlign w:val="bottom"/>
            <w:gridSpan w:val="2"/>
            <w:vMerge w:val="restart"/>
          </w:tcPr>
          <w:p>
            <w:pPr>
              <w:jc w:val="center"/>
              <w:ind w:left="372"/>
              <w:spacing w:after="0"/>
              <w:rPr>
                <w:sz w:val="20"/>
                <w:szCs w:val="20"/>
                <w:color w:val="auto"/>
              </w:rPr>
            </w:pPr>
            <w:r>
              <w:rPr>
                <w:rFonts w:ascii="Times New Roman" w:cs="Times New Roman" w:eastAsia="Times New Roman" w:hAnsi="Times New Roman"/>
                <w:sz w:val="13"/>
                <w:szCs w:val="13"/>
                <w:color w:val="008000"/>
                <w:w w:val="96"/>
              </w:rPr>
              <w:t>(3)(4)(7)</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6"/>
              </w:rPr>
              <w:t>(3)(4)(7)</w:t>
            </w: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227,777</w:t>
            </w:r>
          </w:p>
        </w:tc>
        <w:tc>
          <w:tcPr>
            <w:tcW w:w="60" w:type="dxa"/>
            <w:vAlign w:val="bottom"/>
          </w:tcPr>
          <w:p>
            <w:pPr>
              <w:spacing w:after="0"/>
              <w:rPr>
                <w:sz w:val="24"/>
                <w:szCs w:val="24"/>
                <w:color w:val="auto"/>
              </w:rPr>
            </w:pPr>
          </w:p>
        </w:tc>
        <w:tc>
          <w:tcPr>
            <w:tcW w:w="9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39"/>
                <w:szCs w:val="39"/>
                <w:color w:val="0000FF"/>
                <w:w w:val="83"/>
                <w:vertAlign w:val="subscript"/>
              </w:rPr>
              <w:t>19.01</w:t>
            </w:r>
            <w:r>
              <w:rPr>
                <w:rFonts w:ascii="Times New Roman" w:cs="Times New Roman" w:eastAsia="Times New Roman" w:hAnsi="Times New Roman"/>
                <w:sz w:val="13"/>
                <w:szCs w:val="13"/>
                <w:color w:val="008000"/>
                <w:w w:val="83"/>
              </w:rPr>
              <w:t>(3)(4)</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50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0000FF"/>
                <w:w w:val="97"/>
              </w:rPr>
              <w:t>See Footnote</w:t>
            </w:r>
            <w:r>
              <w:rPr>
                <w:rFonts w:ascii="Times New Roman" w:cs="Times New Roman" w:eastAsia="Times New Roman" w:hAnsi="Times New Roman"/>
                <w:sz w:val="25"/>
                <w:szCs w:val="25"/>
                <w:color w:val="008000"/>
                <w:w w:val="97"/>
                <w:vertAlign w:val="superscript"/>
              </w:rPr>
              <w:t>(3)(4)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Holdings, LP</w:t>
            </w:r>
          </w:p>
        </w:tc>
        <w:tc>
          <w:tcPr>
            <w:tcW w:w="1440" w:type="dxa"/>
            <w:vAlign w:val="bottom"/>
            <w:gridSpan w:val="2"/>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9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5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46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4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4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Incentive Units of Medline</w:t>
            </w:r>
          </w:p>
        </w:tc>
        <w:tc>
          <w:tcPr>
            <w:tcW w:w="1440" w:type="dxa"/>
            <w:vAlign w:val="bottom"/>
            <w:gridSpan w:val="2"/>
            <w:vMerge w:val="restart"/>
          </w:tcPr>
          <w:p>
            <w:pPr>
              <w:jc w:val="center"/>
              <w:ind w:left="372"/>
              <w:spacing w:after="0"/>
              <w:rPr>
                <w:sz w:val="20"/>
                <w:szCs w:val="20"/>
                <w:color w:val="auto"/>
              </w:rPr>
            </w:pPr>
            <w:r>
              <w:rPr>
                <w:rFonts w:ascii="Times New Roman" w:cs="Times New Roman" w:eastAsia="Times New Roman" w:hAnsi="Times New Roman"/>
                <w:sz w:val="13"/>
                <w:szCs w:val="13"/>
                <w:color w:val="008000"/>
                <w:w w:val="96"/>
              </w:rPr>
              <w:t>(3)(4)(8)</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6"/>
              </w:rPr>
              <w:t>(3)(4)(8)</w:t>
            </w: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157,133</w:t>
            </w:r>
          </w:p>
        </w:tc>
        <w:tc>
          <w:tcPr>
            <w:tcW w:w="60" w:type="dxa"/>
            <w:vAlign w:val="bottom"/>
          </w:tcPr>
          <w:p>
            <w:pPr>
              <w:spacing w:after="0"/>
              <w:rPr>
                <w:sz w:val="24"/>
                <w:szCs w:val="24"/>
                <w:color w:val="auto"/>
              </w:rPr>
            </w:pPr>
          </w:p>
        </w:tc>
        <w:tc>
          <w:tcPr>
            <w:tcW w:w="9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39"/>
                <w:szCs w:val="39"/>
                <w:color w:val="0000FF"/>
                <w:w w:val="83"/>
                <w:vertAlign w:val="subscript"/>
              </w:rPr>
              <w:t>27.68</w:t>
            </w:r>
            <w:r>
              <w:rPr>
                <w:rFonts w:ascii="Times New Roman" w:cs="Times New Roman" w:eastAsia="Times New Roman" w:hAnsi="Times New Roman"/>
                <w:sz w:val="13"/>
                <w:szCs w:val="13"/>
                <w:color w:val="008000"/>
                <w:w w:val="83"/>
              </w:rPr>
              <w:t>(3)(4)</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50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0000FF"/>
                <w:w w:val="97"/>
              </w:rPr>
              <w:t>See Footnote</w:t>
            </w:r>
            <w:r>
              <w:rPr>
                <w:rFonts w:ascii="Times New Roman" w:cs="Times New Roman" w:eastAsia="Times New Roman" w:hAnsi="Times New Roman"/>
                <w:sz w:val="25"/>
                <w:szCs w:val="25"/>
                <w:color w:val="008000"/>
                <w:w w:val="97"/>
                <w:vertAlign w:val="superscript"/>
              </w:rPr>
              <w:t>(3)(4)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Holdings, LP</w:t>
            </w:r>
          </w:p>
        </w:tc>
        <w:tc>
          <w:tcPr>
            <w:tcW w:w="1440" w:type="dxa"/>
            <w:vAlign w:val="bottom"/>
            <w:gridSpan w:val="2"/>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9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5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46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8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Shares of the Issuer's Class B common stock ("Class B Common Stock") have no economic value and have one vote per share. One share of Class B Common Stock is issued for each common unit of Medline Holdings, LP ("Common Units") held. Upon an exchange of Common Units for shares of the Issuer's Class A common stock ("Class A Common Stock"), an equivalent number of shares of Class B Common Stock held by such holder will be automatically cancelled.</w:t>
      </w:r>
    </w:p>
    <w:p>
      <w:pPr>
        <w:spacing w:after="0" w:line="29" w:lineRule="exact"/>
        <w:rPr>
          <w:rFonts w:ascii="Times New Roman" w:cs="Times New Roman" w:eastAsia="Times New Roman" w:hAnsi="Times New Roman"/>
          <w:sz w:val="15"/>
          <w:szCs w:val="15"/>
          <w:color w:val="008000"/>
        </w:rPr>
      </w:pPr>
    </w:p>
    <w:p>
      <w:pPr>
        <w:jc w:val="both"/>
        <w:ind w:left="40" w:right="8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Pursuant to the terms of an exchange agreement, dated as of December 16, 2025 (the "Exchange Agreement"), holders have the right to exchange their Common Units for shares of Class A Common Stock on a one-for-one basis, subject to customary conversion rate adjustments for stock splits, stock dividends and reclassifications. These exchange rights do not expire. Such Common Units are held indirectly through Medline Management Aggregator LLC.</w:t>
      </w:r>
    </w:p>
    <w:p>
      <w:pPr>
        <w:spacing w:after="0" w:line="29" w:lineRule="exact"/>
        <w:rPr>
          <w:rFonts w:ascii="Times New Roman" w:cs="Times New Roman" w:eastAsia="Times New Roman" w:hAnsi="Times New Roman"/>
          <w:sz w:val="15"/>
          <w:szCs w:val="15"/>
          <w:color w:val="008000"/>
        </w:rPr>
      </w:pPr>
    </w:p>
    <w:p>
      <w:pPr>
        <w:ind w:left="40" w:right="80" w:firstLine="5"/>
        <w:spacing w:after="0" w:line="237"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Reflect incentive units of Medline Holdings, LP ("Incentive Units"), which are "profit interests" having economic characteristics similar to stock appreciation rights. Vested Incentive Units are convertible, at the holder's election, into a number of Common Units generally equal to (a) the product of the number of vested Incentive Units to be converted with a given per unit participation threshold and then-current difference between the per unit value of a Common Unit at the time of the conversion (based on the public trading price of a share of Class A Common Stock) and the per unit participation threshold of such vested Incentive Units divided by (b) the per unit value of a Common Unit at the time of the conversion (based on the public trading price of a share of Class A Common Stock), subject to certain adjustments.</w:t>
      </w:r>
    </w:p>
    <w:p>
      <w:pPr>
        <w:spacing w:after="0" w:line="33" w:lineRule="exact"/>
        <w:rPr>
          <w:rFonts w:ascii="Times New Roman" w:cs="Times New Roman" w:eastAsia="Times New Roman" w:hAnsi="Times New Roman"/>
          <w:sz w:val="15"/>
          <w:szCs w:val="15"/>
          <w:color w:val="008000"/>
        </w:rPr>
      </w:pPr>
    </w:p>
    <w:p>
      <w:pPr>
        <w:ind w:left="40" w:right="62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(Continued from Footnote 3 above) Common Units are exchangeable on a one-for-one basis for shares of Class A Common Stock pursuant to the terms of the Exchange Agreement. These Incentive Units have no expiration date. Such Incentive Units are held indirectly through Medline Management Aggregator LLC.</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80% of these Incentive Units have vested, and the remaining 20% vest on October 21, 2026.</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40% of these Incentive Units have vested, and the remaining 60% vest in three equal annual installments beginning on April 1, 2026.</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20% of these Incentive Units have vested, and the remaining 80% vest in four equal annual installments beginning on March 29, 2026.</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Incentive Units vest in five equal annual installments beginning on March 28, 2026.</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ectPr>
          <w:pgSz w:w="11900" w:h="16838" w:orient="portrait"/>
          <w:cols w:equalWidth="0" w:num="1">
            <w:col w:w="10940"/>
          </w:cols>
          <w:pgMar w:left="480" w:top="230" w:right="479" w:bottom="0" w:gutter="0" w:footer="0" w:header="0"/>
          <w:type w:val="continuous"/>
        </w:sectPr>
      </w:pP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color w:val="008000"/>
        </w:rPr>
        <w:t>Exhibit 24 - Power of Attorney.</w:t>
      </w:r>
    </w:p>
    <w:p>
      <w:pPr>
        <w:sectPr>
          <w:pgSz w:w="11900" w:h="16838" w:orient="portrait"/>
          <w:cols w:equalWidth="0" w:num="1">
            <w:col w:w="10940"/>
          </w:cols>
          <w:pgMar w:left="480" w:top="230" w:right="47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Nicole Fritz, Attorney-</w:t>
            </w:r>
          </w:p>
        </w:tc>
        <w:tc>
          <w:tcPr>
            <w:tcW w:w="16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12/17/2025</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60" w:firstLine="5"/>
        <w:spacing w:after="0" w:line="335" w:lineRule="auto"/>
        <w:tabs>
          <w:tab w:leader="none" w:pos="15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15" w:right="559" w:bottom="1440" w:gutter="0" w:footer="0" w:header="0"/>
        </w:sectPr>
      </w:pPr>
    </w:p>
    <w:bookmarkStart w:id="2" w:name="page3"/>
    <w:bookmarkEnd w:id="2"/>
    <w:p>
      <w:pPr>
        <w:spacing w:after="0" w:line="105" w:lineRule="exact"/>
        <w:rPr>
          <w:sz w:val="20"/>
          <w:szCs w:val="20"/>
          <w:color w:val="auto"/>
        </w:rPr>
      </w:pPr>
    </w:p>
    <w:p>
      <w:pPr>
        <w:ind w:left="9880"/>
        <w:spacing w:after="0"/>
        <w:rPr>
          <w:sz w:val="20"/>
          <w:szCs w:val="20"/>
          <w:color w:val="auto"/>
        </w:rPr>
      </w:pPr>
      <w:r>
        <w:rPr>
          <w:rFonts w:ascii="Times New Roman" w:cs="Times New Roman" w:eastAsia="Times New Roman" w:hAnsi="Times New Roman"/>
          <w:sz w:val="23"/>
          <w:szCs w:val="23"/>
          <w:b w:val="1"/>
          <w:bCs w:val="1"/>
          <w:color w:val="auto"/>
        </w:rPr>
        <w:t>Exhibit 24</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POWER OF ATTORNEY</w:t>
      </w:r>
    </w:p>
    <w:p>
      <w:pPr>
        <w:spacing w:after="0" w:line="200" w:lineRule="exact"/>
        <w:rPr>
          <w:sz w:val="20"/>
          <w:szCs w:val="20"/>
          <w:color w:val="auto"/>
        </w:rPr>
      </w:pPr>
    </w:p>
    <w:p>
      <w:pPr>
        <w:spacing w:after="0" w:line="32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4"/>
          <w:szCs w:val="24"/>
          <w:color w:val="auto"/>
        </w:rPr>
        <w:t xml:space="preserve">Know all by these presents that the undersigned, does hereby make, constitute and appoint each of </w:t>
      </w:r>
      <w:r>
        <w:rPr>
          <w:rFonts w:ascii="Times New Roman" w:cs="Times New Roman" w:eastAsia="Times New Roman" w:hAnsi="Times New Roman"/>
          <w:sz w:val="24"/>
          <w:szCs w:val="24"/>
          <w:b w:val="1"/>
          <w:bCs w:val="1"/>
          <w:color w:val="auto"/>
        </w:rPr>
        <w:t>Alexander</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 xml:space="preserve">Liberman, Nicole Fritz and Katherine Morgan </w:t>
      </w:r>
      <w:r>
        <w:rPr>
          <w:rFonts w:ascii="Times New Roman" w:cs="Times New Roman" w:eastAsia="Times New Roman" w:hAnsi="Times New Roman"/>
          <w:sz w:val="24"/>
          <w:szCs w:val="24"/>
          <w:color w:val="auto"/>
        </w:rPr>
        <w:t>or any one of them, as a true and lawful attorney-in-fact of the</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xml:space="preserve">undersigned with full powers of substitution and revocation, for and in the name, place and stead of the undersigned (in the undersigned’s individual capacity), to execute and deliver such forms that the undersigned may be required to file with the U.S. Securities and Exchange Commission as a result of the undersigned’s ownership of or transactions in securities of </w:t>
      </w:r>
      <w:r>
        <w:rPr>
          <w:rFonts w:ascii="Times New Roman" w:cs="Times New Roman" w:eastAsia="Times New Roman" w:hAnsi="Times New Roman"/>
          <w:sz w:val="24"/>
          <w:szCs w:val="24"/>
          <w:b w:val="1"/>
          <w:bCs w:val="1"/>
          <w:color w:val="auto"/>
        </w:rPr>
        <w:t>Medline Inc.</w:t>
      </w:r>
      <w:r>
        <w:rPr>
          <w:rFonts w:ascii="Times New Roman" w:cs="Times New Roman" w:eastAsia="Times New Roman" w:hAnsi="Times New Roman"/>
          <w:sz w:val="24"/>
          <w:szCs w:val="24"/>
          <w:color w:val="auto"/>
        </w:rPr>
        <w:t xml:space="preserve"> (i) pursuant to Section 16(a) of the Securities Exchange Act of 1934, as amended, including without limitation, statements on Form 3, Form 4, Form 5 (including any amendments thereto), (ii) pursuant to Rule 144 under the Securities Act of 1933, as amended, including without limitation notices on Form 144 (including any amendments thereto), and (iii) in connection with any applications for EDGAR access codes, including without limitation the Form ID. The Power of Attorney shall remain in full force and effect until the undersigned is no longer required to file Forms 3, 4, 5 or 144 with regard to their ownership of or transactions in securities of </w:t>
      </w:r>
      <w:r>
        <w:rPr>
          <w:rFonts w:ascii="Times New Roman" w:cs="Times New Roman" w:eastAsia="Times New Roman" w:hAnsi="Times New Roman"/>
          <w:sz w:val="24"/>
          <w:szCs w:val="24"/>
          <w:b w:val="1"/>
          <w:bCs w:val="1"/>
          <w:color w:val="auto"/>
        </w:rPr>
        <w:t>Medline Inc.,</w:t>
      </w:r>
      <w:r>
        <w:rPr>
          <w:rFonts w:ascii="Times New Roman" w:cs="Times New Roman" w:eastAsia="Times New Roman" w:hAnsi="Times New Roman"/>
          <w:sz w:val="24"/>
          <w:szCs w:val="24"/>
          <w:color w:val="auto"/>
        </w:rPr>
        <w:t xml:space="preserve"> unless earlier revoked in writing. The undersigned acknowledges that </w:t>
      </w:r>
      <w:r>
        <w:rPr>
          <w:rFonts w:ascii="Times New Roman" w:cs="Times New Roman" w:eastAsia="Times New Roman" w:hAnsi="Times New Roman"/>
          <w:sz w:val="24"/>
          <w:szCs w:val="24"/>
          <w:b w:val="1"/>
          <w:bCs w:val="1"/>
          <w:color w:val="auto"/>
        </w:rPr>
        <w:t>Alexander Liberman, Nicole Fritz and Katherine Morgan,</w:t>
      </w:r>
      <w:r>
        <w:rPr>
          <w:rFonts w:ascii="Times New Roman" w:cs="Times New Roman" w:eastAsia="Times New Roman" w:hAnsi="Times New Roman"/>
          <w:sz w:val="24"/>
          <w:szCs w:val="24"/>
          <w:color w:val="auto"/>
        </w:rPr>
        <w:t xml:space="preserve"> are not assuming any of the undersigned’s responsibilities to comply with Section 16 of the Securities Exchange Act of 1934, as amended, or Rule 144 under the Securities Act of 1933, as amended.</w:t>
      </w:r>
    </w:p>
    <w:p>
      <w:pPr>
        <w:spacing w:after="0" w:line="240" w:lineRule="exact"/>
        <w:rPr>
          <w:sz w:val="20"/>
          <w:szCs w:val="20"/>
          <w:color w:val="auto"/>
        </w:rPr>
      </w:pPr>
    </w:p>
    <w:tbl>
      <w:tblPr>
        <w:tblLayout w:type="fixed"/>
        <w:tblInd w:w="5480" w:type="dxa"/>
        <w:tblCellMar>
          <w:top w:w="0" w:type="dxa"/>
          <w:left w:w="0" w:type="dxa"/>
          <w:bottom w:w="0" w:type="dxa"/>
          <w:right w:w="0" w:type="dxa"/>
        </w:tblCellMar>
      </w:tblPr>
      <w:tr>
        <w:trPr>
          <w:trHeight w:val="300"/>
        </w:trPr>
        <w:tc>
          <w:tcPr>
            <w:tcW w:w="700" w:type="dxa"/>
            <w:vAlign w:val="bottom"/>
          </w:tcPr>
          <w:p>
            <w:pPr>
              <w:spacing w:after="0"/>
              <w:rPr>
                <w:sz w:val="20"/>
                <w:szCs w:val="20"/>
                <w:color w:val="auto"/>
              </w:rPr>
            </w:pPr>
            <w:r>
              <w:rPr>
                <w:rFonts w:ascii="Times New Roman" w:cs="Times New Roman" w:eastAsia="Times New Roman" w:hAnsi="Times New Roman"/>
                <w:sz w:val="24"/>
                <w:szCs w:val="24"/>
                <w:color w:val="auto"/>
              </w:rPr>
              <w:t>By:</w:t>
            </w:r>
          </w:p>
        </w:tc>
        <w:tc>
          <w:tcPr>
            <w:tcW w:w="4760" w:type="dxa"/>
            <w:vAlign w:val="bottom"/>
            <w:gridSpan w:val="2"/>
          </w:tcPr>
          <w:p>
            <w:pPr>
              <w:jc w:val="center"/>
              <w:ind w:right="2440"/>
              <w:spacing w:after="0"/>
              <w:rPr>
                <w:sz w:val="20"/>
                <w:szCs w:val="20"/>
                <w:color w:val="auto"/>
              </w:rPr>
            </w:pPr>
            <w:r>
              <w:rPr>
                <w:rFonts w:ascii="Times New Roman" w:cs="Times New Roman" w:eastAsia="Times New Roman" w:hAnsi="Times New Roman"/>
                <w:sz w:val="24"/>
                <w:szCs w:val="24"/>
                <w:color w:val="auto"/>
              </w:rPr>
              <w:t>/s/ Michael B. Drazin</w:t>
            </w:r>
          </w:p>
        </w:tc>
      </w:tr>
      <w:tr>
        <w:trPr>
          <w:trHeight w:val="261"/>
        </w:trPr>
        <w:tc>
          <w:tcPr>
            <w:tcW w:w="700" w:type="dxa"/>
            <w:vAlign w:val="bottom"/>
          </w:tcPr>
          <w:p>
            <w:pPr>
              <w:spacing w:after="0" w:line="262" w:lineRule="exact"/>
              <w:rPr>
                <w:sz w:val="20"/>
                <w:szCs w:val="20"/>
                <w:color w:val="auto"/>
              </w:rPr>
            </w:pPr>
            <w:r>
              <w:rPr>
                <w:rFonts w:ascii="Times New Roman" w:cs="Times New Roman" w:eastAsia="Times New Roman" w:hAnsi="Times New Roman"/>
                <w:sz w:val="24"/>
                <w:szCs w:val="24"/>
                <w:color w:val="auto"/>
              </w:rPr>
              <w:t>Name:</w:t>
            </w:r>
          </w:p>
        </w:tc>
        <w:tc>
          <w:tcPr>
            <w:tcW w:w="60" w:type="dxa"/>
            <w:vAlign w:val="bottom"/>
          </w:tcPr>
          <w:p>
            <w:pPr>
              <w:spacing w:after="0"/>
              <w:rPr>
                <w:sz w:val="22"/>
                <w:szCs w:val="22"/>
                <w:color w:val="auto"/>
              </w:rPr>
            </w:pPr>
          </w:p>
        </w:tc>
        <w:tc>
          <w:tcPr>
            <w:tcW w:w="4700" w:type="dxa"/>
            <w:vAlign w:val="bottom"/>
            <w:tcBorders>
              <w:top w:val="single" w:sz="8" w:color="auto"/>
            </w:tcBorders>
          </w:tcPr>
          <w:p>
            <w:pPr>
              <w:jc w:val="center"/>
              <w:ind w:right="2460"/>
              <w:spacing w:after="0" w:line="262" w:lineRule="exact"/>
              <w:rPr>
                <w:sz w:val="20"/>
                <w:szCs w:val="20"/>
                <w:color w:val="auto"/>
              </w:rPr>
            </w:pPr>
            <w:r>
              <w:rPr>
                <w:rFonts w:ascii="Times New Roman" w:cs="Times New Roman" w:eastAsia="Times New Roman" w:hAnsi="Times New Roman"/>
                <w:sz w:val="24"/>
                <w:szCs w:val="24"/>
                <w:b w:val="1"/>
                <w:bCs w:val="1"/>
                <w:color w:val="auto"/>
              </w:rPr>
              <w:t>Michael B. Drazin</w:t>
            </w:r>
          </w:p>
        </w:tc>
      </w:tr>
    </w:tbl>
    <w:p>
      <w:pPr>
        <w:spacing w:after="0"/>
        <w:rPr>
          <w:sz w:val="20"/>
          <w:szCs w:val="20"/>
          <w:color w:val="auto"/>
        </w:rPr>
      </w:pPr>
      <w:r>
        <w:rPr>
          <w:rFonts w:ascii="Times New Roman" w:cs="Times New Roman" w:eastAsia="Times New Roman" w:hAnsi="Times New Roman"/>
          <w:sz w:val="24"/>
          <w:szCs w:val="24"/>
          <w:color w:val="auto"/>
        </w:rPr>
        <w:t>Date: March 12,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1129665</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940"/>
      </w:cols>
      <w:pgMar w:left="480" w:top="14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2060967" TargetMode="External"/><Relationship Id="rId11" Type="http://schemas.openxmlformats.org/officeDocument/2006/relationships/hyperlink" Target="http://www.sec.gov/cgi-bin/browse-edgar?action=getcompany&amp;CIK=00020463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2025-12-17T18:10:41Z</dcterms:created>
  <dcterms:modified xsi:type="dcterms:W3CDTF">2025-12-17T18:10:41Z</dcterms:modified>
</cp:coreProperties>
</file>