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Hellman &amp; Friedman Capital Partners X</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(Parallel), L.P.</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780"/>
        <w:spacing w:after="0" w:line="365" w:lineRule="auto"/>
        <w:rPr>
          <w:sz w:val="20"/>
          <w:szCs w:val="20"/>
          <w:color w:val="auto"/>
        </w:rPr>
      </w:pPr>
      <w:r>
        <w:rPr>
          <w:rFonts w:ascii="Times New Roman" w:cs="Times New Roman" w:eastAsia="Times New Roman" w:hAnsi="Times New Roman"/>
          <w:sz w:val="17"/>
          <w:szCs w:val="17"/>
          <w:color w:val="0000FF"/>
        </w:rPr>
        <w:t>C/O HELLMAN &amp; FRIEDMAN LLC 415 MISSION STREET, SUITE 5700</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right="58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94105 FRANCISCO</w:t>
      </w:r>
    </w:p>
    <w:p>
      <w:pPr>
        <w:spacing w:after="0" w:line="35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Medline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MDLN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03/10/2026</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742" w:lineRule="exact"/>
        <w:rPr>
          <w:sz w:val="20"/>
          <w:szCs w:val="20"/>
          <w:color w:val="auto"/>
        </w:rPr>
      </w:pPr>
    </w:p>
    <w:p>
      <w:pPr>
        <w:sectPr>
          <w:pgSz w:w="11900" w:h="16838" w:orient="portrait"/>
          <w:cols w:equalWidth="0" w:num="2">
            <w:col w:w="3580" w:space="26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Of (D) (Instr. 3, 4 and 5)</w:t>
            </w:r>
          </w:p>
        </w:tc>
        <w:tc>
          <w:tcPr>
            <w:tcW w:w="9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jc w:val="center"/>
              <w:ind w:left="3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Mend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03/10/2026</w:t>
            </w:r>
          </w:p>
        </w:tc>
        <w:tc>
          <w:tcPr>
            <w:tcW w:w="1140" w:type="dxa"/>
            <w:vAlign w:val="bottom"/>
          </w:tcPr>
          <w:p>
            <w:pPr>
              <w:spacing w:after="0"/>
              <w:rPr>
                <w:sz w:val="18"/>
                <w:szCs w:val="18"/>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14,639,754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40.508</w:t>
            </w:r>
            <w:r>
              <w:rPr>
                <w:rFonts w:ascii="Times New Roman" w:cs="Times New Roman" w:eastAsia="Times New Roman" w:hAnsi="Times New Roman"/>
                <w:sz w:val="22"/>
                <w:szCs w:val="22"/>
                <w:color w:val="008000"/>
                <w:w w:val="95"/>
                <w:vertAlign w:val="superscript"/>
              </w:rPr>
              <w:t>(1)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558,307</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Mend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Pr>
          <w:p>
            <w:pPr>
              <w:jc w:val="center"/>
              <w:ind w:left="341"/>
              <w:spacing w:after="0"/>
              <w:rPr>
                <w:sz w:val="20"/>
                <w:szCs w:val="20"/>
                <w:color w:val="auto"/>
              </w:rPr>
            </w:pPr>
            <w:r>
              <w:rPr>
                <w:rFonts w:ascii="Times New Roman" w:cs="Times New Roman" w:eastAsia="Times New Roman" w:hAnsi="Times New Roman"/>
                <w:sz w:val="17"/>
                <w:szCs w:val="17"/>
                <w:color w:val="0000FF"/>
              </w:rPr>
              <w:t>03/10/2026</w:t>
            </w:r>
          </w:p>
        </w:tc>
        <w:tc>
          <w:tcPr>
            <w:tcW w:w="1140" w:type="dxa"/>
            <w:vAlign w:val="bottom"/>
          </w:tcPr>
          <w:p>
            <w:pPr>
              <w:spacing w:after="0"/>
              <w:rPr>
                <w:sz w:val="18"/>
                <w:szCs w:val="18"/>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629,933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40.508</w:t>
            </w:r>
            <w:r>
              <w:rPr>
                <w:rFonts w:ascii="Times New Roman" w:cs="Times New Roman" w:eastAsia="Times New Roman" w:hAnsi="Times New Roman"/>
                <w:sz w:val="22"/>
                <w:szCs w:val="22"/>
                <w:color w:val="008000"/>
                <w:w w:val="95"/>
                <w:vertAlign w:val="superscript"/>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4,176,227</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 II,</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Hellman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03/10/2026</w:t>
            </w:r>
          </w:p>
        </w:tc>
        <w:tc>
          <w:tcPr>
            <w:tcW w:w="1140" w:type="dxa"/>
            <w:vAlign w:val="bottom"/>
          </w:tcPr>
          <w:p>
            <w:pPr>
              <w:spacing w:after="0"/>
              <w:rPr>
                <w:sz w:val="18"/>
                <w:szCs w:val="18"/>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9,801,455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40.508</w:t>
            </w:r>
            <w:r>
              <w:rPr>
                <w:rFonts w:ascii="Times New Roman" w:cs="Times New Roman" w:eastAsia="Times New Roman" w:hAnsi="Times New Roman"/>
                <w:sz w:val="22"/>
                <w:szCs w:val="22"/>
                <w:color w:val="008000"/>
                <w:w w:val="90"/>
                <w:vertAlign w:val="superscript"/>
              </w:rPr>
              <w:t>(1)(4)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75,931,567</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Friedman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 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HFCP</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Pr>
          <w:p>
            <w:pPr>
              <w:jc w:val="center"/>
              <w:ind w:left="341"/>
              <w:spacing w:after="0"/>
              <w:rPr>
                <w:sz w:val="20"/>
                <w:szCs w:val="20"/>
                <w:color w:val="auto"/>
              </w:rPr>
            </w:pPr>
            <w:r>
              <w:rPr>
                <w:rFonts w:ascii="Times New Roman" w:cs="Times New Roman" w:eastAsia="Times New Roman" w:hAnsi="Times New Roman"/>
                <w:sz w:val="17"/>
                <w:szCs w:val="17"/>
                <w:color w:val="0000FF"/>
              </w:rPr>
              <w:t>03/10/2026</w:t>
            </w:r>
          </w:p>
        </w:tc>
        <w:tc>
          <w:tcPr>
            <w:tcW w:w="1140" w:type="dxa"/>
            <w:vAlign w:val="bottom"/>
          </w:tcPr>
          <w:p>
            <w:pPr>
              <w:spacing w:after="0"/>
              <w:rPr>
                <w:sz w:val="20"/>
                <w:szCs w:val="20"/>
                <w:color w:val="auto"/>
              </w:rPr>
            </w:pPr>
          </w:p>
        </w:tc>
        <w:tc>
          <w:tcPr>
            <w:tcW w:w="800" w:type="dxa"/>
            <w:vAlign w:val="bottom"/>
          </w:tcPr>
          <w:p>
            <w:pPr>
              <w:jc w:val="center"/>
              <w:ind w:right="301"/>
              <w:spacing w:after="0" w:line="241" w:lineRule="exact"/>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1,060,095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jc w:val="center"/>
              <w:spacing w:after="0" w:line="241" w:lineRule="exact"/>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40.508</w:t>
            </w:r>
            <w:r>
              <w:rPr>
                <w:rFonts w:ascii="Times New Roman" w:cs="Times New Roman" w:eastAsia="Times New Roman" w:hAnsi="Times New Roman"/>
                <w:sz w:val="22"/>
                <w:szCs w:val="22"/>
                <w:color w:val="008000"/>
                <w:w w:val="90"/>
                <w:vertAlign w:val="superscript"/>
              </w:rPr>
              <w:t>(1)(4)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7,895,482</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X (Parallel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7"/>
                <w:szCs w:val="17"/>
                <w:color w:val="0000FF"/>
              </w:rPr>
              <w:t>- A), L.P.</w:t>
            </w:r>
            <w:r>
              <w:rPr>
                <w:rFonts w:ascii="Times New Roman" w:cs="Times New Roman" w:eastAsia="Times New Roman" w:hAnsi="Times New Roman"/>
                <w:sz w:val="21"/>
                <w:szCs w:val="21"/>
                <w:color w:val="008000"/>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Mend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03/10/2026</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538,997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19,310</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I, L.P.</w:t>
            </w:r>
            <w:r>
              <w:rPr>
                <w:rFonts w:ascii="Times New Roman" w:cs="Times New Roman" w:eastAsia="Times New Roman" w:hAnsi="Times New Roman"/>
                <w:sz w:val="11"/>
                <w:szCs w:val="11"/>
                <w:color w:val="008000"/>
              </w:rPr>
              <w:t>(2)(3)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Hellman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03/10/2026</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1,435,395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74,496,172</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Friedman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 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HFCP</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Pr>
          <w:p>
            <w:pPr>
              <w:jc w:val="center"/>
              <w:ind w:left="341"/>
              <w:spacing w:after="0"/>
              <w:rPr>
                <w:sz w:val="20"/>
                <w:szCs w:val="20"/>
                <w:color w:val="auto"/>
              </w:rPr>
            </w:pPr>
            <w:r>
              <w:rPr>
                <w:rFonts w:ascii="Times New Roman" w:cs="Times New Roman" w:eastAsia="Times New Roman" w:hAnsi="Times New Roman"/>
                <w:sz w:val="17"/>
                <w:szCs w:val="17"/>
                <w:color w:val="0000FF"/>
              </w:rPr>
              <w:t>03/10/2026</w:t>
            </w:r>
          </w:p>
        </w:tc>
        <w:tc>
          <w:tcPr>
            <w:tcW w:w="1140" w:type="dxa"/>
            <w:vAlign w:val="bottom"/>
          </w:tcPr>
          <w:p>
            <w:pPr>
              <w:spacing w:after="0"/>
              <w:rPr>
                <w:sz w:val="20"/>
                <w:szCs w:val="20"/>
                <w:color w:val="auto"/>
              </w:rPr>
            </w:pPr>
          </w:p>
        </w:tc>
        <w:tc>
          <w:tcPr>
            <w:tcW w:w="800" w:type="dxa"/>
            <w:vAlign w:val="bottom"/>
          </w:tcPr>
          <w:p>
            <w:pPr>
              <w:ind w:left="60"/>
              <w:spacing w:after="0" w:line="241" w:lineRule="exact"/>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113,694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7,781,788</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X (Parallel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7"/>
                <w:szCs w:val="17"/>
                <w:color w:val="0000FF"/>
              </w:rPr>
              <w:t>- A), L.P.</w:t>
            </w:r>
            <w:r>
              <w:rPr>
                <w:rFonts w:ascii="Times New Roman" w:cs="Times New Roman" w:eastAsia="Times New Roman" w:hAnsi="Times New Roman"/>
                <w:sz w:val="21"/>
                <w:szCs w:val="21"/>
                <w:color w:val="008000"/>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240" w:type="dxa"/>
            <w:vAlign w:val="bottom"/>
            <w:shd w:val="clear" w:color="auto" w:fill="808080"/>
          </w:tcPr>
          <w:p>
            <w:pPr>
              <w:spacing w:after="0" w:line="20" w:lineRule="exact"/>
              <w:rPr>
                <w:sz w:val="1"/>
                <w:szCs w:val="1"/>
                <w:color w:val="auto"/>
              </w:rPr>
            </w:pPr>
          </w:p>
        </w:tc>
        <w:tc>
          <w:tcPr>
            <w:tcW w:w="152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92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9210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Hellman &amp; Friedman Capital Partners X</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(Parallel), L.P.</w:t>
        </w:r>
      </w:hyperlink>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HELLMAN &amp; FRIEDMAN LLC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415 MISSION STREET, SUITE 5700</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gridSpan w:val="3"/>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HFCP X (Parallel-A),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HELLMAN &amp; FRIEDMAN LLC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415 MISSION STREET, SUITE 5700</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gridSpan w:val="3"/>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Mend Partners II,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HELLMAN &amp; FRIEDMAN LLC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415 MISSION STREET, SUITE 5700</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gridSpan w:val="3"/>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Mend Investment Holdings I, 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0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HELLMAN &amp; FRIEDMAN LLC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415 MISSION STREET, SUITE 5700</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0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Hellman &amp; Friedman Investors X,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191" w:right="359" w:bottom="0" w:gutter="0" w:footer="0" w:header="0"/>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HELLMAN &amp; FRIEDMAN LLC</w:t>
      </w:r>
    </w:p>
    <w:p>
      <w:pPr>
        <w:sectPr>
          <w:pgSz w:w="11900" w:h="16838" w:orient="portrait"/>
          <w:cols w:equalWidth="0" w:num="1">
            <w:col w:w="11080"/>
          </w:cols>
          <w:pgMar w:left="460" w:top="191" w:right="359"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t>415 MISSION STREET, SUITE 5700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8770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09240" cy="877062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Mend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HELLMAN &amp; FRIEDMAN LLC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415 MISSION STREET, SUITE 5700</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Mend Investment Holdings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HELLMAN &amp; FRIEDMAN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415 MISSION STREET, SUITE 5700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Hellman &amp; Friedman Capital Partners X,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0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HELLMAN &amp; FRIEDMAN LLC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415 MISSION STREET, SUITE 5700</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0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H&amp;F Corporate Investors X, Ltd.</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0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HELLMAN &amp; FRIEDMAN LLC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415 MISSION STREET, SUITE 5700</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0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represents the $41.00 secondary public offering price per share of Class A common stock ("Class A Common Stock") of Medline Inc. (the "Issuer"), less the underwriting discount of $0.492 per share sold by the Reporting Persons in connection with an underwritten public offering.</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Hellman &amp; Friedman Investors X, L.P. ("Investors X GP") is the general partner of Hellman &amp; Friedman Capital Partners X (Parallel), L.P. and HFCP X (Parallel - A), L.P. Mend Partners GP, LLC ("Mend GP") is the general partner of Mend Partners II, L.P. Investors X GP is the managing member of Mend GP. Mend Investment Holdings GP, LLC ("Mend Investment GP") is the general partner of Mend Investment Holdings I, L.P. Hellman &amp; Friedman Capital Partners X, L.P. ("HFCP X") is the managing member of Mend Investment GP. Investors X GP is the general partner of HFCP X. H&amp;F Corporate Investors X, Ltd. ("Investors X Ltd.") is the general partner of Investors X GP.</w:t>
      </w:r>
    </w:p>
    <w:p>
      <w:pPr>
        <w:spacing w:after="0" w:line="24"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three-member board of directors of Investors X Ltd. has voting and investment discretion over the securities held by Hellman &amp; Friedman Capital Partners X (Parallel), L.P., HFCP X (Parallel - A), Mend Partners II, L.P., and Mend Investment Holdings I, L.P. Each of the members of the board of directors of Investors X Ltd. disclaims beneficial ownership of such shares.</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10, 2026, Hellman &amp; Friedman Capital Partners X (Parallel), L.P. and HFCP X (Parallel - A), L.P. contributed shares of Class A common stock to certain of their respective wholly owned subsidiaries, which subsidiaries immediately sold such shares in the underwritten public offering referred to above.</w:t>
      </w:r>
    </w:p>
    <w:p>
      <w:pPr>
        <w:spacing w:after="0" w:line="7"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10, 2026, in connection with the sales reported above, each of Hellman &amp; Friedman Capital Partners X (Parallel), L.P., HFCP X (Parallel - A), L.P., and Mend Investment Holdings I, L.P. initiated distributions of shares of Class A Common Stock to their respective ultimate partners and shareholders as in-kind distributions in respect of such persons' interests in the distributing entities. The receipt of shares of Class A Common Stock by each of the Reporting Persons in connection with such distributions was exempt from reporting pursuant to Rule 16a-13 of the Securities Exchange Act of 1934, as amended (the "Exchange Act").</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recipients of the shares of Class A Common Stock distributed pursuant to footnote 5 have agreed to be subject to a lock-up agreement with the representatives of the several underwriters in</w:t>
      </w:r>
    </w:p>
    <w:p>
      <w:pPr>
        <w:sectPr>
          <w:pgSz w:w="11900" w:h="16838" w:orient="portrait"/>
          <w:cols w:equalWidth="0" w:num="1">
            <w:col w:w="10880"/>
          </w:cols>
          <w:pgMar w:left="480" w:top="125" w:right="539" w:bottom="0" w:gutter="0" w:footer="0" w:header="0"/>
        </w:sectPr>
      </w:pPr>
    </w:p>
    <w:bookmarkStart w:id="3" w:name="page4"/>
    <w:bookmarkEnd w:id="3"/>
    <w:p>
      <w:pPr>
        <w:ind w:right="140"/>
        <w:spacing w:after="0" w:line="272" w:lineRule="auto"/>
        <w:rPr>
          <w:sz w:val="20"/>
          <w:szCs w:val="20"/>
          <w:color w:val="auto"/>
        </w:rPr>
      </w:pPr>
      <w:r>
        <w:rPr>
          <w:rFonts w:ascii="Times New Roman" w:cs="Times New Roman" w:eastAsia="Times New Roman" w:hAnsi="Times New Roman"/>
          <w:sz w:val="13"/>
          <w:szCs w:val="13"/>
          <w:color w:val="008000"/>
        </w:rPr>
        <w:t>connection with the underwritten public offering of the Issuer referred to above, provided that shares constituting less than 1% of the Issuer's outstanding common stock in the aggregate that are being delivered to charitable organizations will not be subject to such restrictions.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for purposes of Section 16 of the Exchange Act, or otherwise, that the Reporting Persons are subject to Section 16 of the Exchange Act or that the Reporting Persons are the beneficial owners of any equity securities in excess of their respective pecuniary interests, and each Reporting Person disclaims beneficial ownership of the securities reported herein, except to the extent of such Reporting Person's pecuniary interest therein, if any.</w:t>
      </w:r>
    </w:p>
    <w:p>
      <w:pPr>
        <w:sectPr>
          <w:pgSz w:w="11900" w:h="16838" w:orient="portrait"/>
          <w:cols w:equalWidth="0" w:num="1">
            <w:col w:w="10760"/>
          </w:cols>
          <w:pgMar w:left="500" w:top="127" w:right="639" w:bottom="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jc w:val="both"/>
        <w:ind w:left="6540" w:firstLine="9"/>
        <w:spacing w:after="0" w:line="261" w:lineRule="auto"/>
        <w:tabs>
          <w:tab w:leader="none" w:pos="6718" w:val="left"/>
        </w:tabs>
        <w:numPr>
          <w:ilvl w:val="0"/>
          <w:numId w:val="2"/>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Friedman Investors X, L.P., the general partner of Hellman</w:t>
      </w:r>
    </w:p>
    <w:p>
      <w:pPr>
        <w:spacing w:after="0" w:line="1" w:lineRule="exact"/>
        <w:rPr>
          <w:rFonts w:ascii="Times New Roman" w:cs="Times New Roman" w:eastAsia="Times New Roman" w:hAnsi="Times New Roman"/>
          <w:sz w:val="17"/>
          <w:szCs w:val="17"/>
          <w:color w:val="0000FF"/>
        </w:rPr>
      </w:pPr>
    </w:p>
    <w:p>
      <w:pPr>
        <w:ind w:left="6540" w:right="140" w:firstLine="9"/>
        <w:spacing w:after="0" w:line="283" w:lineRule="auto"/>
        <w:tabs>
          <w:tab w:leader="none" w:pos="6718" w:val="left"/>
        </w:tabs>
        <w:numPr>
          <w:ilvl w:val="0"/>
          <w:numId w:val="2"/>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Friedman Capital Partners X (Parallel),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-452120</wp:posOffset>
            </wp:positionV>
            <wp:extent cx="1325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2588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-316865</wp:posOffset>
            </wp:positionV>
            <wp:extent cx="13500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5001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-180975</wp:posOffset>
            </wp:positionV>
            <wp:extent cx="1268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6809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-45720</wp:posOffset>
            </wp:positionV>
            <wp:extent cx="7423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jc w:val="both"/>
        <w:ind w:left="6540" w:firstLine="9"/>
        <w:spacing w:after="0" w:line="272" w:lineRule="auto"/>
        <w:tabs>
          <w:tab w:leader="none" w:pos="6718" w:val="left"/>
        </w:tabs>
        <w:numPr>
          <w:ilvl w:val="0"/>
          <w:numId w:val="3"/>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Friedman Investors X, L.P., the general partner of HFCP X (Parallel -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-310515</wp:posOffset>
            </wp:positionV>
            <wp:extent cx="13258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2588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-175260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5318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-40005</wp:posOffset>
            </wp:positionV>
            <wp:extent cx="8064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6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right="40" w:firstLine="9"/>
        <w:spacing w:after="0" w:line="267" w:lineRule="auto"/>
        <w:tabs>
          <w:tab w:leader="none" w:pos="6718" w:val="left"/>
        </w:tabs>
        <w:numPr>
          <w:ilvl w:val="0"/>
          <w:numId w:val="4"/>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Friedman Investors X, L.P., the managing member of Mend Partners GP, LLC, the general partner of Mend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-579120</wp:posOffset>
            </wp:positionV>
            <wp:extent cx="13258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2588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-443865</wp:posOffset>
            </wp:positionV>
            <wp:extent cx="1102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0236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-307975</wp:posOffset>
            </wp:positionV>
            <wp:extent cx="12528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5285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-172720</wp:posOffset>
            </wp:positionV>
            <wp:extent cx="10661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-37465</wp:posOffset>
            </wp:positionV>
            <wp:extent cx="6870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6870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Jacob Best; VP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H&amp;F Corporate Investors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85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the GP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Friedman Investors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GP of Hellman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Friedman Capital Partners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0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the MM of 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6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29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the GP of 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8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Holdings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&amp; Friedman Investors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8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right="40" w:firstLine="9"/>
        <w:spacing w:after="0" w:line="272" w:lineRule="auto"/>
        <w:tabs>
          <w:tab w:leader="none" w:pos="6718" w:val="left"/>
        </w:tabs>
        <w:numPr>
          <w:ilvl w:val="0"/>
          <w:numId w:val="5"/>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Friedman Investors X, L.P., the managing member of Mend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-310515</wp:posOffset>
            </wp:positionV>
            <wp:extent cx="13258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2588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-175260</wp:posOffset>
            </wp:positionV>
            <wp:extent cx="11023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0236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-40005</wp:posOffset>
            </wp:positionV>
            <wp:extent cx="10629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6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right="40" w:firstLine="9"/>
        <w:spacing w:after="0" w:line="266" w:lineRule="auto"/>
        <w:tabs>
          <w:tab w:leader="none" w:pos="6718" w:val="left"/>
        </w:tabs>
        <w:numPr>
          <w:ilvl w:val="0"/>
          <w:numId w:val="6"/>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Friedman Investors X, L.P., the G.P. of Hellman &amp; Friedman X Capital Partners, L.P., the managing member of Mend Investment Holding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-713740</wp:posOffset>
            </wp:positionV>
            <wp:extent cx="1325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2588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-578485</wp:posOffset>
            </wp:positionV>
            <wp:extent cx="9836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8361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-443230</wp:posOffset>
            </wp:positionV>
            <wp:extent cx="12890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8905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-307975</wp:posOffset>
            </wp:positionV>
            <wp:extent cx="13290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-172720</wp:posOffset>
            </wp:positionV>
            <wp:extent cx="13290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-36830</wp:posOffset>
            </wp:positionV>
            <wp:extent cx="2076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6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jc w:val="both"/>
        <w:ind w:left="6540" w:firstLine="9"/>
        <w:spacing w:after="0" w:line="261" w:lineRule="auto"/>
        <w:tabs>
          <w:tab w:leader="none" w:pos="6718" w:val="left"/>
        </w:tabs>
        <w:numPr>
          <w:ilvl w:val="0"/>
          <w:numId w:val="7"/>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Friedman Investors X, L.P., the general partner of Hellman</w:t>
      </w:r>
    </w:p>
    <w:p>
      <w:pPr>
        <w:spacing w:after="0" w:line="1" w:lineRule="exact"/>
        <w:rPr>
          <w:rFonts w:ascii="Times New Roman" w:cs="Times New Roman" w:eastAsia="Times New Roman" w:hAnsi="Times New Roman"/>
          <w:sz w:val="17"/>
          <w:szCs w:val="17"/>
          <w:color w:val="0000FF"/>
        </w:rPr>
      </w:pPr>
    </w:p>
    <w:p>
      <w:pPr>
        <w:ind w:left="6540" w:right="140" w:firstLine="9"/>
        <w:spacing w:after="0" w:line="283" w:lineRule="auto"/>
        <w:tabs>
          <w:tab w:leader="none" w:pos="6718" w:val="left"/>
        </w:tabs>
        <w:numPr>
          <w:ilvl w:val="0"/>
          <w:numId w:val="7"/>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Friedman Capital Partners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-452120</wp:posOffset>
            </wp:positionV>
            <wp:extent cx="13258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32588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-316865</wp:posOffset>
            </wp:positionV>
            <wp:extent cx="13500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35001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-180975</wp:posOffset>
            </wp:positionV>
            <wp:extent cx="1268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6809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-45720</wp:posOffset>
            </wp:positionV>
            <wp:extent cx="305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Vice President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2020"/>
          </w:cols>
          <w:pgMar w:left="500" w:top="127" w:right="639" w:bottom="0" w:gutter="0" w:footer="0" w:header="0"/>
          <w:type w:val="continuous"/>
        </w:sectPr>
      </w:pPr>
    </w:p>
    <w:p>
      <w:pPr>
        <w:jc w:val="right"/>
        <w:ind w:right="174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0760"/>
          </w:cols>
          <w:pgMar w:left="500" w:top="127" w:right="639" w:bottom="0" w:gutter="0" w:footer="0" w:header="0"/>
          <w:type w:val="continuous"/>
        </w:sectPr>
      </w:pPr>
    </w:p>
    <w:bookmarkStart w:id="4" w:name="page5"/>
    <w:bookmarkEnd w:id="4"/>
    <w:p>
      <w:pPr>
        <w:jc w:val="both"/>
        <w:ind w:right="2480" w:firstLine="7"/>
        <w:spacing w:after="0" w:line="321" w:lineRule="auto"/>
        <w:tabs>
          <w:tab w:leader="none" w:pos="141"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amp;"/>
      <w:numFmt w:val="bullet"/>
      <w:start w:val="1"/>
    </w:lvl>
  </w:abstractNum>
  <w:abstractNum w:abstractNumId="2">
    <w:nsid w:val="3D1B58BA"/>
    <w:multiLevelType w:val="hybridMultilevel"/>
    <w:lvl w:ilvl="0">
      <w:lvlJc w:val="left"/>
      <w:lvlText w:val="&amp;"/>
      <w:numFmt w:val="bullet"/>
      <w:start w:val="1"/>
    </w:lvl>
  </w:abstractNum>
  <w:abstractNum w:abstractNumId="3">
    <w:nsid w:val="507ED7AB"/>
    <w:multiLevelType w:val="hybridMultilevel"/>
    <w:lvl w:ilvl="0">
      <w:lvlJc w:val="left"/>
      <w:lvlText w:val="&amp;"/>
      <w:numFmt w:val="bullet"/>
      <w:start w:val="1"/>
    </w:lvl>
  </w:abstractNum>
  <w:abstractNum w:abstractNumId="4">
    <w:nsid w:val="2EB141F2"/>
    <w:multiLevelType w:val="hybridMultilevel"/>
    <w:lvl w:ilvl="0">
      <w:lvlJc w:val="left"/>
      <w:lvlText w:val="&amp;"/>
      <w:numFmt w:val="bullet"/>
      <w:start w:val="1"/>
    </w:lvl>
  </w:abstractNum>
  <w:abstractNum w:abstractNumId="5">
    <w:nsid w:val="41B71EFB"/>
    <w:multiLevelType w:val="hybridMultilevel"/>
    <w:lvl w:ilvl="0">
      <w:lvlJc w:val="left"/>
      <w:lvlText w:val="&amp;"/>
      <w:numFmt w:val="bullet"/>
      <w:start w:val="1"/>
    </w:lvl>
  </w:abstractNum>
  <w:abstractNum w:abstractNumId="6">
    <w:nsid w:val="79E2A9E3"/>
    <w:multiLevelType w:val="hybridMultilevel"/>
    <w:lvl w:ilvl="0">
      <w:lvlJc w:val="left"/>
      <w:lvlText w:val="&amp;"/>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3" Type="http://schemas.openxmlformats.org/officeDocument/2006/relationships/hyperlink" Target="http://www.sec.gov/cgi-bin/browse-edgar?action=getcompany&amp;CIK=0001841430" TargetMode="External"/><Relationship Id="rId14" Type="http://schemas.openxmlformats.org/officeDocument/2006/relationships/hyperlink" Target="http://www.sec.gov/cgi-bin/browse-edgar?action=getcompany&amp;CIK=0002046386" TargetMode="External"/><Relationship Id="rId17" Type="http://schemas.openxmlformats.org/officeDocument/2006/relationships/hyperlink" Target="http://www.sec.gov/cgi-bin/browse-edgar?action=getcompany&amp;CIK=0001841189" TargetMode="External"/><Relationship Id="rId18" Type="http://schemas.openxmlformats.org/officeDocument/2006/relationships/hyperlink" Target="http://www.sec.gov/cgi-bin/browse-edgar?action=getcompany&amp;CIK=0001877047" TargetMode="External"/><Relationship Id="rId19" Type="http://schemas.openxmlformats.org/officeDocument/2006/relationships/hyperlink" Target="http://www.sec.gov/cgi-bin/browse-edgar?action=getcompany&amp;CIK=0002074968" TargetMode="External"/><Relationship Id="rId20" Type="http://schemas.openxmlformats.org/officeDocument/2006/relationships/hyperlink" Target="http://www.sec.gov/cgi-bin/browse-edgar?action=getcompany&amp;CIK=0001868392" TargetMode="External"/><Relationship Id="rId22" Type="http://schemas.openxmlformats.org/officeDocument/2006/relationships/hyperlink" Target="http://www.sec.gov/cgi-bin/browse-edgar?action=getcompany&amp;CIK=0002074972" TargetMode="External"/><Relationship Id="rId23" Type="http://schemas.openxmlformats.org/officeDocument/2006/relationships/hyperlink" Target="http://www.sec.gov/cgi-bin/browse-edgar?action=getcompany&amp;CIK=0002074980" TargetMode="External"/><Relationship Id="rId24" Type="http://schemas.openxmlformats.org/officeDocument/2006/relationships/hyperlink" Target="http://www.sec.gov/cgi-bin/browse-edgar?action=getcompany&amp;CIK=0001841434" TargetMode="External"/><Relationship Id="rId25" Type="http://schemas.openxmlformats.org/officeDocument/2006/relationships/hyperlink" Target="http://www.sec.gov/cgi-bin/browse-edgar?action=getcompany&amp;CIK=0001901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2026-03-12T19:05:17Z</dcterms:created>
  <dcterms:modified xsi:type="dcterms:W3CDTF">2026-03-12T19:05:17Z</dcterms:modified>
</cp:coreProperties>
</file>