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51.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2.jpeg" ContentType="image/jpeg"/>
  <Override PartName="/word/media/image36.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28.gif" ContentType="image/gif"/>
  <Override PartName="/word/media/image15.jpeg" ContentType="image/jpeg"/>
  <Override PartName="/word/media/image20.jpeg" ContentType="image/jpeg"/>
  <Override PartName="/word/media/image71.jpeg" ContentType="image/jpeg"/>
  <Override PartName="/word/media/image44.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9.jpeg" ContentType="image/jpeg"/>
  <Override PartName="/word/media/image68.jpeg" ContentType="image/jpeg"/>
  <Override PartName="/word/media/image59.jpeg" ContentType="image/jpeg"/>
  <Override PartName="/word/media/image42.jpeg" ContentType="image/jpeg"/>
  <Override PartName="/word/media/image19.jpeg" ContentType="image/jpeg"/>
  <Override PartName="/word/media/image67.jpeg" ContentType="image/jpeg"/>
  <Override PartName="/word/media/image64.jpeg" ContentType="image/jpeg"/>
  <Override PartName="/word/media/image7.jpeg" ContentType="image/jpeg"/>
  <Override PartName="/word/media/image38.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3945-7_def14a.htm"/>
        <w:bookmarkStart w:id="1" w:name="kstm2639457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2"/>
          <w:sz w:val="24"/>
        </w:rPr>
        <w:t xml:space="preserve">UNITED STATES </w:t>
        <w:br/>
        <w:t>SECURITIES AND EXCHANGE COMMISSION</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Washington, D.C. 20549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00" w:after="283"/>
        <w:jc w:val="center"/>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2"/>
          <w:sz w:val="24"/>
        </w:rPr>
        <w:t>SCHEDULE 14A</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40" w:before="2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Proxy Statement Pursuant to Section 14(a) of the </w:t>
        <w:br/>
        <w:t xml:space="preserve">Securities Exchange Act of 1934 </w:t>
        <w:br/>
        <w:t>(</w:t>
      </w:r>
      <w:r>
        <w:rPr>
          <w:rFonts w:ascii="Arial;Helvetica;sans-serif" w:hAnsi="Arial;Helvetica;sans-serif"/>
          <w:b w:val="false"/>
          <w:i w:val="false"/>
          <w:caps/>
          <w:color w:val="000000"/>
          <w:spacing w:val="-2"/>
          <w:sz w:val="20"/>
        </w:rPr>
        <w:t>A</w:t>
      </w:r>
      <w:r>
        <w:rPr>
          <w:rFonts w:ascii="Arial;Helvetica;sans-serif" w:hAnsi="Arial;Helvetica;sans-serif"/>
          <w:b w:val="false"/>
          <w:i w:val="false"/>
          <w:caps/>
          <w:color w:val="000000"/>
          <w:spacing w:val="-2"/>
          <w:sz w:val="14"/>
        </w:rPr>
        <w:t>mendment</w:t>
      </w:r>
      <w:r>
        <w:rPr>
          <w:rFonts w:ascii="Arial;Helvetica;sans-serif" w:hAnsi="Arial;Helvetica;sans-serif"/>
          <w:b w:val="false"/>
          <w:i w:val="false"/>
          <w:caps/>
          <w:color w:val="000000"/>
          <w:spacing w:val="-2"/>
          <w:sz w:val="20"/>
        </w:rPr>
        <w:t xml:space="preserve"> N</w:t>
      </w:r>
      <w:r>
        <w:rPr>
          <w:rFonts w:ascii="Arial;Helvetica;sans-serif" w:hAnsi="Arial;Helvetica;sans-serif"/>
          <w:b w:val="false"/>
          <w:i w:val="false"/>
          <w:caps/>
          <w:color w:val="000000"/>
          <w:spacing w:val="-2"/>
          <w:sz w:val="14"/>
        </w:rPr>
        <w:t>o</w:t>
      </w:r>
      <w:r>
        <w:rPr>
          <w:rFonts w:ascii="Arial;Helvetica;sans-serif" w:hAnsi="Arial;Helvetica;sans-serif"/>
          <w:b w:val="false"/>
          <w:i w:val="false"/>
          <w:caps/>
          <w:color w:val="000000"/>
          <w:spacing w:val="-2"/>
          <w:sz w:val="20"/>
        </w:rPr>
        <w:t>.</w:t>
      </w:r>
      <w:r>
        <w:rPr>
          <w:rFonts w:ascii="Arial;Helvetica;sans-serif" w:hAnsi="Arial;Helvetica;sans-serif"/>
          <w:b w:val="false"/>
          <w:i w:val="false"/>
          <w:caps w:val="false"/>
          <w:smallCaps w:val="false"/>
          <w:color w:val="000000"/>
          <w:spacing w:val="-2"/>
          <w:sz w:val="20"/>
        </w:rPr>
        <w:t xml:space="preserve"> )</w:t>
      </w:r>
      <w:r>
        <w:rPr>
          <w:rFonts w:ascii="Arial;Helvetica;sans-serif" w:hAnsi="Arial;Helvetica;sans-serif"/>
          <w:b w:val="false"/>
          <w:i w:val="false"/>
          <w:caps w:val="false"/>
          <w:smallCaps w:val="false"/>
          <w:color w:val="000000"/>
          <w:spacing w:val="4"/>
          <w:sz w:val="20"/>
        </w:rPr>
        <w:t xml:space="preserve"> </w:t>
      </w:r>
    </w:p>
    <w:tbl>
      <w:tblPr>
        <w:tblW w:w="7955" w:type="dxa"/>
        <w:jc w:val="left"/>
        <w:tblInd w:w="1393" w:type="dxa"/>
        <w:tblLayout w:type="fixed"/>
        <w:tblCellMar>
          <w:top w:w="0" w:type="dxa"/>
          <w:left w:w="0" w:type="dxa"/>
          <w:bottom w:w="0" w:type="dxa"/>
          <w:right w:w="0" w:type="dxa"/>
        </w:tblCellMar>
      </w:tblPr>
      <w:tblGrid>
        <w:gridCol w:w="124"/>
        <w:gridCol w:w="401"/>
        <w:gridCol w:w="109"/>
        <w:gridCol w:w="109"/>
        <w:gridCol w:w="2279"/>
        <w:gridCol w:w="109"/>
        <w:gridCol w:w="109"/>
        <w:gridCol w:w="376"/>
        <w:gridCol w:w="109"/>
        <w:gridCol w:w="109"/>
        <w:gridCol w:w="3967"/>
        <w:gridCol w:w="154"/>
      </w:tblGrid>
      <w:tr>
        <w:trPr/>
        <w:tc>
          <w:tcPr>
            <w:tcW w:w="124" w:type="dxa"/>
            <w:tcBorders/>
            <w:vAlign w:val="center"/>
          </w:tcPr>
          <w:p>
            <w:pPr>
              <w:pStyle w:val="TableContents"/>
              <w:bidi w:val="0"/>
              <w:spacing w:before="0" w:after="283"/>
              <w:jc w:val="left"/>
              <w:rPr/>
            </w:pPr>
            <w:r>
              <w:rPr/>
              <w:t>​</w:t>
            </w:r>
          </w:p>
        </w:tc>
        <w:tc>
          <w:tcPr>
            <w:tcW w:w="401" w:type="dxa"/>
            <w:tcBorders/>
            <w:vAlign w:val="center"/>
          </w:tcPr>
          <w:p>
            <w:pPr>
              <w:pStyle w:val="TableContents"/>
              <w:bidi w:val="0"/>
              <w:spacing w:before="0" w:after="0"/>
              <w:jc w:val="left"/>
              <w:rPr/>
            </w:pPr>
            <w:r>
              <w:rPr/>
              <w:drawing>
                <wp:inline distT="0" distB="0" distL="0" distR="0">
                  <wp:extent cx="161925"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9" w:type="dxa"/>
            <w:tcBorders/>
            <w:vAlign w:val="center"/>
          </w:tcPr>
          <w:p>
            <w:pPr>
              <w:pStyle w:val="TableContents"/>
              <w:bidi w:val="0"/>
              <w:spacing w:lineRule="atLeast" w:line="250" w:before="0" w:after="0"/>
              <w:jc w:val="left"/>
              <w:rPr/>
            </w:pPr>
            <w:r>
              <w:rPr>
                <w:spacing w:val="-2"/>
              </w:rPr>
              <w:t>Filed by the Registrant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lineRule="atLeast" w:line="250" w:before="0" w:after="0"/>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67" w:type="dxa"/>
            <w:tcBorders/>
            <w:vAlign w:val="center"/>
          </w:tcPr>
          <w:p>
            <w:pPr>
              <w:pStyle w:val="TableContents"/>
              <w:bidi w:val="0"/>
              <w:spacing w:lineRule="atLeast" w:line="250" w:before="0" w:after="0"/>
              <w:jc w:val="left"/>
              <w:rPr/>
            </w:pPr>
            <w:r>
              <w:rPr>
                <w:spacing w:val="-2"/>
              </w:rPr>
              <w:t>Filed by a party other than the Registrant</w:t>
            </w:r>
            <w:r>
              <w:rPr/>
              <w:t xml:space="preserve"> </w:t>
            </w:r>
          </w:p>
        </w:tc>
        <w:tc>
          <w:tcPr>
            <w:tcW w:w="154" w:type="dxa"/>
            <w:tcBorders/>
            <w:vAlign w:val="center"/>
          </w:tcPr>
          <w:p>
            <w:pPr>
              <w:pStyle w:val="TableContents"/>
              <w:bidi w:val="0"/>
              <w:spacing w:before="0" w:after="283"/>
              <w:jc w:val="left"/>
              <w:rPr/>
            </w:pPr>
            <w:r>
              <w:rPr/>
              <w:t>​</w:t>
            </w:r>
          </w:p>
        </w:tc>
      </w:tr>
    </w:tbl>
    <w:tbl>
      <w:tblPr>
        <w:tblW w:w="8628" w:type="dxa"/>
        <w:jc w:val="left"/>
        <w:tblInd w:w="1393" w:type="dxa"/>
        <w:tblLayout w:type="fixed"/>
        <w:tblCellMar>
          <w:top w:w="0" w:type="dxa"/>
          <w:left w:w="0" w:type="dxa"/>
          <w:bottom w:w="28" w:type="dxa"/>
          <w:right w:w="0" w:type="dxa"/>
        </w:tblCellMar>
      </w:tblPr>
      <w:tblGrid>
        <w:gridCol w:w="124"/>
        <w:gridCol w:w="401"/>
        <w:gridCol w:w="109"/>
        <w:gridCol w:w="109"/>
        <w:gridCol w:w="7731"/>
        <w:gridCol w:w="154"/>
      </w:tblGrid>
      <w:tr>
        <w:trPr/>
        <w:tc>
          <w:tcPr>
            <w:tcW w:w="124" w:type="dxa"/>
            <w:tcBorders>
              <w:bottom w:val="single" w:sz="6" w:space="0" w:color="000000"/>
            </w:tcBorders>
            <w:vAlign w:val="center"/>
          </w:tcPr>
          <w:p>
            <w:pPr>
              <w:pStyle w:val="TableContents"/>
              <w:bidi w:val="0"/>
              <w:spacing w:before="0" w:after="283"/>
              <w:jc w:val="left"/>
              <w:rPr/>
            </w:pPr>
            <w:r>
              <w:rPr/>
              <w:t>​</w:t>
            </w:r>
          </w:p>
        </w:tc>
        <w:tc>
          <w:tcPr>
            <w:tcW w:w="8350" w:type="dxa"/>
            <w:gridSpan w:val="4"/>
            <w:tcBorders>
              <w:bottom w:val="single" w:sz="6" w:space="0" w:color="000000"/>
            </w:tcBorders>
            <w:tcMar>
              <w:bottom w:w="85" w:type="dxa"/>
            </w:tcMar>
            <w:vAlign w:val="center"/>
          </w:tcPr>
          <w:p>
            <w:pPr>
              <w:pStyle w:val="TableContents"/>
              <w:bidi w:val="0"/>
              <w:spacing w:before="0" w:after="283"/>
              <w:jc w:val="left"/>
              <w:rPr>
                <w:spacing w:val="-2"/>
              </w:rPr>
            </w:pPr>
            <w:r>
              <w:rPr>
                <w:spacing w:val="-2"/>
              </w:rPr>
              <w:t xml:space="preserve">CHECK THE APPROPRIATE BOX: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401" w:type="dxa"/>
            <w:tcBorders>
              <w:bottom w:val="single" w:sz="6" w:space="0" w:color="000000"/>
            </w:tcBorders>
            <w:shd w:fill="F2F2F2" w:val="clear"/>
            <w:tcMar>
              <w:bottom w:w="85" w:type="dxa"/>
            </w:tcMar>
            <w:vAlign w:val="center"/>
          </w:tcPr>
          <w:p>
            <w:pPr>
              <w:pStyle w:val="TableContents"/>
              <w:bidi w:val="0"/>
              <w:spacing w:before="0" w:after="283"/>
              <w:jc w:val="left"/>
              <w:rPr/>
            </w:pPr>
            <w:r>
              <w:rPr>
                <w:spacing w:val="-2"/>
              </w:rPr>
              <w:t>☐</w:t>
            </w:r>
            <w:r>
              <w:rPr/>
              <w:t xml:space="preserve">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7731" w:type="dxa"/>
            <w:tcBorders>
              <w:bottom w:val="single" w:sz="6" w:space="0" w:color="000000"/>
            </w:tcBorders>
            <w:shd w:fill="F2F2F2" w:val="clear"/>
            <w:tcMar>
              <w:bottom w:w="85" w:type="dxa"/>
            </w:tcMar>
            <w:vAlign w:val="center"/>
          </w:tcPr>
          <w:p>
            <w:pPr>
              <w:pStyle w:val="TableContents"/>
              <w:bidi w:val="0"/>
              <w:spacing w:before="0" w:after="283"/>
              <w:jc w:val="left"/>
              <w:rPr>
                <w:spacing w:val="-2"/>
              </w:rPr>
            </w:pPr>
            <w:r>
              <w:rPr>
                <w:spacing w:val="-2"/>
              </w:rPr>
              <w:t xml:space="preserve">Preliminary Proxy Statement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401" w:type="dxa"/>
            <w:tcBorders>
              <w:bottom w:val="single" w:sz="6" w:space="0" w:color="000000"/>
            </w:tcBorders>
            <w:shd w:fill="F2F2F2" w:val="clear"/>
            <w:tcMar>
              <w:bottom w:w="85" w:type="dxa"/>
            </w:tcMar>
            <w:vAlign w:val="center"/>
          </w:tcPr>
          <w:p>
            <w:pPr>
              <w:pStyle w:val="TableContents"/>
              <w:bidi w:val="0"/>
              <w:spacing w:before="0" w:after="283"/>
              <w:jc w:val="left"/>
              <w:rPr/>
            </w:pPr>
            <w:r>
              <w:rPr>
                <w:spacing w:val="-2"/>
              </w:rPr>
              <w:t>☐</w:t>
            </w:r>
            <w:r>
              <w:rPr/>
              <w:t xml:space="preserve">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7731" w:type="dxa"/>
            <w:tcBorders>
              <w:bottom w:val="single" w:sz="6" w:space="0" w:color="000000"/>
            </w:tcBorders>
            <w:shd w:fill="F2F2F2" w:val="clear"/>
            <w:tcMar>
              <w:bottom w:w="85" w:type="dxa"/>
            </w:tcMar>
            <w:vAlign w:val="center"/>
          </w:tcPr>
          <w:p>
            <w:pPr>
              <w:pStyle w:val="TableContents"/>
              <w:bidi w:val="0"/>
              <w:spacing w:before="0" w:after="283"/>
              <w:jc w:val="left"/>
              <w:rPr>
                <w:spacing w:val="-2"/>
              </w:rPr>
            </w:pPr>
            <w:r>
              <w:rPr>
                <w:spacing w:val="-2"/>
              </w:rPr>
              <w:t xml:space="preserve">Confidential, for Use of the Commission Only (as permitted by Rule 14a-6(e)(2))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401" w:type="dxa"/>
            <w:tcBorders>
              <w:bottom w:val="single" w:sz="6" w:space="0" w:color="000000"/>
            </w:tcBorders>
            <w:shd w:fill="F2F2F2" w:val="clear"/>
            <w:tcMar>
              <w:bottom w:w="120" w:type="dxa"/>
            </w:tcMar>
            <w:vAlign w:val="center"/>
          </w:tcPr>
          <w:p>
            <w:pPr>
              <w:pStyle w:val="TableContents"/>
              <w:bidi w:val="0"/>
              <w:spacing w:before="0" w:after="0"/>
              <w:jc w:val="left"/>
              <w:rPr/>
            </w:pPr>
            <w:r>
              <w:rPr/>
              <w:drawing>
                <wp:inline distT="0" distB="0" distL="0" distR="0">
                  <wp:extent cx="161925"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7731" w:type="dxa"/>
            <w:tcBorders>
              <w:bottom w:val="single" w:sz="6" w:space="0" w:color="000000"/>
            </w:tcBorders>
            <w:shd w:fill="F2F2F2" w:val="clear"/>
            <w:vAlign w:val="center"/>
          </w:tcPr>
          <w:p>
            <w:pPr>
              <w:pStyle w:val="TableContents"/>
              <w:bidi w:val="0"/>
              <w:spacing w:lineRule="atLeast" w:line="250" w:before="0" w:after="0"/>
              <w:jc w:val="left"/>
              <w:rPr>
                <w:spacing w:val="-2"/>
              </w:rPr>
            </w:pPr>
            <w:r>
              <w:rPr>
                <w:spacing w:val="-2"/>
              </w:rPr>
              <w:t xml:space="preserve">Definitive Proxy Statement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401" w:type="dxa"/>
            <w:tcBorders>
              <w:bottom w:val="single" w:sz="6" w:space="0" w:color="000000"/>
            </w:tcBorders>
            <w:shd w:fill="F2F2F2" w:val="clear"/>
            <w:tcMar>
              <w:bottom w:w="85" w:type="dxa"/>
            </w:tcMar>
            <w:vAlign w:val="center"/>
          </w:tcPr>
          <w:p>
            <w:pPr>
              <w:pStyle w:val="TableContents"/>
              <w:bidi w:val="0"/>
              <w:spacing w:before="0" w:after="283"/>
              <w:jc w:val="left"/>
              <w:rPr/>
            </w:pPr>
            <w:r>
              <w:rPr>
                <w:spacing w:val="-2"/>
              </w:rPr>
              <w:t>☐</w:t>
            </w:r>
            <w:r>
              <w:rPr/>
              <w:t xml:space="preserve">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7731" w:type="dxa"/>
            <w:tcBorders>
              <w:bottom w:val="single" w:sz="6" w:space="0" w:color="000000"/>
            </w:tcBorders>
            <w:shd w:fill="F2F2F2" w:val="clear"/>
            <w:tcMar>
              <w:bottom w:w="85" w:type="dxa"/>
            </w:tcMar>
            <w:vAlign w:val="center"/>
          </w:tcPr>
          <w:p>
            <w:pPr>
              <w:pStyle w:val="TableContents"/>
              <w:bidi w:val="0"/>
              <w:spacing w:before="0" w:after="283"/>
              <w:jc w:val="left"/>
              <w:rPr>
                <w:spacing w:val="-2"/>
              </w:rPr>
            </w:pPr>
            <w:r>
              <w:rPr>
                <w:spacing w:val="-2"/>
              </w:rPr>
              <w:t xml:space="preserve">Definitive Additional Materials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401" w:type="dxa"/>
            <w:tcBorders>
              <w:bottom w:val="single" w:sz="6" w:space="0" w:color="000000"/>
            </w:tcBorders>
            <w:shd w:fill="F2F2F2" w:val="clear"/>
            <w:tcMar>
              <w:bottom w:w="85" w:type="dxa"/>
            </w:tcMar>
            <w:vAlign w:val="center"/>
          </w:tcPr>
          <w:p>
            <w:pPr>
              <w:pStyle w:val="TableContents"/>
              <w:bidi w:val="0"/>
              <w:spacing w:before="0" w:after="283"/>
              <w:jc w:val="left"/>
              <w:rPr/>
            </w:pPr>
            <w:r>
              <w:rPr>
                <w:spacing w:val="-2"/>
              </w:rPr>
              <w:t>☐</w:t>
            </w:r>
            <w:r>
              <w:rPr/>
              <w:t xml:space="preserve">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7731" w:type="dxa"/>
            <w:tcBorders>
              <w:bottom w:val="single" w:sz="6" w:space="0" w:color="000000"/>
            </w:tcBorders>
            <w:shd w:fill="F2F2F2" w:val="clear"/>
            <w:tcMar>
              <w:bottom w:w="85" w:type="dxa"/>
            </w:tcMar>
            <w:vAlign w:val="center"/>
          </w:tcPr>
          <w:p>
            <w:pPr>
              <w:pStyle w:val="TableContents"/>
              <w:bidi w:val="0"/>
              <w:spacing w:before="0" w:after="283"/>
              <w:jc w:val="left"/>
              <w:rPr/>
            </w:pPr>
            <w:r>
              <w:rPr>
                <w:spacing w:val="-2"/>
              </w:rPr>
              <w:t>Soliciting Material under §240.14a-12</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230" w:after="283"/>
        <w:ind w:left="1393" w:right="0" w:hanging="0"/>
        <w:jc w:val="center"/>
        <w:rPr>
          <w:caps w:val="false"/>
          <w:smallCaps w:val="false"/>
          <w:color w:val="000000"/>
        </w:rPr>
      </w:pPr>
      <w:r>
        <w:rPr>
          <w:caps w:val="false"/>
          <w:smallCaps w:val="false"/>
          <w:color w:val="000000"/>
        </w:rPr>
        <w:drawing>
          <wp:inline distT="0" distB="0" distL="0" distR="0">
            <wp:extent cx="857250" cy="857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 cy="85725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0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1"/>
          <w:sz w:val="28"/>
        </w:rPr>
        <w:t>Medline Inc.</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00" w:before="12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(Name of Registrant as Specified In Its Charter) </w:t>
        <w:br/>
        <w:t>(Name of Person(s) Filing Proxy Statement, if other than the Registrant)</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tbl>
      <w:tblPr>
        <w:tblW w:w="8812" w:type="dxa"/>
        <w:jc w:val="left"/>
        <w:tblInd w:w="1393" w:type="dxa"/>
        <w:tblLayout w:type="fixed"/>
        <w:tblCellMar>
          <w:top w:w="0" w:type="dxa"/>
          <w:left w:w="0" w:type="dxa"/>
          <w:bottom w:w="28" w:type="dxa"/>
          <w:right w:w="0" w:type="dxa"/>
        </w:tblCellMar>
      </w:tblPr>
      <w:tblGrid>
        <w:gridCol w:w="124"/>
        <w:gridCol w:w="388"/>
        <w:gridCol w:w="109"/>
        <w:gridCol w:w="109"/>
        <w:gridCol w:w="7927"/>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8533" w:type="dxa"/>
            <w:gridSpan w:val="4"/>
            <w:tcBorders>
              <w:bottom w:val="single" w:sz="6" w:space="0" w:color="000000"/>
            </w:tcBorders>
            <w:tcMar>
              <w:bottom w:w="85" w:type="dxa"/>
            </w:tcMar>
            <w:vAlign w:val="center"/>
          </w:tcPr>
          <w:p>
            <w:pPr>
              <w:pStyle w:val="TableContents"/>
              <w:bidi w:val="0"/>
              <w:spacing w:before="0" w:after="283"/>
              <w:jc w:val="left"/>
              <w:rPr>
                <w:spacing w:val="-2"/>
              </w:rPr>
            </w:pPr>
            <w:r>
              <w:rPr>
                <w:spacing w:val="-2"/>
              </w:rPr>
              <w:t xml:space="preserve">PAYMENT OF FILING FEE (CHECK ALL BOXES THAT APPLY):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388" w:type="dxa"/>
            <w:tcBorders>
              <w:bottom w:val="single" w:sz="6" w:space="0" w:color="000000"/>
            </w:tcBorders>
            <w:shd w:fill="F2F2F2" w:val="clear"/>
            <w:tcMar>
              <w:bottom w:w="120" w:type="dxa"/>
            </w:tcMar>
            <w:vAlign w:val="center"/>
          </w:tcPr>
          <w:p>
            <w:pPr>
              <w:pStyle w:val="TableContents"/>
              <w:bidi w:val="0"/>
              <w:spacing w:before="0" w:after="0"/>
              <w:jc w:val="left"/>
              <w:rPr/>
            </w:pPr>
            <w:r>
              <w:rPr/>
              <w:drawing>
                <wp:inline distT="0" distB="0" distL="0" distR="0">
                  <wp:extent cx="161925" cy="16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7927" w:type="dxa"/>
            <w:tcBorders>
              <w:bottom w:val="single" w:sz="6" w:space="0" w:color="000000"/>
            </w:tcBorders>
            <w:shd w:fill="F2F2F2" w:val="clear"/>
            <w:vAlign w:val="center"/>
          </w:tcPr>
          <w:p>
            <w:pPr>
              <w:pStyle w:val="TableContents"/>
              <w:bidi w:val="0"/>
              <w:spacing w:lineRule="atLeast" w:line="250" w:before="0" w:after="0"/>
              <w:jc w:val="left"/>
              <w:rPr>
                <w:spacing w:val="-2"/>
              </w:rPr>
            </w:pPr>
            <w:r>
              <w:rPr>
                <w:spacing w:val="-2"/>
              </w:rPr>
              <w:t xml:space="preserve">No fee required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388" w:type="dxa"/>
            <w:tcBorders>
              <w:bottom w:val="single" w:sz="6" w:space="0" w:color="000000"/>
            </w:tcBorders>
            <w:shd w:fill="F2F2F2" w:val="clear"/>
            <w:tcMar>
              <w:bottom w:w="85" w:type="dxa"/>
            </w:tcMar>
            <w:vAlign w:val="center"/>
          </w:tcPr>
          <w:p>
            <w:pPr>
              <w:pStyle w:val="TableContents"/>
              <w:bidi w:val="0"/>
              <w:spacing w:before="0" w:after="283"/>
              <w:jc w:val="left"/>
              <w:rPr/>
            </w:pPr>
            <w:r>
              <w:rPr>
                <w:spacing w:val="-2"/>
              </w:rPr>
              <w:t>☐</w:t>
            </w:r>
            <w:r>
              <w:rPr/>
              <w:t xml:space="preserve">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7927" w:type="dxa"/>
            <w:tcBorders>
              <w:bottom w:val="single" w:sz="6" w:space="0" w:color="000000"/>
            </w:tcBorders>
            <w:shd w:fill="F2F2F2" w:val="clear"/>
            <w:tcMar>
              <w:bottom w:w="85" w:type="dxa"/>
            </w:tcMar>
            <w:vAlign w:val="center"/>
          </w:tcPr>
          <w:p>
            <w:pPr>
              <w:pStyle w:val="TableContents"/>
              <w:bidi w:val="0"/>
              <w:spacing w:before="0" w:after="283"/>
              <w:jc w:val="left"/>
              <w:rPr>
                <w:spacing w:val="-2"/>
              </w:rPr>
            </w:pPr>
            <w:r>
              <w:rPr>
                <w:spacing w:val="-2"/>
              </w:rPr>
              <w:t xml:space="preserve">Fee paid previously with preliminary materials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388" w:type="dxa"/>
            <w:tcBorders>
              <w:bottom w:val="single" w:sz="6" w:space="0" w:color="000000"/>
            </w:tcBorders>
            <w:shd w:fill="F2F2F2" w:val="clear"/>
            <w:tcMar>
              <w:bottom w:w="85" w:type="dxa"/>
            </w:tcMar>
            <w:vAlign w:val="center"/>
          </w:tcPr>
          <w:p>
            <w:pPr>
              <w:pStyle w:val="TableContents"/>
              <w:bidi w:val="0"/>
              <w:spacing w:before="0" w:after="283"/>
              <w:jc w:val="left"/>
              <w:rPr/>
            </w:pPr>
            <w:r>
              <w:rPr>
                <w:spacing w:val="-2"/>
              </w:rPr>
              <w:t>☐</w:t>
            </w:r>
            <w:r>
              <w:rPr/>
              <w:t xml:space="preserve">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7927" w:type="dxa"/>
            <w:tcBorders>
              <w:bottom w:val="single" w:sz="6" w:space="0" w:color="000000"/>
            </w:tcBorders>
            <w:shd w:fill="F2F2F2" w:val="clear"/>
            <w:tcMar>
              <w:bottom w:w="85" w:type="dxa"/>
            </w:tcMar>
            <w:vAlign w:val="center"/>
          </w:tcPr>
          <w:p>
            <w:pPr>
              <w:pStyle w:val="TableContents"/>
              <w:bidi w:val="0"/>
              <w:spacing w:before="0" w:after="283"/>
              <w:jc w:val="left"/>
              <w:rPr/>
            </w:pPr>
            <w:r>
              <w:rPr>
                <w:spacing w:val="-2"/>
              </w:rPr>
              <w:t>Fee computed on table in exhibit required by Item 25(b) per Exchange Act Rules 14a-6(i)(1) and 0-11</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924800" cy="10182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924800" cy="1018222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680" w:after="283"/>
        <w:ind w:left="0" w:right="0" w:hanging="0"/>
        <w:jc w:val="center"/>
        <w:rPr>
          <w:caps w:val="false"/>
          <w:smallCaps w:val="false"/>
          <w:color w:val="000000"/>
        </w:rPr>
      </w:pPr>
      <w:r>
        <w:rPr>
          <w:caps w:val="false"/>
          <w:smallCaps w:val="false"/>
          <w:color w:val="000000"/>
        </w:rPr>
        <w:drawing>
          <wp:inline distT="0" distB="0" distL="0" distR="0">
            <wp:extent cx="7191375" cy="9182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91375" cy="91821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2NOA"/>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N</w:t>
      </w:r>
      <w:r>
        <w:rPr>
          <w:rFonts w:ascii="Arial;Helvetica;sans-serif" w:hAnsi="Arial;Helvetica;sans-serif"/>
          <w:b w:val="false"/>
          <w:i w:val="false"/>
          <w:caps w:val="false"/>
          <w:smallCaps w:val="false"/>
          <w:color w:val="C3C5C8"/>
          <w:spacing w:val="-1"/>
          <w:sz w:val="15"/>
        </w:rPr>
        <w:t>OTICE OF</w:t>
      </w:r>
      <w:r>
        <w:rPr>
          <w:rFonts w:ascii="Arial;Helvetica;sans-serif" w:hAnsi="Arial;Helvetica;sans-serif"/>
          <w:b w:val="false"/>
          <w:i w:val="false"/>
          <w:caps w:val="false"/>
          <w:smallCaps w:val="false"/>
          <w:color w:val="C3C5C8"/>
          <w:spacing w:val="-1"/>
          <w:sz w:val="15"/>
        </w:rPr>
        <w:t xml:space="preserve"> A</w:t>
      </w:r>
      <w:r>
        <w:rPr>
          <w:rFonts w:ascii="Arial;Helvetica;sans-serif" w:hAnsi="Arial;Helvetica;sans-serif"/>
          <w:b w:val="false"/>
          <w:i w:val="false"/>
          <w:caps w:val="false"/>
          <w:smallCaps w:val="false"/>
          <w:color w:val="C3C5C8"/>
          <w:spacing w:val="-1"/>
          <w:sz w:val="15"/>
        </w:rPr>
        <w:t>NNUAL</w:t>
      </w:r>
      <w:r>
        <w:rPr>
          <w:rFonts w:ascii="Arial;Helvetica;sans-serif" w:hAnsi="Arial;Helvetica;sans-serif"/>
          <w:b w:val="false"/>
          <w:i w:val="false"/>
          <w:caps w:val="false"/>
          <w:smallCaps w:val="false"/>
          <w:color w:val="C3C5C8"/>
          <w:spacing w:val="-1"/>
          <w:sz w:val="15"/>
        </w:rPr>
        <w:t xml:space="preserve"> M</w:t>
      </w:r>
      <w:r>
        <w:rPr>
          <w:rFonts w:ascii="Arial;Helvetica;sans-serif" w:hAnsi="Arial;Helvetica;sans-serif"/>
          <w:b w:val="false"/>
          <w:i w:val="false"/>
          <w:caps w:val="false"/>
          <w:smallCaps w:val="false"/>
          <w:color w:val="C3C5C8"/>
          <w:spacing w:val="-1"/>
          <w:sz w:val="15"/>
        </w:rPr>
        <w:t xml:space="preserve">EETING OF </w:t>
      </w:r>
      <w:r>
        <w:rPr>
          <w:rFonts w:ascii="Arial;Helvetica;sans-serif" w:hAnsi="Arial;Helvetica;sans-serif"/>
          <w:b w:val="false"/>
          <w:i w:val="false"/>
          <w:caps w:val="false"/>
          <w:smallCaps w:val="false"/>
          <w:color w:val="C3C5C8"/>
          <w:spacing w:val="-1"/>
          <w:sz w:val="15"/>
        </w:rPr>
        <w:t>S</w:t>
      </w:r>
      <w:r>
        <w:rPr>
          <w:rFonts w:ascii="Arial;Helvetica;sans-serif" w:hAnsi="Arial;Helvetica;sans-serif"/>
          <w:b w:val="false"/>
          <w:i w:val="false"/>
          <w:caps w:val="false"/>
          <w:smallCaps w:val="false"/>
          <w:color w:val="C3C5C8"/>
          <w:spacing w:val="-1"/>
          <w:sz w:val="15"/>
        </w:rPr>
        <w:t>TOCKHOLDERS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283"/>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6"/>
          <w:sz w:val="44"/>
        </w:rPr>
        <w:t>N</w:t>
      </w:r>
      <w:r>
        <w:rPr>
          <w:rFonts w:ascii="Arial;Helvetica;sans-serif" w:hAnsi="Arial;Helvetica;sans-serif"/>
          <w:b/>
          <w:i w:val="false"/>
          <w:caps w:val="false"/>
          <w:smallCaps w:val="false"/>
          <w:color w:val="003CA6"/>
          <w:spacing w:val="-6"/>
          <w:sz w:val="44"/>
        </w:rPr>
        <w:t>OTICE OF</w:t>
      </w:r>
      <w:r>
        <w:rPr>
          <w:rFonts w:ascii="Arial;Helvetica;sans-serif" w:hAnsi="Arial;Helvetica;sans-serif"/>
          <w:b/>
          <w:i w:val="false"/>
          <w:caps w:val="false"/>
          <w:smallCaps w:val="false"/>
          <w:color w:val="003CA6"/>
          <w:spacing w:val="-6"/>
          <w:sz w:val="44"/>
        </w:rPr>
        <w:t xml:space="preserve"> 2026 A</w:t>
      </w:r>
      <w:r>
        <w:rPr>
          <w:rFonts w:ascii="Arial;Helvetica;sans-serif" w:hAnsi="Arial;Helvetica;sans-serif"/>
          <w:b/>
          <w:i w:val="false"/>
          <w:caps w:val="false"/>
          <w:smallCaps w:val="false"/>
          <w:color w:val="003CA6"/>
          <w:spacing w:val="-6"/>
          <w:sz w:val="44"/>
        </w:rPr>
        <w:t>NNUAL</w:t>
      </w:r>
      <w:r>
        <w:rPr>
          <w:rFonts w:ascii="Arial;Helvetica;sans-serif" w:hAnsi="Arial;Helvetica;sans-serif"/>
          <w:b/>
          <w:i w:val="false"/>
          <w:caps w:val="false"/>
          <w:smallCaps w:val="false"/>
          <w:color w:val="003CA6"/>
          <w:spacing w:val="-6"/>
          <w:sz w:val="44"/>
        </w:rPr>
        <w:t xml:space="preserve"> M</w:t>
      </w:r>
      <w:r>
        <w:rPr>
          <w:rFonts w:ascii="Arial;Helvetica;sans-serif" w:hAnsi="Arial;Helvetica;sans-serif"/>
          <w:b/>
          <w:i w:val="false"/>
          <w:caps w:val="false"/>
          <w:smallCaps w:val="false"/>
          <w:color w:val="003CA6"/>
          <w:spacing w:val="-6"/>
          <w:sz w:val="44"/>
        </w:rPr>
        <w:t>EETING OF</w:t>
      </w:r>
      <w:r>
        <w:rPr>
          <w:rFonts w:ascii="Arial;Helvetica;sans-serif" w:hAnsi="Arial;Helvetica;sans-serif"/>
          <w:b/>
          <w:i w:val="false"/>
          <w:caps w:val="false"/>
          <w:smallCaps w:val="false"/>
          <w:color w:val="003CA6"/>
          <w:spacing w:val="-6"/>
          <w:sz w:val="44"/>
        </w:rPr>
        <w:t xml:space="preserve"> S</w:t>
      </w:r>
      <w:r>
        <w:rPr>
          <w:rFonts w:ascii="Arial;Helvetica;sans-serif" w:hAnsi="Arial;Helvetica;sans-serif"/>
          <w:b/>
          <w:i w:val="false"/>
          <w:caps w:val="false"/>
          <w:smallCaps w:val="false"/>
          <w:color w:val="003CA6"/>
          <w:spacing w:val="-6"/>
          <w:sz w:val="44"/>
        </w:rPr>
        <w:t>TOCKHOLDERS</w:t>
      </w:r>
      <w:r>
        <w:rPr>
          <w:rFonts w:ascii="Arial;Helvetica;sans-serif" w:hAnsi="Arial;Helvetica;sans-serif"/>
          <w:b/>
          <w:i w:val="false"/>
          <w:caps w:val="false"/>
          <w:smallCaps w:val="false"/>
          <w:color w:val="000000"/>
          <w:spacing w:val="9"/>
          <w:sz w:val="44"/>
        </w:rPr>
        <w:t xml:space="preserve"> </w:t>
      </w:r>
    </w:p>
    <w:tbl>
      <w:tblPr>
        <w:tblW w:w="9485" w:type="dxa"/>
        <w:jc w:val="left"/>
        <w:tblInd w:w="720" w:type="dxa"/>
        <w:tblLayout w:type="fixed"/>
        <w:tblCellMar>
          <w:top w:w="0" w:type="dxa"/>
          <w:left w:w="0" w:type="dxa"/>
          <w:bottom w:w="0" w:type="dxa"/>
          <w:right w:w="0" w:type="dxa"/>
        </w:tblCellMar>
      </w:tblPr>
      <w:tblGrid>
        <w:gridCol w:w="124"/>
        <w:gridCol w:w="1106"/>
        <w:gridCol w:w="109"/>
        <w:gridCol w:w="109"/>
        <w:gridCol w:w="109"/>
        <w:gridCol w:w="4300"/>
        <w:gridCol w:w="109"/>
        <w:gridCol w:w="109"/>
        <w:gridCol w:w="109"/>
        <w:gridCol w:w="3146"/>
        <w:gridCol w:w="155"/>
      </w:tblGrid>
      <w:tr>
        <w:trPr/>
        <w:tc>
          <w:tcPr>
            <w:tcW w:w="124" w:type="dxa"/>
            <w:tcBorders/>
            <w:vAlign w:val="center"/>
          </w:tcPr>
          <w:p>
            <w:pPr>
              <w:pStyle w:val="TableContents"/>
              <w:bidi w:val="0"/>
              <w:spacing w:before="0" w:after="283"/>
              <w:jc w:val="left"/>
              <w:rPr/>
            </w:pPr>
            <w:r>
              <w:rPr/>
              <w:t>​</w:t>
            </w:r>
          </w:p>
        </w:tc>
        <w:tc>
          <w:tcPr>
            <w:tcW w:w="1106" w:type="dxa"/>
            <w:tcBorders/>
            <w:vAlign w:val="center"/>
          </w:tcPr>
          <w:p>
            <w:pPr>
              <w:pStyle w:val="TableContents"/>
              <w:bidi w:val="0"/>
              <w:spacing w:before="0" w:after="0"/>
              <w:jc w:val="left"/>
              <w:rPr>
                <w:spacing w:val="-2"/>
              </w:rPr>
            </w:pPr>
            <w:r>
              <w:rPr>
                <w:spacing w:val="-2"/>
              </w:rPr>
              <w:t xml:space="preserve">DATE AND TIME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0" w:type="dxa"/>
            <w:tcBorders/>
            <w:vAlign w:val="center"/>
          </w:tcPr>
          <w:p>
            <w:pPr>
              <w:pStyle w:val="TableContents"/>
              <w:bidi w:val="0"/>
              <w:spacing w:before="0" w:after="0"/>
              <w:jc w:val="left"/>
              <w:rPr>
                <w:spacing w:val="-2"/>
              </w:rPr>
            </w:pPr>
            <w:r>
              <w:rPr>
                <w:spacing w:val="-2"/>
              </w:rPr>
              <w:t xml:space="preserve">RECORD DATE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6" w:type="dxa"/>
            <w:tcBorders/>
            <w:vAlign w:val="center"/>
          </w:tcPr>
          <w:p>
            <w:pPr>
              <w:pStyle w:val="TableContents"/>
              <w:bidi w:val="0"/>
              <w:spacing w:before="0" w:after="0"/>
              <w:jc w:val="left"/>
              <w:rPr>
                <w:spacing w:val="-2"/>
              </w:rPr>
            </w:pPr>
            <w:r>
              <w:rPr>
                <w:spacing w:val="-2"/>
              </w:rPr>
              <w:t xml:space="preserve">LOCATION – VIRTUAL MEETING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06" w:type="dxa"/>
            <w:tcBorders/>
            <w:vAlign w:val="center"/>
          </w:tcPr>
          <w:p>
            <w:pPr>
              <w:pStyle w:val="TableContents"/>
              <w:bidi w:val="0"/>
              <w:spacing w:before="0" w:after="0"/>
              <w:jc w:val="left"/>
              <w:rPr/>
            </w:pPr>
            <w:r>
              <w:rPr/>
              <w:drawing>
                <wp:inline distT="0" distB="0" distL="0" distR="0">
                  <wp:extent cx="466725" cy="46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66725" cy="466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0" w:type="dxa"/>
            <w:tcBorders/>
            <w:vAlign w:val="center"/>
          </w:tcPr>
          <w:p>
            <w:pPr>
              <w:pStyle w:val="TableContents"/>
              <w:bidi w:val="0"/>
              <w:spacing w:before="0" w:after="0"/>
              <w:jc w:val="left"/>
              <w:rPr/>
            </w:pPr>
            <w:r>
              <w:rPr/>
              <w:drawing>
                <wp:inline distT="0" distB="0" distL="0" distR="0">
                  <wp:extent cx="438150" cy="438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38150" cy="4381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6" w:type="dxa"/>
            <w:tcBorders/>
            <w:vAlign w:val="center"/>
          </w:tcPr>
          <w:p>
            <w:pPr>
              <w:pStyle w:val="TableContents"/>
              <w:bidi w:val="0"/>
              <w:spacing w:before="0" w:after="283"/>
              <w:jc w:val="left"/>
              <w:rPr/>
            </w:pPr>
            <w:r>
              <w:rPr/>
              <w:drawing>
                <wp:inline distT="0" distB="0" distL="0" distR="0">
                  <wp:extent cx="466725" cy="400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66725" cy="400050"/>
                          </a:xfrm>
                          <a:prstGeom prst="rect">
                            <a:avLst/>
                          </a:prstGeom>
                        </pic:spPr>
                      </pic:pic>
                    </a:graphicData>
                  </a:graphic>
                </wp:inline>
              </w:drawing>
            </w:r>
            <w:r>
              <w:rPr>
                <w:spacing w:val="-1"/>
              </w:rPr>
              <w:t>      </w:t>
            </w:r>
            <w:r>
              <w:rPr/>
              <w:drawing>
                <wp:inline distT="0" distB="0" distL="0" distR="0">
                  <wp:extent cx="438150" cy="438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38150" cy="438150"/>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06" w:type="dxa"/>
            <w:tcBorders/>
            <w:vAlign w:val="center"/>
          </w:tcPr>
          <w:p>
            <w:pPr>
              <w:pStyle w:val="TableContents"/>
              <w:bidi w:val="0"/>
              <w:spacing w:before="0" w:after="0"/>
              <w:jc w:val="left"/>
              <w:rPr>
                <w:b/>
                <w:color w:val="0055B7"/>
                <w:sz w:val="18"/>
              </w:rPr>
            </w:pPr>
            <w:r>
              <w:rPr>
                <w:b/>
                <w:color w:val="000000"/>
                <w:spacing w:val="0"/>
                <w:sz w:val="18"/>
              </w:rPr>
              <w:t xml:space="preserve">Thursday, </w:t>
            </w:r>
            <w:r>
              <w:rPr>
                <w:b/>
                <w:color w:val="0055B7"/>
                <w:sz w:val="18"/>
              </w:rPr>
              <w:br/>
            </w:r>
            <w:r>
              <w:rPr>
                <w:b/>
                <w:color w:val="0055B7"/>
                <w:spacing w:val="0"/>
                <w:sz w:val="18"/>
              </w:rPr>
              <w:t xml:space="preserve">June 11, 2026 </w:t>
            </w:r>
          </w:p>
          <w:p>
            <w:pPr>
              <w:pStyle w:val="TableContents"/>
              <w:bidi w:val="0"/>
              <w:spacing w:before="40" w:after="283"/>
              <w:jc w:val="left"/>
              <w:rPr>
                <w:b/>
                <w:color w:val="0055B7"/>
                <w:spacing w:val="0"/>
                <w:sz w:val="18"/>
              </w:rPr>
            </w:pPr>
            <w:r>
              <w:rPr>
                <w:b/>
                <w:color w:val="0055B7"/>
                <w:spacing w:val="0"/>
                <w:sz w:val="18"/>
              </w:rPr>
              <w:t xml:space="preserve">10:00 a.m. </w:t>
              <w:br/>
              <w:t>Central Time</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0" w:type="dxa"/>
            <w:tcBorders/>
            <w:vAlign w:val="center"/>
          </w:tcPr>
          <w:p>
            <w:pPr>
              <w:pStyle w:val="TableContents"/>
              <w:bidi w:val="0"/>
              <w:spacing w:before="0" w:after="0"/>
              <w:jc w:val="left"/>
              <w:rPr>
                <w:b/>
                <w:color w:val="0055B7"/>
                <w:sz w:val="18"/>
              </w:rPr>
            </w:pPr>
            <w:r>
              <w:rPr>
                <w:b/>
                <w:color w:val="0055B7"/>
                <w:spacing w:val="0"/>
                <w:sz w:val="18"/>
              </w:rPr>
              <w:t>April 13, 2026</w:t>
            </w:r>
            <w:r>
              <w:rPr>
                <w:b/>
                <w:color w:val="0055B7"/>
                <w:sz w:val="18"/>
              </w:rPr>
              <w:t xml:space="preserve"> </w:t>
            </w:r>
          </w:p>
          <w:p>
            <w:pPr>
              <w:pStyle w:val="TableContents"/>
              <w:bidi w:val="0"/>
              <w:spacing w:lineRule="atLeast" w:line="200" w:before="80" w:after="283"/>
              <w:jc w:val="left"/>
              <w:rPr>
                <w:spacing w:val="-1"/>
              </w:rPr>
            </w:pPr>
            <w:r>
              <w:rPr>
                <w:spacing w:val="-1"/>
              </w:rPr>
              <w:t xml:space="preserve">Only stockholders of record at the close of business on the Record Date are entitled to receive notice of, and to vote at, the Annual Meeting. </w:t>
            </w:r>
          </w:p>
          <w:p>
            <w:pPr>
              <w:pStyle w:val="TableContents"/>
              <w:bidi w:val="0"/>
              <w:spacing w:lineRule="atLeast" w:line="200" w:before="80" w:after="283"/>
              <w:jc w:val="left"/>
              <w:rPr>
                <w:spacing w:val="-1"/>
              </w:rPr>
            </w:pPr>
            <w:r>
              <w:rPr>
                <w:spacing w:val="-1"/>
              </w:rPr>
              <w:t xml:space="preserve">The Notice, our Proxy Statement, our Annual Report to Stockholders for the year ended December 31, 2025, and the proxy card are first being mailed or made available on or about April 23, 2026.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6" w:type="dxa"/>
            <w:tcBorders/>
            <w:vAlign w:val="center"/>
          </w:tcPr>
          <w:p>
            <w:pPr>
              <w:pStyle w:val="TableContents"/>
              <w:bidi w:val="0"/>
              <w:spacing w:before="0" w:after="0"/>
              <w:jc w:val="left"/>
              <w:rPr>
                <w:color w:val="0055B7"/>
                <w:sz w:val="18"/>
              </w:rPr>
            </w:pPr>
            <w:r>
              <w:rPr>
                <w:color w:val="000000"/>
                <w:spacing w:val="-1"/>
                <w:sz w:val="18"/>
              </w:rPr>
              <w:t>Live via webcast at</w:t>
            </w:r>
            <w:r>
              <w:rPr>
                <w:color w:val="0055B7"/>
                <w:sz w:val="18"/>
              </w:rPr>
              <w:t xml:space="preserve"> </w:t>
              <w:br/>
            </w:r>
            <w:r>
              <w:rPr>
                <w:b/>
                <w:color w:val="0055B7"/>
                <w:spacing w:val="0"/>
                <w:sz w:val="18"/>
              </w:rPr>
              <w:t>www.virtualshareholdermeeting.com/MDLN2026</w:t>
            </w:r>
            <w:r>
              <w:rPr>
                <w:color w:val="0055B7"/>
                <w:sz w:val="18"/>
              </w:rPr>
              <w:t xml:space="preserve"> </w:t>
            </w:r>
          </w:p>
          <w:p>
            <w:pPr>
              <w:pStyle w:val="TableContents"/>
              <w:bidi w:val="0"/>
              <w:spacing w:before="40" w:after="283"/>
              <w:jc w:val="left"/>
              <w:rPr>
                <w:i/>
                <w:sz w:val="15"/>
              </w:rPr>
            </w:pPr>
            <w:r>
              <w:rPr>
                <w:i/>
                <w:sz w:val="15"/>
              </w:rPr>
              <w:t>Access will open 15 minutes prior to start.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80" w:after="283"/>
        <w:ind w:left="720" w:right="0" w:hanging="0"/>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3"/>
          <w:sz w:val="20"/>
        </w:rPr>
        <w:t>A</w:t>
      </w:r>
      <w:r>
        <w:rPr>
          <w:rFonts w:ascii="Arial;Helvetica;sans-serif" w:hAnsi="Arial;Helvetica;sans-serif"/>
          <w:b/>
          <w:i w:val="false"/>
          <w:caps w:val="false"/>
          <w:smallCaps w:val="false"/>
          <w:color w:val="0070CD"/>
          <w:spacing w:val="-3"/>
          <w:sz w:val="20"/>
        </w:rPr>
        <w:t>GENDA AND</w:t>
      </w:r>
      <w:r>
        <w:rPr>
          <w:rFonts w:ascii="Arial;Helvetica;sans-serif" w:hAnsi="Arial;Helvetica;sans-serif"/>
          <w:b/>
          <w:i w:val="false"/>
          <w:caps w:val="false"/>
          <w:smallCaps w:val="false"/>
          <w:color w:val="0070CD"/>
          <w:spacing w:val="-3"/>
          <w:sz w:val="20"/>
        </w:rPr>
        <w:t xml:space="preserve"> R</w:t>
      </w:r>
      <w:r>
        <w:rPr>
          <w:rFonts w:ascii="Arial;Helvetica;sans-serif" w:hAnsi="Arial;Helvetica;sans-serif"/>
          <w:b/>
          <w:i w:val="false"/>
          <w:caps w:val="false"/>
          <w:smallCaps w:val="false"/>
          <w:color w:val="0070CD"/>
          <w:spacing w:val="-3"/>
          <w:sz w:val="20"/>
        </w:rPr>
        <w:t>ECOMMENDATIONS</w:t>
      </w:r>
      <w:r>
        <w:rPr>
          <w:rFonts w:ascii="Arial;Helvetica;sans-serif" w:hAnsi="Arial;Helvetica;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1043"/>
        <w:gridCol w:w="109"/>
        <w:gridCol w:w="109"/>
        <w:gridCol w:w="4574"/>
        <w:gridCol w:w="109"/>
        <w:gridCol w:w="109"/>
        <w:gridCol w:w="1374"/>
        <w:gridCol w:w="116"/>
        <w:gridCol w:w="116"/>
        <w:gridCol w:w="517"/>
        <w:gridCol w:w="109"/>
        <w:gridCol w:w="109"/>
        <w:gridCol w:w="811"/>
        <w:gridCol w:w="156"/>
      </w:tblGrid>
      <w:tr>
        <w:trPr/>
        <w:tc>
          <w:tcPr>
            <w:tcW w:w="124"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0"/>
              <w:jc w:val="center"/>
              <w:rPr>
                <w:spacing w:val="0"/>
              </w:rPr>
            </w:pPr>
            <w:r>
              <w:rPr>
                <w:spacing w:val="0"/>
              </w:rPr>
              <w:t xml:space="preserve">Proposals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4" w:type="dxa"/>
            <w:tcBorders/>
            <w:vAlign w:val="center"/>
          </w:tcPr>
          <w:p>
            <w:pPr>
              <w:pStyle w:val="TableContents"/>
              <w:bidi w:val="0"/>
              <w:spacing w:before="0" w:after="0"/>
              <w:jc w:val="left"/>
              <w:rPr>
                <w:spacing w:val="0"/>
              </w:rPr>
            </w:pPr>
            <w:r>
              <w:rPr>
                <w:spacing w:val="0"/>
              </w:rPr>
              <w:t xml:space="preserve">Items of Business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3" w:type="dxa"/>
            <w:gridSpan w:val="4"/>
            <w:tcBorders/>
            <w:vAlign w:val="center"/>
          </w:tcPr>
          <w:p>
            <w:pPr>
              <w:pStyle w:val="TableContents"/>
              <w:bidi w:val="0"/>
              <w:spacing w:before="0" w:after="0"/>
              <w:jc w:val="center"/>
              <w:rPr>
                <w:spacing w:val="0"/>
              </w:rPr>
            </w:pPr>
            <w:r>
              <w:rPr>
                <w:spacing w:val="0"/>
              </w:rPr>
              <w:t xml:space="preserve">Board Recommendations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1" w:type="dxa"/>
            <w:tcBorders/>
            <w:vAlign w:val="center"/>
          </w:tcPr>
          <w:p>
            <w:pPr>
              <w:pStyle w:val="TableContents"/>
              <w:bidi w:val="0"/>
              <w:spacing w:before="0" w:after="0"/>
              <w:jc w:val="center"/>
              <w:rPr>
                <w:spacing w:val="0"/>
              </w:rPr>
            </w:pPr>
            <w:r>
              <w:rPr>
                <w:spacing w:val="0"/>
              </w:rPr>
              <w:t xml:space="preserve">See </w:t>
              <w:br/>
              <w:t xml:space="preserve">Page # </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43" w:type="dxa"/>
            <w:tcBorders>
              <w:bottom w:val="single" w:sz="2" w:space="0" w:color="000000"/>
            </w:tcBorders>
            <w:tcMar>
              <w:bottom w:w="28" w:type="dxa"/>
            </w:tcMar>
            <w:vAlign w:val="center"/>
          </w:tcPr>
          <w:p>
            <w:pPr>
              <w:pStyle w:val="TableContents"/>
              <w:bidi w:val="0"/>
              <w:spacing w:lineRule="atLeast" w:line="340" w:before="0" w:after="0"/>
              <w:jc w:val="center"/>
              <w:rPr>
                <w:b/>
                <w:color w:val="0055B7"/>
                <w:sz w:val="32"/>
              </w:rPr>
            </w:pPr>
            <w:r>
              <w:rPr>
                <w:b/>
                <w:color w:val="0055B7"/>
                <w:spacing w:val="-4"/>
                <w:sz w:val="32"/>
              </w:rPr>
              <w:t>1</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74" w:type="dxa"/>
            <w:tcBorders>
              <w:bottom w:val="single" w:sz="2" w:space="0" w:color="000000"/>
            </w:tcBorders>
            <w:tcMar>
              <w:bottom w:w="60" w:type="dxa"/>
            </w:tcMar>
            <w:vAlign w:val="center"/>
          </w:tcPr>
          <w:p>
            <w:pPr>
              <w:pStyle w:val="TableContents"/>
              <w:bidi w:val="0"/>
              <w:spacing w:lineRule="atLeast" w:line="200" w:before="0" w:after="0"/>
              <w:jc w:val="left"/>
              <w:rPr>
                <w:spacing w:val="-1"/>
              </w:rPr>
            </w:pPr>
            <w:r>
              <w:rPr>
                <w:spacing w:val="-1"/>
              </w:rPr>
              <w:t xml:space="preserve">To elect the 12 director nominees named in this Proxy Statement to one-year terms expiring in 2027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74" w:type="dxa"/>
            <w:tcBorders>
              <w:bottom w:val="single" w:sz="2" w:space="0" w:color="000000"/>
            </w:tcBorders>
            <w:tcMar>
              <w:bottom w:w="60" w:type="dxa"/>
            </w:tcMar>
            <w:vAlign w:val="center"/>
          </w:tcPr>
          <w:p>
            <w:pPr>
              <w:pStyle w:val="TableContents"/>
              <w:bidi w:val="0"/>
              <w:spacing w:lineRule="atLeast" w:line="200" w:before="0" w:after="0"/>
              <w:jc w:val="right"/>
              <w:rPr/>
            </w:pPr>
            <w:r>
              <w:rPr>
                <w:b/>
                <w:color w:val="0070CD"/>
                <w:spacing w:val="-2"/>
              </w:rPr>
              <w:t>FOR</w:t>
            </w:r>
            <w:r>
              <w:rPr>
                <w:spacing w:val="-1"/>
              </w:rPr>
              <w:t xml:space="preserve"> </w:t>
              <w:br/>
              <w:t>all nominees</w:t>
            </w:r>
            <w:r>
              <w:rPr/>
              <w:t xml:space="preserve"> </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517" w:type="dxa"/>
            <w:tcBorders>
              <w:bottom w:val="single" w:sz="2" w:space="0" w:color="000000"/>
            </w:tcBorders>
            <w:tcMar>
              <w:bottom w:w="28" w:type="dxa"/>
            </w:tcMar>
            <w:vAlign w:val="center"/>
          </w:tcPr>
          <w:p>
            <w:pPr>
              <w:pStyle w:val="TableContents"/>
              <w:bidi w:val="0"/>
              <w:spacing w:before="0" w:after="0"/>
              <w:jc w:val="left"/>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11" w:type="dxa"/>
            <w:tcBorders>
              <w:bottom w:val="single" w:sz="2" w:space="0" w:color="000000"/>
            </w:tcBorders>
            <w:tcMar>
              <w:bottom w:w="28" w:type="dxa"/>
            </w:tcMar>
            <w:vAlign w:val="center"/>
          </w:tcPr>
          <w:p>
            <w:pPr>
              <w:pStyle w:val="TableContents"/>
              <w:bidi w:val="0"/>
              <w:spacing w:lineRule="atLeast" w:line="200" w:before="0" w:after="0"/>
              <w:jc w:val="center"/>
              <w:rPr/>
            </w:pPr>
            <w:hyperlink w:anchor="tPRO">
              <w:r>
                <w:rPr>
                  <w:rStyle w:val="InternetLink"/>
                  <w:spacing w:val="-1"/>
                </w:rPr>
                <w:t>8</w:t>
              </w:r>
            </w:hyperlink>
            <w:r>
              <w:rPr>
                <w:spacing w:val="-1"/>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43" w:type="dxa"/>
            <w:tcBorders>
              <w:bottom w:val="single" w:sz="2" w:space="0" w:color="000000"/>
            </w:tcBorders>
            <w:tcMar>
              <w:bottom w:w="28" w:type="dxa"/>
            </w:tcMar>
            <w:vAlign w:val="center"/>
          </w:tcPr>
          <w:p>
            <w:pPr>
              <w:pStyle w:val="TableContents"/>
              <w:bidi w:val="0"/>
              <w:spacing w:lineRule="atLeast" w:line="340" w:before="0" w:after="0"/>
              <w:jc w:val="center"/>
              <w:rPr>
                <w:b/>
                <w:color w:val="0055B7"/>
                <w:sz w:val="32"/>
              </w:rPr>
            </w:pPr>
            <w:r>
              <w:rPr>
                <w:b/>
                <w:color w:val="0055B7"/>
                <w:spacing w:val="-4"/>
                <w:sz w:val="32"/>
              </w:rPr>
              <w:t>2</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74" w:type="dxa"/>
            <w:tcBorders>
              <w:bottom w:val="single" w:sz="2" w:space="0" w:color="000000"/>
            </w:tcBorders>
            <w:tcMar>
              <w:bottom w:w="60" w:type="dxa"/>
            </w:tcMar>
            <w:vAlign w:val="center"/>
          </w:tcPr>
          <w:p>
            <w:pPr>
              <w:pStyle w:val="TableContents"/>
              <w:bidi w:val="0"/>
              <w:spacing w:lineRule="atLeast" w:line="200" w:before="0" w:after="0"/>
              <w:jc w:val="left"/>
              <w:rPr>
                <w:spacing w:val="-1"/>
              </w:rPr>
            </w:pPr>
            <w:r>
              <w:rPr>
                <w:spacing w:val="-1"/>
              </w:rPr>
              <w:t xml:space="preserve">To approve, on an advisory basis, the Company’s executive 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74" w:type="dxa"/>
            <w:tcBorders>
              <w:bottom w:val="single" w:sz="2" w:space="0" w:color="000000"/>
            </w:tcBorders>
            <w:tcMar>
              <w:bottom w:w="28" w:type="dxa"/>
            </w:tcMar>
            <w:vAlign w:val="center"/>
          </w:tcPr>
          <w:p>
            <w:pPr>
              <w:pStyle w:val="TableContents"/>
              <w:bidi w:val="0"/>
              <w:spacing w:lineRule="atLeast" w:line="200" w:before="0" w:after="0"/>
              <w:jc w:val="right"/>
              <w:rPr>
                <w:b/>
                <w:color w:val="0070CD"/>
              </w:rPr>
            </w:pPr>
            <w:r>
              <w:rPr>
                <w:b/>
                <w:color w:val="0070CD"/>
                <w:spacing w:val="-2"/>
              </w:rPr>
              <w:t>FOR</w:t>
            </w:r>
            <w:r>
              <w:rPr>
                <w:b/>
                <w:color w:val="0070CD"/>
              </w:rPr>
              <w:t xml:space="preserve"> </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517" w:type="dxa"/>
            <w:tcBorders>
              <w:bottom w:val="single" w:sz="2" w:space="0" w:color="000000"/>
            </w:tcBorders>
            <w:tcMar>
              <w:bottom w:w="28" w:type="dxa"/>
            </w:tcMar>
            <w:vAlign w:val="center"/>
          </w:tcPr>
          <w:p>
            <w:pPr>
              <w:pStyle w:val="TableContents"/>
              <w:bidi w:val="0"/>
              <w:spacing w:before="0" w:after="0"/>
              <w:jc w:val="left"/>
              <w:rPr/>
            </w:pPr>
            <w:r>
              <w:rPr/>
              <w:drawing>
                <wp:inline distT="0" distB="0" distL="0" distR="0">
                  <wp:extent cx="238125" cy="23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11" w:type="dxa"/>
            <w:tcBorders>
              <w:bottom w:val="single" w:sz="2" w:space="0" w:color="000000"/>
            </w:tcBorders>
            <w:tcMar>
              <w:bottom w:w="28" w:type="dxa"/>
            </w:tcMar>
            <w:vAlign w:val="center"/>
          </w:tcPr>
          <w:p>
            <w:pPr>
              <w:pStyle w:val="TableContents"/>
              <w:bidi w:val="0"/>
              <w:spacing w:lineRule="atLeast" w:line="200" w:before="0" w:after="0"/>
              <w:jc w:val="center"/>
              <w:rPr/>
            </w:pPr>
            <w:hyperlink w:anchor="tPRO1">
              <w:r>
                <w:rPr>
                  <w:rStyle w:val="InternetLink"/>
                  <w:spacing w:val="-1"/>
                </w:rPr>
                <w:t>45</w:t>
              </w:r>
            </w:hyperlink>
            <w:r>
              <w:rPr>
                <w:spacing w:val="-1"/>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43" w:type="dxa"/>
            <w:tcBorders>
              <w:bottom w:val="single" w:sz="2" w:space="0" w:color="000000"/>
            </w:tcBorders>
            <w:tcMar>
              <w:bottom w:w="28" w:type="dxa"/>
            </w:tcMar>
            <w:vAlign w:val="center"/>
          </w:tcPr>
          <w:p>
            <w:pPr>
              <w:pStyle w:val="TableContents"/>
              <w:bidi w:val="0"/>
              <w:spacing w:lineRule="atLeast" w:line="340" w:before="0" w:after="0"/>
              <w:jc w:val="center"/>
              <w:rPr>
                <w:b/>
                <w:color w:val="0055B7"/>
                <w:sz w:val="32"/>
              </w:rPr>
            </w:pPr>
            <w:r>
              <w:rPr>
                <w:b/>
                <w:color w:val="0055B7"/>
                <w:spacing w:val="-4"/>
                <w:sz w:val="32"/>
              </w:rPr>
              <w:t>3</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74" w:type="dxa"/>
            <w:tcBorders>
              <w:bottom w:val="single" w:sz="2" w:space="0" w:color="000000"/>
            </w:tcBorders>
            <w:tcMar>
              <w:bottom w:w="60" w:type="dxa"/>
            </w:tcMar>
            <w:vAlign w:val="center"/>
          </w:tcPr>
          <w:p>
            <w:pPr>
              <w:pStyle w:val="TableContents"/>
              <w:bidi w:val="0"/>
              <w:spacing w:lineRule="atLeast" w:line="200" w:before="0" w:after="0"/>
              <w:jc w:val="left"/>
              <w:rPr>
                <w:spacing w:val="-1"/>
              </w:rPr>
            </w:pPr>
            <w:r>
              <w:rPr>
                <w:spacing w:val="-1"/>
              </w:rPr>
              <w:t xml:space="preserve">To approve the frequency of holding advisory votes to approve the Company’s executive 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74" w:type="dxa"/>
            <w:tcBorders>
              <w:bottom w:val="single" w:sz="2" w:space="0" w:color="000000"/>
            </w:tcBorders>
            <w:tcMar>
              <w:bottom w:w="28" w:type="dxa"/>
            </w:tcMar>
            <w:vAlign w:val="center"/>
          </w:tcPr>
          <w:p>
            <w:pPr>
              <w:pStyle w:val="TableContents"/>
              <w:bidi w:val="0"/>
              <w:spacing w:lineRule="atLeast" w:line="200" w:before="0" w:after="0"/>
              <w:jc w:val="right"/>
              <w:rPr>
                <w:b/>
                <w:color w:val="0070CD"/>
              </w:rPr>
            </w:pPr>
            <w:r>
              <w:rPr>
                <w:b/>
                <w:color w:val="0070CD"/>
                <w:spacing w:val="-2"/>
              </w:rPr>
              <w:t>ONE YEAR</w:t>
            </w:r>
            <w:r>
              <w:rPr>
                <w:b/>
                <w:color w:val="0070CD"/>
              </w:rPr>
              <w:t xml:space="preserve"> </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517" w:type="dxa"/>
            <w:tcBorders>
              <w:bottom w:val="single" w:sz="2" w:space="0" w:color="000000"/>
            </w:tcBorders>
            <w:tcMar>
              <w:bottom w:w="28" w:type="dxa"/>
            </w:tcMar>
            <w:vAlign w:val="center"/>
          </w:tcPr>
          <w:p>
            <w:pPr>
              <w:pStyle w:val="TableContents"/>
              <w:bidi w:val="0"/>
              <w:spacing w:before="0" w:after="0"/>
              <w:jc w:val="left"/>
              <w:rPr/>
            </w:pPr>
            <w:r>
              <w:rPr/>
              <w:drawing>
                <wp:inline distT="0" distB="0" distL="0" distR="0">
                  <wp:extent cx="238125" cy="23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11" w:type="dxa"/>
            <w:tcBorders>
              <w:bottom w:val="single" w:sz="2" w:space="0" w:color="000000"/>
            </w:tcBorders>
            <w:tcMar>
              <w:bottom w:w="28" w:type="dxa"/>
            </w:tcMar>
            <w:vAlign w:val="center"/>
          </w:tcPr>
          <w:p>
            <w:pPr>
              <w:pStyle w:val="TableContents"/>
              <w:bidi w:val="0"/>
              <w:spacing w:lineRule="atLeast" w:line="200" w:before="0" w:after="0"/>
              <w:jc w:val="center"/>
              <w:rPr/>
            </w:pPr>
            <w:hyperlink w:anchor="tPRO2">
              <w:r>
                <w:rPr>
                  <w:rStyle w:val="InternetLink"/>
                  <w:spacing w:val="-1"/>
                </w:rPr>
                <w:t>45</w:t>
              </w:r>
            </w:hyperlink>
            <w:r>
              <w:rPr>
                <w:spacing w:val="-1"/>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43" w:type="dxa"/>
            <w:tcBorders>
              <w:bottom w:val="single" w:sz="2" w:space="0" w:color="000000"/>
            </w:tcBorders>
            <w:tcMar>
              <w:bottom w:w="28" w:type="dxa"/>
            </w:tcMar>
            <w:vAlign w:val="center"/>
          </w:tcPr>
          <w:p>
            <w:pPr>
              <w:pStyle w:val="TableContents"/>
              <w:bidi w:val="0"/>
              <w:spacing w:lineRule="atLeast" w:line="340" w:before="0" w:after="0"/>
              <w:jc w:val="center"/>
              <w:rPr>
                <w:b/>
                <w:color w:val="0055B7"/>
                <w:sz w:val="32"/>
              </w:rPr>
            </w:pPr>
            <w:r>
              <w:rPr>
                <w:b/>
                <w:color w:val="0055B7"/>
                <w:spacing w:val="-4"/>
                <w:sz w:val="32"/>
              </w:rPr>
              <w:t>4</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74" w:type="dxa"/>
            <w:tcBorders>
              <w:bottom w:val="single" w:sz="2" w:space="0" w:color="000000"/>
            </w:tcBorders>
            <w:tcMar>
              <w:bottom w:w="60" w:type="dxa"/>
            </w:tcMar>
            <w:vAlign w:val="center"/>
          </w:tcPr>
          <w:p>
            <w:pPr>
              <w:pStyle w:val="TableContents"/>
              <w:bidi w:val="0"/>
              <w:spacing w:lineRule="atLeast" w:line="200" w:before="0" w:after="0"/>
              <w:jc w:val="left"/>
              <w:rPr>
                <w:spacing w:val="-1"/>
              </w:rPr>
            </w:pPr>
            <w:r>
              <w:rPr>
                <w:spacing w:val="-1"/>
              </w:rPr>
              <w:t xml:space="preserve">To ratify the selection of Ernst &amp; Young LLP as our independent auditor for 2026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74" w:type="dxa"/>
            <w:tcBorders>
              <w:bottom w:val="single" w:sz="2" w:space="0" w:color="000000"/>
            </w:tcBorders>
            <w:tcMar>
              <w:bottom w:w="28" w:type="dxa"/>
            </w:tcMar>
            <w:vAlign w:val="center"/>
          </w:tcPr>
          <w:p>
            <w:pPr>
              <w:pStyle w:val="TableContents"/>
              <w:bidi w:val="0"/>
              <w:spacing w:lineRule="atLeast" w:line="200" w:before="0" w:after="0"/>
              <w:jc w:val="right"/>
              <w:rPr>
                <w:b/>
                <w:color w:val="0070CD"/>
              </w:rPr>
            </w:pPr>
            <w:r>
              <w:rPr>
                <w:b/>
                <w:color w:val="0070CD"/>
                <w:spacing w:val="-2"/>
              </w:rPr>
              <w:t>FOR</w:t>
            </w:r>
            <w:r>
              <w:rPr>
                <w:b/>
                <w:color w:val="0070CD"/>
              </w:rPr>
              <w:t xml:space="preserve"> </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517" w:type="dxa"/>
            <w:tcBorders>
              <w:bottom w:val="single" w:sz="2" w:space="0" w:color="000000"/>
            </w:tcBorders>
            <w:tcMar>
              <w:bottom w:w="28" w:type="dxa"/>
            </w:tcMar>
            <w:vAlign w:val="center"/>
          </w:tcPr>
          <w:p>
            <w:pPr>
              <w:pStyle w:val="TableContents"/>
              <w:bidi w:val="0"/>
              <w:spacing w:before="0" w:after="0"/>
              <w:jc w:val="left"/>
              <w:rPr/>
            </w:pPr>
            <w:r>
              <w:rPr/>
              <w:drawing>
                <wp:inline distT="0" distB="0" distL="0" distR="0">
                  <wp:extent cx="238125" cy="23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11" w:type="dxa"/>
            <w:tcBorders>
              <w:bottom w:val="single" w:sz="2" w:space="0" w:color="000000"/>
            </w:tcBorders>
            <w:tcMar>
              <w:bottom w:w="28" w:type="dxa"/>
            </w:tcMar>
            <w:vAlign w:val="center"/>
          </w:tcPr>
          <w:p>
            <w:pPr>
              <w:pStyle w:val="TableContents"/>
              <w:bidi w:val="0"/>
              <w:spacing w:lineRule="atLeast" w:line="200" w:before="0" w:after="0"/>
              <w:jc w:val="center"/>
              <w:rPr/>
            </w:pPr>
            <w:hyperlink w:anchor="tPRO3">
              <w:r>
                <w:rPr>
                  <w:rStyle w:val="InternetLink"/>
                  <w:spacing w:val="-1"/>
                </w:rPr>
                <w:t>72</w:t>
              </w:r>
            </w:hyperlink>
            <w:r>
              <w:rPr>
                <w:spacing w:val="-1"/>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43" w:type="dxa"/>
            <w:tcBorders>
              <w:bottom w:val="single" w:sz="2" w:space="0" w:color="000000"/>
            </w:tcBorders>
            <w:tcMar>
              <w:bottom w:w="28" w:type="dxa"/>
            </w:tcMar>
            <w:vAlign w:val="center"/>
          </w:tcPr>
          <w:p>
            <w:pPr>
              <w:pStyle w:val="TableContents"/>
              <w:bidi w:val="0"/>
              <w:spacing w:lineRule="atLeast" w:line="340" w:before="0" w:after="0"/>
              <w:jc w:val="center"/>
              <w:rPr>
                <w:b/>
                <w:color w:val="0055B7"/>
                <w:sz w:val="32"/>
              </w:rPr>
            </w:pPr>
            <w:r>
              <w:rPr>
                <w:b/>
                <w:color w:val="0055B7"/>
                <w:spacing w:val="-4"/>
                <w:sz w:val="32"/>
              </w:rPr>
              <w:t>5</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44" w:type="dxa"/>
            <w:gridSpan w:val="10"/>
            <w:tcBorders>
              <w:bottom w:val="single" w:sz="2" w:space="0" w:color="000000"/>
            </w:tcBorders>
            <w:tcMar>
              <w:bottom w:w="28" w:type="dxa"/>
            </w:tcMar>
            <w:vAlign w:val="center"/>
          </w:tcPr>
          <w:p>
            <w:pPr>
              <w:pStyle w:val="TableContents"/>
              <w:bidi w:val="0"/>
              <w:spacing w:lineRule="atLeast" w:line="200" w:before="0" w:after="0"/>
              <w:jc w:val="left"/>
              <w:rPr/>
            </w:pPr>
            <w:r>
              <w:rPr>
                <w:spacing w:val="-1"/>
              </w:rPr>
              <w:t>To transact any other business properly presented at the Annual Meeting</w:t>
            </w:r>
            <w:r>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200" w:after="283"/>
        <w:ind w:left="720" w:right="0" w:hanging="0"/>
        <w:jc w:val="left"/>
        <w:rPr/>
      </w:pPr>
      <w:r>
        <w:rPr>
          <w:rFonts w:ascii="Arial;Helvetica;sans-serif" w:hAnsi="Arial;Helvetica;sans-serif"/>
          <w:b/>
          <w:i w:val="false"/>
          <w:caps w:val="false"/>
          <w:smallCaps w:val="false"/>
          <w:color w:val="000000"/>
          <w:spacing w:val="-2"/>
          <w:sz w:val="18"/>
        </w:rPr>
        <w:t>YOUR VOTE IS IMPORTANT.</w:t>
      </w:r>
      <w:r>
        <w:rPr>
          <w:rFonts w:ascii="Arial;Helvetica;sans-serif" w:hAnsi="Arial;Helvetica;sans-serif"/>
          <w:b w:val="false"/>
          <w:i w:val="false"/>
          <w:caps w:val="false"/>
          <w:smallCaps w:val="false"/>
          <w:color w:val="000000"/>
          <w:spacing w:val="-1"/>
          <w:sz w:val="18"/>
        </w:rPr>
        <w:t xml:space="preserve"> Make sure to have your Notice of Internet Availability of Proxy Materials (“Notice”), proxy card, or voting instruction form with control number available and follow the instructions. For additional information, see Question 4 on page </w:t>
      </w:r>
      <w:hyperlink w:anchor="tQNA4">
        <w:r>
          <w:rPr>
            <w:rStyle w:val="InternetLink"/>
          </w:rPr>
          <w:t>76</w:t>
        </w:r>
      </w:hyperlink>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127">
                <wp:simplePos x="0" y="0"/>
                <wp:positionH relativeFrom="column">
                  <wp:align>left</wp:align>
                </wp:positionH>
                <wp:positionV relativeFrom="line">
                  <wp:posOffset>635</wp:posOffset>
                </wp:positionV>
                <wp:extent cx="2489200" cy="2828290"/>
                <wp:effectExtent l="0" t="0" r="0" b="0"/>
                <wp:wrapSquare wrapText="right"/>
                <wp:docPr id="15" name="Frame2"/>
                <a:graphic xmlns:a="http://schemas.openxmlformats.org/drawingml/2006/main">
                  <a:graphicData uri="http://schemas.microsoft.com/office/word/2010/wordprocessingShape">
                    <wps:wsp>
                      <wps:cNvSpPr txBox="1"/>
                      <wps:spPr>
                        <a:xfrm>
                          <a:off x="0" y="0"/>
                          <a:ext cx="2489200" cy="282829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671"/>
                              <w:gridCol w:w="109"/>
                              <w:gridCol w:w="109"/>
                              <w:gridCol w:w="9037"/>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283"/>
                                    <w:jc w:val="left"/>
                                    <w:rPr/>
                                  </w:pPr>
                                  <w:r>
                                    <w:rPr>
                                      <w:spacing w:val="-3"/>
                                    </w:rPr>
                                    <w:t>H</w:t>
                                  </w:r>
                                  <w:r>
                                    <w:rPr>
                                      <w:caps w:val="false"/>
                                      <w:smallCaps w:val="false"/>
                                      <w:spacing w:val="-3"/>
                                    </w:rPr>
                                    <w:t>OW TO</w:t>
                                  </w:r>
                                  <w:r>
                                    <w:rPr>
                                      <w:spacing w:val="-3"/>
                                    </w:rPr>
                                    <w:t xml:space="preserve"> V</w:t>
                                  </w:r>
                                  <w:r>
                                    <w:rPr>
                                      <w:caps w:val="false"/>
                                      <w:smallCaps w:val="false"/>
                                      <w:spacing w:val="-3"/>
                                    </w:rPr>
                                    <w:t>OTE</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671" w:type="dxa"/>
                                  <w:tcBorders>
                                    <w:bottom w:val="single" w:sz="2" w:space="0" w:color="000000"/>
                                  </w:tcBorders>
                                  <w:tcMar>
                                    <w:bottom w:w="175" w:type="dxa"/>
                                  </w:tcMar>
                                  <w:vAlign w:val="center"/>
                                </w:tcPr>
                                <w:p>
                                  <w:pPr>
                                    <w:pStyle w:val="TableContents"/>
                                    <w:bidi w:val="0"/>
                                    <w:spacing w:before="0" w:after="0"/>
                                    <w:jc w:val="center"/>
                                    <w:rPr/>
                                  </w:pPr>
                                  <w:r>
                                    <w:rPr/>
                                    <w:drawing>
                                      <wp:inline distT="0" distB="0" distL="0" distR="0">
                                        <wp:extent cx="238125" cy="323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6"/>
                                                <a:stretch>
                                                  <a:fillRect/>
                                                </a:stretch>
                                              </pic:blipFill>
                                              <pic:spPr bwMode="auto">
                                                <a:xfrm>
                                                  <a:off x="0" y="0"/>
                                                  <a:ext cx="238125" cy="32385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37" w:type="dxa"/>
                                  <w:tcBorders>
                                    <w:bottom w:val="single" w:sz="2" w:space="0" w:color="000000"/>
                                  </w:tcBorders>
                                  <w:tcMar>
                                    <w:bottom w:w="38" w:type="dxa"/>
                                  </w:tcMar>
                                  <w:vAlign w:val="center"/>
                                </w:tcPr>
                                <w:p>
                                  <w:pPr>
                                    <w:pStyle w:val="TableContents"/>
                                    <w:bidi w:val="0"/>
                                    <w:spacing w:lineRule="atLeast" w:line="225" w:before="0" w:after="0"/>
                                    <w:jc w:val="left"/>
                                    <w:rPr>
                                      <w:b/>
                                      <w:color w:val="0055B7"/>
                                    </w:rPr>
                                  </w:pPr>
                                  <w:r>
                                    <w:rPr>
                                      <w:b/>
                                      <w:color w:val="0055B7"/>
                                      <w:spacing w:val="-2"/>
                                    </w:rPr>
                                    <w:t>BY PHONE</w:t>
                                  </w:r>
                                  <w:r>
                                    <w:rPr>
                                      <w:b/>
                                      <w:color w:val="0055B7"/>
                                    </w:rPr>
                                    <w:t xml:space="preserve"> </w:t>
                                  </w:r>
                                </w:p>
                                <w:p>
                                  <w:pPr>
                                    <w:pStyle w:val="TableContents"/>
                                    <w:bidi w:val="0"/>
                                    <w:spacing w:lineRule="atLeast" w:line="225" w:before="40" w:after="283"/>
                                    <w:jc w:val="left"/>
                                    <w:rPr>
                                      <w:spacing w:val="-1"/>
                                    </w:rPr>
                                  </w:pPr>
                                  <w:r>
                                    <w:rPr>
                                      <w:spacing w:val="-1"/>
                                    </w:rPr>
                                    <w:t xml:space="preserve">Call the phone number listed on your proxy card or voting instruction form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671" w:type="dxa"/>
                                  <w:tcBorders>
                                    <w:bottom w:val="single" w:sz="2" w:space="0" w:color="000000"/>
                                  </w:tcBorders>
                                  <w:tcMar>
                                    <w:bottom w:w="270" w:type="dxa"/>
                                  </w:tcMar>
                                  <w:vAlign w:val="center"/>
                                </w:tcPr>
                                <w:p>
                                  <w:pPr>
                                    <w:pStyle w:val="TableContents"/>
                                    <w:bidi w:val="0"/>
                                    <w:spacing w:before="0" w:after="0"/>
                                    <w:jc w:val="center"/>
                                    <w:rPr/>
                                  </w:pPr>
                                  <w:r>
                                    <w:rPr/>
                                    <w:drawing>
                                      <wp:inline distT="0" distB="0" distL="0" distR="0">
                                        <wp:extent cx="333375" cy="266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7"/>
                                                <a:stretch>
                                                  <a:fillRect/>
                                                </a:stretch>
                                              </pic:blipFill>
                                              <pic:spPr bwMode="auto">
                                                <a:xfrm>
                                                  <a:off x="0" y="0"/>
                                                  <a:ext cx="333375" cy="2667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37" w:type="dxa"/>
                                  <w:tcBorders>
                                    <w:bottom w:val="single" w:sz="2" w:space="0" w:color="000000"/>
                                  </w:tcBorders>
                                  <w:tcMar>
                                    <w:bottom w:w="38" w:type="dxa"/>
                                  </w:tcMar>
                                  <w:vAlign w:val="center"/>
                                </w:tcPr>
                                <w:p>
                                  <w:pPr>
                                    <w:pStyle w:val="TableContents"/>
                                    <w:bidi w:val="0"/>
                                    <w:spacing w:lineRule="atLeast" w:line="225" w:before="0" w:after="0"/>
                                    <w:jc w:val="left"/>
                                    <w:rPr>
                                      <w:b/>
                                      <w:color w:val="0055B7"/>
                                    </w:rPr>
                                  </w:pPr>
                                  <w:r>
                                    <w:rPr>
                                      <w:b/>
                                      <w:color w:val="0055B7"/>
                                      <w:spacing w:val="-2"/>
                                    </w:rPr>
                                    <w:t>ONLINE</w:t>
                                  </w:r>
                                  <w:r>
                                    <w:rPr>
                                      <w:b/>
                                      <w:color w:val="0055B7"/>
                                    </w:rPr>
                                    <w:t xml:space="preserve"> </w:t>
                                  </w:r>
                                </w:p>
                                <w:p>
                                  <w:pPr>
                                    <w:pStyle w:val="TableContents"/>
                                    <w:bidi w:val="0"/>
                                    <w:spacing w:lineRule="atLeast" w:line="225" w:before="40" w:after="283"/>
                                    <w:jc w:val="left"/>
                                    <w:rPr>
                                      <w:spacing w:val="-1"/>
                                    </w:rPr>
                                  </w:pPr>
                                  <w:r>
                                    <w:rPr>
                                      <w:spacing w:val="-1"/>
                                    </w:rPr>
                                    <w:t xml:space="preserve">Visit the website listed on your proxy card, Notice, or voting instruction form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671" w:type="dxa"/>
                                  <w:tcBorders>
                                    <w:bottom w:val="single" w:sz="2" w:space="0" w:color="000000"/>
                                  </w:tcBorders>
                                  <w:tcMar>
                                    <w:bottom w:w="270" w:type="dxa"/>
                                  </w:tcMar>
                                  <w:vAlign w:val="center"/>
                                </w:tcPr>
                                <w:p>
                                  <w:pPr>
                                    <w:pStyle w:val="TableContents"/>
                                    <w:bidi w:val="0"/>
                                    <w:spacing w:before="0" w:after="0"/>
                                    <w:jc w:val="center"/>
                                    <w:rPr/>
                                  </w:pPr>
                                  <w:r>
                                    <w:rPr/>
                                    <w:drawing>
                                      <wp:inline distT="0" distB="0" distL="0" distR="0">
                                        <wp:extent cx="342900" cy="23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8"/>
                                                <a:stretch>
                                                  <a:fillRect/>
                                                </a:stretch>
                                              </pic:blipFill>
                                              <pic:spPr bwMode="auto">
                                                <a:xfrm>
                                                  <a:off x="0" y="0"/>
                                                  <a:ext cx="342900" cy="238125"/>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37" w:type="dxa"/>
                                  <w:tcBorders>
                                    <w:bottom w:val="single" w:sz="2" w:space="0" w:color="000000"/>
                                  </w:tcBorders>
                                  <w:tcMar>
                                    <w:bottom w:w="38" w:type="dxa"/>
                                  </w:tcMar>
                                  <w:vAlign w:val="center"/>
                                </w:tcPr>
                                <w:p>
                                  <w:pPr>
                                    <w:pStyle w:val="TableContents"/>
                                    <w:bidi w:val="0"/>
                                    <w:spacing w:lineRule="atLeast" w:line="225" w:before="0" w:after="0"/>
                                    <w:jc w:val="left"/>
                                    <w:rPr>
                                      <w:b/>
                                      <w:color w:val="0055B7"/>
                                    </w:rPr>
                                  </w:pPr>
                                  <w:r>
                                    <w:rPr>
                                      <w:b/>
                                      <w:color w:val="0055B7"/>
                                      <w:spacing w:val="-2"/>
                                    </w:rPr>
                                    <w:t>BY MAIL</w:t>
                                  </w:r>
                                  <w:r>
                                    <w:rPr>
                                      <w:b/>
                                      <w:color w:val="0055B7"/>
                                    </w:rPr>
                                    <w:t xml:space="preserve"> </w:t>
                                  </w:r>
                                </w:p>
                                <w:p>
                                  <w:pPr>
                                    <w:pStyle w:val="TableContents"/>
                                    <w:bidi w:val="0"/>
                                    <w:spacing w:lineRule="atLeast" w:line="225" w:before="40" w:after="283"/>
                                    <w:jc w:val="left"/>
                                    <w:rPr/>
                                  </w:pPr>
                                  <w:r>
                                    <w:rPr>
                                      <w:spacing w:val="-1"/>
                                    </w:rPr>
                                    <w:t>Complete, sign, date, and return your proxy card in the envelope enclosed with the physical copy of your proxy materials</w:t>
                                  </w: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6pt;height:222.7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671"/>
                        <w:gridCol w:w="109"/>
                        <w:gridCol w:w="109"/>
                        <w:gridCol w:w="9037"/>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283"/>
                              <w:jc w:val="left"/>
                              <w:rPr/>
                            </w:pPr>
                            <w:r>
                              <w:rPr>
                                <w:spacing w:val="-3"/>
                              </w:rPr>
                              <w:t>H</w:t>
                            </w:r>
                            <w:r>
                              <w:rPr>
                                <w:caps w:val="false"/>
                                <w:smallCaps w:val="false"/>
                                <w:spacing w:val="-3"/>
                              </w:rPr>
                              <w:t>OW TO</w:t>
                            </w:r>
                            <w:r>
                              <w:rPr>
                                <w:spacing w:val="-3"/>
                              </w:rPr>
                              <w:t xml:space="preserve"> V</w:t>
                            </w:r>
                            <w:r>
                              <w:rPr>
                                <w:caps w:val="false"/>
                                <w:smallCaps w:val="false"/>
                                <w:spacing w:val="-3"/>
                              </w:rPr>
                              <w:t>OTE</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671" w:type="dxa"/>
                            <w:tcBorders>
                              <w:bottom w:val="single" w:sz="2" w:space="0" w:color="000000"/>
                            </w:tcBorders>
                            <w:tcMar>
                              <w:bottom w:w="175" w:type="dxa"/>
                            </w:tcMar>
                            <w:vAlign w:val="center"/>
                          </w:tcPr>
                          <w:p>
                            <w:pPr>
                              <w:pStyle w:val="TableContents"/>
                              <w:bidi w:val="0"/>
                              <w:spacing w:before="0" w:after="0"/>
                              <w:jc w:val="center"/>
                              <w:rPr/>
                            </w:pPr>
                            <w:r>
                              <w:rPr/>
                              <w:drawing>
                                <wp:inline distT="0" distB="0" distL="0" distR="0">
                                  <wp:extent cx="238125" cy="3238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9"/>
                                          <a:stretch>
                                            <a:fillRect/>
                                          </a:stretch>
                                        </pic:blipFill>
                                        <pic:spPr bwMode="auto">
                                          <a:xfrm>
                                            <a:off x="0" y="0"/>
                                            <a:ext cx="238125" cy="32385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37" w:type="dxa"/>
                            <w:tcBorders>
                              <w:bottom w:val="single" w:sz="2" w:space="0" w:color="000000"/>
                            </w:tcBorders>
                            <w:tcMar>
                              <w:bottom w:w="38" w:type="dxa"/>
                            </w:tcMar>
                            <w:vAlign w:val="center"/>
                          </w:tcPr>
                          <w:p>
                            <w:pPr>
                              <w:pStyle w:val="TableContents"/>
                              <w:bidi w:val="0"/>
                              <w:spacing w:lineRule="atLeast" w:line="225" w:before="0" w:after="0"/>
                              <w:jc w:val="left"/>
                              <w:rPr>
                                <w:b/>
                                <w:color w:val="0055B7"/>
                              </w:rPr>
                            </w:pPr>
                            <w:r>
                              <w:rPr>
                                <w:b/>
                                <w:color w:val="0055B7"/>
                                <w:spacing w:val="-2"/>
                              </w:rPr>
                              <w:t>BY PHONE</w:t>
                            </w:r>
                            <w:r>
                              <w:rPr>
                                <w:b/>
                                <w:color w:val="0055B7"/>
                              </w:rPr>
                              <w:t xml:space="preserve"> </w:t>
                            </w:r>
                          </w:p>
                          <w:p>
                            <w:pPr>
                              <w:pStyle w:val="TableContents"/>
                              <w:bidi w:val="0"/>
                              <w:spacing w:lineRule="atLeast" w:line="225" w:before="40" w:after="283"/>
                              <w:jc w:val="left"/>
                              <w:rPr>
                                <w:spacing w:val="-1"/>
                              </w:rPr>
                            </w:pPr>
                            <w:r>
                              <w:rPr>
                                <w:spacing w:val="-1"/>
                              </w:rPr>
                              <w:t xml:space="preserve">Call the phone number listed on your proxy card or voting instruction form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671" w:type="dxa"/>
                            <w:tcBorders>
                              <w:bottom w:val="single" w:sz="2" w:space="0" w:color="000000"/>
                            </w:tcBorders>
                            <w:tcMar>
                              <w:bottom w:w="270" w:type="dxa"/>
                            </w:tcMar>
                            <w:vAlign w:val="center"/>
                          </w:tcPr>
                          <w:p>
                            <w:pPr>
                              <w:pStyle w:val="TableContents"/>
                              <w:bidi w:val="0"/>
                              <w:spacing w:before="0" w:after="0"/>
                              <w:jc w:val="center"/>
                              <w:rPr/>
                            </w:pPr>
                            <w:r>
                              <w:rPr/>
                              <w:drawing>
                                <wp:inline distT="0" distB="0" distL="0" distR="0">
                                  <wp:extent cx="333375" cy="2667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20"/>
                                          <a:stretch>
                                            <a:fillRect/>
                                          </a:stretch>
                                        </pic:blipFill>
                                        <pic:spPr bwMode="auto">
                                          <a:xfrm>
                                            <a:off x="0" y="0"/>
                                            <a:ext cx="333375" cy="2667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37" w:type="dxa"/>
                            <w:tcBorders>
                              <w:bottom w:val="single" w:sz="2" w:space="0" w:color="000000"/>
                            </w:tcBorders>
                            <w:tcMar>
                              <w:bottom w:w="38" w:type="dxa"/>
                            </w:tcMar>
                            <w:vAlign w:val="center"/>
                          </w:tcPr>
                          <w:p>
                            <w:pPr>
                              <w:pStyle w:val="TableContents"/>
                              <w:bidi w:val="0"/>
                              <w:spacing w:lineRule="atLeast" w:line="225" w:before="0" w:after="0"/>
                              <w:jc w:val="left"/>
                              <w:rPr>
                                <w:b/>
                                <w:color w:val="0055B7"/>
                              </w:rPr>
                            </w:pPr>
                            <w:r>
                              <w:rPr>
                                <w:b/>
                                <w:color w:val="0055B7"/>
                                <w:spacing w:val="-2"/>
                              </w:rPr>
                              <w:t>ONLINE</w:t>
                            </w:r>
                            <w:r>
                              <w:rPr>
                                <w:b/>
                                <w:color w:val="0055B7"/>
                              </w:rPr>
                              <w:t xml:space="preserve"> </w:t>
                            </w:r>
                          </w:p>
                          <w:p>
                            <w:pPr>
                              <w:pStyle w:val="TableContents"/>
                              <w:bidi w:val="0"/>
                              <w:spacing w:lineRule="atLeast" w:line="225" w:before="40" w:after="283"/>
                              <w:jc w:val="left"/>
                              <w:rPr>
                                <w:spacing w:val="-1"/>
                              </w:rPr>
                            </w:pPr>
                            <w:r>
                              <w:rPr>
                                <w:spacing w:val="-1"/>
                              </w:rPr>
                              <w:t xml:space="preserve">Visit the website listed on your proxy card, Notice, or voting instruction form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671" w:type="dxa"/>
                            <w:tcBorders>
                              <w:bottom w:val="single" w:sz="2" w:space="0" w:color="000000"/>
                            </w:tcBorders>
                            <w:tcMar>
                              <w:bottom w:w="270" w:type="dxa"/>
                            </w:tcMar>
                            <w:vAlign w:val="center"/>
                          </w:tcPr>
                          <w:p>
                            <w:pPr>
                              <w:pStyle w:val="TableContents"/>
                              <w:bidi w:val="0"/>
                              <w:spacing w:before="0" w:after="0"/>
                              <w:jc w:val="center"/>
                              <w:rPr/>
                            </w:pPr>
                            <w:r>
                              <w:rPr/>
                              <w:drawing>
                                <wp:inline distT="0" distB="0" distL="0" distR="0">
                                  <wp:extent cx="342900" cy="2381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21"/>
                                          <a:stretch>
                                            <a:fillRect/>
                                          </a:stretch>
                                        </pic:blipFill>
                                        <pic:spPr bwMode="auto">
                                          <a:xfrm>
                                            <a:off x="0" y="0"/>
                                            <a:ext cx="342900" cy="238125"/>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37" w:type="dxa"/>
                            <w:tcBorders>
                              <w:bottom w:val="single" w:sz="2" w:space="0" w:color="000000"/>
                            </w:tcBorders>
                            <w:tcMar>
                              <w:bottom w:w="38" w:type="dxa"/>
                            </w:tcMar>
                            <w:vAlign w:val="center"/>
                          </w:tcPr>
                          <w:p>
                            <w:pPr>
                              <w:pStyle w:val="TableContents"/>
                              <w:bidi w:val="0"/>
                              <w:spacing w:lineRule="atLeast" w:line="225" w:before="0" w:after="0"/>
                              <w:jc w:val="left"/>
                              <w:rPr>
                                <w:b/>
                                <w:color w:val="0055B7"/>
                              </w:rPr>
                            </w:pPr>
                            <w:r>
                              <w:rPr>
                                <w:b/>
                                <w:color w:val="0055B7"/>
                                <w:spacing w:val="-2"/>
                              </w:rPr>
                              <w:t>BY MAIL</w:t>
                            </w:r>
                            <w:r>
                              <w:rPr>
                                <w:b/>
                                <w:color w:val="0055B7"/>
                              </w:rPr>
                              <w:t xml:space="preserve"> </w:t>
                            </w:r>
                          </w:p>
                          <w:p>
                            <w:pPr>
                              <w:pStyle w:val="TableContents"/>
                              <w:bidi w:val="0"/>
                              <w:spacing w:lineRule="atLeast" w:line="225" w:before="40" w:after="283"/>
                              <w:jc w:val="left"/>
                              <w:rPr/>
                            </w:pPr>
                            <w:r>
                              <w:rPr>
                                <w:spacing w:val="-1"/>
                              </w:rPr>
                              <w:t>Complete, sign, date, and return your proxy card in the envelope enclosed with the physical copy of your proxy materials</w:t>
                            </w: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457200" distR="0" simplePos="0" locked="0" layoutInCell="1" allowOverlap="1" relativeHeight="142">
                <wp:simplePos x="0" y="0"/>
                <wp:positionH relativeFrom="column">
                  <wp:align>left</wp:align>
                </wp:positionH>
                <wp:positionV relativeFrom="line">
                  <wp:posOffset>635</wp:posOffset>
                </wp:positionV>
                <wp:extent cx="3987800" cy="2070735"/>
                <wp:effectExtent l="0" t="0" r="0" b="0"/>
                <wp:wrapSquare wrapText="right"/>
                <wp:docPr id="22" name="Frame1"/>
                <a:graphic xmlns:a="http://schemas.openxmlformats.org/drawingml/2006/main">
                  <a:graphicData uri="http://schemas.microsoft.com/office/word/2010/wordprocessingShape">
                    <wps:wsp>
                      <wps:cNvSpPr txBox="1"/>
                      <wps:spPr>
                        <a:xfrm>
                          <a:off x="0" y="0"/>
                          <a:ext cx="3987800" cy="2070735"/>
                        </a:xfrm>
                        <a:prstGeom prst="rect"/>
                        <a:solidFill>
                          <a:srgbClr val="FFFFFF"/>
                        </a:solidFill>
                      </wps:spPr>
                      <wps:txbx>
                        <w:txbxContent>
                          <w:p>
                            <w:pPr>
                              <w:pStyle w:val="TextBody"/>
                              <w:bidi w:val="0"/>
                              <w:spacing w:lineRule="atLeast" w:line="220" w:before="0" w:after="0"/>
                              <w:jc w:val="left"/>
                              <w:rPr/>
                            </w:pPr>
                            <w:r>
                              <w:rPr>
                                <w:spacing w:val="-1"/>
                              </w:rPr>
                              <w:t>By Order of the Board of Directors,</w:t>
                            </w:r>
                            <w:r>
                              <w:rPr>
                                <w:spacing w:val="4"/>
                              </w:rPr>
                              <w:t xml:space="preserve"> </w:t>
                            </w:r>
                          </w:p>
                          <w:tbl>
                            <w:tblPr>
                              <w:tblW w:w="6848" w:type="dxa"/>
                              <w:jc w:val="left"/>
                              <w:tblInd w:w="0" w:type="dxa"/>
                              <w:tblLayout w:type="fixed"/>
                              <w:tblCellMar>
                                <w:top w:w="0" w:type="dxa"/>
                                <w:left w:w="0" w:type="dxa"/>
                                <w:bottom w:w="0" w:type="dxa"/>
                                <w:right w:w="0" w:type="dxa"/>
                              </w:tblCellMar>
                            </w:tblPr>
                            <w:tblGrid>
                              <w:gridCol w:w="124"/>
                              <w:gridCol w:w="1511"/>
                              <w:gridCol w:w="109"/>
                              <w:gridCol w:w="109"/>
                              <w:gridCol w:w="4841"/>
                              <w:gridCol w:w="154"/>
                            </w:tblGrid>
                            <w:tr>
                              <w:trPr/>
                              <w:tc>
                                <w:tcPr>
                                  <w:tcW w:w="124" w:type="dxa"/>
                                  <w:tcBorders/>
                                  <w:vAlign w:val="center"/>
                                </w:tcPr>
                                <w:p>
                                  <w:pPr>
                                    <w:pStyle w:val="TableContents"/>
                                    <w:bidi w:val="0"/>
                                    <w:spacing w:before="0" w:after="283"/>
                                    <w:jc w:val="left"/>
                                    <w:rPr/>
                                  </w:pPr>
                                  <w:r>
                                    <w:rPr/>
                                    <w:t>​</w:t>
                                  </w:r>
                                </w:p>
                              </w:tc>
                              <w:tc>
                                <w:tcPr>
                                  <w:tcW w:w="1511" w:type="dxa"/>
                                  <w:tcBorders/>
                                  <w:vAlign w:val="center"/>
                                </w:tcPr>
                                <w:p>
                                  <w:pPr>
                                    <w:pStyle w:val="TableContents"/>
                                    <w:bidi w:val="0"/>
                                    <w:spacing w:before="0" w:after="0"/>
                                    <w:jc w:val="left"/>
                                    <w:rPr/>
                                  </w:pPr>
                                  <w:r>
                                    <w:rPr/>
                                    <w:drawing>
                                      <wp:inline distT="0" distB="0" distL="0" distR="0">
                                        <wp:extent cx="866775" cy="10668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22"/>
                                                <a:stretch>
                                                  <a:fillRect/>
                                                </a:stretch>
                                              </pic:blipFill>
                                              <pic:spPr bwMode="auto">
                                                <a:xfrm>
                                                  <a:off x="0" y="0"/>
                                                  <a:ext cx="866775" cy="1066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41" w:type="dxa"/>
                                  <w:tcBorders/>
                                  <w:vAlign w:val="center"/>
                                </w:tcPr>
                                <w:p>
                                  <w:pPr>
                                    <w:pStyle w:val="TableContents"/>
                                    <w:bidi w:val="0"/>
                                    <w:spacing w:lineRule="atLeast" w:line="225" w:before="0" w:after="0"/>
                                    <w:jc w:val="left"/>
                                    <w:rPr>
                                      <w:b/>
                                    </w:rPr>
                                  </w:pPr>
                                  <w:r>
                                    <w:rPr>
                                      <w:b/>
                                      <w:spacing w:val="-2"/>
                                    </w:rPr>
                                    <w:t>NICOLE FRITZ</w:t>
                                  </w:r>
                                  <w:r>
                                    <w:rPr>
                                      <w:b/>
                                    </w:rPr>
                                    <w:t xml:space="preserve"> </w:t>
                                  </w:r>
                                </w:p>
                                <w:p>
                                  <w:pPr>
                                    <w:pStyle w:val="TableContents"/>
                                    <w:bidi w:val="0"/>
                                    <w:spacing w:lineRule="atLeast" w:line="225" w:before="160" w:after="283"/>
                                    <w:jc w:val="left"/>
                                    <w:rPr/>
                                  </w:pPr>
                                  <w:r>
                                    <w:rPr>
                                      <w:spacing w:val="-1"/>
                                    </w:rPr>
                                    <w:t xml:space="preserve">Vice President, </w:t>
                                    <w:br/>
                                    <w:t>Deputy General Counsel and Corporate Secretary</w:t>
                                  </w:r>
                                  <w:r>
                                    <w:rPr/>
                                    <w:t xml:space="preserve"> </w:t>
                                  </w:r>
                                </w:p>
                                <w:p>
                                  <w:pPr>
                                    <w:pStyle w:val="TableContents"/>
                                    <w:bidi w:val="0"/>
                                    <w:spacing w:lineRule="atLeast" w:line="225" w:before="160" w:after="283"/>
                                    <w:jc w:val="left"/>
                                    <w:rPr/>
                                  </w:pPr>
                                  <w:r>
                                    <w:rPr>
                                      <w:spacing w:val="-1"/>
                                    </w:rPr>
                                    <w:t>Northfield, Illinois</w:t>
                                  </w:r>
                                  <w:r>
                                    <w:rPr/>
                                    <w:t xml:space="preserve"> </w:t>
                                  </w:r>
                                </w:p>
                                <w:p>
                                  <w:pPr>
                                    <w:pStyle w:val="TableContents"/>
                                    <w:bidi w:val="0"/>
                                    <w:spacing w:lineRule="atLeast" w:line="225" w:before="160" w:after="283"/>
                                    <w:jc w:val="left"/>
                                    <w:rPr/>
                                  </w:pPr>
                                  <w:r>
                                    <w:rPr>
                                      <w:spacing w:val="-1"/>
                                    </w:rPr>
                                    <w:t>April 23,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4pt;height:163.0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20" w:before="0" w:after="0"/>
                        <w:jc w:val="left"/>
                        <w:rPr/>
                      </w:pPr>
                      <w:r>
                        <w:rPr>
                          <w:spacing w:val="-1"/>
                        </w:rPr>
                        <w:t>By Order of the Board of Directors,</w:t>
                      </w:r>
                      <w:r>
                        <w:rPr>
                          <w:spacing w:val="4"/>
                        </w:rPr>
                        <w:t xml:space="preserve"> </w:t>
                      </w:r>
                    </w:p>
                    <w:tbl>
                      <w:tblPr>
                        <w:tblW w:w="6848" w:type="dxa"/>
                        <w:jc w:val="left"/>
                        <w:tblInd w:w="0" w:type="dxa"/>
                        <w:tblLayout w:type="fixed"/>
                        <w:tblCellMar>
                          <w:top w:w="0" w:type="dxa"/>
                          <w:left w:w="0" w:type="dxa"/>
                          <w:bottom w:w="0" w:type="dxa"/>
                          <w:right w:w="0" w:type="dxa"/>
                        </w:tblCellMar>
                      </w:tblPr>
                      <w:tblGrid>
                        <w:gridCol w:w="124"/>
                        <w:gridCol w:w="1511"/>
                        <w:gridCol w:w="109"/>
                        <w:gridCol w:w="109"/>
                        <w:gridCol w:w="4841"/>
                        <w:gridCol w:w="154"/>
                      </w:tblGrid>
                      <w:tr>
                        <w:trPr/>
                        <w:tc>
                          <w:tcPr>
                            <w:tcW w:w="124" w:type="dxa"/>
                            <w:tcBorders/>
                            <w:vAlign w:val="center"/>
                          </w:tcPr>
                          <w:p>
                            <w:pPr>
                              <w:pStyle w:val="TableContents"/>
                              <w:bidi w:val="0"/>
                              <w:spacing w:before="0" w:after="283"/>
                              <w:jc w:val="left"/>
                              <w:rPr/>
                            </w:pPr>
                            <w:r>
                              <w:rPr/>
                              <w:t>​</w:t>
                            </w:r>
                          </w:p>
                        </w:tc>
                        <w:tc>
                          <w:tcPr>
                            <w:tcW w:w="1511" w:type="dxa"/>
                            <w:tcBorders/>
                            <w:vAlign w:val="center"/>
                          </w:tcPr>
                          <w:p>
                            <w:pPr>
                              <w:pStyle w:val="TableContents"/>
                              <w:bidi w:val="0"/>
                              <w:spacing w:before="0" w:after="0"/>
                              <w:jc w:val="left"/>
                              <w:rPr/>
                            </w:pPr>
                            <w:r>
                              <w:rPr/>
                              <w:drawing>
                                <wp:inline distT="0" distB="0" distL="0" distR="0">
                                  <wp:extent cx="866775" cy="10668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23"/>
                                          <a:stretch>
                                            <a:fillRect/>
                                          </a:stretch>
                                        </pic:blipFill>
                                        <pic:spPr bwMode="auto">
                                          <a:xfrm>
                                            <a:off x="0" y="0"/>
                                            <a:ext cx="866775" cy="1066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41" w:type="dxa"/>
                            <w:tcBorders/>
                            <w:vAlign w:val="center"/>
                          </w:tcPr>
                          <w:p>
                            <w:pPr>
                              <w:pStyle w:val="TableContents"/>
                              <w:bidi w:val="0"/>
                              <w:spacing w:lineRule="atLeast" w:line="225" w:before="0" w:after="0"/>
                              <w:jc w:val="left"/>
                              <w:rPr>
                                <w:b/>
                              </w:rPr>
                            </w:pPr>
                            <w:r>
                              <w:rPr>
                                <w:b/>
                                <w:spacing w:val="-2"/>
                              </w:rPr>
                              <w:t>NICOLE FRITZ</w:t>
                            </w:r>
                            <w:r>
                              <w:rPr>
                                <w:b/>
                              </w:rPr>
                              <w:t xml:space="preserve"> </w:t>
                            </w:r>
                          </w:p>
                          <w:p>
                            <w:pPr>
                              <w:pStyle w:val="TableContents"/>
                              <w:bidi w:val="0"/>
                              <w:spacing w:lineRule="atLeast" w:line="225" w:before="160" w:after="283"/>
                              <w:jc w:val="left"/>
                              <w:rPr/>
                            </w:pPr>
                            <w:r>
                              <w:rPr>
                                <w:spacing w:val="-1"/>
                              </w:rPr>
                              <w:t xml:space="preserve">Vice President, </w:t>
                              <w:br/>
                              <w:t>Deputy General Counsel and Corporate Secretary</w:t>
                            </w:r>
                            <w:r>
                              <w:rPr/>
                              <w:t xml:space="preserve"> </w:t>
                            </w:r>
                          </w:p>
                          <w:p>
                            <w:pPr>
                              <w:pStyle w:val="TableContents"/>
                              <w:bidi w:val="0"/>
                              <w:spacing w:lineRule="atLeast" w:line="225" w:before="160" w:after="283"/>
                              <w:jc w:val="left"/>
                              <w:rPr/>
                            </w:pPr>
                            <w:r>
                              <w:rPr>
                                <w:spacing w:val="-1"/>
                              </w:rPr>
                              <w:t>Northfield, Illinois</w:t>
                            </w:r>
                            <w:r>
                              <w:rPr/>
                              <w:t xml:space="preserve"> </w:t>
                            </w:r>
                          </w:p>
                          <w:p>
                            <w:pPr>
                              <w:pStyle w:val="TableContents"/>
                              <w:bidi w:val="0"/>
                              <w:spacing w:lineRule="atLeast" w:line="225" w:before="160" w:after="283"/>
                              <w:jc w:val="left"/>
                              <w:rPr/>
                            </w:pPr>
                            <w:r>
                              <w:rPr>
                                <w:spacing w:val="-1"/>
                              </w:rPr>
                              <w:t>April 23,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20" w:before="156" w:after="283"/>
        <w:ind w:left="720"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D8E8F8" w:val="clear"/>
            <w:vAlign w:val="center"/>
          </w:tcPr>
          <w:p>
            <w:pPr>
              <w:pStyle w:val="TableContents"/>
              <w:bidi w:val="0"/>
              <w:spacing w:before="0" w:after="283"/>
              <w:jc w:val="left"/>
              <w:rPr/>
            </w:pPr>
            <w:r>
              <w:rPr/>
              <w:t>​</w:t>
            </w:r>
          </w:p>
        </w:tc>
        <w:tc>
          <w:tcPr>
            <w:tcW w:w="9207" w:type="dxa"/>
            <w:tcBorders/>
            <w:shd w:fill="D8E8F8" w:val="clear"/>
            <w:vAlign w:val="center"/>
          </w:tcPr>
          <w:p>
            <w:pPr>
              <w:pStyle w:val="TableContents"/>
              <w:bidi w:val="0"/>
              <w:spacing w:lineRule="atLeast" w:line="180" w:before="0" w:after="0"/>
              <w:jc w:val="left"/>
              <w:rPr/>
            </w:pPr>
            <w:r>
              <w:rPr>
                <w:spacing w:val="-2"/>
              </w:rPr>
              <w:t>IMPORTANT NOTICE REGARDING THE AVAILABILITY OF PROXY MATERIALS FOR THE ANNUAL MEETING OF STOCKHOLDERS TO BE HELD ON JUNE 11, 2026</w:t>
            </w:r>
            <w:r>
              <w:rPr/>
              <w:t xml:space="preserve"> </w:t>
            </w:r>
          </w:p>
        </w:tc>
        <w:tc>
          <w:tcPr>
            <w:tcW w:w="154" w:type="dxa"/>
            <w:tcBorders/>
            <w:shd w:fill="D8E8F8" w:val="clear"/>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9207" w:type="dxa"/>
            <w:tcBorders/>
            <w:shd w:fill="D8E8F8" w:val="clear"/>
            <w:vAlign w:val="center"/>
          </w:tcPr>
          <w:p>
            <w:pPr>
              <w:pStyle w:val="TableContents"/>
              <w:bidi w:val="0"/>
              <w:spacing w:lineRule="atLeast" w:line="180" w:before="0" w:after="0"/>
              <w:jc w:val="left"/>
              <w:rPr/>
            </w:pPr>
            <w:r>
              <w:rPr>
                <w:spacing w:val="0"/>
              </w:rPr>
              <w:t>Medline Inc.’s Proxy Statement and Annual Report to Stockholders for the year ended December 31, 2025, are available at www.proxyvote.com.</w:t>
            </w:r>
            <w:r>
              <w:rPr/>
              <w:t xml:space="preserve"> </w:t>
            </w:r>
          </w:p>
        </w:tc>
        <w:tc>
          <w:tcPr>
            <w:tcW w:w="154" w:type="dxa"/>
            <w:tcBorders/>
            <w:shd w:fill="D8E8F8" w:val="cle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caps w:val="false"/>
          <w:smallCaps w:val="false"/>
          <w:color w:val="C3C5C8"/>
        </w:rPr>
      </w:pPr>
      <w:r>
        <w:rPr>
          <w:caps w:val="false"/>
          <w:smallCaps w:val="false"/>
          <w:color w:val="C3C5C8"/>
          <w:spacing w:val="-1"/>
        </w:rPr>
        <w:t> </w:t>
      </w:r>
      <w:r>
        <w:rPr>
          <w:caps w:val="false"/>
          <w:smallCaps w:val="false"/>
          <w:color w:val="C3C5C8"/>
        </w:rPr>
        <w:t xml:space="preserve"> </w:t>
      </w:r>
    </w:p>
    <w:p>
      <w:pPr>
        <w:pStyle w:val="TextBody"/>
        <w:bidi w:val="0"/>
        <w:spacing w:lineRule="atLeast" w:line="480" w:before="400" w:after="283"/>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Table of Contents</w:t>
      </w:r>
      <w:r>
        <w:rPr>
          <w:rFonts w:ascii="Arial;Helvetica;sans-serif" w:hAnsi="Arial;Helvetica;sans-serif"/>
          <w:b/>
          <w:i w:val="false"/>
          <w:caps w:val="false"/>
          <w:smallCaps w:val="false"/>
          <w:color w:val="003CA6"/>
          <w:sz w:val="44"/>
        </w:rPr>
        <w:t xml:space="preserve"> </w:t>
      </w:r>
    </w:p>
    <w:tbl>
      <w:tblPr>
        <w:tblW w:w="9485" w:type="dxa"/>
        <w:jc w:val="left"/>
        <w:tblInd w:w="720" w:type="dxa"/>
        <w:tblLayout w:type="fixed"/>
        <w:tblCellMar>
          <w:top w:w="0" w:type="dxa"/>
          <w:left w:w="0" w:type="dxa"/>
          <w:bottom w:w="28" w:type="dxa"/>
          <w:right w:w="0" w:type="dxa"/>
        </w:tblCellMar>
      </w:tblPr>
      <w:tblGrid>
        <w:gridCol w:w="124"/>
        <w:gridCol w:w="2653"/>
        <w:gridCol w:w="109"/>
        <w:gridCol w:w="109"/>
        <w:gridCol w:w="5402"/>
        <w:gridCol w:w="109"/>
        <w:gridCol w:w="109"/>
        <w:gridCol w:w="109"/>
        <w:gridCol w:w="109"/>
        <w:gridCol w:w="387"/>
        <w:gridCol w:w="109"/>
        <w:gridCol w:w="156"/>
      </w:tblGrid>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OCL">
              <w:r>
                <w:rPr>
                  <w:rStyle w:val="InternetLink"/>
                  <w:color w:val="003CA6"/>
                  <w:spacing w:val="0"/>
                </w:rPr>
                <w:t>Company Overview</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vAlign w:val="center"/>
          </w:tcPr>
          <w:p>
            <w:pPr>
              <w:pStyle w:val="TableContents"/>
              <w:bidi w:val="0"/>
              <w:spacing w:before="0" w:after="283"/>
              <w:jc w:val="left"/>
              <w:rPr/>
            </w:pPr>
            <w:hyperlink w:anchor="tOCL">
              <w:r>
                <w:rPr>
                  <w:rStyle w:val="InternetLink"/>
                  <w:color w:val="003CA6"/>
                  <w:spacing w:val="0"/>
                </w:rPr>
                <w:t>Our Culture</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OCL">
              <w:r>
                <w:rPr>
                  <w:rStyle w:val="InternetLink"/>
                  <w:color w:val="003CA6"/>
                  <w:spacing w:val="-2"/>
                </w:rPr>
                <w:t>1</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OPL">
              <w:r>
                <w:rPr>
                  <w:rStyle w:val="InternetLink"/>
                  <w:spacing w:val="-1"/>
                </w:rPr>
                <w:t xml:space="preserve">Our People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OPL">
              <w:r>
                <w:rPr>
                  <w:rStyle w:val="InternetLink"/>
                  <w:spacing w:val="-1"/>
                </w:rPr>
                <w:t>2</w:t>
              </w:r>
            </w:hyperlink>
            <w:hyperlink w:anchor="tOP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OEAS">
              <w:r>
                <w:rPr>
                  <w:rStyle w:val="InternetLink"/>
                  <w:spacing w:val="-1"/>
                </w:rPr>
                <w:t xml:space="preserve">Our Environmental and Sustainability Efforts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OEAS">
              <w:r>
                <w:rPr>
                  <w:rStyle w:val="InternetLink"/>
                  <w:spacing w:val="-1"/>
                </w:rPr>
                <w:t>2</w:t>
              </w:r>
            </w:hyperlink>
            <w:hyperlink w:anchor="tOEAS">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OBL">
              <w:r>
                <w:rPr>
                  <w:rStyle w:val="InternetLink"/>
                  <w:spacing w:val="-1"/>
                </w:rPr>
                <w:t xml:space="preserve">Our Business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OBL">
              <w:r>
                <w:rPr>
                  <w:rStyle w:val="InternetLink"/>
                  <w:spacing w:val="-1"/>
                </w:rPr>
                <w:t>3</w:t>
              </w:r>
            </w:hyperlink>
            <w:hyperlink w:anchor="tOB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VOT">
              <w:r>
                <w:rPr>
                  <w:rStyle w:val="InternetLink"/>
                  <w:color w:val="003CA6"/>
                  <w:spacing w:val="0"/>
                </w:rPr>
                <w:t>Roadmap</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55" w:type="dxa"/>
            </w:tcMar>
            <w:vAlign w:val="center"/>
          </w:tcPr>
          <w:p>
            <w:pPr>
              <w:pStyle w:val="TableContents"/>
              <w:bidi w:val="0"/>
              <w:spacing w:before="0" w:after="283"/>
              <w:jc w:val="left"/>
              <w:rPr/>
            </w:pPr>
            <w:hyperlink w:anchor="tVOT">
              <w:r>
                <w:rPr>
                  <w:rStyle w:val="InternetLink"/>
                  <w:color w:val="003CA6"/>
                  <w:spacing w:val="0"/>
                </w:rPr>
                <w:t>Voting Roadmap for 2026 Annual Meeting Proposals</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VOT">
              <w:r>
                <w:rPr>
                  <w:rStyle w:val="InternetLink"/>
                  <w:color w:val="003CA6"/>
                  <w:spacing w:val="-2"/>
                </w:rPr>
                <w:t>5</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PRO">
              <w:r>
                <w:rPr>
                  <w:rStyle w:val="InternetLink"/>
                  <w:color w:val="003CA6"/>
                  <w:spacing w:val="0"/>
                </w:rPr>
                <w:t>Our Board</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55" w:type="dxa"/>
            </w:tcMar>
            <w:vAlign w:val="center"/>
          </w:tcPr>
          <w:p>
            <w:pPr>
              <w:pStyle w:val="TableContents"/>
              <w:bidi w:val="0"/>
              <w:spacing w:before="0" w:after="283"/>
              <w:jc w:val="left"/>
              <w:rPr/>
            </w:pPr>
            <w:hyperlink w:anchor="tPRO">
              <w:r>
                <w:rPr>
                  <w:rStyle w:val="InternetLink"/>
                  <w:color w:val="003CA6"/>
                  <w:spacing w:val="0"/>
                </w:rPr>
                <w:t>Proposal 1 Election of Directors</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PRO">
              <w:r>
                <w:rPr>
                  <w:rStyle w:val="InternetLink"/>
                  <w:color w:val="003CA6"/>
                  <w:spacing w:val="-2"/>
                </w:rPr>
                <w:t>8</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O2DN">
              <w:r>
                <w:rPr>
                  <w:rStyle w:val="InternetLink"/>
                  <w:spacing w:val="-1"/>
                </w:rPr>
                <w:t xml:space="preserve">Our 2026 Director Nominees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O2DN">
              <w:r>
                <w:rPr>
                  <w:rStyle w:val="InternetLink"/>
                  <w:spacing w:val="-1"/>
                </w:rPr>
                <w:t>8</w:t>
              </w:r>
            </w:hyperlink>
            <w:hyperlink w:anchor="tO2DN">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BDQ">
              <w:r>
                <w:rPr>
                  <w:rStyle w:val="InternetLink"/>
                  <w:spacing w:val="-1"/>
                </w:rPr>
                <w:t xml:space="preserve">Board Qualifications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BDQ">
              <w:r>
                <w:rPr>
                  <w:rStyle w:val="InternetLink"/>
                  <w:spacing w:val="-1"/>
                </w:rPr>
                <w:t>19</w:t>
              </w:r>
            </w:hyperlink>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BLSL">
              <w:r>
                <w:rPr>
                  <w:rStyle w:val="InternetLink"/>
                  <w:color w:val="003CA6"/>
                  <w:spacing w:val="0"/>
                </w:rPr>
                <w:t>Governance</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55" w:type="dxa"/>
            </w:tcMar>
            <w:vAlign w:val="center"/>
          </w:tcPr>
          <w:p>
            <w:pPr>
              <w:pStyle w:val="TableContents"/>
              <w:bidi w:val="0"/>
              <w:spacing w:before="0" w:after="283"/>
              <w:jc w:val="left"/>
              <w:rPr/>
            </w:pPr>
            <w:hyperlink w:anchor="tBLSL">
              <w:r>
                <w:rPr>
                  <w:rStyle w:val="InternetLink"/>
                  <w:color w:val="003CA6"/>
                  <w:spacing w:val="0"/>
                </w:rPr>
                <w:t>Board Leadership Structure</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BLSL">
              <w:r>
                <w:rPr>
                  <w:rStyle w:val="InternetLink"/>
                  <w:color w:val="003CA6"/>
                  <w:spacing w:val="-2"/>
                </w:rPr>
                <w:t>21</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COTB">
              <w:r>
                <w:rPr>
                  <w:rStyle w:val="InternetLink"/>
                  <w:spacing w:val="-1"/>
                </w:rPr>
                <w:t xml:space="preserve">Committees of the Board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COTB">
              <w:r>
                <w:rPr>
                  <w:rStyle w:val="InternetLink"/>
                  <w:spacing w:val="-1"/>
                </w:rPr>
                <w:t>22</w:t>
              </w:r>
            </w:hyperlink>
            <w:hyperlink w:anchor="tCOTB">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DEL">
              <w:r>
                <w:rPr>
                  <w:rStyle w:val="InternetLink"/>
                  <w:spacing w:val="-1"/>
                </w:rPr>
                <w:t xml:space="preserve">Director Engagement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DEL">
              <w:r>
                <w:rPr>
                  <w:rStyle w:val="InternetLink"/>
                  <w:spacing w:val="-1"/>
                </w:rPr>
                <w:t>26</w:t>
              </w:r>
            </w:hyperlink>
            <w:hyperlink w:anchor="tDE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BOR">
              <w:r>
                <w:rPr>
                  <w:rStyle w:val="InternetLink"/>
                  <w:spacing w:val="-1"/>
                </w:rPr>
                <w:t xml:space="preserve">Board’s Oversight Role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BOR">
              <w:r>
                <w:rPr>
                  <w:rStyle w:val="InternetLink"/>
                  <w:spacing w:val="-1"/>
                </w:rPr>
                <w:t>27</w:t>
              </w:r>
            </w:hyperlink>
            <w:hyperlink w:anchor="tBOR">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OGPA">
              <w:r>
                <w:rPr>
                  <w:rStyle w:val="InternetLink"/>
                  <w:spacing w:val="-1"/>
                </w:rPr>
                <w:t xml:space="preserve">Other Governance Policies and Practices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OGPA">
              <w:r>
                <w:rPr>
                  <w:rStyle w:val="InternetLink"/>
                  <w:spacing w:val="-1"/>
                </w:rPr>
                <w:t>30</w:t>
              </w:r>
            </w:hyperlink>
            <w:hyperlink w:anchor="tOGPA">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DCPL">
              <w:r>
                <w:rPr>
                  <w:rStyle w:val="InternetLink"/>
                  <w:color w:val="003CA6"/>
                  <w:spacing w:val="0"/>
                </w:rPr>
                <w:t>Director Compensation</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55" w:type="dxa"/>
            </w:tcMar>
            <w:vAlign w:val="center"/>
          </w:tcPr>
          <w:p>
            <w:pPr>
              <w:pStyle w:val="TableContents"/>
              <w:bidi w:val="0"/>
              <w:spacing w:before="0" w:after="283"/>
              <w:jc w:val="left"/>
              <w:rPr/>
            </w:pPr>
            <w:hyperlink w:anchor="tDCPL">
              <w:r>
                <w:rPr>
                  <w:rStyle w:val="InternetLink"/>
                  <w:color w:val="003CA6"/>
                  <w:spacing w:val="0"/>
                </w:rPr>
                <w:t>Director Compensation Program</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DCPL">
              <w:r>
                <w:rPr>
                  <w:rStyle w:val="InternetLink"/>
                  <w:color w:val="003CA6"/>
                  <w:spacing w:val="-2"/>
                </w:rPr>
                <w:t>37</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DSOG">
              <w:r>
                <w:rPr>
                  <w:rStyle w:val="InternetLink"/>
                  <w:spacing w:val="-1"/>
                </w:rPr>
                <w:t xml:space="preserve">Director Stock Ownership Guidelines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DSOG">
              <w:r>
                <w:rPr>
                  <w:rStyle w:val="InternetLink"/>
                  <w:spacing w:val="-1"/>
                </w:rPr>
                <w:t>37</w:t>
              </w:r>
            </w:hyperlink>
            <w:hyperlink w:anchor="tDSOG">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SOOC">
              <w:r>
                <w:rPr>
                  <w:rStyle w:val="InternetLink"/>
                  <w:color w:val="003CA6"/>
                  <w:spacing w:val="0"/>
                </w:rPr>
                <w:t>Beneficial Ownership Of Stock</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55" w:type="dxa"/>
            </w:tcMar>
            <w:vAlign w:val="center"/>
          </w:tcPr>
          <w:p>
            <w:pPr>
              <w:pStyle w:val="TableContents"/>
              <w:bidi w:val="0"/>
              <w:spacing w:before="0" w:after="283"/>
              <w:jc w:val="left"/>
              <w:rPr/>
            </w:pPr>
            <w:hyperlink w:anchor="tSOOC">
              <w:r>
                <w:rPr>
                  <w:rStyle w:val="InternetLink"/>
                  <w:color w:val="003CA6"/>
                  <w:spacing w:val="0"/>
                </w:rPr>
                <w:t>Security Ownership of Certain Beneficial Owners and Management</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SOOC">
              <w:r>
                <w:rPr>
                  <w:rStyle w:val="InternetLink"/>
                  <w:color w:val="003CA6"/>
                  <w:spacing w:val="-2"/>
                </w:rPr>
                <w:t>39</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DS1R">
              <w:r>
                <w:rPr>
                  <w:rStyle w:val="InternetLink"/>
                  <w:spacing w:val="-1"/>
                </w:rPr>
                <w:t xml:space="preserve">Delinquent Section 16(a) Reports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DS1R">
              <w:r>
                <w:rPr>
                  <w:rStyle w:val="InternetLink"/>
                  <w:spacing w:val="-1"/>
                </w:rPr>
                <w:t>43</w:t>
              </w:r>
            </w:hyperlink>
            <w:hyperlink w:anchor="tDS1R">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PRO1">
              <w:r>
                <w:rPr>
                  <w:rStyle w:val="InternetLink"/>
                  <w:color w:val="003CA6"/>
                  <w:spacing w:val="0"/>
                </w:rPr>
                <w:t>Executive Compensation</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55" w:type="dxa"/>
            </w:tcMar>
            <w:vAlign w:val="center"/>
          </w:tcPr>
          <w:p>
            <w:pPr>
              <w:pStyle w:val="TableContents"/>
              <w:bidi w:val="0"/>
              <w:spacing w:before="0" w:after="283"/>
              <w:jc w:val="left"/>
              <w:rPr/>
            </w:pPr>
            <w:hyperlink w:anchor="tPRO1">
              <w:r>
                <w:rPr>
                  <w:rStyle w:val="InternetLink"/>
                  <w:color w:val="003CA6"/>
                  <w:spacing w:val="0"/>
                </w:rPr>
                <w:t>Proposal 2 Advisory Vote to Approve Our Executive Compensation</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PRO1">
              <w:r>
                <w:rPr>
                  <w:rStyle w:val="InternetLink"/>
                  <w:color w:val="003CA6"/>
                  <w:spacing w:val="-2"/>
                </w:rPr>
                <w:t>45</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40" w:type="dxa"/>
            </w:tcMar>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40" w:type="dxa"/>
            </w:tcMar>
            <w:vAlign w:val="center"/>
          </w:tcPr>
          <w:p>
            <w:pPr>
              <w:pStyle w:val="TableContents"/>
              <w:bidi w:val="0"/>
              <w:spacing w:lineRule="atLeast" w:line="212" w:before="0" w:after="0"/>
              <w:jc w:val="left"/>
              <w:rPr/>
            </w:pPr>
            <w:hyperlink w:anchor="tPRO2">
              <w:r>
                <w:rPr>
                  <w:rStyle w:val="InternetLink"/>
                  <w:color w:val="003CA6"/>
                  <w:spacing w:val="0"/>
                </w:rPr>
                <w:t xml:space="preserve">Proposal 3 Advisory Vote on the Frequency of Votes on Our Executive </w:t>
                <w:br/>
                <w:t>Compensation</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40"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40" w:type="dxa"/>
            </w:tcMar>
            <w:vAlign w:val="center"/>
          </w:tcPr>
          <w:p>
            <w:pPr>
              <w:pStyle w:val="TableContents"/>
              <w:bidi w:val="0"/>
              <w:spacing w:before="0" w:after="283"/>
              <w:jc w:val="right"/>
              <w:rPr/>
            </w:pPr>
            <w:hyperlink w:anchor="tPRO2">
              <w:r>
                <w:rPr>
                  <w:rStyle w:val="InternetLink"/>
                  <w:color w:val="003CA6"/>
                  <w:spacing w:val="-2"/>
                </w:rPr>
                <w:t>45</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CDAA">
              <w:r>
                <w:rPr>
                  <w:rStyle w:val="InternetLink"/>
                  <w:spacing w:val="-1"/>
                </w:rPr>
                <w:t xml:space="preserve">Compensation Discussion and Analysis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CDAA">
              <w:r>
                <w:rPr>
                  <w:rStyle w:val="InternetLink"/>
                  <w:spacing w:val="-1"/>
                </w:rPr>
                <w:t>47</w:t>
              </w:r>
            </w:hyperlink>
            <w:hyperlink w:anchor="tCDAA">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ECTL">
              <w:r>
                <w:rPr>
                  <w:rStyle w:val="InternetLink"/>
                  <w:spacing w:val="-1"/>
                </w:rPr>
                <w:t xml:space="preserve">Executive Compensation Tables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ECTL">
              <w:r>
                <w:rPr>
                  <w:rStyle w:val="InternetLink"/>
                  <w:spacing w:val="-1"/>
                </w:rPr>
                <w:t>58</w:t>
              </w:r>
            </w:hyperlink>
            <w:hyperlink w:anchor="tECT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PVPD">
              <w:r>
                <w:rPr>
                  <w:rStyle w:val="InternetLink"/>
                  <w:spacing w:val="-1"/>
                </w:rPr>
                <w:t xml:space="preserve">Pay Versus Performance Disclosure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PVPD">
              <w:r>
                <w:rPr>
                  <w:rStyle w:val="InternetLink"/>
                  <w:spacing w:val="-1"/>
                </w:rPr>
                <w:t>68</w:t>
              </w:r>
            </w:hyperlink>
            <w:hyperlink w:anchor="tPVPD">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40" w:type="dxa"/>
            </w:tcMar>
            <w:vAlign w:val="center"/>
          </w:tcPr>
          <w:p>
            <w:pPr>
              <w:pStyle w:val="TableContents"/>
              <w:bidi w:val="0"/>
              <w:spacing w:lineRule="atLeast" w:line="212" w:before="0" w:after="0"/>
              <w:jc w:val="left"/>
              <w:rPr/>
            </w:pPr>
            <w:hyperlink w:anchor="tECPI">
              <w:r>
                <w:rPr>
                  <w:rStyle w:val="InternetLink"/>
                  <w:color w:val="003CA6"/>
                  <w:spacing w:val="0"/>
                </w:rPr>
                <w:t xml:space="preserve">Equity Compensation Plan </w:t>
                <w:br/>
                <w:t>Information</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40" w:type="dxa"/>
            </w:tcMar>
            <w:vAlign w:val="center"/>
          </w:tcPr>
          <w:p>
            <w:pPr>
              <w:pStyle w:val="TableContents"/>
              <w:bidi w:val="0"/>
              <w:spacing w:before="0" w:after="283"/>
              <w:jc w:val="left"/>
              <w:rPr/>
            </w:pPr>
            <w:hyperlink w:anchor="tECPI">
              <w:r>
                <w:rPr>
                  <w:rStyle w:val="InternetLink"/>
                  <w:color w:val="003CA6"/>
                  <w:spacing w:val="0"/>
                </w:rPr>
                <w:t>Equity Compensation Plan Information</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40"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40" w:type="dxa"/>
            </w:tcMar>
            <w:vAlign w:val="center"/>
          </w:tcPr>
          <w:p>
            <w:pPr>
              <w:pStyle w:val="TableContents"/>
              <w:bidi w:val="0"/>
              <w:spacing w:before="0" w:after="283"/>
              <w:jc w:val="right"/>
              <w:rPr/>
            </w:pPr>
            <w:hyperlink w:anchor="tECPI">
              <w:r>
                <w:rPr>
                  <w:rStyle w:val="InternetLink"/>
                  <w:color w:val="003CA6"/>
                  <w:spacing w:val="-2"/>
                </w:rPr>
                <w:t>70</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PRO3">
              <w:r>
                <w:rPr>
                  <w:rStyle w:val="InternetLink"/>
                  <w:color w:val="003CA6"/>
                  <w:spacing w:val="0"/>
                </w:rPr>
                <w:t>Audit Matters</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55" w:type="dxa"/>
            </w:tcMar>
            <w:vAlign w:val="center"/>
          </w:tcPr>
          <w:p>
            <w:pPr>
              <w:pStyle w:val="TableContents"/>
              <w:bidi w:val="0"/>
              <w:spacing w:before="0" w:after="283"/>
              <w:jc w:val="left"/>
              <w:rPr/>
            </w:pPr>
            <w:hyperlink w:anchor="tPRO3">
              <w:r>
                <w:rPr>
                  <w:rStyle w:val="InternetLink"/>
                  <w:color w:val="003CA6"/>
                  <w:spacing w:val="0"/>
                </w:rPr>
                <w:t>Proposal 4 Ratification of Selection of Independent Auditor</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PRO3">
              <w:r>
                <w:rPr>
                  <w:rStyle w:val="InternetLink"/>
                  <w:color w:val="003CA6"/>
                  <w:spacing w:val="-2"/>
                </w:rPr>
                <w:t>72</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SOIA">
              <w:r>
                <w:rPr>
                  <w:rStyle w:val="InternetLink"/>
                  <w:spacing w:val="-1"/>
                </w:rPr>
                <w:t xml:space="preserve">Selection of Independent Auditor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SOIA">
              <w:r>
                <w:rPr>
                  <w:rStyle w:val="InternetLink"/>
                  <w:spacing w:val="-1"/>
                </w:rPr>
                <w:t>72</w:t>
              </w:r>
            </w:hyperlink>
            <w:hyperlink w:anchor="tSOIA">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IAFA">
              <w:r>
                <w:rPr>
                  <w:rStyle w:val="InternetLink"/>
                  <w:spacing w:val="-1"/>
                </w:rPr>
                <w:t xml:space="preserve">Independent Auditor’s Fees and Services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IAFA">
              <w:r>
                <w:rPr>
                  <w:rStyle w:val="InternetLink"/>
                  <w:spacing w:val="-1"/>
                </w:rPr>
                <w:t>72</w:t>
              </w:r>
            </w:hyperlink>
            <w:hyperlink w:anchor="tIAFA">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PPL">
              <w:r>
                <w:rPr>
                  <w:rStyle w:val="InternetLink"/>
                  <w:spacing w:val="-1"/>
                </w:rPr>
                <w:t xml:space="preserve">Pre-Approval Policy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PPL">
              <w:r>
                <w:rPr>
                  <w:rStyle w:val="InternetLink"/>
                  <w:spacing w:val="-1"/>
                </w:rPr>
                <w:t>73</w:t>
              </w:r>
            </w:hyperlink>
            <w:hyperlink w:anchor="tPP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ACRF">
              <w:r>
                <w:rPr>
                  <w:rStyle w:val="InternetLink"/>
                  <w:spacing w:val="-1"/>
                </w:rPr>
                <w:t xml:space="preserve">Audit Committee Report for the Fiscal Year Ended December 31, 2025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ACRF">
              <w:r>
                <w:rPr>
                  <w:rStyle w:val="InternetLink"/>
                  <w:spacing w:val="-1"/>
                </w:rPr>
                <w:t>74</w:t>
              </w:r>
            </w:hyperlink>
            <w:hyperlink w:anchor="tACRF">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2653" w:type="dxa"/>
            <w:tcBorders>
              <w:bottom w:val="single" w:sz="4" w:space="0" w:color="0055B7"/>
            </w:tcBorders>
            <w:tcMar>
              <w:bottom w:w="55" w:type="dxa"/>
            </w:tcMar>
            <w:vAlign w:val="center"/>
          </w:tcPr>
          <w:p>
            <w:pPr>
              <w:pStyle w:val="TableContents"/>
              <w:bidi w:val="0"/>
              <w:spacing w:before="0" w:after="283"/>
              <w:jc w:val="left"/>
              <w:rPr/>
            </w:pPr>
            <w:hyperlink w:anchor="tIRTA">
              <w:r>
                <w:rPr>
                  <w:rStyle w:val="InternetLink"/>
                  <w:color w:val="003CA6"/>
                  <w:spacing w:val="0"/>
                </w:rPr>
                <w:t>Other Information</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5402" w:type="dxa"/>
            <w:tcBorders>
              <w:bottom w:val="single" w:sz="4" w:space="0" w:color="0055B7"/>
            </w:tcBorders>
            <w:tcMar>
              <w:bottom w:w="55" w:type="dxa"/>
            </w:tcMar>
            <w:vAlign w:val="center"/>
          </w:tcPr>
          <w:p>
            <w:pPr>
              <w:pStyle w:val="TableContents"/>
              <w:bidi w:val="0"/>
              <w:spacing w:before="0" w:after="283"/>
              <w:jc w:val="left"/>
              <w:rPr/>
            </w:pPr>
            <w:hyperlink w:anchor="tIRTA">
              <w:r>
                <w:rPr>
                  <w:rStyle w:val="InternetLink"/>
                  <w:color w:val="003CA6"/>
                  <w:spacing w:val="0"/>
                </w:rPr>
                <w:t>Information Regarding the Annual Meeting</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387" w:type="dxa"/>
            <w:tcBorders>
              <w:bottom w:val="single" w:sz="4" w:space="0" w:color="0055B7"/>
            </w:tcBorders>
            <w:tcMar>
              <w:bottom w:w="55" w:type="dxa"/>
            </w:tcMar>
            <w:vAlign w:val="center"/>
          </w:tcPr>
          <w:p>
            <w:pPr>
              <w:pStyle w:val="TableContents"/>
              <w:bidi w:val="0"/>
              <w:spacing w:before="0" w:after="283"/>
              <w:jc w:val="right"/>
              <w:rPr/>
            </w:pPr>
            <w:hyperlink w:anchor="tIRTA">
              <w:r>
                <w:rPr>
                  <w:rStyle w:val="InternetLink"/>
                  <w:color w:val="003CA6"/>
                  <w:spacing w:val="-2"/>
                </w:rPr>
                <w:t>75</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6"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FAQA">
              <w:r>
                <w:rPr>
                  <w:rStyle w:val="InternetLink"/>
                  <w:spacing w:val="-1"/>
                </w:rPr>
                <w:t xml:space="preserve">Frequently Asked Questions About the Annual Meeting and Voting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FAQA">
              <w:r>
                <w:rPr>
                  <w:rStyle w:val="InternetLink"/>
                  <w:spacing w:val="-1"/>
                </w:rPr>
                <w:t>76</w:t>
              </w:r>
            </w:hyperlink>
            <w:hyperlink w:anchor="tFAQA">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SPL">
              <w:r>
                <w:rPr>
                  <w:rStyle w:val="InternetLink"/>
                  <w:spacing w:val="-1"/>
                </w:rPr>
                <w:t xml:space="preserve">Stockholder Proposals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SPL">
              <w:r>
                <w:rPr>
                  <w:rStyle w:val="InternetLink"/>
                  <w:spacing w:val="-1"/>
                </w:rPr>
                <w:t>80</w:t>
              </w:r>
            </w:hyperlink>
            <w:hyperlink w:anchor="tSP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653"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402" w:type="dxa"/>
            <w:tcBorders>
              <w:bottom w:val="single" w:sz="2" w:space="0" w:color="000000"/>
            </w:tcBorders>
            <w:vAlign w:val="center"/>
          </w:tcPr>
          <w:p>
            <w:pPr>
              <w:pStyle w:val="TableContents"/>
              <w:bidi w:val="0"/>
              <w:spacing w:before="0" w:after="283"/>
              <w:jc w:val="left"/>
              <w:rPr/>
            </w:pPr>
            <w:hyperlink w:anchor="tOML">
              <w:r>
                <w:rPr>
                  <w:rStyle w:val="InternetLink"/>
                  <w:spacing w:val="-1"/>
                </w:rPr>
                <w:t xml:space="preserve">Other Matters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387" w:type="dxa"/>
            <w:tcBorders>
              <w:bottom w:val="single" w:sz="2" w:space="0" w:color="000000"/>
            </w:tcBorders>
            <w:tcMar>
              <w:bottom w:w="55" w:type="dxa"/>
            </w:tcMar>
            <w:vAlign w:val="center"/>
          </w:tcPr>
          <w:p>
            <w:pPr>
              <w:pStyle w:val="TableContents"/>
              <w:bidi w:val="0"/>
              <w:spacing w:before="0" w:after="283"/>
              <w:jc w:val="right"/>
              <w:rPr/>
            </w:pPr>
            <w:hyperlink w:anchor="tOML">
              <w:r>
                <w:rPr>
                  <w:rStyle w:val="InternetLink"/>
                  <w:spacing w:val="-1"/>
                </w:rPr>
                <w:t>80</w:t>
              </w:r>
            </w:hyperlink>
            <w:hyperlink w:anchor="tOM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2"/>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caps w:val="false"/>
          <w:smallCaps w:val="false"/>
          <w:color w:val="C3C5C8"/>
        </w:rPr>
      </w:pPr>
      <w:r>
        <w:rPr>
          <w:caps w:val="false"/>
          <w:smallCaps w:val="false"/>
          <w:color w:val="C3C5C8"/>
          <w:spacing w:val="-1"/>
        </w:rPr>
        <w:t> </w:t>
      </w:r>
      <w:r>
        <w:rPr>
          <w:caps w:val="false"/>
          <w:smallCaps w:val="false"/>
          <w:color w:val="C3C5C8"/>
        </w:rPr>
        <w:t xml:space="preserve"> </w:t>
      </w:r>
    </w:p>
    <w:tbl>
      <w:tblPr>
        <w:tblW w:w="6309" w:type="dxa"/>
        <w:jc w:val="left"/>
        <w:tblInd w:w="720" w:type="dxa"/>
        <w:tblLayout w:type="fixed"/>
        <w:tblCellMar>
          <w:top w:w="0" w:type="dxa"/>
          <w:left w:w="0" w:type="dxa"/>
          <w:bottom w:w="28" w:type="dxa"/>
          <w:right w:w="0" w:type="dxa"/>
        </w:tblCellMar>
      </w:tblPr>
      <w:tblGrid>
        <w:gridCol w:w="124"/>
        <w:gridCol w:w="1351"/>
        <w:gridCol w:w="109"/>
        <w:gridCol w:w="109"/>
        <w:gridCol w:w="3376"/>
        <w:gridCol w:w="109"/>
        <w:gridCol w:w="109"/>
        <w:gridCol w:w="109"/>
        <w:gridCol w:w="109"/>
        <w:gridCol w:w="541"/>
        <w:gridCol w:w="109"/>
        <w:gridCol w:w="154"/>
      </w:tblGrid>
      <w:tr>
        <w:trPr/>
        <w:tc>
          <w:tcPr>
            <w:tcW w:w="124" w:type="dxa"/>
            <w:tcBorders>
              <w:bottom w:val="single" w:sz="4" w:space="0" w:color="0055B7"/>
            </w:tcBorders>
            <w:vAlign w:val="center"/>
          </w:tcPr>
          <w:p>
            <w:pPr>
              <w:pStyle w:val="TableContents"/>
              <w:bidi w:val="0"/>
              <w:spacing w:before="0" w:after="283"/>
              <w:jc w:val="left"/>
              <w:rPr/>
            </w:pPr>
            <w:r>
              <w:rPr/>
              <w:t>​</w:t>
            </w:r>
          </w:p>
        </w:tc>
        <w:tc>
          <w:tcPr>
            <w:tcW w:w="1351" w:type="dxa"/>
            <w:tcBorders>
              <w:bottom w:val="single" w:sz="4" w:space="0" w:color="0055B7"/>
            </w:tcBorders>
            <w:tcMar>
              <w:bottom w:w="55" w:type="dxa"/>
            </w:tcMar>
            <w:vAlign w:val="center"/>
          </w:tcPr>
          <w:p>
            <w:pPr>
              <w:pStyle w:val="TableContents"/>
              <w:bidi w:val="0"/>
              <w:spacing w:before="0" w:after="283"/>
              <w:jc w:val="left"/>
              <w:rPr/>
            </w:pPr>
            <w:hyperlink w:anchor="tNON">
              <w:r>
                <w:rPr>
                  <w:rStyle w:val="InternetLink"/>
                  <w:color w:val="003CA6"/>
                  <w:spacing w:val="0"/>
                </w:rPr>
                <w:t>Appendix A</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3376" w:type="dxa"/>
            <w:tcBorders>
              <w:bottom w:val="single" w:sz="4" w:space="0" w:color="0055B7"/>
            </w:tcBorders>
            <w:vAlign w:val="center"/>
          </w:tcPr>
          <w:p>
            <w:pPr>
              <w:pStyle w:val="TableContents"/>
              <w:bidi w:val="0"/>
              <w:spacing w:before="0" w:after="283"/>
              <w:jc w:val="left"/>
              <w:rPr/>
            </w:pPr>
            <w:hyperlink w:anchor="tNON">
              <w:r>
                <w:rPr>
                  <w:rStyle w:val="InternetLink"/>
                  <w:color w:val="003CA6"/>
                  <w:spacing w:val="0"/>
                </w:rPr>
                <w:t>Non-GAAP Financial Measures</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541" w:type="dxa"/>
            <w:tcBorders>
              <w:bottom w:val="single" w:sz="4" w:space="0" w:color="0055B7"/>
            </w:tcBorders>
            <w:tcMar>
              <w:bottom w:w="55" w:type="dxa"/>
            </w:tcMar>
            <w:vAlign w:val="center"/>
          </w:tcPr>
          <w:p>
            <w:pPr>
              <w:pStyle w:val="TableContents"/>
              <w:bidi w:val="0"/>
              <w:spacing w:before="0" w:after="283"/>
              <w:jc w:val="right"/>
              <w:rPr/>
            </w:pPr>
            <w:hyperlink w:anchor="tNON">
              <w:r>
                <w:rPr>
                  <w:rStyle w:val="InternetLink"/>
                  <w:color w:val="003CA6"/>
                  <w:spacing w:val="-2"/>
                </w:rPr>
                <w:t>A-1</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4"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351"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76" w:type="dxa"/>
            <w:tcBorders>
              <w:bottom w:val="single" w:sz="2" w:space="0" w:color="000000"/>
            </w:tcBorders>
            <w:vAlign w:val="center"/>
          </w:tcPr>
          <w:p>
            <w:pPr>
              <w:pStyle w:val="TableContents"/>
              <w:bidi w:val="0"/>
              <w:spacing w:before="0" w:after="283"/>
              <w:jc w:val="left"/>
              <w:rPr/>
            </w:pPr>
            <w:hyperlink w:anchor="tAEL">
              <w:r>
                <w:rPr>
                  <w:rStyle w:val="InternetLink"/>
                  <w:spacing w:val="-1"/>
                </w:rPr>
                <w:t xml:space="preserve">Adjusted EBITDA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541" w:type="dxa"/>
            <w:tcBorders>
              <w:bottom w:val="single" w:sz="2" w:space="0" w:color="000000"/>
            </w:tcBorders>
            <w:tcMar>
              <w:bottom w:w="55" w:type="dxa"/>
            </w:tcMar>
            <w:vAlign w:val="center"/>
          </w:tcPr>
          <w:p>
            <w:pPr>
              <w:pStyle w:val="TableContents"/>
              <w:bidi w:val="0"/>
              <w:spacing w:before="0" w:after="283"/>
              <w:jc w:val="right"/>
              <w:rPr/>
            </w:pPr>
            <w:hyperlink w:anchor="tAEL">
              <w:r>
                <w:rPr>
                  <w:rStyle w:val="InternetLink"/>
                  <w:spacing w:val="-1"/>
                </w:rPr>
                <w:t>A-1</w:t>
              </w:r>
            </w:hyperlink>
            <w:hyperlink w:anchor="tAE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351"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76" w:type="dxa"/>
            <w:tcBorders>
              <w:bottom w:val="single" w:sz="2" w:space="0" w:color="000000"/>
            </w:tcBorders>
            <w:vAlign w:val="center"/>
          </w:tcPr>
          <w:p>
            <w:pPr>
              <w:pStyle w:val="TableContents"/>
              <w:bidi w:val="0"/>
              <w:spacing w:before="0" w:after="283"/>
              <w:jc w:val="left"/>
              <w:rPr/>
            </w:pPr>
            <w:hyperlink w:anchor="tFCFL">
              <w:r>
                <w:rPr>
                  <w:rStyle w:val="InternetLink"/>
                  <w:spacing w:val="-1"/>
                </w:rPr>
                <w:t xml:space="preserve">Free Cash Flow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541" w:type="dxa"/>
            <w:tcBorders>
              <w:bottom w:val="single" w:sz="2" w:space="0" w:color="000000"/>
            </w:tcBorders>
            <w:tcMar>
              <w:bottom w:w="55" w:type="dxa"/>
            </w:tcMar>
            <w:vAlign w:val="center"/>
          </w:tcPr>
          <w:p>
            <w:pPr>
              <w:pStyle w:val="TableContents"/>
              <w:bidi w:val="0"/>
              <w:spacing w:before="0" w:after="283"/>
              <w:jc w:val="right"/>
              <w:rPr/>
            </w:pPr>
            <w:hyperlink w:anchor="tFCFL">
              <w:r>
                <w:rPr>
                  <w:rStyle w:val="InternetLink"/>
                  <w:spacing w:val="-1"/>
                </w:rPr>
                <w:t>A-3</w:t>
              </w:r>
            </w:hyperlink>
            <w:hyperlink w:anchor="tFCF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351"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76" w:type="dxa"/>
            <w:tcBorders>
              <w:bottom w:val="single" w:sz="2" w:space="0" w:color="000000"/>
            </w:tcBorders>
            <w:vAlign w:val="center"/>
          </w:tcPr>
          <w:p>
            <w:pPr>
              <w:pStyle w:val="TableContents"/>
              <w:bidi w:val="0"/>
              <w:spacing w:before="0" w:after="283"/>
              <w:jc w:val="left"/>
              <w:rPr/>
            </w:pPr>
            <w:hyperlink w:anchor="tOSL">
              <w:r>
                <w:rPr>
                  <w:rStyle w:val="InternetLink"/>
                  <w:spacing w:val="-1"/>
                </w:rPr>
                <w:t xml:space="preserve">Organic Sales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541" w:type="dxa"/>
            <w:tcBorders>
              <w:bottom w:val="single" w:sz="2" w:space="0" w:color="000000"/>
            </w:tcBorders>
            <w:tcMar>
              <w:bottom w:w="55" w:type="dxa"/>
            </w:tcMar>
            <w:vAlign w:val="center"/>
          </w:tcPr>
          <w:p>
            <w:pPr>
              <w:pStyle w:val="TableContents"/>
              <w:bidi w:val="0"/>
              <w:spacing w:before="0" w:after="283"/>
              <w:jc w:val="right"/>
              <w:rPr/>
            </w:pPr>
            <w:hyperlink w:anchor="tOSL">
              <w:r>
                <w:rPr>
                  <w:rStyle w:val="InternetLink"/>
                  <w:spacing w:val="-1"/>
                </w:rPr>
                <w:t>A-4</w:t>
              </w:r>
            </w:hyperlink>
            <w:hyperlink w:anchor="tOS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1351" w:type="dxa"/>
            <w:tcBorders>
              <w:bottom w:val="single" w:sz="4" w:space="0" w:color="0055B7"/>
            </w:tcBorders>
            <w:tcMar>
              <w:bottom w:w="55" w:type="dxa"/>
            </w:tcMar>
            <w:vAlign w:val="center"/>
          </w:tcPr>
          <w:p>
            <w:pPr>
              <w:pStyle w:val="TableContents"/>
              <w:bidi w:val="0"/>
              <w:spacing w:before="0" w:after="283"/>
              <w:jc w:val="left"/>
              <w:rPr/>
            </w:pPr>
            <w:hyperlink w:anchor="tGOTA">
              <w:r>
                <w:rPr>
                  <w:rStyle w:val="InternetLink"/>
                  <w:color w:val="003CA6"/>
                  <w:spacing w:val="0"/>
                </w:rPr>
                <w:t>Appendix B</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3376" w:type="dxa"/>
            <w:tcBorders>
              <w:bottom w:val="single" w:sz="4" w:space="0" w:color="0055B7"/>
            </w:tcBorders>
            <w:tcMar>
              <w:bottom w:w="55" w:type="dxa"/>
            </w:tcMar>
            <w:vAlign w:val="center"/>
          </w:tcPr>
          <w:p>
            <w:pPr>
              <w:pStyle w:val="TableContents"/>
              <w:bidi w:val="0"/>
              <w:spacing w:before="0" w:after="283"/>
              <w:jc w:val="left"/>
              <w:rPr/>
            </w:pPr>
            <w:hyperlink w:anchor="tGOTA">
              <w:r>
                <w:rPr>
                  <w:rStyle w:val="InternetLink"/>
                  <w:color w:val="003CA6"/>
                  <w:spacing w:val="0"/>
                </w:rPr>
                <w:t>Glossary of Terms and Acronyms</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55" w:type="dxa"/>
            </w:tcMar>
            <w:vAlign w:val="center"/>
          </w:tcPr>
          <w:p>
            <w:pPr>
              <w:pStyle w:val="TableContents"/>
              <w:bidi w:val="0"/>
              <w:spacing w:before="0" w:after="0"/>
              <w:jc w:val="right"/>
              <w:rPr>
                <w:color w:val="003CA6"/>
              </w:rPr>
            </w:pPr>
            <w:r>
              <w:rPr>
                <w:color w:val="003CA6"/>
              </w:rPr>
              <w:t>​</w:t>
            </w:r>
          </w:p>
        </w:tc>
        <w:tc>
          <w:tcPr>
            <w:tcW w:w="541" w:type="dxa"/>
            <w:tcBorders>
              <w:bottom w:val="single" w:sz="4" w:space="0" w:color="0055B7"/>
            </w:tcBorders>
            <w:tcMar>
              <w:bottom w:w="55" w:type="dxa"/>
            </w:tcMar>
            <w:vAlign w:val="center"/>
          </w:tcPr>
          <w:p>
            <w:pPr>
              <w:pStyle w:val="TableContents"/>
              <w:bidi w:val="0"/>
              <w:spacing w:before="0" w:after="0"/>
              <w:jc w:val="right"/>
              <w:rPr/>
            </w:pPr>
            <w:hyperlink w:anchor="tGOTA">
              <w:r>
                <w:rPr>
                  <w:rStyle w:val="InternetLink"/>
                  <w:color w:val="003CA6"/>
                  <w:spacing w:val="-2"/>
                </w:rPr>
                <w:t>B-1</w:t>
              </w:r>
            </w:hyperlink>
            <w:r>
              <w:rPr>
                <w:color w:val="003CA6"/>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4" w:type="dxa"/>
            <w:tcBorders>
              <w:bottom w:val="single" w:sz="4" w:space="0" w:color="0055B7"/>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caps w:val="false"/>
          <w:smallCaps w:val="false"/>
          <w:color w:val="C3C5C8"/>
        </w:rPr>
      </w:pPr>
      <w:r>
        <w:rPr>
          <w:caps w:val="false"/>
          <w:smallCaps w:val="false"/>
          <w:color w:val="C3C5C8"/>
          <w:spacing w:val="-1"/>
        </w:rPr>
        <w:t> </w:t>
      </w:r>
      <w:r>
        <w:rPr>
          <w:caps w:val="false"/>
          <w:smallCaps w:val="false"/>
          <w:color w:val="C3C5C8"/>
        </w:rPr>
        <w:t xml:space="preserve"> </w:t>
      </w:r>
    </w:p>
    <w:p>
      <w:pPr>
        <w:pStyle w:val="TextBody"/>
        <w:bidi w:val="0"/>
        <w:spacing w:lineRule="atLeast" w:line="280" w:before="400" w:after="28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Websites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Links to websites included in this Proxy Statement are provided solely for convenience. Information contained on websites, including on our website, is not, and will not be deemed to be, a part of this Proxy Statement or incorporated by reference into any of our other filings with the Securities and Exchange Commission (the “SEC”).</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F9F9FA" w:val="clear"/>
            <w:vAlign w:val="center"/>
          </w:tcPr>
          <w:p>
            <w:pPr>
              <w:pStyle w:val="TableContents"/>
              <w:bidi w:val="0"/>
              <w:spacing w:before="0" w:after="283"/>
              <w:jc w:val="left"/>
              <w:rPr/>
            </w:pPr>
            <w:r>
              <w:rPr/>
              <w:t>​</w:t>
            </w:r>
          </w:p>
        </w:tc>
        <w:tc>
          <w:tcPr>
            <w:tcW w:w="9207" w:type="dxa"/>
            <w:tcBorders/>
            <w:shd w:fill="F9F9FA" w:val="clear"/>
            <w:vAlign w:val="center"/>
          </w:tcPr>
          <w:p>
            <w:pPr>
              <w:pStyle w:val="TableContents"/>
              <w:bidi w:val="0"/>
              <w:spacing w:lineRule="atLeast" w:line="325" w:before="0" w:after="0"/>
              <w:jc w:val="left"/>
              <w:rPr/>
            </w:pPr>
            <w:r>
              <w:rPr>
                <w:spacing w:val="-1"/>
              </w:rPr>
              <w:t>Forward-Looking Statements</w:t>
            </w:r>
            <w:r>
              <w:rPr/>
              <w:t xml:space="preserve">​ </w:t>
            </w:r>
          </w:p>
        </w:tc>
        <w:tc>
          <w:tcPr>
            <w:tcW w:w="154" w:type="dxa"/>
            <w:tcBorders/>
            <w:shd w:fill="F9F9FA" w:val="clear"/>
            <w:vAlign w:val="center"/>
          </w:tcPr>
          <w:p>
            <w:pPr>
              <w:pStyle w:val="TableContents"/>
              <w:bidi w:val="0"/>
              <w:spacing w:before="0" w:after="283"/>
              <w:jc w:val="left"/>
              <w:rPr/>
            </w:pPr>
            <w:r>
              <w:rPr/>
              <w:t>​</w:t>
            </w:r>
          </w:p>
        </w:tc>
      </w:tr>
      <w:tr>
        <w:trPr/>
        <w:tc>
          <w:tcPr>
            <w:tcW w:w="124" w:type="dxa"/>
            <w:tcBorders/>
            <w:shd w:fill="F9F9FA" w:val="clear"/>
            <w:vAlign w:val="center"/>
          </w:tcPr>
          <w:p>
            <w:pPr>
              <w:pStyle w:val="TableContents"/>
              <w:bidi w:val="0"/>
              <w:spacing w:before="0" w:after="283"/>
              <w:jc w:val="left"/>
              <w:rPr/>
            </w:pPr>
            <w:r>
              <w:rPr/>
              <w:t>​</w:t>
            </w:r>
          </w:p>
        </w:tc>
        <w:tc>
          <w:tcPr>
            <w:tcW w:w="9207" w:type="dxa"/>
            <w:tcBorders/>
            <w:shd w:fill="F9F9FA" w:val="clear"/>
            <w:vAlign w:val="center"/>
          </w:tcPr>
          <w:p>
            <w:pPr>
              <w:pStyle w:val="TableContents"/>
              <w:bidi w:val="0"/>
              <w:spacing w:lineRule="atLeast" w:line="225" w:before="0" w:after="0"/>
              <w:jc w:val="left"/>
              <w:rPr>
                <w:spacing w:val="-1"/>
              </w:rPr>
            </w:pPr>
            <w:r>
              <w:rPr>
                <w:spacing w:val="-1"/>
              </w:rPr>
              <w:t xml:space="preserve">This Proxy Statement contains information that may constitute forward-looking statements, as defined under U.S. federal securities laws. Words such as “anticipate,” “assume,” “believe” “contemplate,” “continue,” “could,” “estimate,” “expect,” “foreseeable,” “intend,” “may,” “plan,” “potentially,” “predict,” “project,” “seek,” “should,” “will,” or “would,” or similar words or phrases that convey uncertainty of future events or outcomes, are intended to identify forward-looking statements in this Proxy Statement. These forward-looking statements relate to matters such as our industry, business strategy, costs, and cost savings, impacts of accounting standards and guidance, goals and expectations, market position, future operations, margins, profitability, capital expenditures, liquidity and capital resources, legal matters, trends, and other financial and operating information. The forward-looking statements are based on management’s current expectations and are subject to various risks, uncertainties, and changes in circumstances, many of which are beyond our control, that could cause actual results to differ materially. Although we believe that the assumptions underlying the forward-looking statements are reasonable, we cannot guarantee future results, level of activity, performance, or achievements. Factors that may cause actual results to differ from expected results include, but are not limited to, those described in Part I, Item 1A — Risk Factors, in our Annual Report on Form 10-K for the year ended December 31, 2025, and those set forth in our future filings with the SEC. The forward-looking statements included in this Proxy Statement speak only as of the date of this Proxy Statement or as of the date they are made, as applicable. Except as otherwise required by law, we disclaim any intent or obligation to update any “forward-looking statement” made in this Proxy Statement to reflect changed assumptions, the occurrence of unanticipated events, or changes to future operating results over time. </w:t>
            </w:r>
          </w:p>
          <w:p>
            <w:pPr>
              <w:pStyle w:val="TableContents"/>
              <w:bidi w:val="0"/>
              <w:spacing w:lineRule="atLeast" w:line="225" w:before="160" w:after="283"/>
              <w:jc w:val="left"/>
              <w:rPr/>
            </w:pPr>
            <w:r>
              <w:rPr>
                <w:spacing w:val="-1"/>
              </w:rPr>
              <w:t>Forward-looking and other statements in this document may also address our sustainability progress, plans, and goals. The inclusion of such statements is not an indication that these are material to the Company, investors, or other stakeholders or required to be disclosed in the Company’s filings under the U.S. securities laws or any other laws or requirements applicable to the Company. In addition, historical, current, and forward-looking environmental and social-related statements may be based on standards for measuring progress that are still developing, internal controls and processes that continue to evolve, and assumptions that are subject to change in the future.</w:t>
            </w:r>
            <w:r>
              <w:rPr/>
              <w:t xml:space="preserve"> </w:t>
            </w:r>
          </w:p>
        </w:tc>
        <w:tc>
          <w:tcPr>
            <w:tcW w:w="154" w:type="dxa"/>
            <w:tcBorders/>
            <w:shd w:fill="F9F9FA" w:val="cle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L"/>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w:t>
      </w:r>
      <w:r>
        <w:rPr>
          <w:rFonts w:ascii="Arial;Helvetica;sans-serif" w:hAnsi="Arial;Helvetica;sans-serif"/>
          <w:b w:val="false"/>
          <w:i w:val="false"/>
          <w:caps w:val="false"/>
          <w:smallCaps w:val="false"/>
          <w:color w:val="C3C5C8"/>
          <w:spacing w:val="-1"/>
          <w:sz w:val="15"/>
        </w:rPr>
        <w:t>OMPANY</w:t>
      </w:r>
      <w:r>
        <w:rPr>
          <w:rFonts w:ascii="Arial;Helvetica;sans-serif" w:hAnsi="Arial;Helvetica;sans-serif"/>
          <w:b w:val="false"/>
          <w:i w:val="false"/>
          <w:caps w:val="false"/>
          <w:smallCaps w:val="false"/>
          <w:color w:val="C3C5C8"/>
          <w:spacing w:val="-1"/>
          <w:sz w:val="15"/>
        </w:rPr>
        <w:t xml:space="preserve"> O</w:t>
      </w:r>
      <w:r>
        <w:rPr>
          <w:rFonts w:ascii="Arial;Helvetica;sans-serif" w:hAnsi="Arial;Helvetica;sans-serif"/>
          <w:b w:val="false"/>
          <w:i w:val="false"/>
          <w:caps w:val="false"/>
          <w:smallCaps w:val="false"/>
          <w:color w:val="C3C5C8"/>
          <w:spacing w:val="-1"/>
          <w:sz w:val="15"/>
        </w:rPr>
        <w:t>VERVIEW</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6840"/>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6"/>
          <w:sz w:val="44"/>
        </w:rPr>
        <w:t>C</w:t>
      </w:r>
      <w:r>
        <w:rPr>
          <w:rFonts w:ascii="Arial;Helvetica;sans-serif" w:hAnsi="Arial;Helvetica;sans-serif"/>
          <w:b/>
          <w:i w:val="false"/>
          <w:caps w:val="false"/>
          <w:smallCaps w:val="false"/>
          <w:color w:val="003CA6"/>
          <w:spacing w:val="-6"/>
          <w:sz w:val="44"/>
        </w:rPr>
        <w:t>OMPANY</w:t>
      </w:r>
      <w:r>
        <w:rPr>
          <w:rFonts w:ascii="Arial;Helvetica;sans-serif" w:hAnsi="Arial;Helvetica;sans-serif"/>
          <w:b/>
          <w:i w:val="false"/>
          <w:caps w:val="false"/>
          <w:smallCaps w:val="false"/>
          <w:color w:val="003CA6"/>
          <w:spacing w:val="-6"/>
          <w:sz w:val="44"/>
        </w:rPr>
        <w:t xml:space="preserve"> O</w:t>
      </w:r>
      <w:r>
        <w:rPr>
          <w:rFonts w:ascii="Arial;Helvetica;sans-serif" w:hAnsi="Arial;Helvetica;sans-serif"/>
          <w:b/>
          <w:i w:val="false"/>
          <w:caps w:val="false"/>
          <w:smallCaps w:val="false"/>
          <w:color w:val="003CA6"/>
          <w:spacing w:val="-6"/>
          <w:sz w:val="44"/>
        </w:rPr>
        <w:t>VERVIEW</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22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Medline Inc. (“Medline,” “we,” “our,” “us,” or the “Company”) is the largest provider of medical-surgical (“med-surg”) products and supply chain solutions serving all points of care, based on our 2025 net sales relative to the publicly reported net sales of med-surg products by companies that are both med-surg manufacturers and distributors.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Our mission is to make healthcare run better by delivering improved clinical, financial, and operational outcomes.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O</w:t>
      </w:r>
      <w:r>
        <w:rPr>
          <w:rFonts w:ascii="Arial;Helvetica;sans-serif" w:hAnsi="Arial;Helvetica;sans-serif"/>
          <w:b/>
          <w:i w:val="false"/>
          <w:caps w:val="false"/>
          <w:smallCaps w:val="false"/>
          <w:color w:val="003CA6"/>
          <w:spacing w:val="-4"/>
          <w:sz w:val="28"/>
        </w:rPr>
        <w:t>UR</w:t>
      </w:r>
      <w:r>
        <w:rPr>
          <w:rFonts w:ascii="Arial;Helvetica;sans-serif" w:hAnsi="Arial;Helvetica;sans-serif"/>
          <w:b/>
          <w:i w:val="false"/>
          <w:caps w:val="false"/>
          <w:smallCaps w:val="false"/>
          <w:color w:val="003CA6"/>
          <w:spacing w:val="-4"/>
          <w:sz w:val="28"/>
        </w:rPr>
        <w:t xml:space="preserve"> C</w:t>
      </w:r>
      <w:r>
        <w:rPr>
          <w:rFonts w:ascii="Arial;Helvetica;sans-serif" w:hAnsi="Arial;Helvetica;sans-serif"/>
          <w:b/>
          <w:i w:val="false"/>
          <w:caps w:val="false"/>
          <w:smallCaps w:val="false"/>
          <w:color w:val="003CA6"/>
          <w:spacing w:val="-4"/>
          <w:sz w:val="28"/>
        </w:rPr>
        <w:t>ULTURE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Medline, our culture is the foundation of our success. Employees are encouraged to exercise judgment, work transparently with customers, and contribute meaningfully to our mission to make healthcare run better. Our culture is grounded in a customer-focused, collaborative, and performance-driven approach, guided by six core values — a unified set of principles that reflect our legacy, represent who we are today, and guide how we aim to grow together.</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40" w:after="283"/>
        <w:jc w:val="center"/>
        <w:rPr>
          <w:caps w:val="false"/>
          <w:smallCaps w:val="false"/>
          <w:color w:val="000000"/>
        </w:rPr>
      </w:pPr>
      <w:r>
        <w:rPr>
          <w:caps w:val="false"/>
          <w:smallCaps w:val="false"/>
          <w:color w:val="000000"/>
        </w:rPr>
        <w:drawing>
          <wp:inline distT="0" distB="0" distL="0" distR="0">
            <wp:extent cx="5791200" cy="91440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4"/>
                    <a:stretch>
                      <a:fillRect/>
                    </a:stretch>
                  </pic:blipFill>
                  <pic:spPr bwMode="auto">
                    <a:xfrm>
                      <a:off x="0" y="0"/>
                      <a:ext cx="5791200" cy="914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PL"/>
      <w:bookmarkEnd w:id="6"/>
      <w:r>
        <w:rPr>
          <w:rFonts w:ascii="calibri;arial;sans-serif" w:hAnsi="calibri;arial;sans-serif"/>
          <w:b w:val="false"/>
          <w:i w:val="false"/>
          <w:caps w:val="false"/>
          <w:smallCaps w:val="false"/>
          <w:color w:val="000000"/>
          <w:sz w:val="16"/>
        </w:rPr>
        <w:t>​</w:t>
      </w:r>
      <w:bookmarkStart w:id="7" w:name="tOEAS"/>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w:t>
      </w:r>
      <w:r>
        <w:rPr>
          <w:rFonts w:ascii="Arial;Helvetica;sans-serif" w:hAnsi="Arial;Helvetica;sans-serif"/>
          <w:b w:val="false"/>
          <w:i w:val="false"/>
          <w:caps w:val="false"/>
          <w:smallCaps w:val="false"/>
          <w:color w:val="C3C5C8"/>
          <w:spacing w:val="-1"/>
          <w:sz w:val="15"/>
        </w:rPr>
        <w:t>OMPANY</w:t>
      </w:r>
      <w:r>
        <w:rPr>
          <w:rFonts w:ascii="Arial;Helvetica;sans-serif" w:hAnsi="Arial;Helvetica;sans-serif"/>
          <w:b w:val="false"/>
          <w:i w:val="false"/>
          <w:caps w:val="false"/>
          <w:smallCaps w:val="false"/>
          <w:color w:val="C3C5C8"/>
          <w:spacing w:val="-1"/>
          <w:sz w:val="15"/>
        </w:rPr>
        <w:t xml:space="preserve"> O</w:t>
      </w:r>
      <w:r>
        <w:rPr>
          <w:rFonts w:ascii="Arial;Helvetica;sans-serif" w:hAnsi="Arial;Helvetica;sans-serif"/>
          <w:b w:val="false"/>
          <w:i w:val="false"/>
          <w:caps w:val="false"/>
          <w:smallCaps w:val="false"/>
          <w:color w:val="C3C5C8"/>
          <w:spacing w:val="-1"/>
          <w:sz w:val="15"/>
        </w:rPr>
        <w:t>VERVIEW</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283"/>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O</w:t>
      </w:r>
      <w:r>
        <w:rPr>
          <w:rFonts w:ascii="Arial;Helvetica;sans-serif" w:hAnsi="Arial;Helvetica;sans-serif"/>
          <w:b/>
          <w:i w:val="false"/>
          <w:caps w:val="false"/>
          <w:smallCaps w:val="false"/>
          <w:color w:val="003CA6"/>
          <w:spacing w:val="-4"/>
          <w:sz w:val="28"/>
        </w:rPr>
        <w:t>UR</w:t>
      </w:r>
      <w:r>
        <w:rPr>
          <w:rFonts w:ascii="Arial;Helvetica;sans-serif" w:hAnsi="Arial;Helvetica;sans-serif"/>
          <w:b/>
          <w:i w:val="false"/>
          <w:caps w:val="false"/>
          <w:smallCaps w:val="false"/>
          <w:color w:val="003CA6"/>
          <w:spacing w:val="-4"/>
          <w:sz w:val="28"/>
        </w:rPr>
        <w:t xml:space="preserve"> P</w:t>
      </w:r>
      <w:r>
        <w:rPr>
          <w:rFonts w:ascii="Arial;Helvetica;sans-serif" w:hAnsi="Arial;Helvetica;sans-serif"/>
          <w:b/>
          <w:i w:val="false"/>
          <w:caps w:val="false"/>
          <w:smallCaps w:val="false"/>
          <w:color w:val="003CA6"/>
          <w:spacing w:val="-4"/>
          <w:sz w:val="28"/>
        </w:rPr>
        <w:t>EOPLE</w:t>
      </w:r>
      <w:r>
        <w:rPr>
          <w:rFonts w:ascii="Arial;Helvetica;sans-serif" w:hAnsi="Arial;Helvetica;sans-serif"/>
          <w:b/>
          <w:i w:val="false"/>
          <w:caps w:val="false"/>
          <w:smallCaps w:val="false"/>
          <w:color w:val="000000"/>
          <w:spacing w:val="6"/>
          <w:sz w:val="28"/>
        </w:rPr>
        <w:t xml:space="preserve"> </w:t>
      </w:r>
    </w:p>
    <w:tbl>
      <w:tblPr>
        <w:tblW w:w="9485" w:type="dxa"/>
        <w:jc w:val="left"/>
        <w:tblInd w:w="720" w:type="dxa"/>
        <w:tblLayout w:type="fixed"/>
        <w:tblCellMar>
          <w:top w:w="0" w:type="dxa"/>
          <w:left w:w="0" w:type="dxa"/>
          <w:bottom w:w="0" w:type="dxa"/>
          <w:right w:w="0" w:type="dxa"/>
        </w:tblCellMar>
      </w:tblPr>
      <w:tblGrid>
        <w:gridCol w:w="124"/>
        <w:gridCol w:w="1153"/>
        <w:gridCol w:w="109"/>
        <w:gridCol w:w="109"/>
        <w:gridCol w:w="1226"/>
        <w:gridCol w:w="109"/>
        <w:gridCol w:w="109"/>
        <w:gridCol w:w="6390"/>
        <w:gridCol w:w="156"/>
      </w:tblGrid>
      <w:tr>
        <w:trPr/>
        <w:tc>
          <w:tcPr>
            <w:tcW w:w="124" w:type="dxa"/>
            <w:tcBorders/>
            <w:vAlign w:val="center"/>
          </w:tcPr>
          <w:p>
            <w:pPr>
              <w:pStyle w:val="TableContents"/>
              <w:bidi w:val="0"/>
              <w:spacing w:before="0" w:after="283"/>
              <w:jc w:val="left"/>
              <w:rPr/>
            </w:pPr>
            <w:r>
              <w:rPr/>
              <w:t>​</w:t>
            </w:r>
          </w:p>
        </w:tc>
        <w:tc>
          <w:tcPr>
            <w:tcW w:w="1153" w:type="dxa"/>
            <w:tcBorders/>
            <w:vAlign w:val="center"/>
          </w:tcPr>
          <w:p>
            <w:pPr>
              <w:pStyle w:val="TableContents"/>
              <w:bidi w:val="0"/>
              <w:spacing w:lineRule="atLeast" w:line="225" w:before="0" w:after="0"/>
              <w:jc w:val="center"/>
              <w:rPr/>
            </w:pPr>
            <w:r>
              <w:rPr/>
              <w:drawing>
                <wp:inline distT="0" distB="0" distL="0" distR="0">
                  <wp:extent cx="457200" cy="35242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5"/>
                          <a:stretch>
                            <a:fillRect/>
                          </a:stretch>
                        </pic:blipFill>
                        <pic:spPr bwMode="auto">
                          <a:xfrm>
                            <a:off x="0" y="0"/>
                            <a:ext cx="457200"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before="0" w:after="0"/>
              <w:jc w:val="left"/>
              <w:rPr>
                <w:b/>
                <w:color w:val="0055B7"/>
                <w:sz w:val="48"/>
              </w:rPr>
            </w:pPr>
            <w:r>
              <w:rPr>
                <w:b/>
                <w:color w:val="0055B7"/>
                <w:spacing w:val="-6"/>
                <w:sz w:val="48"/>
              </w:rPr>
              <w:t>45K+</w:t>
            </w:r>
            <w:r>
              <w:rPr>
                <w:b/>
                <w:color w:val="000000"/>
                <w:sz w:val="48"/>
              </w:rPr>
              <w:t>​</w:t>
            </w:r>
            <w:r>
              <w:rPr>
                <w:b/>
                <w:color w:val="0055B7"/>
                <w:sz w:val="48"/>
              </w:rPr>
              <w:t xml:space="preserve"> </w:t>
            </w:r>
          </w:p>
          <w:p>
            <w:pPr>
              <w:pStyle w:val="TableContents"/>
              <w:bidi w:val="0"/>
              <w:spacing w:lineRule="atLeast" w:line="245" w:before="45" w:after="283"/>
              <w:jc w:val="left"/>
              <w:rPr>
                <w:sz w:val="20"/>
              </w:rPr>
            </w:pPr>
            <w:r>
              <w:rPr>
                <w:spacing w:val="-2"/>
                <w:sz w:val="20"/>
              </w:rPr>
              <w:t>Employees globally</w:t>
            </w:r>
            <w:r>
              <w:rPr>
                <w:sz w:val="20"/>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6390" w:type="dxa"/>
            <w:vMerge w:val="restart"/>
            <w:tcBorders/>
            <w:vAlign w:val="center"/>
          </w:tcPr>
          <w:p>
            <w:pPr>
              <w:pStyle w:val="TableContents"/>
              <w:bidi w:val="0"/>
              <w:spacing w:lineRule="atLeast" w:line="225" w:before="0" w:after="283"/>
              <w:jc w:val="left"/>
              <w:rPr>
                <w:spacing w:val="-1"/>
              </w:rPr>
            </w:pPr>
            <w:r>
              <w:rPr>
                <w:spacing w:val="-1"/>
              </w:rPr>
              <w:t xml:space="preserve">We seek to attract employees whose skills, experience, and motivation align with our operational and technical needs. Through continual improvement of internal processes, an awareness of market and candidate driven trends, and in partnership with vendors and other outside organizations, our talent acquisition programs focus on efficient hiring processes, market awareness, and building a diverse pipeline of candidates. We support development through consistent performance management process and early career opportunities to take on additional responsibilities to demonstrate their competencies and drive to succeed, and on-the-job responsibility augmented by formal training and development to refine technical and leadership skills. New sales representatives participate in comprehensive training programs, and product managers have targeted development pathways through all stages of their careers, from mandatory onboarding offerings to advanced classes that provide the necessary skills with increasing levels of responsibility, to support progression over time. </w:t>
            </w:r>
          </w:p>
          <w:p>
            <w:pPr>
              <w:pStyle w:val="TableContents"/>
              <w:bidi w:val="0"/>
              <w:spacing w:lineRule="atLeast" w:line="225" w:before="240" w:after="283"/>
              <w:jc w:val="left"/>
              <w:rPr>
                <w:spacing w:val="-1"/>
              </w:rPr>
            </w:pPr>
            <w:r>
              <w:rPr>
                <w:spacing w:val="-1"/>
              </w:rPr>
              <w:t xml:space="preserve">We believe our employees’ ability to communicate and cooperate effectively across functional and departmental teams positively impacts our performance. We engage in various listening strategies and foster engagement through survey feedback mechanisms, anonymous employee feedback platform, focus groups, increased attention to onboarding and offboarding feedback, pulse surveys on remote work needs, and other listening strategies. Insights from these efforts inform workplace improvements. We also support an inclusive environment through Employee Resource Groups and leadership training initiatives designed to reduce bias in talent decisions and strengthen representation across the Company. </w:t>
            </w:r>
          </w:p>
        </w:tc>
        <w:tc>
          <w:tcPr>
            <w:tcW w:w="156"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53" w:type="dxa"/>
            <w:tcBorders/>
            <w:vAlign w:val="center"/>
          </w:tcPr>
          <w:p>
            <w:pPr>
              <w:pStyle w:val="TableContents"/>
              <w:bidi w:val="0"/>
              <w:spacing w:before="0" w:after="0"/>
              <w:jc w:val="center"/>
              <w:rPr/>
            </w:pPr>
            <w:r>
              <w:rPr/>
              <w:drawing>
                <wp:inline distT="0" distB="0" distL="0" distR="0">
                  <wp:extent cx="381000" cy="381000"/>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6"/>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lineRule="atLeast" w:line="525" w:before="0" w:after="283"/>
              <w:jc w:val="left"/>
              <w:rPr>
                <w:b/>
                <w:color w:val="0055B7"/>
              </w:rPr>
            </w:pPr>
            <w:r>
              <w:rPr>
                <w:b/>
                <w:color w:val="0055B7"/>
                <w:spacing w:val="-6"/>
              </w:rPr>
              <w:t>100+</w:t>
            </w:r>
            <w:r>
              <w:rPr>
                <w:b/>
                <w:color w:val="0055B7"/>
              </w:rPr>
              <w:t xml:space="preserve"> </w:t>
            </w:r>
          </w:p>
          <w:p>
            <w:pPr>
              <w:pStyle w:val="TableContents"/>
              <w:bidi w:val="0"/>
              <w:spacing w:lineRule="atLeast" w:line="245" w:before="45" w:after="283"/>
              <w:jc w:val="left"/>
              <w:rPr>
                <w:sz w:val="20"/>
              </w:rPr>
            </w:pPr>
            <w:r>
              <w:rPr>
                <w:spacing w:val="-2"/>
                <w:sz w:val="20"/>
              </w:rPr>
              <w:t>Countries</w:t>
            </w:r>
            <w:r>
              <w:rPr>
                <w:sz w:val="20"/>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6390" w:type="dxa"/>
            <w:vMerge w:val="continue"/>
            <w:tcBorders/>
            <w:vAlign w:val="center"/>
          </w:tcPr>
          <w:p>
            <w:pPr>
              <w:pStyle w:val="Normal"/>
              <w:bidi w:val="0"/>
              <w:jc w:val="left"/>
              <w:rPr/>
            </w:pPr>
            <w:r>
              <w:rPr/>
            </w:r>
          </w:p>
        </w:tc>
        <w:tc>
          <w:tcPr>
            <w:tcW w:w="156"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153" w:type="dxa"/>
            <w:tcBorders/>
            <w:vAlign w:val="center"/>
          </w:tcPr>
          <w:p>
            <w:pPr>
              <w:pStyle w:val="TableContents"/>
              <w:bidi w:val="0"/>
              <w:spacing w:before="0" w:after="0"/>
              <w:jc w:val="center"/>
              <w:rPr/>
            </w:pPr>
            <w:r>
              <w:rPr/>
              <w:drawing>
                <wp:inline distT="0" distB="0" distL="0" distR="0">
                  <wp:extent cx="676275" cy="31432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7"/>
                          <a:stretch>
                            <a:fillRect/>
                          </a:stretch>
                        </pic:blipFill>
                        <pic:spPr bwMode="auto">
                          <a:xfrm>
                            <a:off x="0" y="0"/>
                            <a:ext cx="67627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lineRule="atLeast" w:line="525" w:before="0" w:after="283"/>
              <w:jc w:val="left"/>
              <w:rPr>
                <w:b/>
                <w:color w:val="0055B7"/>
                <w:sz w:val="48"/>
              </w:rPr>
            </w:pPr>
            <w:r>
              <w:rPr>
                <w:b/>
                <w:color w:val="0055B7"/>
                <w:spacing w:val="-6"/>
                <w:sz w:val="48"/>
              </w:rPr>
              <w:t>70+</w:t>
            </w:r>
            <w:r>
              <w:rPr>
                <w:b/>
                <w:color w:val="0055B7"/>
                <w:sz w:val="48"/>
              </w:rPr>
              <w:t xml:space="preserve"> </w:t>
            </w:r>
          </w:p>
          <w:p>
            <w:pPr>
              <w:pStyle w:val="TableContents"/>
              <w:bidi w:val="0"/>
              <w:spacing w:lineRule="atLeast" w:line="240" w:before="0" w:after="283"/>
              <w:jc w:val="left"/>
              <w:rPr>
                <w:spacing w:val="-2"/>
              </w:rPr>
            </w:pPr>
            <w:r>
              <w:rPr>
                <w:spacing w:val="-2"/>
              </w:rPr>
              <w:t xml:space="preserve">Global distribution facilities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6390" w:type="dxa"/>
            <w:vMerge w:val="continue"/>
            <w:tcBorders/>
            <w:vAlign w:val="center"/>
          </w:tcPr>
          <w:p>
            <w:pPr>
              <w:pStyle w:val="Normal"/>
              <w:bidi w:val="0"/>
              <w:jc w:val="left"/>
              <w:rPr/>
            </w:pPr>
            <w:r>
              <w:rPr/>
            </w:r>
          </w:p>
        </w:tc>
        <w:tc>
          <w:tcPr>
            <w:tcW w:w="156"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2597" w:type="dxa"/>
            <w:gridSpan w:val="4"/>
            <w:tcBorders/>
            <w:vAlign w:val="center"/>
          </w:tcPr>
          <w:p>
            <w:pPr>
              <w:pStyle w:val="TableContents"/>
              <w:bidi w:val="0"/>
              <w:spacing w:before="0" w:after="283"/>
              <w:jc w:val="left"/>
              <w:rPr/>
            </w:pPr>
            <w:r>
              <w:rPr>
                <w:spacing w:val="-1"/>
              </w:rPr>
              <w:t>*As of December 31, 2025.</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6390" w:type="dxa"/>
            <w:vMerge w:val="continue"/>
            <w:tcBorders/>
            <w:vAlign w:val="center"/>
          </w:tcPr>
          <w:p>
            <w:pPr>
              <w:pStyle w:val="Normal"/>
              <w:bidi w:val="0"/>
              <w:jc w:val="left"/>
              <w:rPr/>
            </w:pPr>
            <w:r>
              <w:rPr/>
            </w:r>
          </w:p>
        </w:tc>
        <w:tc>
          <w:tcPr>
            <w:tcW w:w="156" w:type="dxa"/>
            <w:vMerge w:val="continue"/>
            <w:tcBorders/>
            <w:vAlign w:val="center"/>
          </w:tcPr>
          <w:p>
            <w:pPr>
              <w:pStyle w:val="Normal"/>
              <w:bidi w:val="0"/>
              <w:jc w:val="left"/>
              <w:rPr/>
            </w:pPr>
            <w:r>
              <w:rPr/>
            </w:r>
          </w:p>
        </w:tc>
      </w:tr>
    </w:tbl>
    <w:p>
      <w:pPr>
        <w:pStyle w:val="TextBody"/>
        <w:bidi w:val="0"/>
        <w:spacing w:lineRule="atLeast" w:line="320" w:before="475" w:after="283"/>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O</w:t>
      </w:r>
      <w:r>
        <w:rPr>
          <w:rFonts w:ascii="Arial;Helvetica;sans-serif" w:hAnsi="Arial;Helvetica;sans-serif"/>
          <w:b/>
          <w:i w:val="false"/>
          <w:caps w:val="false"/>
          <w:smallCaps w:val="false"/>
          <w:color w:val="003CA6"/>
          <w:spacing w:val="-4"/>
          <w:sz w:val="28"/>
        </w:rPr>
        <w:t>UR</w:t>
      </w:r>
      <w:r>
        <w:rPr>
          <w:rFonts w:ascii="Arial;Helvetica;sans-serif" w:hAnsi="Arial;Helvetica;sans-serif"/>
          <w:b/>
          <w:i w:val="false"/>
          <w:caps w:val="false"/>
          <w:smallCaps w:val="false"/>
          <w:color w:val="003CA6"/>
          <w:spacing w:val="-4"/>
          <w:sz w:val="28"/>
        </w:rPr>
        <w:t xml:space="preserve"> E</w:t>
      </w:r>
      <w:r>
        <w:rPr>
          <w:rFonts w:ascii="Arial;Helvetica;sans-serif" w:hAnsi="Arial;Helvetica;sans-serif"/>
          <w:b/>
          <w:i w:val="false"/>
          <w:caps w:val="false"/>
          <w:smallCaps w:val="false"/>
          <w:color w:val="003CA6"/>
          <w:spacing w:val="-4"/>
          <w:sz w:val="28"/>
        </w:rPr>
        <w:t>NVIRONMENTAL AND</w:t>
      </w:r>
      <w:r>
        <w:rPr>
          <w:rFonts w:ascii="Arial;Helvetica;sans-serif" w:hAnsi="Arial;Helvetica;sans-serif"/>
          <w:b/>
          <w:i w:val="false"/>
          <w:caps w:val="false"/>
          <w:smallCaps w:val="false"/>
          <w:color w:val="003CA6"/>
          <w:spacing w:val="-4"/>
          <w:sz w:val="28"/>
        </w:rPr>
        <w:t xml:space="preserve"> S</w:t>
      </w:r>
      <w:r>
        <w:rPr>
          <w:rFonts w:ascii="Arial;Helvetica;sans-serif" w:hAnsi="Arial;Helvetica;sans-serif"/>
          <w:b/>
          <w:i w:val="false"/>
          <w:caps w:val="false"/>
          <w:smallCaps w:val="false"/>
          <w:color w:val="003CA6"/>
          <w:spacing w:val="-4"/>
          <w:sz w:val="28"/>
        </w:rPr>
        <w:t>USTAINABILITY</w:t>
      </w:r>
      <w:r>
        <w:rPr>
          <w:rFonts w:ascii="Arial;Helvetica;sans-serif" w:hAnsi="Arial;Helvetica;sans-serif"/>
          <w:b/>
          <w:i w:val="false"/>
          <w:caps w:val="false"/>
          <w:smallCaps w:val="false"/>
          <w:color w:val="003CA6"/>
          <w:spacing w:val="-4"/>
          <w:sz w:val="28"/>
        </w:rPr>
        <w:t xml:space="preserve"> E</w:t>
      </w:r>
      <w:r>
        <w:rPr>
          <w:rFonts w:ascii="Arial;Helvetica;sans-serif" w:hAnsi="Arial;Helvetica;sans-serif"/>
          <w:b/>
          <w:i w:val="false"/>
          <w:caps w:val="false"/>
          <w:smallCaps w:val="false"/>
          <w:color w:val="003CA6"/>
          <w:spacing w:val="-4"/>
          <w:sz w:val="28"/>
        </w:rPr>
        <w:t>FFORTS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sustainability mission is to promote a sustainable and resilient healthcare supply chain that supports healthcare providers and communities. As we strive to achieve this goal, we face the unique challenge of balancing our customers’ needs to provide immediate, high-quality patient care with the environmental and social impacts of our operations. Healthcare systems inherently rely on resource-intensive practices, single-use supplies and the ability to access anything their patients need within seconds.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Informed by global challenges and adapting to regulatory shifts, our sustainability strategy provides a blueprint for responsible environmental action and positive social impact. Our strategy is supported by our sustainability framework, which is focused on four pillars that align with our aspirations and provide the architecture for the integration of sustainability into our business: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798"/>
        <w:gridCol w:w="109"/>
        <w:gridCol w:w="109"/>
        <w:gridCol w:w="2207"/>
        <w:gridCol w:w="109"/>
        <w:gridCol w:w="109"/>
        <w:gridCol w:w="5764"/>
        <w:gridCol w:w="156"/>
      </w:tblGrid>
      <w:tr>
        <w:trPr/>
        <w:tc>
          <w:tcPr>
            <w:tcW w:w="124" w:type="dxa"/>
            <w:tcBorders/>
            <w:vAlign w:val="center"/>
          </w:tcPr>
          <w:p>
            <w:pPr>
              <w:pStyle w:val="TableContents"/>
              <w:bidi w:val="0"/>
              <w:spacing w:before="0" w:after="283"/>
              <w:jc w:val="left"/>
              <w:rPr/>
            </w:pPr>
            <w:r>
              <w:rPr/>
              <w:t>​</w:t>
            </w:r>
          </w:p>
        </w:tc>
        <w:tc>
          <w:tcPr>
            <w:tcW w:w="798"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447675" cy="44767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8"/>
                          <a:stretch>
                            <a:fillRect/>
                          </a:stretch>
                        </pic:blipFill>
                        <pic:spPr bwMode="auto">
                          <a:xfrm>
                            <a:off x="0" y="0"/>
                            <a:ext cx="447675" cy="4476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7" w:type="dxa"/>
            <w:tcBorders/>
            <w:tcMar>
              <w:top w:w="28" w:type="dxa"/>
              <w:left w:w="28" w:type="dxa"/>
              <w:bottom w:w="28" w:type="dxa"/>
              <w:right w:w="28" w:type="dxa"/>
            </w:tcMar>
            <w:vAlign w:val="center"/>
          </w:tcPr>
          <w:p>
            <w:pPr>
              <w:pStyle w:val="TableContents"/>
              <w:bidi w:val="0"/>
              <w:spacing w:lineRule="atLeast" w:line="240" w:before="0" w:after="0"/>
              <w:jc w:val="left"/>
              <w:rPr>
                <w:b/>
                <w:color w:val="0055B7"/>
                <w:sz w:val="20"/>
              </w:rPr>
            </w:pPr>
            <w:r>
              <w:rPr>
                <w:b/>
                <w:caps/>
                <w:color w:val="0055B7"/>
                <w:spacing w:val="-3"/>
                <w:sz w:val="20"/>
              </w:rPr>
              <w:t xml:space="preserve">Robust </w:t>
              <w:br/>
              <w:t>Governance</w:t>
            </w:r>
            <w:r>
              <w:rPr>
                <w:b/>
                <w:color w:val="000000"/>
                <w:sz w:val="20"/>
              </w:rPr>
              <w:t>​</w:t>
            </w:r>
            <w:r>
              <w:rPr>
                <w:b/>
                <w:color w:val="0055B7"/>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4" w:type="dxa"/>
            <w:tcBorders/>
            <w:tcMar>
              <w:top w:w="28" w:type="dxa"/>
              <w:left w:w="28" w:type="dxa"/>
              <w:bottom w:w="28" w:type="dxa"/>
              <w:right w:w="28" w:type="dxa"/>
            </w:tcMar>
            <w:vAlign w:val="center"/>
          </w:tcPr>
          <w:p>
            <w:pPr>
              <w:pStyle w:val="TableContents"/>
              <w:bidi w:val="0"/>
              <w:spacing w:lineRule="atLeast" w:line="224" w:before="0" w:after="0"/>
              <w:jc w:val="left"/>
              <w:rPr>
                <w:spacing w:val="-1"/>
              </w:rPr>
            </w:pPr>
            <w:r>
              <w:rPr>
                <w:spacing w:val="-1"/>
              </w:rPr>
              <w:t xml:space="preserve">We strive to do what is right, not only what is required. We hold our business, employees and suppliers to high ethical standards.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8" w:type="dxa"/>
            <w:tcBorders/>
            <w:vAlign w:val="center"/>
          </w:tcPr>
          <w:p>
            <w:pPr>
              <w:pStyle w:val="TableContents"/>
              <w:bidi w:val="0"/>
              <w:spacing w:before="0" w:after="0"/>
              <w:jc w:val="center"/>
              <w:rPr/>
            </w:pPr>
            <w:r>
              <w:rPr/>
              <w:drawing>
                <wp:inline distT="0" distB="0" distL="0" distR="0">
                  <wp:extent cx="304800" cy="44767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9"/>
                          <a:stretch>
                            <a:fillRect/>
                          </a:stretch>
                        </pic:blipFill>
                        <pic:spPr bwMode="auto">
                          <a:xfrm>
                            <a:off x="0" y="0"/>
                            <a:ext cx="304800" cy="4476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7" w:type="dxa"/>
            <w:tcBorders/>
            <w:vAlign w:val="center"/>
          </w:tcPr>
          <w:p>
            <w:pPr>
              <w:pStyle w:val="TableContents"/>
              <w:bidi w:val="0"/>
              <w:spacing w:lineRule="atLeast" w:line="240" w:before="0" w:after="0"/>
              <w:jc w:val="left"/>
              <w:rPr>
                <w:color w:val="0055B7"/>
              </w:rPr>
            </w:pPr>
            <w:r>
              <w:rPr>
                <w:caps/>
                <w:color w:val="0055B7"/>
                <w:spacing w:val="-3"/>
              </w:rPr>
              <w:t xml:space="preserve">Climate </w:t>
              <w:br/>
              <w:t xml:space="preserve">Resilience and </w:t>
              <w:br/>
              <w:t xml:space="preserve">Environmental </w:t>
              <w:br/>
              <w:t>Action</w:t>
            </w:r>
            <w:r>
              <w:rPr>
                <w:color w:val="000000"/>
              </w:rPr>
              <w:t>​</w:t>
            </w:r>
            <w:r>
              <w:rPr>
                <w:color w:val="0055B7"/>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4" w:type="dxa"/>
            <w:tcBorders/>
            <w:vAlign w:val="center"/>
          </w:tcPr>
          <w:p>
            <w:pPr>
              <w:pStyle w:val="TableContents"/>
              <w:bidi w:val="0"/>
              <w:spacing w:lineRule="atLeast" w:line="225" w:before="0" w:after="0"/>
              <w:jc w:val="left"/>
              <w:rPr>
                <w:b w:val="false"/>
                <w:spacing w:val="-1"/>
                <w:sz w:val="18"/>
              </w:rPr>
            </w:pPr>
            <w:r>
              <w:rPr>
                <w:b w:val="false"/>
                <w:spacing w:val="-1"/>
                <w:sz w:val="18"/>
              </w:rPr>
              <w:t xml:space="preserve">We seek to build an environmentally sustainable business, to conserve our use of natural resources and to reduce waste. We are working to identify a path to reduce our carbon footprint, and to help our customers do the same.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8" w:type="dxa"/>
            <w:tcBorders/>
            <w:vAlign w:val="center"/>
          </w:tcPr>
          <w:p>
            <w:pPr>
              <w:pStyle w:val="TableContents"/>
              <w:bidi w:val="0"/>
              <w:spacing w:before="0" w:after="0"/>
              <w:jc w:val="center"/>
              <w:rPr/>
            </w:pPr>
            <w:r>
              <w:rPr/>
              <w:drawing>
                <wp:inline distT="0" distB="0" distL="0" distR="0">
                  <wp:extent cx="276225" cy="44767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30"/>
                          <a:stretch>
                            <a:fillRect/>
                          </a:stretch>
                        </pic:blipFill>
                        <pic:spPr bwMode="auto">
                          <a:xfrm>
                            <a:off x="0" y="0"/>
                            <a:ext cx="276225" cy="4476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7" w:type="dxa"/>
            <w:tcBorders/>
            <w:vAlign w:val="center"/>
          </w:tcPr>
          <w:p>
            <w:pPr>
              <w:pStyle w:val="TableContents"/>
              <w:bidi w:val="0"/>
              <w:spacing w:lineRule="atLeast" w:line="240" w:before="0" w:after="0"/>
              <w:jc w:val="left"/>
              <w:rPr>
                <w:b/>
                <w:color w:val="0055B7"/>
                <w:sz w:val="20"/>
              </w:rPr>
            </w:pPr>
            <w:r>
              <w:rPr>
                <w:b/>
                <w:caps/>
                <w:color w:val="0055B7"/>
                <w:spacing w:val="-3"/>
                <w:sz w:val="20"/>
              </w:rPr>
              <w:t xml:space="preserve">Responsible </w:t>
              <w:br/>
              <w:t>Products</w:t>
            </w:r>
            <w:r>
              <w:rPr>
                <w:b/>
                <w:color w:val="000000"/>
                <w:sz w:val="20"/>
              </w:rPr>
              <w:t>​</w:t>
            </w:r>
            <w:r>
              <w:rPr>
                <w:b/>
                <w:color w:val="0055B7"/>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4" w:type="dxa"/>
            <w:tcBorders/>
            <w:vAlign w:val="center"/>
          </w:tcPr>
          <w:p>
            <w:pPr>
              <w:pStyle w:val="TableContents"/>
              <w:bidi w:val="0"/>
              <w:spacing w:lineRule="atLeast" w:line="225" w:before="0" w:after="0"/>
              <w:jc w:val="left"/>
              <w:rPr>
                <w:spacing w:val="-1"/>
              </w:rPr>
            </w:pPr>
            <w:r>
              <w:rPr>
                <w:spacing w:val="-1"/>
              </w:rPr>
              <w:t xml:space="preserve">We are focused on providing high-quality healthcare products that are safe for both patients and the environment. We strive to be transparent in our product labeling and engage in responsible marketing practices.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8" w:type="dxa"/>
            <w:tcBorders/>
            <w:vAlign w:val="center"/>
          </w:tcPr>
          <w:p>
            <w:pPr>
              <w:pStyle w:val="TableContents"/>
              <w:bidi w:val="0"/>
              <w:spacing w:before="0" w:after="0"/>
              <w:jc w:val="center"/>
              <w:rPr/>
            </w:pPr>
            <w:r>
              <w:rPr/>
              <w:drawing>
                <wp:inline distT="0" distB="0" distL="0" distR="0">
                  <wp:extent cx="419100" cy="457200"/>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31"/>
                          <a:stretch>
                            <a:fillRect/>
                          </a:stretch>
                        </pic:blipFill>
                        <pic:spPr bwMode="auto">
                          <a:xfrm>
                            <a:off x="0" y="0"/>
                            <a:ext cx="419100" cy="457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7" w:type="dxa"/>
            <w:tcBorders/>
            <w:vAlign w:val="center"/>
          </w:tcPr>
          <w:p>
            <w:pPr>
              <w:pStyle w:val="TableContents"/>
              <w:bidi w:val="0"/>
              <w:spacing w:lineRule="atLeast" w:line="240" w:before="0" w:after="0"/>
              <w:jc w:val="left"/>
              <w:rPr>
                <w:b/>
                <w:color w:val="0055B7"/>
                <w:sz w:val="20"/>
              </w:rPr>
            </w:pPr>
            <w:r>
              <w:rPr>
                <w:b/>
                <w:caps/>
                <w:color w:val="0055B7"/>
                <w:spacing w:val="-3"/>
                <w:sz w:val="20"/>
              </w:rPr>
              <w:t xml:space="preserve">People and </w:t>
              <w:br/>
              <w:t>Communities</w:t>
            </w:r>
            <w:r>
              <w:rPr>
                <w:b/>
                <w:color w:val="000000"/>
                <w:sz w:val="20"/>
              </w:rPr>
              <w:t>​</w:t>
            </w:r>
            <w:r>
              <w:rPr>
                <w:b/>
                <w:color w:val="0055B7"/>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4" w:type="dxa"/>
            <w:tcBorders/>
            <w:vAlign w:val="center"/>
          </w:tcPr>
          <w:p>
            <w:pPr>
              <w:pStyle w:val="TableContents"/>
              <w:bidi w:val="0"/>
              <w:spacing w:lineRule="atLeast" w:line="225" w:before="0" w:after="0"/>
              <w:jc w:val="left"/>
              <w:rPr/>
            </w:pPr>
            <w:r>
              <w:rPr>
                <w:spacing w:val="-1"/>
              </w:rPr>
              <w:t>We want our employees, communities, suppliers and customers to achieve their full potential. We help by promoting high standards of safety and health in the workplace, creating opportunities for connection and development for our employees, promoting belonging and engagement, and addressing health equity in the communities in which we operate — and around the world.</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OBL"/>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w:t>
      </w:r>
      <w:r>
        <w:rPr>
          <w:rFonts w:ascii="Arial;Helvetica;sans-serif" w:hAnsi="Arial;Helvetica;sans-serif"/>
          <w:b w:val="false"/>
          <w:i w:val="false"/>
          <w:caps w:val="false"/>
          <w:smallCaps w:val="false"/>
          <w:color w:val="C3C5C8"/>
          <w:spacing w:val="-1"/>
          <w:sz w:val="15"/>
        </w:rPr>
        <w:t>OMPANY</w:t>
      </w:r>
      <w:r>
        <w:rPr>
          <w:rFonts w:ascii="Arial;Helvetica;sans-serif" w:hAnsi="Arial;Helvetica;sans-serif"/>
          <w:b w:val="false"/>
          <w:i w:val="false"/>
          <w:caps w:val="false"/>
          <w:smallCaps w:val="false"/>
          <w:color w:val="C3C5C8"/>
          <w:spacing w:val="-1"/>
          <w:sz w:val="15"/>
        </w:rPr>
        <w:t xml:space="preserve"> O</w:t>
      </w:r>
      <w:r>
        <w:rPr>
          <w:rFonts w:ascii="Arial;Helvetica;sans-serif" w:hAnsi="Arial;Helvetica;sans-serif"/>
          <w:b w:val="false"/>
          <w:i w:val="false"/>
          <w:caps w:val="false"/>
          <w:smallCaps w:val="false"/>
          <w:color w:val="C3C5C8"/>
          <w:spacing w:val="-1"/>
          <w:sz w:val="15"/>
        </w:rPr>
        <w:t>VERVIEW</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1474"/>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September 2025, we released our 2024 Sustainability Report, which details progress made toward Medline’s global sustainability objectives for 2024. Our 2024 Sustainability Report was prepared based on the Sustainability Accounting Standards Board (“SASB”) reporting guidelines. Given the scope of our core business activities, we report to both the SASB Medical Equipment and Supplies and Healthcare Distributors standards.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aim to amplify our impact and embed sustainability across our business. In addition to our annual Sustainability Reports, we provide information on our sustainability strategy and progress, and related policies and principles on our website at www.medline.com/</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1"/>
          <w:sz w:val="18"/>
        </w:rPr>
        <w:t>about-us/sustainability.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O</w:t>
      </w:r>
      <w:r>
        <w:rPr>
          <w:rFonts w:ascii="Arial;Helvetica;sans-serif" w:hAnsi="Arial;Helvetica;sans-serif"/>
          <w:b/>
          <w:i w:val="false"/>
          <w:caps w:val="false"/>
          <w:smallCaps w:val="false"/>
          <w:color w:val="003CA6"/>
          <w:spacing w:val="-4"/>
          <w:sz w:val="28"/>
        </w:rPr>
        <w:t>UR</w:t>
      </w:r>
      <w:r>
        <w:rPr>
          <w:rFonts w:ascii="Arial;Helvetica;sans-serif" w:hAnsi="Arial;Helvetica;sans-serif"/>
          <w:b/>
          <w:i w:val="false"/>
          <w:caps w:val="false"/>
          <w:smallCaps w:val="false"/>
          <w:color w:val="003CA6"/>
          <w:spacing w:val="-4"/>
          <w:sz w:val="28"/>
        </w:rPr>
        <w:t xml:space="preserve"> B</w:t>
      </w:r>
      <w:r>
        <w:rPr>
          <w:rFonts w:ascii="Arial;Helvetica;sans-serif" w:hAnsi="Arial;Helvetica;sans-serif"/>
          <w:b/>
          <w:i w:val="false"/>
          <w:caps w:val="false"/>
          <w:smallCaps w:val="false"/>
          <w:color w:val="003CA6"/>
          <w:spacing w:val="-4"/>
          <w:sz w:val="28"/>
        </w:rPr>
        <w:t>USINESS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Customers are at the heart of what we do. We are committed to deeply understanding how our customers operate, what challenges they face, and how we can better support them. Our best-in-class business model, entrepreneurial spirit, and compelling value proposition are the result of our customer-focused culture that emphasizes the rapid identification of and response to customer needs.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vertically integrated business model is designed to deliver the best total value to our customers through a comprehensive set of world-class products, a resilient and highly efficient supply chain, and differentiated clinical solutions. Our platform is powered by our global procurement network, strategically located distribution centers, high delivery route density, and innovation capabilities informed by proprietary supply chain customer insights. Our ability to provide significant savings on our high-quality products and services and our ability to serve across the entire continuum of care aligns us with the evolving needs of our customers.</w:t>
      </w:r>
      <w:r>
        <w:rPr>
          <w:rFonts w:ascii="Arial;Helvetica;sans-serif" w:hAnsi="Arial;Helvetica;sans-serif"/>
          <w:b w:val="false"/>
          <w:i w:val="false"/>
          <w:caps w:val="false"/>
          <w:smallCaps w:val="false"/>
          <w:color w:val="000000"/>
          <w:spacing w:val="4"/>
          <w:sz w:val="18"/>
        </w:rPr>
        <w:t xml:space="preserve"> </w:t>
      </w:r>
    </w:p>
    <w:tbl>
      <w:tblPr>
        <w:tblW w:w="6299" w:type="dxa"/>
        <w:jc w:val="left"/>
        <w:tblInd w:w="720" w:type="dxa"/>
        <w:tblLayout w:type="fixed"/>
        <w:tblCellMar>
          <w:top w:w="0" w:type="dxa"/>
          <w:left w:w="0" w:type="dxa"/>
          <w:bottom w:w="0" w:type="dxa"/>
          <w:right w:w="0" w:type="dxa"/>
        </w:tblCellMar>
      </w:tblPr>
      <w:tblGrid>
        <w:gridCol w:w="124"/>
        <w:gridCol w:w="6021"/>
        <w:gridCol w:w="154"/>
      </w:tblGrid>
      <w:tr>
        <w:trPr/>
        <w:tc>
          <w:tcPr>
            <w:tcW w:w="124" w:type="dxa"/>
            <w:tcBorders/>
            <w:shd w:fill="0055B7" w:val="clear"/>
            <w:vAlign w:val="center"/>
          </w:tcPr>
          <w:p>
            <w:pPr>
              <w:pStyle w:val="TableContents"/>
              <w:bidi w:val="0"/>
              <w:spacing w:before="0" w:after="283"/>
              <w:jc w:val="left"/>
              <w:rPr/>
            </w:pPr>
            <w:r>
              <w:rPr/>
              <w:t>​</w:t>
            </w:r>
          </w:p>
        </w:tc>
        <w:tc>
          <w:tcPr>
            <w:tcW w:w="6021" w:type="dxa"/>
            <w:tcBorders/>
            <w:shd w:fill="0055B7" w:val="clear"/>
            <w:vAlign w:val="center"/>
          </w:tcPr>
          <w:p>
            <w:pPr>
              <w:pStyle w:val="TableContents"/>
              <w:bidi w:val="0"/>
              <w:spacing w:lineRule="atLeast" w:line="179" w:before="0" w:after="0"/>
              <w:jc w:val="center"/>
              <w:rPr/>
            </w:pPr>
            <w:r>
              <w:rPr>
                <w:spacing w:val="-1"/>
              </w:rPr>
              <w:t>We Deliver a Comprehensive Solution at the Best Total Value</w:t>
            </w:r>
            <w:r>
              <w:rPr/>
              <w:t xml:space="preserve"> </w:t>
            </w:r>
          </w:p>
        </w:tc>
        <w:tc>
          <w:tcPr>
            <w:tcW w:w="154" w:type="dxa"/>
            <w:tcBorders/>
            <w:shd w:fill="0055B7" w:val="clear"/>
            <w:vAlign w:val="center"/>
          </w:tcPr>
          <w:p>
            <w:pPr>
              <w:pStyle w:val="TableContents"/>
              <w:bidi w:val="0"/>
              <w:spacing w:before="0" w:after="283"/>
              <w:jc w:val="left"/>
              <w:rPr/>
            </w:pPr>
            <w:r>
              <w:rPr/>
              <w:t>​</w:t>
            </w:r>
          </w:p>
        </w:tc>
      </w:tr>
    </w:tbl>
    <w:p>
      <w:pPr>
        <w:pStyle w:val="TextBody"/>
        <w:bidi w:val="0"/>
        <w:spacing w:before="266" w:after="283"/>
        <w:ind w:left="720" w:right="0" w:hanging="0"/>
        <w:jc w:val="center"/>
        <w:rPr>
          <w:caps w:val="false"/>
          <w:smallCaps w:val="false"/>
          <w:color w:val="000000"/>
        </w:rPr>
      </w:pPr>
      <w:r>
        <w:rPr>
          <w:caps w:val="false"/>
          <w:smallCaps w:val="false"/>
          <w:color w:val="000000"/>
        </w:rPr>
        <w:drawing>
          <wp:inline distT="0" distB="0" distL="0" distR="0">
            <wp:extent cx="6591300" cy="2781300"/>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32"/>
                    <a:stretch>
                      <a:fillRect/>
                    </a:stretch>
                  </pic:blipFill>
                  <pic:spPr bwMode="auto">
                    <a:xfrm>
                      <a:off x="0" y="0"/>
                      <a:ext cx="6591300" cy="27813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3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offer approximately 190,000 Medline Brand products across our product categories. Our breadth and footprint today are the result of decades of significant investments. Our clinical solutions empower frontline teams with best practice guidance, education and training, and a system of products to help improve clinical outcomes. We believe we are uniquely positioned to benefit from our vertically integrated model and over 1,600 active Prime Vendor relationships. Our Prime Vendor relationships are those relationships for which we have a multi-year distribution agreement between Medline and a customer, whereby the customer agrees to use Medline for the vast majority of its med-surg product needs.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w:t>
      </w:r>
      <w:r>
        <w:rPr>
          <w:rFonts w:ascii="Arial;Helvetica;sans-serif" w:hAnsi="Arial;Helvetica;sans-serif"/>
          <w:b w:val="false"/>
          <w:i w:val="false"/>
          <w:caps w:val="false"/>
          <w:smallCaps w:val="false"/>
          <w:color w:val="C3C5C8"/>
          <w:spacing w:val="-1"/>
          <w:sz w:val="15"/>
        </w:rPr>
        <w:t>OMPANY</w:t>
      </w:r>
      <w:r>
        <w:rPr>
          <w:rFonts w:ascii="Arial;Helvetica;sans-serif" w:hAnsi="Arial;Helvetica;sans-serif"/>
          <w:b w:val="false"/>
          <w:i w:val="false"/>
          <w:caps w:val="false"/>
          <w:smallCaps w:val="false"/>
          <w:color w:val="C3C5C8"/>
          <w:spacing w:val="-1"/>
          <w:sz w:val="15"/>
        </w:rPr>
        <w:t xml:space="preserve"> O</w:t>
      </w:r>
      <w:r>
        <w:rPr>
          <w:rFonts w:ascii="Arial;Helvetica;sans-serif" w:hAnsi="Arial;Helvetica;sans-serif"/>
          <w:b w:val="false"/>
          <w:i w:val="false"/>
          <w:caps w:val="false"/>
          <w:smallCaps w:val="false"/>
          <w:color w:val="C3C5C8"/>
          <w:spacing w:val="-1"/>
          <w:sz w:val="15"/>
        </w:rPr>
        <w:t>VERVIEW</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1300"/>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2025 P</w:t>
      </w:r>
      <w:r>
        <w:rPr>
          <w:rFonts w:ascii="Arial;Helvetica;sans-serif" w:hAnsi="Arial;Helvetica;sans-serif"/>
          <w:b/>
          <w:i w:val="false"/>
          <w:caps w:val="false"/>
          <w:smallCaps w:val="false"/>
          <w:color w:val="003CA6"/>
          <w:spacing w:val="-4"/>
          <w:sz w:val="28"/>
        </w:rPr>
        <w:t>ERFORMANCE</w:t>
      </w:r>
      <w:r>
        <w:rPr>
          <w:rFonts w:ascii="Arial;Helvetica;sans-serif" w:hAnsi="Arial;Helvetica;sans-serif"/>
          <w:b/>
          <w:i w:val="false"/>
          <w:caps w:val="false"/>
          <w:smallCaps w:val="false"/>
          <w:color w:val="003CA6"/>
          <w:spacing w:val="-4"/>
          <w:sz w:val="28"/>
        </w:rPr>
        <w:t xml:space="preserve"> H</w:t>
      </w:r>
      <w:r>
        <w:rPr>
          <w:rFonts w:ascii="Arial;Helvetica;sans-serif" w:hAnsi="Arial;Helvetica;sans-serif"/>
          <w:b/>
          <w:i w:val="false"/>
          <w:caps w:val="false"/>
          <w:smallCaps w:val="false"/>
          <w:color w:val="003CA6"/>
          <w:spacing w:val="-4"/>
          <w:sz w:val="28"/>
        </w:rPr>
        <w:t>IGHLIGHTS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believe our 2025 performance reflects the confidence customers place in our value, service, and reliability, and our unique capability to support health systems across the entire continuum of care. With our scale, broad product portfolio, and expansive distribution footprint, we believe we are well positioned for sustainable long-term growth.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fiscal year 2025, we had the following results: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864"/>
        <w:gridCol w:w="119"/>
        <w:gridCol w:w="119"/>
        <w:gridCol w:w="976"/>
        <w:gridCol w:w="109"/>
        <w:gridCol w:w="109"/>
        <w:gridCol w:w="836"/>
        <w:gridCol w:w="115"/>
        <w:gridCol w:w="115"/>
        <w:gridCol w:w="1196"/>
        <w:gridCol w:w="109"/>
        <w:gridCol w:w="109"/>
        <w:gridCol w:w="812"/>
        <w:gridCol w:w="112"/>
        <w:gridCol w:w="112"/>
        <w:gridCol w:w="917"/>
        <w:gridCol w:w="109"/>
        <w:gridCol w:w="109"/>
        <w:gridCol w:w="833"/>
        <w:gridCol w:w="115"/>
        <w:gridCol w:w="115"/>
        <w:gridCol w:w="1192"/>
        <w:gridCol w:w="159"/>
      </w:tblGrid>
      <w:tr>
        <w:trPr/>
        <w:tc>
          <w:tcPr>
            <w:tcW w:w="124" w:type="dxa"/>
            <w:tcBorders/>
            <w:vAlign w:val="center"/>
          </w:tcPr>
          <w:p>
            <w:pPr>
              <w:pStyle w:val="TableContents"/>
              <w:bidi w:val="0"/>
              <w:spacing w:before="0" w:after="283"/>
              <w:jc w:val="left"/>
              <w:rPr/>
            </w:pPr>
            <w:r>
              <w:rPr/>
              <w:t>​</w:t>
            </w:r>
          </w:p>
        </w:tc>
        <w:tc>
          <w:tcPr>
            <w:tcW w:w="864" w:type="dxa"/>
            <w:tcBorders/>
            <w:vAlign w:val="center"/>
          </w:tcPr>
          <w:p>
            <w:pPr>
              <w:pStyle w:val="TableContents"/>
              <w:bidi w:val="0"/>
              <w:spacing w:before="0" w:after="0"/>
              <w:ind w:left="120" w:right="0" w:hanging="0"/>
              <w:jc w:val="left"/>
              <w:rPr/>
            </w:pPr>
            <w:r>
              <w:rPr/>
              <w:drawing>
                <wp:inline distT="0" distB="0" distL="0" distR="0">
                  <wp:extent cx="438150" cy="25717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33"/>
                          <a:stretch>
                            <a:fillRect/>
                          </a:stretch>
                        </pic:blipFill>
                        <pic:spPr bwMode="auto">
                          <a:xfrm>
                            <a:off x="0" y="0"/>
                            <a:ext cx="438150" cy="257175"/>
                          </a:xfrm>
                          <a:prstGeom prst="rect">
                            <a:avLst/>
                          </a:prstGeom>
                        </pic:spPr>
                      </pic:pic>
                    </a:graphicData>
                  </a:graphic>
                </wp:inline>
              </w:drawing>
            </w:r>
            <w:r>
              <w:rPr/>
              <w:t xml:space="preserve"> </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lineRule="atLeast" w:line="192" w:before="0" w:after="0"/>
              <w:ind w:left="440" w:right="0" w:hanging="0"/>
              <w:jc w:val="left"/>
              <w:rPr>
                <w:b/>
              </w:rPr>
            </w:pPr>
            <w:r>
              <w:rPr>
                <w:b/>
                <w:spacing w:val="-2"/>
              </w:rPr>
              <w:t>SALES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0"/>
              <w:ind w:left="120" w:right="0" w:hanging="0"/>
              <w:jc w:val="left"/>
              <w:rPr/>
            </w:pPr>
            <w:r>
              <w:rPr/>
              <w:drawing>
                <wp:inline distT="0" distB="0" distL="0" distR="0">
                  <wp:extent cx="438150" cy="25717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4"/>
                          <a:stretch>
                            <a:fillRect/>
                          </a:stretch>
                        </pic:blipFill>
                        <pic:spPr bwMode="auto">
                          <a:xfrm>
                            <a:off x="0" y="0"/>
                            <a:ext cx="438150" cy="257175"/>
                          </a:xfrm>
                          <a:prstGeom prst="rect">
                            <a:avLst/>
                          </a:prstGeom>
                        </pic:spPr>
                      </pic:pic>
                    </a:graphicData>
                  </a:graphic>
                </wp:inline>
              </w:drawing>
            </w:r>
            <w:r>
              <w:rPr/>
              <w:t xml:space="preserve"> </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lineRule="atLeast" w:line="192" w:before="0" w:after="0"/>
              <w:ind w:left="120" w:right="0" w:hanging="0"/>
              <w:jc w:val="left"/>
              <w:rPr>
                <w:b/>
              </w:rPr>
            </w:pPr>
            <w:r>
              <w:rPr>
                <w:b/>
                <w:spacing w:val="-2"/>
              </w:rPr>
              <w:t>INCOME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0"/>
              <w:ind w:left="120" w:right="0" w:hanging="0"/>
              <w:jc w:val="left"/>
              <w:rPr/>
            </w:pPr>
            <w:r>
              <w:rPr/>
              <w:drawing>
                <wp:inline distT="0" distB="0" distL="0" distR="0">
                  <wp:extent cx="438150" cy="25717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5"/>
                          <a:stretch>
                            <a:fillRect/>
                          </a:stretch>
                        </pic:blipFill>
                        <pic:spPr bwMode="auto">
                          <a:xfrm>
                            <a:off x="0" y="0"/>
                            <a:ext cx="438150" cy="257175"/>
                          </a:xfrm>
                          <a:prstGeom prst="rect">
                            <a:avLst/>
                          </a:prstGeom>
                        </pic:spPr>
                      </pic:pic>
                    </a:graphicData>
                  </a:graphic>
                </wp:inline>
              </w:drawing>
            </w:r>
            <w:r>
              <w:rPr/>
              <w:t xml:space="preserve"> </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917" w:type="dxa"/>
            <w:tcBorders/>
            <w:vAlign w:val="center"/>
          </w:tcPr>
          <w:p>
            <w:pPr>
              <w:pStyle w:val="TableContents"/>
              <w:bidi w:val="0"/>
              <w:spacing w:lineRule="atLeast" w:line="192" w:before="0" w:after="0"/>
              <w:ind w:left="120" w:right="0" w:hanging="0"/>
              <w:jc w:val="left"/>
              <w:rPr>
                <w:b/>
              </w:rPr>
            </w:pPr>
            <w:r>
              <w:rPr>
                <w:b/>
                <w:spacing w:val="-2"/>
              </w:rPr>
              <w:t>SALES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3" w:type="dxa"/>
            <w:tcBorders/>
            <w:vAlign w:val="center"/>
          </w:tcPr>
          <w:p>
            <w:pPr>
              <w:pStyle w:val="TableContents"/>
              <w:bidi w:val="0"/>
              <w:spacing w:before="0" w:after="0"/>
              <w:ind w:left="120" w:right="0" w:hanging="0"/>
              <w:jc w:val="left"/>
              <w:rPr/>
            </w:pPr>
            <w:r>
              <w:rPr/>
              <w:drawing>
                <wp:inline distT="0" distB="0" distL="0" distR="0">
                  <wp:extent cx="438150" cy="25717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6"/>
                          <a:stretch>
                            <a:fillRect/>
                          </a:stretch>
                        </pic:blipFill>
                        <pic:spPr bwMode="auto">
                          <a:xfrm>
                            <a:off x="0" y="0"/>
                            <a:ext cx="438150" cy="257175"/>
                          </a:xfrm>
                          <a:prstGeom prst="rect">
                            <a:avLst/>
                          </a:prstGeom>
                        </pic:spPr>
                      </pic:pic>
                    </a:graphicData>
                  </a:graphic>
                </wp:inline>
              </w:drawing>
            </w:r>
            <w:r>
              <w:rPr/>
              <w:t xml:space="preserve"> </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lineRule="atLeast" w:line="192" w:before="0" w:after="0"/>
              <w:ind w:left="120" w:right="0" w:hanging="0"/>
              <w:jc w:val="left"/>
              <w:rPr>
                <w:b/>
              </w:rPr>
            </w:pPr>
            <w:r>
              <w:rPr>
                <w:b/>
                <w:spacing w:val="-2"/>
              </w:rPr>
              <w:t>INCOME</w:t>
            </w:r>
            <w:r>
              <w:rPr>
                <w:b/>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078" w:type="dxa"/>
            <w:gridSpan w:val="4"/>
            <w:tcBorders>
              <w:bottom w:val="single" w:sz="2" w:space="0" w:color="000000"/>
            </w:tcBorders>
            <w:tcMar>
              <w:bottom w:w="28" w:type="dxa"/>
            </w:tcMar>
            <w:vAlign w:val="center"/>
          </w:tcPr>
          <w:p>
            <w:pPr>
              <w:pStyle w:val="TableContents"/>
              <w:bidi w:val="0"/>
              <w:spacing w:before="0" w:after="0"/>
              <w:ind w:left="120" w:right="0" w:hanging="0"/>
              <w:jc w:val="left"/>
              <w:rPr/>
            </w:pPr>
            <w:r>
              <w:rPr>
                <w:b/>
                <w:color w:val="0055B7"/>
                <w:spacing w:val="-6"/>
                <w:sz w:val="48"/>
              </w:rPr>
              <w:t>$28.4</w:t>
            </w:r>
            <w:r>
              <w:rPr>
                <w:spacing w:val="-1"/>
              </w:rPr>
              <w:t xml:space="preserve"> </w:t>
            </w:r>
            <w:r>
              <w:rPr>
                <w:b/>
                <w:color w:val="0055B7"/>
                <w:spacing w:val="-1"/>
                <w:sz w:val="28"/>
              </w:rPr>
              <w:t>Billion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2" w:type="dxa"/>
            <w:gridSpan w:val="4"/>
            <w:tcBorders>
              <w:bottom w:val="single" w:sz="2" w:space="0" w:color="000000"/>
            </w:tcBorders>
            <w:tcMar>
              <w:bottom w:w="28" w:type="dxa"/>
            </w:tcMar>
            <w:vAlign w:val="center"/>
          </w:tcPr>
          <w:p>
            <w:pPr>
              <w:pStyle w:val="TableContents"/>
              <w:bidi w:val="0"/>
              <w:spacing w:before="0" w:after="0"/>
              <w:ind w:left="120" w:right="0" w:hanging="0"/>
              <w:jc w:val="left"/>
              <w:rPr/>
            </w:pPr>
            <w:r>
              <w:rPr>
                <w:b/>
                <w:color w:val="0055B7"/>
                <w:spacing w:val="-6"/>
                <w:sz w:val="48"/>
              </w:rPr>
              <w:t>$1.2</w:t>
            </w:r>
            <w:r>
              <w:rPr>
                <w:spacing w:val="-1"/>
              </w:rPr>
              <w:t xml:space="preserve"> </w:t>
            </w:r>
            <w:r>
              <w:rPr>
                <w:b/>
                <w:color w:val="0055B7"/>
                <w:spacing w:val="-1"/>
                <w:sz w:val="28"/>
              </w:rPr>
              <w:t>Billion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120" w:right="0" w:hanging="0"/>
              <w:jc w:val="left"/>
              <w:rPr>
                <w:b/>
                <w:color w:val="0055B7"/>
                <w:sz w:val="48"/>
              </w:rPr>
            </w:pPr>
            <w:r>
              <w:rPr>
                <w:b/>
                <w:color w:val="0055B7"/>
                <w:spacing w:val="-6"/>
                <w:sz w:val="48"/>
              </w:rPr>
              <w:t>10.5%</w:t>
            </w:r>
            <w:r>
              <w:rPr>
                <w:b/>
                <w:color w:val="000000"/>
                <w:sz w:val="48"/>
              </w:rPr>
              <w:t>​</w:t>
            </w:r>
            <w:r>
              <w:rPr>
                <w:b/>
                <w:color w:val="0055B7"/>
                <w:sz w:val="4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55" w:type="dxa"/>
            <w:gridSpan w:val="4"/>
            <w:tcBorders>
              <w:bottom w:val="single" w:sz="2" w:space="0" w:color="000000"/>
            </w:tcBorders>
            <w:tcMar>
              <w:bottom w:w="28" w:type="dxa"/>
            </w:tcMar>
            <w:vAlign w:val="center"/>
          </w:tcPr>
          <w:p>
            <w:pPr>
              <w:pStyle w:val="TableContents"/>
              <w:bidi w:val="0"/>
              <w:spacing w:before="0" w:after="0"/>
              <w:ind w:left="120" w:right="0" w:hanging="0"/>
              <w:jc w:val="left"/>
              <w:rPr/>
            </w:pPr>
            <w:r>
              <w:rPr>
                <w:b/>
                <w:color w:val="0055B7"/>
                <w:spacing w:val="-6"/>
                <w:sz w:val="48"/>
              </w:rPr>
              <w:t>$3.5</w:t>
            </w:r>
            <w:r>
              <w:rPr>
                <w:spacing w:val="-1"/>
              </w:rPr>
              <w:t xml:space="preserve"> </w:t>
            </w:r>
            <w:r>
              <w:rPr>
                <w:b/>
                <w:color w:val="0055B7"/>
                <w:spacing w:val="-1"/>
                <w:sz w:val="28"/>
              </w:rPr>
              <w:t>Billion</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78" w:type="dxa"/>
            <w:gridSpan w:val="4"/>
            <w:tcBorders/>
            <w:vAlign w:val="center"/>
          </w:tcPr>
          <w:p>
            <w:pPr>
              <w:pStyle w:val="TableContents"/>
              <w:bidi w:val="0"/>
              <w:spacing w:before="0" w:after="0"/>
              <w:ind w:left="120" w:right="0" w:hanging="0"/>
              <w:jc w:val="left"/>
              <w:rPr>
                <w:b/>
              </w:rPr>
            </w:pPr>
            <w:r>
              <w:rPr>
                <w:b/>
                <w:spacing w:val="-2"/>
              </w:rPr>
              <w:t>NET SALES</w:t>
            </w:r>
            <w:r>
              <w:rPr>
                <w:b/>
              </w:rPr>
              <w:t xml:space="preserve"> </w:t>
            </w:r>
          </w:p>
          <w:p>
            <w:pPr>
              <w:pStyle w:val="TableContents"/>
              <w:bidi w:val="0"/>
              <w:spacing w:before="60" w:after="283"/>
              <w:ind w:left="120" w:right="0" w:hanging="0"/>
              <w:jc w:val="left"/>
              <w:rPr>
                <w:b/>
              </w:rPr>
            </w:pPr>
            <w:r>
              <w:rPr>
                <w:b/>
                <w:color w:val="0055B7"/>
                <w:spacing w:val="-2"/>
              </w:rPr>
              <w:t>11.5%</w:t>
            </w:r>
            <w:r>
              <w:rPr>
                <w:b/>
                <w:spacing w:val="-1"/>
              </w:rPr>
              <w:t xml:space="preserve"> </w:t>
            </w:r>
            <w:r>
              <w:rPr>
                <w:b w:val="false"/>
                <w:spacing w:val="-1"/>
              </w:rPr>
              <w:t xml:space="preserve">year-over-year increase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2" w:type="dxa"/>
            <w:gridSpan w:val="4"/>
            <w:tcBorders/>
            <w:vAlign w:val="center"/>
          </w:tcPr>
          <w:p>
            <w:pPr>
              <w:pStyle w:val="TableContents"/>
              <w:bidi w:val="0"/>
              <w:spacing w:before="0" w:after="0"/>
              <w:ind w:left="120" w:right="0" w:hanging="0"/>
              <w:jc w:val="left"/>
              <w:rPr>
                <w:b/>
              </w:rPr>
            </w:pPr>
            <w:r>
              <w:rPr>
                <w:b/>
                <w:spacing w:val="-2"/>
              </w:rPr>
              <w:t>NET INCOME</w:t>
            </w:r>
            <w:r>
              <w:rPr>
                <w:b/>
              </w:rPr>
              <w:t xml:space="preserve"> </w:t>
            </w:r>
          </w:p>
          <w:p>
            <w:pPr>
              <w:pStyle w:val="TableContents"/>
              <w:bidi w:val="0"/>
              <w:spacing w:before="60" w:after="283"/>
              <w:ind w:left="120" w:right="0" w:hanging="0"/>
              <w:jc w:val="left"/>
              <w:rPr>
                <w:b/>
              </w:rPr>
            </w:pPr>
            <w:r>
              <w:rPr>
                <w:b/>
                <w:color w:val="0055B7"/>
                <w:spacing w:val="-2"/>
              </w:rPr>
              <w:t>3.6%</w:t>
            </w:r>
            <w:r>
              <w:rPr>
                <w:b/>
                <w:spacing w:val="-1"/>
              </w:rPr>
              <w:t xml:space="preserve"> </w:t>
            </w:r>
            <w:r>
              <w:rPr>
                <w:b w:val="false"/>
                <w:spacing w:val="-1"/>
              </w:rPr>
              <w:t xml:space="preserve">year-over-year decrease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3" w:type="dxa"/>
            <w:gridSpan w:val="4"/>
            <w:tcBorders/>
            <w:vAlign w:val="center"/>
          </w:tcPr>
          <w:p>
            <w:pPr>
              <w:pStyle w:val="TableContents"/>
              <w:bidi w:val="0"/>
              <w:spacing w:before="0" w:after="0"/>
              <w:ind w:left="120" w:right="0" w:hanging="0"/>
              <w:jc w:val="left"/>
              <w:rPr>
                <w:b/>
              </w:rPr>
            </w:pPr>
            <w:r>
              <w:rPr>
                <w:b/>
                <w:spacing w:val="-2"/>
              </w:rPr>
              <w:t>ORGANIC SALES*</w:t>
            </w:r>
            <w:r>
              <w:rPr>
                <w:b/>
              </w:rPr>
              <w:t xml:space="preserve"> </w:t>
            </w:r>
          </w:p>
          <w:p>
            <w:pPr>
              <w:pStyle w:val="TableContents"/>
              <w:bidi w:val="0"/>
              <w:spacing w:before="60" w:after="283"/>
              <w:ind w:left="120" w:right="0" w:hanging="0"/>
              <w:jc w:val="left"/>
              <w:rPr>
                <w:spacing w:val="-1"/>
              </w:rPr>
            </w:pPr>
            <w:r>
              <w:rPr>
                <w:spacing w:val="-1"/>
              </w:rPr>
              <w:t xml:space="preserve">year-over-year increase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5" w:type="dxa"/>
            <w:gridSpan w:val="4"/>
            <w:tcBorders/>
            <w:vAlign w:val="center"/>
          </w:tcPr>
          <w:p>
            <w:pPr>
              <w:pStyle w:val="TableContents"/>
              <w:bidi w:val="0"/>
              <w:spacing w:before="0" w:after="0"/>
              <w:ind w:left="120" w:right="0" w:hanging="0"/>
              <w:jc w:val="left"/>
              <w:rPr>
                <w:b/>
              </w:rPr>
            </w:pPr>
            <w:r>
              <w:rPr>
                <w:b/>
                <w:spacing w:val="-2"/>
              </w:rPr>
              <w:t>ADJUSTED EBITDA*</w:t>
            </w:r>
            <w:r>
              <w:rPr>
                <w:b/>
              </w:rPr>
              <w:t xml:space="preserve"> </w:t>
            </w:r>
          </w:p>
          <w:p>
            <w:pPr>
              <w:pStyle w:val="TableContents"/>
              <w:bidi w:val="0"/>
              <w:spacing w:before="60" w:after="283"/>
              <w:ind w:left="120" w:right="0" w:hanging="0"/>
              <w:jc w:val="left"/>
              <w:rPr>
                <w:b/>
              </w:rPr>
            </w:pPr>
            <w:r>
              <w:rPr>
                <w:b/>
                <w:color w:val="0055B7"/>
                <w:spacing w:val="-2"/>
              </w:rPr>
              <w:t>3.2%</w:t>
            </w:r>
            <w:r>
              <w:rPr>
                <w:b/>
                <w:spacing w:val="-1"/>
              </w:rPr>
              <w:t xml:space="preserve"> </w:t>
            </w:r>
            <w:r>
              <w:rPr>
                <w:b w:val="false"/>
                <w:spacing w:val="-1"/>
              </w:rPr>
              <w:t>year-over-year increase</w:t>
            </w:r>
            <w:r>
              <w:rPr>
                <w:b/>
              </w:rPr>
              <w:t xml:space="preserve"> </w:t>
            </w:r>
          </w:p>
        </w:tc>
        <w:tc>
          <w:tcPr>
            <w:tcW w:w="159" w:type="dxa"/>
            <w:tcBorders/>
            <w:vAlign w:val="center"/>
          </w:tcPr>
          <w:p>
            <w:pPr>
              <w:pStyle w:val="TableContents"/>
              <w:bidi w:val="0"/>
              <w:spacing w:before="0" w:after="283"/>
              <w:jc w:val="left"/>
              <w:rPr/>
            </w:pPr>
            <w:r>
              <w:rPr/>
              <w:t>​</w:t>
            </w:r>
          </w:p>
        </w:tc>
      </w:tr>
    </w:tbl>
    <w:tbl>
      <w:tblPr>
        <w:tblW w:w="6690" w:type="dxa"/>
        <w:jc w:val="left"/>
        <w:tblInd w:w="720" w:type="dxa"/>
        <w:tblLayout w:type="fixed"/>
        <w:tblCellMar>
          <w:top w:w="0" w:type="dxa"/>
          <w:left w:w="0" w:type="dxa"/>
          <w:bottom w:w="0" w:type="dxa"/>
          <w:right w:w="0" w:type="dxa"/>
        </w:tblCellMar>
      </w:tblPr>
      <w:tblGrid>
        <w:gridCol w:w="124"/>
        <w:gridCol w:w="961"/>
        <w:gridCol w:w="127"/>
        <w:gridCol w:w="127"/>
        <w:gridCol w:w="1832"/>
        <w:gridCol w:w="109"/>
        <w:gridCol w:w="109"/>
        <w:gridCol w:w="821"/>
        <w:gridCol w:w="109"/>
        <w:gridCol w:w="109"/>
        <w:gridCol w:w="1564"/>
        <w:gridCol w:w="109"/>
        <w:gridCol w:w="109"/>
        <w:gridCol w:w="326"/>
        <w:gridCol w:w="154"/>
      </w:tblGrid>
      <w:tr>
        <w:trPr/>
        <w:tc>
          <w:tcPr>
            <w:tcW w:w="124"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0"/>
              <w:ind w:left="120" w:right="0" w:hanging="0"/>
              <w:jc w:val="left"/>
              <w:rPr/>
            </w:pPr>
            <w:r>
              <w:rPr/>
              <w:drawing>
                <wp:inline distT="0" distB="0" distL="0" distR="0">
                  <wp:extent cx="428625" cy="37147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7"/>
                          <a:stretch>
                            <a:fillRect/>
                          </a:stretch>
                        </pic:blipFill>
                        <pic:spPr bwMode="auto">
                          <a:xfrm>
                            <a:off x="0" y="0"/>
                            <a:ext cx="428625" cy="371475"/>
                          </a:xfrm>
                          <a:prstGeom prst="rect">
                            <a:avLst/>
                          </a:prstGeom>
                        </pic:spPr>
                      </pic:pic>
                    </a:graphicData>
                  </a:graphic>
                </wp:inline>
              </w:drawing>
            </w:r>
            <w:r>
              <w:rPr/>
              <w:t xml:space="preserve"> </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832" w:type="dxa"/>
            <w:tcBorders/>
            <w:vAlign w:val="center"/>
          </w:tcPr>
          <w:p>
            <w:pPr>
              <w:pStyle w:val="TableContents"/>
              <w:bidi w:val="0"/>
              <w:spacing w:lineRule="atLeast" w:line="192" w:before="0" w:after="0"/>
              <w:ind w:left="120" w:right="0" w:hanging="0"/>
              <w:jc w:val="left"/>
              <w:rPr/>
            </w:pPr>
            <w:r>
              <w:rPr>
                <w:spacing w:val="-2"/>
              </w:rPr>
              <w:t>CASH FLOW</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1" w:type="dxa"/>
            <w:tcBorders/>
            <w:vAlign w:val="center"/>
          </w:tcPr>
          <w:p>
            <w:pPr>
              <w:pStyle w:val="TableContents"/>
              <w:bidi w:val="0"/>
              <w:spacing w:before="0" w:after="0"/>
              <w:ind w:left="120" w:right="0" w:hanging="0"/>
              <w:jc w:val="left"/>
              <w:rPr/>
            </w:pPr>
            <w:r>
              <w:rPr/>
              <w:drawing>
                <wp:inline distT="0" distB="0" distL="0" distR="0">
                  <wp:extent cx="428625" cy="371475"/>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8"/>
                          <a:stretch>
                            <a:fillRect/>
                          </a:stretch>
                        </pic:blipFill>
                        <pic:spPr bwMode="auto">
                          <a:xfrm>
                            <a:off x="0" y="0"/>
                            <a:ext cx="4286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lineRule="atLeast" w:line="192" w:before="0" w:after="0"/>
              <w:ind w:left="120" w:right="0" w:hanging="0"/>
              <w:jc w:val="left"/>
              <w:rPr/>
            </w:pPr>
            <w:r>
              <w:rPr>
                <w:spacing w:val="-2"/>
              </w:rPr>
              <w:t>CASH FLOW</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 w:type="dxa"/>
            <w:tcBorders/>
            <w:vAlign w:val="center"/>
          </w:tcPr>
          <w:p>
            <w:pPr>
              <w:pStyle w:val="TableContents"/>
              <w:bidi w:val="0"/>
              <w:spacing w:lineRule="atLeast" w:line="192" w:before="0" w:after="0"/>
              <w:ind w:left="120" w:right="0" w:hanging="0"/>
              <w:jc w:val="left"/>
              <w:rPr>
                <w:spacing w:val="-1"/>
              </w:rPr>
            </w:pPr>
            <w:r>
              <w:rPr>
                <w:spacing w:val="-1"/>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3047" w:type="dxa"/>
            <w:gridSpan w:val="4"/>
            <w:tcBorders>
              <w:bottom w:val="single" w:sz="2" w:space="0" w:color="000000"/>
            </w:tcBorders>
            <w:tcMar>
              <w:bottom w:w="28" w:type="dxa"/>
            </w:tcMar>
            <w:vAlign w:val="center"/>
          </w:tcPr>
          <w:p>
            <w:pPr>
              <w:pStyle w:val="TableContents"/>
              <w:bidi w:val="0"/>
              <w:spacing w:before="0" w:after="0"/>
              <w:ind w:left="120" w:right="0" w:hanging="0"/>
              <w:jc w:val="left"/>
              <w:rPr/>
            </w:pPr>
            <w:r>
              <w:rPr>
                <w:b/>
                <w:color w:val="0055B7"/>
                <w:spacing w:val="-6"/>
                <w:sz w:val="48"/>
              </w:rPr>
              <w:t>$1.7</w:t>
            </w:r>
            <w:r>
              <w:rPr>
                <w:spacing w:val="-1"/>
              </w:rPr>
              <w:t xml:space="preserve"> </w:t>
            </w:r>
            <w:r>
              <w:rPr>
                <w:b/>
                <w:color w:val="0055B7"/>
                <w:spacing w:val="-1"/>
                <w:sz w:val="28"/>
              </w:rPr>
              <w:t>Billion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03" w:type="dxa"/>
            <w:gridSpan w:val="4"/>
            <w:tcBorders>
              <w:bottom w:val="single" w:sz="2" w:space="0" w:color="000000"/>
            </w:tcBorders>
            <w:tcMar>
              <w:bottom w:w="28" w:type="dxa"/>
            </w:tcMar>
            <w:vAlign w:val="center"/>
          </w:tcPr>
          <w:p>
            <w:pPr>
              <w:pStyle w:val="TableContents"/>
              <w:bidi w:val="0"/>
              <w:spacing w:before="0" w:after="0"/>
              <w:ind w:left="120" w:right="0" w:hanging="0"/>
              <w:jc w:val="left"/>
              <w:rPr/>
            </w:pPr>
            <w:r>
              <w:rPr>
                <w:b/>
                <w:color w:val="0055B7"/>
                <w:spacing w:val="-6"/>
                <w:sz w:val="48"/>
              </w:rPr>
              <w:t>$1.3</w:t>
            </w:r>
            <w:r>
              <w:rPr>
                <w:spacing w:val="-1"/>
              </w:rPr>
              <w:t xml:space="preserve"> </w:t>
            </w:r>
            <w:r>
              <w:rPr>
                <w:b/>
                <w:color w:val="0055B7"/>
                <w:spacing w:val="-1"/>
                <w:sz w:val="28"/>
              </w:rPr>
              <w:t>Billion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7" w:type="dxa"/>
            <w:gridSpan w:val="4"/>
            <w:tcBorders/>
            <w:vAlign w:val="center"/>
          </w:tcPr>
          <w:p>
            <w:pPr>
              <w:pStyle w:val="TableContents"/>
              <w:bidi w:val="0"/>
              <w:spacing w:lineRule="atLeast" w:line="192" w:before="0" w:after="0"/>
              <w:ind w:left="120" w:right="0" w:hanging="0"/>
              <w:jc w:val="left"/>
              <w:rPr/>
            </w:pPr>
            <w:r>
              <w:rPr>
                <w:spacing w:val="-2"/>
              </w:rPr>
              <w:t xml:space="preserve">NET CASH PROVIDED BY </w:t>
              <w:br/>
              <w:t>OPERATING ACTIVITIES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03" w:type="dxa"/>
            <w:gridSpan w:val="4"/>
            <w:tcBorders/>
            <w:vAlign w:val="center"/>
          </w:tcPr>
          <w:p>
            <w:pPr>
              <w:pStyle w:val="TableContents"/>
              <w:bidi w:val="0"/>
              <w:spacing w:before="0" w:after="0"/>
              <w:ind w:left="120" w:right="0" w:hanging="0"/>
              <w:jc w:val="left"/>
              <w:rPr/>
            </w:pPr>
            <w:r>
              <w:rPr>
                <w:spacing w:val="-2"/>
              </w:rPr>
              <w:t>FREE CASH FLOW*</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60" w:after="0"/>
        <w:ind w:left="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Non-GAAP financial measure. For more information, including reconciliations of our non-GAAP measures to the comparable GAAP measures, see Appendix A to this Proxy Statement.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align>top</wp:align>
                </wp:positionV>
                <wp:extent cx="139700" cy="350520"/>
                <wp:effectExtent l="0" t="0" r="0" b="0"/>
                <wp:wrapSquare wrapText="right"/>
                <wp:docPr id="40" name="Frame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4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combination of our two segments, Medline Brand and Supply Chain Solutions, addresses critical needs in the market through a comprehensive solution. Both segments are supported by our Prime Vendor model, differentiated distribution network, and robust commercial platform.</w:t>
      </w:r>
      <w:r>
        <w:rPr>
          <w:rFonts w:ascii="Arial;Helvetica;sans-serif" w:hAnsi="Arial;Helvetica;sans-serif"/>
          <w:b w:val="false"/>
          <w:i w:val="false"/>
          <w:caps w:val="false"/>
          <w:smallCaps w:val="false"/>
          <w:color w:val="000000"/>
          <w:spacing w:val="4"/>
          <w:sz w:val="18"/>
        </w:rPr>
        <w:t xml:space="preserve"> </w:t>
      </w:r>
    </w:p>
    <w:tbl>
      <w:tblPr>
        <w:tblW w:w="10482" w:type="dxa"/>
        <w:jc w:val="left"/>
        <w:tblInd w:w="720" w:type="dxa"/>
        <w:tblLayout w:type="fixed"/>
        <w:tblCellMar>
          <w:top w:w="0" w:type="dxa"/>
          <w:left w:w="0" w:type="dxa"/>
          <w:bottom w:w="0" w:type="dxa"/>
          <w:right w:w="0" w:type="dxa"/>
        </w:tblCellMar>
      </w:tblPr>
      <w:tblGrid>
        <w:gridCol w:w="124"/>
        <w:gridCol w:w="4946"/>
        <w:gridCol w:w="109"/>
        <w:gridCol w:w="109"/>
        <w:gridCol w:w="109"/>
        <w:gridCol w:w="4931"/>
        <w:gridCol w:w="154"/>
      </w:tblGrid>
      <w:tr>
        <w:trPr/>
        <w:tc>
          <w:tcPr>
            <w:tcW w:w="124" w:type="dxa"/>
            <w:tcBorders/>
            <w:shd w:fill="0055B7" w:val="clear"/>
            <w:vAlign w:val="center"/>
          </w:tcPr>
          <w:p>
            <w:pPr>
              <w:pStyle w:val="TableContents"/>
              <w:bidi w:val="0"/>
              <w:spacing w:before="0" w:after="283"/>
              <w:jc w:val="left"/>
              <w:rPr/>
            </w:pPr>
            <w:r>
              <w:rPr/>
              <w:t>​</w:t>
            </w:r>
          </w:p>
        </w:tc>
        <w:tc>
          <w:tcPr>
            <w:tcW w:w="4946" w:type="dxa"/>
            <w:tcBorders/>
            <w:shd w:fill="0055B7" w:val="clear"/>
            <w:vAlign w:val="center"/>
          </w:tcPr>
          <w:p>
            <w:pPr>
              <w:pStyle w:val="TableContents"/>
              <w:bidi w:val="0"/>
              <w:spacing w:lineRule="atLeast" w:line="250" w:before="0" w:after="0"/>
              <w:jc w:val="center"/>
              <w:rPr/>
            </w:pPr>
            <w:r>
              <w:rPr>
                <w:caps/>
                <w:spacing w:val="-3"/>
              </w:rPr>
              <w:t>2025 Net Sales Mix</w:t>
            </w:r>
            <w:r>
              <w:rPr/>
              <w:t xml:space="preserve"> </w:t>
            </w:r>
          </w:p>
        </w:tc>
        <w:tc>
          <w:tcPr>
            <w:tcW w:w="109" w:type="dxa"/>
            <w:tcBorders/>
            <w:shd w:fill="0055B7"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55B7" w:val="clear"/>
            <w:vAlign w:val="center"/>
          </w:tcPr>
          <w:p>
            <w:pPr>
              <w:pStyle w:val="TableContents"/>
              <w:bidi w:val="0"/>
              <w:spacing w:before="0" w:after="283"/>
              <w:jc w:val="left"/>
              <w:rPr/>
            </w:pPr>
            <w:r>
              <w:rPr/>
              <w:t>​</w:t>
            </w:r>
          </w:p>
        </w:tc>
        <w:tc>
          <w:tcPr>
            <w:tcW w:w="4931" w:type="dxa"/>
            <w:tcBorders/>
            <w:shd w:fill="0055B7" w:val="clear"/>
            <w:vAlign w:val="center"/>
          </w:tcPr>
          <w:p>
            <w:pPr>
              <w:pStyle w:val="TableContents"/>
              <w:bidi w:val="0"/>
              <w:spacing w:lineRule="atLeast" w:line="250" w:before="0" w:after="0"/>
              <w:jc w:val="center"/>
              <w:rPr/>
            </w:pPr>
            <w:r>
              <w:rPr>
                <w:caps/>
                <w:spacing w:val="-3"/>
              </w:rPr>
              <w:t>2025 Segment Adjusted EBITDA* Mix</w:t>
            </w:r>
            <w:r>
              <w:rPr/>
              <w:t xml:space="preserve"> </w:t>
            </w:r>
          </w:p>
        </w:tc>
        <w:tc>
          <w:tcPr>
            <w:tcW w:w="154" w:type="dxa"/>
            <w:tcBorders/>
            <w:shd w:fill="0055B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46" w:type="dxa"/>
            <w:tcBorders/>
            <w:vAlign w:val="center"/>
          </w:tcPr>
          <w:p>
            <w:pPr>
              <w:pStyle w:val="TableContents"/>
              <w:bidi w:val="0"/>
              <w:spacing w:before="0" w:after="0"/>
              <w:jc w:val="center"/>
              <w:rPr/>
            </w:pPr>
            <w:r>
              <w:rPr/>
              <w:drawing>
                <wp:inline distT="0" distB="0" distL="0" distR="0">
                  <wp:extent cx="3086100" cy="1562100"/>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9"/>
                          <a:stretch>
                            <a:fillRect/>
                          </a:stretch>
                        </pic:blipFill>
                        <pic:spPr bwMode="auto">
                          <a:xfrm>
                            <a:off x="0" y="0"/>
                            <a:ext cx="3086100" cy="1562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31" w:type="dxa"/>
            <w:tcBorders/>
            <w:vAlign w:val="center"/>
          </w:tcPr>
          <w:p>
            <w:pPr>
              <w:pStyle w:val="TableContents"/>
              <w:bidi w:val="0"/>
              <w:spacing w:before="0" w:after="0"/>
              <w:jc w:val="center"/>
              <w:rPr/>
            </w:pPr>
            <w:r>
              <w:rPr/>
              <w:drawing>
                <wp:inline distT="0" distB="0" distL="0" distR="0">
                  <wp:extent cx="3076575" cy="1562100"/>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40"/>
                          <a:stretch>
                            <a:fillRect/>
                          </a:stretch>
                        </pic:blipFill>
                        <pic:spPr bwMode="auto">
                          <a:xfrm>
                            <a:off x="0" y="0"/>
                            <a:ext cx="3076575" cy="15621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60" w:after="0"/>
        <w:ind w:left="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Segment Adjusted EBITDA is our segment measure of profit or loss as defined by Accounting Standards Codification (ASC) 280. Segment Adjusted EBITDA does not include unallocated corporate and other costs.</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101600" distB="0" distL="0" distR="0" simplePos="0" locked="0" layoutInCell="1" allowOverlap="1" relativeHeight="174">
                <wp:simplePos x="0" y="0"/>
                <wp:positionH relativeFrom="column">
                  <wp:align>left</wp:align>
                </wp:positionH>
                <wp:positionV relativeFrom="line">
                  <wp:align>top</wp:align>
                </wp:positionV>
                <wp:extent cx="139700" cy="350520"/>
                <wp:effectExtent l="0" t="0" r="0" b="0"/>
                <wp:wrapSquare wrapText="right"/>
                <wp:docPr id="43" name="Frame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VO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Voting Roadmap</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283"/>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Voting Roadmap</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21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voting roadmap summarizes the voting matters and the Board of Directors (“Board”) recommendations detailed elsewhere in this Proxy Statement. It may not contain all the information important to you. Please review this entire Proxy Statement and our Annual Report on Form 10-K for the year ended December 31, 2025 (the “2025 Annual Report”) prior to voting. Please refer to our Glossary of Terms and Acronyms in Appendix B to this Proxy Statement for definitions of certain capitalized terms.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765"/>
        <w:gridCol w:w="109"/>
        <w:gridCol w:w="109"/>
        <w:gridCol w:w="514"/>
        <w:gridCol w:w="109"/>
        <w:gridCol w:w="109"/>
        <w:gridCol w:w="6491"/>
        <w:gridCol w:w="155"/>
      </w:tblGrid>
      <w:tr>
        <w:trPr/>
        <w:tc>
          <w:tcPr>
            <w:tcW w:w="124" w:type="dxa"/>
            <w:vMerge w:val="restart"/>
            <w:tcBorders/>
            <w:shd w:fill="0055B7" w:val="clear"/>
            <w:vAlign w:val="center"/>
          </w:tcPr>
          <w:p>
            <w:pPr>
              <w:pStyle w:val="TableContents"/>
              <w:bidi w:val="0"/>
              <w:spacing w:before="0" w:after="283"/>
              <w:jc w:val="left"/>
              <w:rPr/>
            </w:pPr>
            <w:r>
              <w:rPr/>
              <w:t>​</w:t>
            </w:r>
          </w:p>
        </w:tc>
        <w:tc>
          <w:tcPr>
            <w:tcW w:w="1765" w:type="dxa"/>
            <w:vMerge w:val="restart"/>
            <w:tcBorders/>
            <w:shd w:fill="0055B7" w:val="clear"/>
            <w:tcMar>
              <w:top w:w="28" w:type="dxa"/>
              <w:left w:w="28" w:type="dxa"/>
              <w:bottom w:w="28" w:type="dxa"/>
              <w:right w:w="28" w:type="dxa"/>
            </w:tcMar>
            <w:vAlign w:val="center"/>
          </w:tcPr>
          <w:p>
            <w:pPr>
              <w:pStyle w:val="TableContents"/>
              <w:bidi w:val="0"/>
              <w:spacing w:lineRule="atLeast" w:line="360" w:before="0" w:after="0"/>
              <w:jc w:val="center"/>
              <w:rPr>
                <w:sz w:val="32"/>
              </w:rPr>
            </w:pPr>
            <w:r>
              <w:rPr>
                <w:spacing w:val="-4"/>
                <w:sz w:val="32"/>
              </w:rPr>
              <w:t>PROPOSAL</w:t>
            </w:r>
            <w:r>
              <w:rPr>
                <w:sz w:val="32"/>
              </w:rPr>
              <w:t xml:space="preserve"> </w:t>
            </w:r>
          </w:p>
          <w:p>
            <w:pPr>
              <w:pStyle w:val="TableContents"/>
              <w:bidi w:val="0"/>
              <w:spacing w:before="120" w:after="283"/>
              <w:jc w:val="center"/>
              <w:rPr>
                <w:sz w:val="96"/>
              </w:rPr>
            </w:pPr>
            <w:r>
              <w:rPr>
                <w:spacing w:val="-12"/>
                <w:sz w:val="96"/>
              </w:rPr>
              <w:t>1</w:t>
            </w:r>
            <w:r>
              <w:rPr>
                <w:color w:val="000000"/>
                <w:sz w:val="96"/>
              </w:rPr>
              <w:t>​</w:t>
            </w:r>
            <w:r>
              <w:rPr>
                <w:sz w:val="96"/>
              </w:rPr>
              <w:t xml:space="preserve"> </w:t>
            </w:r>
          </w:p>
        </w:tc>
        <w:tc>
          <w:tcPr>
            <w:tcW w:w="109" w:type="dxa"/>
            <w:vMerge w:val="restart"/>
            <w:tcBorders/>
            <w:shd w:fill="0055B7"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223" w:type="dxa"/>
            <w:gridSpan w:val="4"/>
            <w:tcBorders/>
            <w:shd w:fill="F2F2F2" w:val="clear"/>
            <w:vAlign w:val="center"/>
          </w:tcPr>
          <w:p>
            <w:pPr>
              <w:pStyle w:val="TableContents"/>
              <w:bidi w:val="0"/>
              <w:spacing w:lineRule="atLeast" w:line="320" w:before="0" w:after="0"/>
              <w:ind w:left="120" w:right="0" w:hanging="0"/>
              <w:jc w:val="left"/>
              <w:rPr>
                <w:color w:val="0055B7"/>
                <w:sz w:val="28"/>
              </w:rPr>
            </w:pPr>
            <w:r>
              <w:rPr>
                <w:color w:val="0055B7"/>
                <w:spacing w:val="-4"/>
                <w:sz w:val="28"/>
              </w:rPr>
              <w:t>ELECTION OF DIRECTORS</w:t>
            </w:r>
            <w:r>
              <w:rPr>
                <w:color w:val="000000"/>
                <w:sz w:val="28"/>
              </w:rPr>
              <w:t>​</w:t>
            </w:r>
            <w:r>
              <w:rPr>
                <w:color w:val="0055B7"/>
                <w:sz w:val="28"/>
              </w:rPr>
              <w:t xml:space="preserve"> </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65"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23" w:type="dxa"/>
            <w:gridSpan w:val="4"/>
            <w:tcBorders/>
            <w:shd w:fill="F2F2F2" w:val="clear"/>
            <w:vAlign w:val="center"/>
          </w:tcPr>
          <w:p>
            <w:pPr>
              <w:pStyle w:val="TableContents"/>
              <w:bidi w:val="0"/>
              <w:spacing w:lineRule="atLeast" w:line="220" w:before="0" w:after="0"/>
              <w:ind w:left="120" w:right="0" w:hanging="0"/>
              <w:jc w:val="left"/>
              <w:rPr>
                <w:spacing w:val="-1"/>
                <w:sz w:val="18"/>
              </w:rPr>
            </w:pPr>
            <w:r>
              <w:rPr>
                <w:spacing w:val="-1"/>
                <w:sz w:val="18"/>
              </w:rPr>
              <w:t xml:space="preserve">Elect the following 12 directors to hold office until the Company’s 2027 Annual Meeting.    </w:t>
            </w:r>
          </w:p>
          <w:p>
            <w:pPr>
              <w:pStyle w:val="TableContents"/>
              <w:bidi w:val="0"/>
              <w:spacing w:before="0" w:after="283"/>
              <w:ind w:left="0" w:right="0" w:hanging="0"/>
              <w:jc w:val="both"/>
              <w:rPr>
                <w:bdr w:val="single" w:sz="8" w:space="1" w:color="000000"/>
              </w:rPr>
            </w:pPr>
            <w:r>
              <w:rPr>
                <w:bdr w:val="single" w:sz="8" w:space="1" w:color="000000"/>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65"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23" w:type="dxa"/>
            <w:gridSpan w:val="4"/>
            <w:tcBorders/>
            <w:shd w:fill="F2F2F2" w:val="clear"/>
            <w:vAlign w:val="center"/>
          </w:tcPr>
          <w:p>
            <w:pPr>
              <w:pStyle w:val="TableContents"/>
              <w:bidi w:val="0"/>
              <w:spacing w:lineRule="atLeast" w:line="220" w:before="0" w:after="0"/>
              <w:ind w:left="120" w:right="0" w:hanging="0"/>
              <w:jc w:val="left"/>
              <w:rPr/>
            </w:pPr>
            <w:r>
              <w:rPr>
                <w:spacing w:val="-1"/>
              </w:rPr>
              <w:t> </w:t>
            </w:r>
            <w:r>
              <w:rPr/>
              <w:t xml:space="preserve"> </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65"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514" w:type="dxa"/>
            <w:tcBorders/>
            <w:shd w:fill="F2F2F2" w:val="clear"/>
            <w:vAlign w:val="center"/>
          </w:tcPr>
          <w:p>
            <w:pPr>
              <w:pStyle w:val="TableContents"/>
              <w:bidi w:val="0"/>
              <w:spacing w:before="0" w:after="0"/>
              <w:ind w:left="120" w:right="0" w:hanging="0"/>
              <w:jc w:val="left"/>
              <w:rPr/>
            </w:pPr>
            <w:r>
              <w:rPr/>
              <w:drawing>
                <wp:inline distT="0" distB="0" distL="0" distR="0">
                  <wp:extent cx="238125" cy="238125"/>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41"/>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491" w:type="dxa"/>
            <w:tcBorders/>
            <w:shd w:fill="F2F2F2" w:val="clear"/>
            <w:vAlign w:val="center"/>
          </w:tcPr>
          <w:p>
            <w:pPr>
              <w:pStyle w:val="TableContents"/>
              <w:bidi w:val="0"/>
              <w:spacing w:lineRule="atLeast" w:line="240" w:before="0" w:after="0"/>
              <w:jc w:val="left"/>
              <w:rPr>
                <w:sz w:val="20"/>
              </w:rPr>
            </w:pPr>
            <w:r>
              <w:rPr>
                <w:spacing w:val="-3"/>
                <w:sz w:val="20"/>
              </w:rPr>
              <w:t xml:space="preserve">THE BOARD RECOMMENDS A VOTE </w:t>
            </w:r>
            <w:r>
              <w:rPr>
                <w:color w:val="0070CD"/>
                <w:spacing w:val="-3"/>
                <w:sz w:val="20"/>
              </w:rPr>
              <w:t>FOR</w:t>
            </w:r>
            <w:r>
              <w:rPr>
                <w:spacing w:val="-3"/>
                <w:sz w:val="20"/>
              </w:rPr>
              <w:t xml:space="preserve"> EACH OF THE DIRECTOR NOMINEES.</w:t>
            </w:r>
            <w:r>
              <w:rPr>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65"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23" w:type="dxa"/>
            <w:gridSpan w:val="4"/>
            <w:tcBorders/>
            <w:shd w:fill="F2F2F2" w:val="clear"/>
            <w:vAlign w:val="center"/>
          </w:tcPr>
          <w:p>
            <w:pPr>
              <w:pStyle w:val="TableContents"/>
              <w:bidi w:val="0"/>
              <w:spacing w:lineRule="atLeast" w:line="240" w:before="0" w:after="0"/>
              <w:ind w:left="120" w:right="0" w:hanging="0"/>
              <w:jc w:val="left"/>
              <w:rPr/>
            </w:pPr>
            <w:r>
              <w:rPr>
                <w:spacing w:val="-2"/>
                <w:sz w:val="20"/>
              </w:rPr>
              <w:t>More on Page </w:t>
            </w:r>
            <w:hyperlink w:anchor="tPRO">
              <w:r>
                <w:rPr>
                  <w:rStyle w:val="InternetLink"/>
                  <w:spacing w:val="-2"/>
                  <w:sz w:val="20"/>
                </w:rPr>
                <w:t>8</w:t>
              </w:r>
            </w:hyperlink>
            <w:r>
              <w:rPr>
                <w:sz w:val="20"/>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152"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that the nominees possess the requisite qualifications, skills, and expertise to provide effective oversight of management and the Company’s business.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24"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Director Nominees at a Glance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Independence: </w:t>
      </w:r>
      <w:r>
        <w:rPr>
          <w:rFonts w:ascii="Arial;Helvetica;sans-serif" w:hAnsi="Arial;Helvetica;sans-serif"/>
          <w:b/>
          <w:i w:val="false"/>
          <w:caps w:val="false"/>
          <w:smallCaps w:val="false"/>
          <w:color w:val="000000"/>
          <w:spacing w:val="0"/>
          <w:sz w:val="18"/>
        </w:rPr>
        <w:t>9 of 12 directors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386"/>
        <w:gridCol w:w="109"/>
        <w:gridCol w:w="109"/>
        <w:gridCol w:w="1504"/>
        <w:gridCol w:w="116"/>
        <w:gridCol w:w="116"/>
        <w:gridCol w:w="332"/>
        <w:gridCol w:w="116"/>
        <w:gridCol w:w="116"/>
        <w:gridCol w:w="116"/>
        <w:gridCol w:w="116"/>
        <w:gridCol w:w="116"/>
        <w:gridCol w:w="116"/>
        <w:gridCol w:w="109"/>
        <w:gridCol w:w="109"/>
        <w:gridCol w:w="1406"/>
        <w:gridCol w:w="109"/>
        <w:gridCol w:w="109"/>
        <w:gridCol w:w="1426"/>
        <w:gridCol w:w="112"/>
        <w:gridCol w:w="112"/>
        <w:gridCol w:w="661"/>
        <w:gridCol w:w="112"/>
        <w:gridCol w:w="112"/>
        <w:gridCol w:w="112"/>
        <w:gridCol w:w="112"/>
        <w:gridCol w:w="112"/>
        <w:gridCol w:w="112"/>
        <w:gridCol w:w="168"/>
      </w:tblGrid>
      <w:tr>
        <w:trPr/>
        <w:tc>
          <w:tcPr>
            <w:tcW w:w="124" w:type="dxa"/>
            <w:tcBorders/>
            <w:vAlign w:val="center"/>
          </w:tcPr>
          <w:p>
            <w:pPr>
              <w:pStyle w:val="TableContents"/>
              <w:bidi w:val="0"/>
              <w:spacing w:before="0" w:after="283"/>
              <w:jc w:val="left"/>
              <w:rPr/>
            </w:pPr>
            <w:r>
              <w:rPr/>
              <w:t>​</w:t>
            </w:r>
          </w:p>
        </w:tc>
        <w:tc>
          <w:tcPr>
            <w:tcW w:w="1386" w:type="dxa"/>
            <w:tcBorders/>
            <w:vAlign w:val="center"/>
          </w:tcPr>
          <w:p>
            <w:pPr>
              <w:pStyle w:val="TableContents"/>
              <w:bidi w:val="0"/>
              <w:spacing w:before="0" w:after="0"/>
              <w:jc w:val="center"/>
              <w:rPr/>
            </w:pPr>
            <w:r>
              <w:rPr/>
              <w:drawing>
                <wp:inline distT="0" distB="0" distL="0" distR="0">
                  <wp:extent cx="819150" cy="8382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42"/>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64" w:type="dxa"/>
            <w:gridSpan w:val="10"/>
            <w:tcBorders/>
            <w:vAlign w:val="center"/>
          </w:tcPr>
          <w:p>
            <w:pPr>
              <w:pStyle w:val="TableContents"/>
              <w:bidi w:val="0"/>
              <w:spacing w:lineRule="atLeast" w:line="240" w:before="0" w:after="0"/>
              <w:jc w:val="left"/>
              <w:rPr>
                <w:b/>
                <w:sz w:val="20"/>
              </w:rPr>
            </w:pPr>
            <w:r>
              <w:rPr>
                <w:b/>
                <w:spacing w:val="0"/>
                <w:sz w:val="20"/>
              </w:rPr>
              <w:t>Charles N. Mills</w:t>
            </w:r>
            <w:r>
              <w:rPr>
                <w:b/>
                <w:spacing w:val="-2"/>
                <w:sz w:val="20"/>
              </w:rPr>
              <w:t xml:space="preserve"> </w:t>
            </w:r>
            <w:r>
              <w:rPr>
                <w:b w:val="false"/>
                <w:spacing w:val="-2"/>
                <w:sz w:val="20"/>
              </w:rPr>
              <w:t>| 64</w:t>
            </w:r>
            <w:r>
              <w:rPr>
                <w:b/>
                <w:sz w:val="20"/>
              </w:rPr>
              <w:t xml:space="preserve"> </w:t>
            </w:r>
          </w:p>
          <w:p>
            <w:pPr>
              <w:pStyle w:val="TableContents"/>
              <w:bidi w:val="0"/>
              <w:spacing w:lineRule="atLeast" w:line="200" w:before="100" w:after="283"/>
              <w:jc w:val="left"/>
              <w:rPr/>
            </w:pPr>
            <w:r>
              <w:rPr>
                <w:spacing w:val="-1"/>
              </w:rPr>
              <w:t>Non-Executive</w:t>
            </w:r>
            <w:r>
              <w:rPr/>
              <w:t xml:space="preserve"> </w:t>
              <w:br/>
            </w:r>
            <w:r>
              <w:rPr>
                <w:color w:val="3F3F3F"/>
                <w:spacing w:val="-1"/>
              </w:rPr>
              <w:t>Former Chief Executive Officer, Medline</w:t>
            </w:r>
            <w:r>
              <w:rPr/>
              <w:t xml:space="preserve"> </w:t>
              <w:br/>
            </w:r>
            <w:r>
              <w:rPr>
                <w:spacing w:val="-1"/>
              </w:rPr>
              <w:t xml:space="preserve">Director Since: 1985 </w:t>
              <w:br/>
              <w:t xml:space="preserve">Other Current Public Company Boards: None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6" w:type="dxa"/>
            <w:tcBorders/>
            <w:vAlign w:val="center"/>
          </w:tcPr>
          <w:p>
            <w:pPr>
              <w:pStyle w:val="TableContents"/>
              <w:bidi w:val="0"/>
              <w:spacing w:before="0" w:after="0"/>
              <w:jc w:val="center"/>
              <w:rPr/>
            </w:pPr>
            <w:r>
              <w:rPr/>
              <w:drawing>
                <wp:inline distT="0" distB="0" distL="0" distR="0">
                  <wp:extent cx="819150" cy="8382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43"/>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3" w:type="dxa"/>
            <w:gridSpan w:val="10"/>
            <w:tcBorders/>
            <w:vAlign w:val="center"/>
          </w:tcPr>
          <w:p>
            <w:pPr>
              <w:pStyle w:val="TableContents"/>
              <w:bidi w:val="0"/>
              <w:spacing w:lineRule="atLeast" w:line="240" w:before="0" w:after="0"/>
              <w:jc w:val="left"/>
              <w:rPr>
                <w:b/>
                <w:sz w:val="20"/>
              </w:rPr>
            </w:pPr>
            <w:r>
              <w:rPr>
                <w:b/>
                <w:spacing w:val="0"/>
                <w:sz w:val="20"/>
              </w:rPr>
              <w:t>Joseph P. Baratta</w:t>
            </w:r>
            <w:r>
              <w:rPr>
                <w:b/>
                <w:spacing w:val="-2"/>
                <w:sz w:val="20"/>
              </w:rPr>
              <w:t xml:space="preserve"> </w:t>
            </w:r>
            <w:r>
              <w:rPr>
                <w:b w:val="false"/>
                <w:spacing w:val="-2"/>
                <w:sz w:val="20"/>
              </w:rPr>
              <w:t>| 55</w:t>
            </w:r>
            <w:r>
              <w:rPr>
                <w:b/>
                <w:sz w:val="20"/>
              </w:rPr>
              <w:t xml:space="preserve"> </w:t>
            </w:r>
          </w:p>
          <w:p>
            <w:pPr>
              <w:pStyle w:val="TableContents"/>
              <w:bidi w:val="0"/>
              <w:spacing w:lineRule="atLeast" w:line="200" w:before="100" w:after="283"/>
              <w:jc w:val="left"/>
              <w:rPr/>
            </w:pPr>
            <w:r>
              <w:rPr>
                <w:color w:val="3F3F3F"/>
                <w:spacing w:val="-1"/>
              </w:rPr>
              <w:t>Global Head of Private Equity, Blackstone</w:t>
            </w:r>
            <w:r>
              <w:rPr/>
              <w:t xml:space="preserve"> </w:t>
              <w:br/>
            </w:r>
            <w:r>
              <w:rPr>
                <w:spacing w:val="-1"/>
              </w:rPr>
              <w:t xml:space="preserve">Director Since: 2021 </w:t>
              <w:br/>
              <w:t xml:space="preserve">Other Current Public Company Boards: 1 </w:t>
            </w:r>
          </w:p>
        </w:tc>
        <w:tc>
          <w:tcPr>
            <w:tcW w:w="16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86" w:type="dxa"/>
            <w:tcBorders/>
            <w:shd w:fill="D8E8F8" w:val="clear"/>
            <w:vAlign w:val="center"/>
          </w:tcPr>
          <w:p>
            <w:pPr>
              <w:pStyle w:val="TableContents"/>
              <w:bidi w:val="0"/>
              <w:spacing w:lineRule="atLeast" w:line="200" w:before="0" w:after="283"/>
              <w:jc w:val="center"/>
              <w:rPr>
                <w:b/>
              </w:rPr>
            </w:pPr>
            <w:r>
              <w:rPr>
                <w:b/>
                <w:spacing w:val="0"/>
              </w:rPr>
              <w:t>Chair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4" w:type="dxa"/>
            <w:tcBorders/>
            <w:vAlign w:val="center"/>
          </w:tcPr>
          <w:p>
            <w:pPr>
              <w:pStyle w:val="TableContents"/>
              <w:bidi w:val="0"/>
              <w:spacing w:lineRule="atLeast" w:line="200" w:before="0" w:after="283"/>
              <w:jc w:val="left"/>
              <w:rPr>
                <w:spacing w:val="-1"/>
              </w:rPr>
            </w:pPr>
            <w:r>
              <w:rPr>
                <w:spacing w:val="-1"/>
              </w:rPr>
              <w:t xml:space="preserve">Board Committees: </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332" w:type="dxa"/>
            <w:tcBorders/>
            <w:vAlign w:val="center"/>
          </w:tcPr>
          <w:p>
            <w:pPr>
              <w:pStyle w:val="TableContents"/>
              <w:bidi w:val="0"/>
              <w:spacing w:before="0" w:after="0"/>
              <w:jc w:val="left"/>
              <w:rPr/>
            </w:pPr>
            <w:r>
              <w:rPr/>
              <w:drawing>
                <wp:inline distT="0" distB="0" distL="0" distR="0">
                  <wp:extent cx="133350" cy="17145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4"/>
                          <a:stretch>
                            <a:fillRect/>
                          </a:stretch>
                        </pic:blipFill>
                        <pic:spPr bwMode="auto">
                          <a:xfrm>
                            <a:off x="0" y="0"/>
                            <a:ext cx="133350" cy="171450"/>
                          </a:xfrm>
                          <a:prstGeom prst="rect">
                            <a:avLst/>
                          </a:prstGeom>
                        </pic:spPr>
                      </pic:pic>
                    </a:graphicData>
                  </a:graphic>
                </wp:inline>
              </w:drawing>
            </w:r>
            <w:r>
              <w:rPr/>
              <w:t xml:space="preserve"> </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6" w:type="dxa"/>
            <w:tcBorders/>
            <w:shd w:fill="D8E8F8" w:val="clear"/>
            <w:vAlign w:val="center"/>
          </w:tcPr>
          <w:p>
            <w:pPr>
              <w:pStyle w:val="TableContents"/>
              <w:bidi w:val="0"/>
              <w:spacing w:lineRule="atLeast" w:line="200" w:before="0" w:after="283"/>
              <w:jc w:val="center"/>
              <w:rPr>
                <w:b/>
              </w:rPr>
            </w:pPr>
            <w:r>
              <w:rPr>
                <w:b/>
                <w:spacing w:val="0"/>
              </w:rP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6" w:type="dxa"/>
            <w:tcBorders/>
            <w:vAlign w:val="center"/>
          </w:tcPr>
          <w:p>
            <w:pPr>
              <w:pStyle w:val="TableContents"/>
              <w:bidi w:val="0"/>
              <w:spacing w:lineRule="atLeast" w:line="200" w:before="0" w:after="283"/>
              <w:jc w:val="left"/>
              <w:rPr>
                <w:spacing w:val="-1"/>
              </w:rPr>
            </w:pPr>
            <w:r>
              <w:rPr>
                <w:spacing w:val="-1"/>
              </w:rPr>
              <w:t xml:space="preserve">Board Committees: </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661" w:type="dxa"/>
            <w:tcBorders/>
            <w:vAlign w:val="center"/>
          </w:tcPr>
          <w:p>
            <w:pPr>
              <w:pStyle w:val="TableContents"/>
              <w:bidi w:val="0"/>
              <w:spacing w:lineRule="atLeast" w:line="200" w:before="0" w:after="283"/>
              <w:jc w:val="left"/>
              <w:rPr>
                <w:spacing w:val="-1"/>
              </w:rPr>
            </w:pPr>
            <w:r>
              <w:rPr>
                <w:spacing w:val="-1"/>
              </w:rPr>
              <w:t xml:space="preserve">None </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1399"/>
        <w:gridCol w:w="109"/>
        <w:gridCol w:w="109"/>
        <w:gridCol w:w="1399"/>
        <w:gridCol w:w="116"/>
        <w:gridCol w:w="116"/>
        <w:gridCol w:w="1409"/>
        <w:gridCol w:w="109"/>
        <w:gridCol w:w="109"/>
        <w:gridCol w:w="1399"/>
        <w:gridCol w:w="109"/>
        <w:gridCol w:w="109"/>
        <w:gridCol w:w="1359"/>
        <w:gridCol w:w="113"/>
        <w:gridCol w:w="113"/>
        <w:gridCol w:w="441"/>
        <w:gridCol w:w="113"/>
        <w:gridCol w:w="113"/>
        <w:gridCol w:w="113"/>
        <w:gridCol w:w="113"/>
        <w:gridCol w:w="113"/>
        <w:gridCol w:w="113"/>
        <w:gridCol w:w="165"/>
      </w:tblGrid>
      <w:tr>
        <w:trPr/>
        <w:tc>
          <w:tcPr>
            <w:tcW w:w="124" w:type="dxa"/>
            <w:tcBorders/>
            <w:vAlign w:val="center"/>
          </w:tcPr>
          <w:p>
            <w:pPr>
              <w:pStyle w:val="TableContents"/>
              <w:bidi w:val="0"/>
              <w:spacing w:before="0" w:after="283"/>
              <w:jc w:val="left"/>
              <w:rPr/>
            </w:pPr>
            <w:r>
              <w:rPr/>
              <w:t>​</w:t>
            </w:r>
          </w:p>
        </w:tc>
        <w:tc>
          <w:tcPr>
            <w:tcW w:w="1399" w:type="dxa"/>
            <w:tcBorders/>
            <w:vAlign w:val="center"/>
          </w:tcPr>
          <w:p>
            <w:pPr>
              <w:pStyle w:val="TableContents"/>
              <w:bidi w:val="0"/>
              <w:spacing w:before="0" w:after="0"/>
              <w:jc w:val="center"/>
              <w:rPr/>
            </w:pPr>
            <w:r>
              <w:rPr/>
              <w:drawing>
                <wp:inline distT="0" distB="0" distL="0" distR="0">
                  <wp:extent cx="819150" cy="8382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5"/>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0" w:type="dxa"/>
            <w:gridSpan w:val="4"/>
            <w:tcBorders/>
            <w:vAlign w:val="center"/>
          </w:tcPr>
          <w:p>
            <w:pPr>
              <w:pStyle w:val="TableContents"/>
              <w:bidi w:val="0"/>
              <w:spacing w:lineRule="atLeast" w:line="240" w:before="0" w:after="0"/>
              <w:jc w:val="left"/>
              <w:rPr>
                <w:b/>
                <w:sz w:val="20"/>
              </w:rPr>
            </w:pPr>
            <w:r>
              <w:rPr>
                <w:b/>
                <w:spacing w:val="0"/>
                <w:sz w:val="20"/>
              </w:rPr>
              <w:t>Jacob D. Best</w:t>
            </w:r>
            <w:r>
              <w:rPr>
                <w:b/>
                <w:spacing w:val="-2"/>
                <w:sz w:val="20"/>
              </w:rPr>
              <w:t xml:space="preserve"> </w:t>
            </w:r>
            <w:r>
              <w:rPr>
                <w:b w:val="false"/>
                <w:spacing w:val="-2"/>
                <w:sz w:val="20"/>
              </w:rPr>
              <w:t>| 41</w:t>
            </w:r>
            <w:r>
              <w:rPr>
                <w:b/>
                <w:sz w:val="20"/>
              </w:rPr>
              <w:t xml:space="preserve"> </w:t>
            </w:r>
          </w:p>
          <w:p>
            <w:pPr>
              <w:pStyle w:val="TableContents"/>
              <w:bidi w:val="0"/>
              <w:spacing w:lineRule="atLeast" w:line="200" w:before="100" w:after="283"/>
              <w:jc w:val="left"/>
              <w:rPr/>
            </w:pPr>
            <w:r>
              <w:rPr>
                <w:color w:val="3F3F3F"/>
                <w:spacing w:val="-1"/>
              </w:rPr>
              <w:t>Partner, Hellman &amp; Friedman</w:t>
            </w:r>
            <w:r>
              <w:rPr/>
              <w:t xml:space="preserve"> </w:t>
              <w:br/>
            </w:r>
            <w:r>
              <w:rPr>
                <w:spacing w:val="-1"/>
              </w:rPr>
              <w:t xml:space="preserve">Director Since: 2021 </w:t>
              <w:br/>
              <w:t xml:space="preserve">Other Current Public Company Boards: None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9" w:type="dxa"/>
            <w:tcBorders/>
            <w:vAlign w:val="center"/>
          </w:tcPr>
          <w:p>
            <w:pPr>
              <w:pStyle w:val="TableContents"/>
              <w:bidi w:val="0"/>
              <w:spacing w:before="0" w:after="0"/>
              <w:jc w:val="center"/>
              <w:rPr/>
            </w:pPr>
            <w:r>
              <w:rPr/>
              <w:drawing>
                <wp:inline distT="0" distB="0" distL="0" distR="0">
                  <wp:extent cx="819150" cy="8382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6"/>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4" w:type="dxa"/>
            <w:gridSpan w:val="10"/>
            <w:tcBorders/>
            <w:vAlign w:val="center"/>
          </w:tcPr>
          <w:p>
            <w:pPr>
              <w:pStyle w:val="TableContents"/>
              <w:bidi w:val="0"/>
              <w:spacing w:lineRule="atLeast" w:line="240" w:before="0" w:after="0"/>
              <w:jc w:val="left"/>
              <w:rPr>
                <w:b/>
                <w:sz w:val="20"/>
              </w:rPr>
            </w:pPr>
            <w:r>
              <w:rPr>
                <w:b/>
                <w:spacing w:val="0"/>
                <w:sz w:val="20"/>
              </w:rPr>
              <w:t>Todd M. Bluedorn</w:t>
            </w:r>
            <w:r>
              <w:rPr>
                <w:b/>
                <w:spacing w:val="-2"/>
                <w:sz w:val="20"/>
              </w:rPr>
              <w:t xml:space="preserve"> </w:t>
            </w:r>
            <w:r>
              <w:rPr>
                <w:b w:val="false"/>
                <w:spacing w:val="-2"/>
                <w:sz w:val="20"/>
              </w:rPr>
              <w:t>| 63</w:t>
            </w:r>
            <w:r>
              <w:rPr>
                <w:b/>
                <w:sz w:val="20"/>
              </w:rPr>
              <w:t xml:space="preserve"> </w:t>
            </w:r>
          </w:p>
          <w:p>
            <w:pPr>
              <w:pStyle w:val="TableContents"/>
              <w:bidi w:val="0"/>
              <w:spacing w:lineRule="atLeast" w:line="200" w:before="100" w:after="283"/>
              <w:jc w:val="left"/>
              <w:rPr/>
            </w:pPr>
            <w:r>
              <w:rPr>
                <w:color w:val="3F3F3F"/>
                <w:spacing w:val="-1"/>
              </w:rPr>
              <w:t>Former Chief Executive Officer, Lennox International Inc.</w:t>
            </w:r>
            <w:r>
              <w:rPr/>
              <w:t xml:space="preserve"> </w:t>
              <w:br/>
            </w:r>
            <w:r>
              <w:rPr>
                <w:spacing w:val="-1"/>
              </w:rPr>
              <w:t xml:space="preserve">Director Since: 2025 </w:t>
              <w:br/>
              <w:t xml:space="preserve">Other Current Public Company Boards: 2 </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99" w:type="dxa"/>
            <w:tcBorders/>
            <w:shd w:fill="D8E8F8" w:val="clear"/>
            <w:vAlign w:val="center"/>
          </w:tcPr>
          <w:p>
            <w:pPr>
              <w:pStyle w:val="TableContents"/>
              <w:bidi w:val="0"/>
              <w:spacing w:lineRule="atLeast" w:line="200" w:before="0" w:after="0"/>
              <w:jc w:val="center"/>
              <w:rPr>
                <w:b/>
              </w:rPr>
            </w:pPr>
            <w:r>
              <w:rPr>
                <w:b/>
                <w:spacing w:val="0"/>
              </w:rP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9" w:type="dxa"/>
            <w:tcBorders/>
            <w:vAlign w:val="center"/>
          </w:tcPr>
          <w:p>
            <w:pPr>
              <w:pStyle w:val="TableContents"/>
              <w:bidi w:val="0"/>
              <w:spacing w:lineRule="atLeast" w:line="200" w:before="0" w:after="0"/>
              <w:jc w:val="left"/>
              <w:rPr>
                <w:spacing w:val="-1"/>
              </w:rPr>
            </w:pPr>
            <w:r>
              <w:rPr>
                <w:spacing w:val="-1"/>
              </w:rPr>
              <w:t xml:space="preserve">Board Committees: </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0"/>
              <w:jc w:val="left"/>
              <w:rPr/>
            </w:pPr>
            <w:r>
              <w:rPr/>
              <w:drawing>
                <wp:inline distT="0" distB="0" distL="0" distR="0">
                  <wp:extent cx="171450" cy="161925"/>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7"/>
                          <a:stretch>
                            <a:fillRect/>
                          </a:stretch>
                        </pic:blipFill>
                        <pic:spPr bwMode="auto">
                          <a:xfrm>
                            <a:off x="0" y="0"/>
                            <a:ext cx="171450" cy="161925"/>
                          </a:xfrm>
                          <a:prstGeom prst="rect">
                            <a:avLst/>
                          </a:prstGeom>
                        </pic:spPr>
                      </pic:pic>
                    </a:graphicData>
                  </a:graphic>
                </wp:inline>
              </w:drawing>
            </w:r>
            <w:r>
              <w:rPr>
                <w:spacing w:val="-1"/>
              </w:rPr>
              <w:t>   </w:t>
            </w:r>
            <w:r>
              <w:rPr/>
              <w:drawing>
                <wp:inline distT="0" distB="0" distL="0" distR="0">
                  <wp:extent cx="180975" cy="180975"/>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8"/>
                          <a:stretch>
                            <a:fillRect/>
                          </a:stretch>
                        </pic:blipFill>
                        <pic:spPr bwMode="auto">
                          <a:xfrm>
                            <a:off x="0" y="0"/>
                            <a:ext cx="180975" cy="180975"/>
                          </a:xfrm>
                          <a:prstGeom prst="rect">
                            <a:avLst/>
                          </a:prstGeom>
                        </pic:spPr>
                      </pic:pic>
                    </a:graphicData>
                  </a:graphic>
                </wp:inline>
              </w:drawing>
            </w:r>
            <w:r>
              <w:rPr>
                <w:spacing w:val="-1"/>
              </w:rPr>
              <w:t>   </w:t>
            </w:r>
            <w:r>
              <w:rPr/>
              <w:drawing>
                <wp:inline distT="0" distB="0" distL="0" distR="0">
                  <wp:extent cx="257175" cy="257175"/>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9"/>
                          <a:stretch>
                            <a:fillRect/>
                          </a:stretch>
                        </pic:blipFill>
                        <pic:spPr bwMode="auto">
                          <a:xfrm>
                            <a:off x="0" y="0"/>
                            <a:ext cx="2571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9" w:type="dxa"/>
            <w:tcBorders/>
            <w:shd w:fill="D8E8F8" w:val="clear"/>
            <w:vAlign w:val="center"/>
          </w:tcPr>
          <w:p>
            <w:pPr>
              <w:pStyle w:val="TableContents"/>
              <w:bidi w:val="0"/>
              <w:spacing w:lineRule="atLeast" w:line="200" w:before="0" w:after="0"/>
              <w:jc w:val="center"/>
              <w:rPr>
                <w:b/>
              </w:rPr>
            </w:pPr>
            <w:r>
              <w:rPr>
                <w:b/>
                <w:spacing w:val="0"/>
              </w:rP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lineRule="atLeast" w:line="200" w:before="0" w:after="0"/>
              <w:jc w:val="left"/>
              <w:rPr>
                <w:spacing w:val="-1"/>
              </w:rPr>
            </w:pPr>
            <w:r>
              <w:rPr>
                <w:spacing w:val="-1"/>
              </w:rPr>
              <w:t xml:space="preserve">Board Committees: </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441" w:type="dxa"/>
            <w:tcBorders/>
            <w:vAlign w:val="center"/>
          </w:tcPr>
          <w:p>
            <w:pPr>
              <w:pStyle w:val="TableContents"/>
              <w:bidi w:val="0"/>
              <w:spacing w:before="0" w:after="0"/>
              <w:jc w:val="left"/>
              <w:rPr/>
            </w:pPr>
            <w:r>
              <w:rPr/>
              <w:drawing>
                <wp:inline distT="0" distB="0" distL="0" distR="0">
                  <wp:extent cx="209550" cy="20955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50"/>
                          <a:stretch>
                            <a:fillRect/>
                          </a:stretch>
                        </pic:blipFill>
                        <pic:spPr bwMode="auto">
                          <a:xfrm>
                            <a:off x="0" y="0"/>
                            <a:ext cx="209550" cy="209550"/>
                          </a:xfrm>
                          <a:prstGeom prst="rect">
                            <a:avLst/>
                          </a:prstGeom>
                        </pic:spPr>
                      </pic:pic>
                    </a:graphicData>
                  </a:graphic>
                </wp:inline>
              </w:drawing>
            </w:r>
            <w:r>
              <w:rPr/>
              <w:t xml:space="preserve"> </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1381"/>
        <w:gridCol w:w="109"/>
        <w:gridCol w:w="109"/>
        <w:gridCol w:w="1342"/>
        <w:gridCol w:w="111"/>
        <w:gridCol w:w="111"/>
        <w:gridCol w:w="650"/>
        <w:gridCol w:w="111"/>
        <w:gridCol w:w="111"/>
        <w:gridCol w:w="111"/>
        <w:gridCol w:w="111"/>
        <w:gridCol w:w="111"/>
        <w:gridCol w:w="111"/>
        <w:gridCol w:w="109"/>
        <w:gridCol w:w="109"/>
        <w:gridCol w:w="1440"/>
        <w:gridCol w:w="109"/>
        <w:gridCol w:w="109"/>
        <w:gridCol w:w="1446"/>
        <w:gridCol w:w="117"/>
        <w:gridCol w:w="117"/>
        <w:gridCol w:w="458"/>
        <w:gridCol w:w="117"/>
        <w:gridCol w:w="117"/>
        <w:gridCol w:w="117"/>
        <w:gridCol w:w="117"/>
        <w:gridCol w:w="117"/>
        <w:gridCol w:w="117"/>
        <w:gridCol w:w="166"/>
      </w:tblGrid>
      <w:tr>
        <w:trPr/>
        <w:tc>
          <w:tcPr>
            <w:tcW w:w="124"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pPr>
            <w:r>
              <w:rPr/>
              <w:drawing>
                <wp:inline distT="0" distB="0" distL="0" distR="0">
                  <wp:extent cx="819150" cy="8382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51"/>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0" w:type="dxa"/>
            <w:gridSpan w:val="10"/>
            <w:tcBorders/>
            <w:vAlign w:val="center"/>
          </w:tcPr>
          <w:p>
            <w:pPr>
              <w:pStyle w:val="TableContents"/>
              <w:bidi w:val="0"/>
              <w:spacing w:lineRule="atLeast" w:line="240" w:before="0" w:after="0"/>
              <w:jc w:val="left"/>
              <w:rPr>
                <w:b/>
                <w:sz w:val="20"/>
              </w:rPr>
            </w:pPr>
            <w:r>
              <w:rPr>
                <w:b/>
                <w:spacing w:val="0"/>
                <w:sz w:val="20"/>
              </w:rPr>
              <w:t>James M. Boyle</w:t>
            </w:r>
            <w:r>
              <w:rPr>
                <w:b/>
                <w:spacing w:val="-2"/>
                <w:sz w:val="20"/>
              </w:rPr>
              <w:t xml:space="preserve"> </w:t>
            </w:r>
            <w:r>
              <w:rPr>
                <w:b w:val="false"/>
                <w:spacing w:val="-2"/>
                <w:sz w:val="20"/>
              </w:rPr>
              <w:t>| 54</w:t>
            </w:r>
            <w:r>
              <w:rPr>
                <w:b/>
                <w:sz w:val="20"/>
              </w:rPr>
              <w:t xml:space="preserve"> </w:t>
            </w:r>
          </w:p>
          <w:p>
            <w:pPr>
              <w:pStyle w:val="TableContents"/>
              <w:bidi w:val="0"/>
              <w:spacing w:lineRule="atLeast" w:line="200" w:before="100" w:after="283"/>
              <w:jc w:val="left"/>
              <w:rPr/>
            </w:pPr>
            <w:r>
              <w:rPr>
                <w:color w:val="3F3F3F"/>
                <w:spacing w:val="-1"/>
              </w:rPr>
              <w:t>Chief Executive Officer, Medline</w:t>
            </w:r>
            <w:r>
              <w:rPr/>
              <w:t xml:space="preserve"> </w:t>
              <w:br/>
            </w:r>
            <w:r>
              <w:rPr>
                <w:spacing w:val="-1"/>
              </w:rPr>
              <w:t xml:space="preserve">Director Since: 2023 </w:t>
              <w:br/>
              <w:t xml:space="preserve">Other Current Public Company Boards: None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0" w:type="dxa"/>
            <w:tcBorders/>
            <w:vAlign w:val="center"/>
          </w:tcPr>
          <w:p>
            <w:pPr>
              <w:pStyle w:val="TableContents"/>
              <w:bidi w:val="0"/>
              <w:spacing w:before="0" w:after="0"/>
              <w:jc w:val="center"/>
              <w:rPr/>
            </w:pPr>
            <w:r>
              <w:rPr/>
              <w:drawing>
                <wp:inline distT="0" distB="0" distL="0" distR="0">
                  <wp:extent cx="819150" cy="8382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52"/>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40" w:type="dxa"/>
            <w:gridSpan w:val="10"/>
            <w:tcBorders/>
            <w:vAlign w:val="center"/>
          </w:tcPr>
          <w:p>
            <w:pPr>
              <w:pStyle w:val="TableContents"/>
              <w:bidi w:val="0"/>
              <w:spacing w:lineRule="atLeast" w:line="240" w:before="0" w:after="0"/>
              <w:jc w:val="left"/>
              <w:rPr>
                <w:b/>
                <w:sz w:val="20"/>
              </w:rPr>
            </w:pPr>
            <w:r>
              <w:rPr>
                <w:b/>
                <w:spacing w:val="0"/>
                <w:sz w:val="20"/>
              </w:rPr>
              <w:t>Richard A. Galanti</w:t>
            </w:r>
            <w:r>
              <w:rPr>
                <w:b/>
                <w:spacing w:val="-2"/>
                <w:sz w:val="20"/>
              </w:rPr>
              <w:t xml:space="preserve"> </w:t>
            </w:r>
            <w:r>
              <w:rPr>
                <w:b w:val="false"/>
                <w:spacing w:val="-2"/>
                <w:sz w:val="20"/>
              </w:rPr>
              <w:t>| 70</w:t>
            </w:r>
            <w:r>
              <w:rPr>
                <w:b/>
                <w:sz w:val="20"/>
              </w:rPr>
              <w:t xml:space="preserve"> </w:t>
            </w:r>
          </w:p>
          <w:p>
            <w:pPr>
              <w:pStyle w:val="TableContents"/>
              <w:bidi w:val="0"/>
              <w:spacing w:lineRule="atLeast" w:line="200" w:before="100" w:after="283"/>
              <w:jc w:val="left"/>
              <w:rPr>
                <w:color w:val="3F3F3F"/>
              </w:rPr>
            </w:pPr>
            <w:r>
              <w:rPr>
                <w:color w:val="3F3F3F"/>
                <w:spacing w:val="-1"/>
              </w:rPr>
              <w:t>Former Chief Financial Officer, Costco Wholesale Corporation</w:t>
            </w:r>
            <w:r>
              <w:rPr>
                <w:color w:val="3F3F3F"/>
              </w:rPr>
              <w:t xml:space="preserve"> </w:t>
              <w:br/>
            </w:r>
            <w:r>
              <w:rPr>
                <w:color w:val="000000"/>
                <w:spacing w:val="-1"/>
              </w:rPr>
              <w:t xml:space="preserve">Director Since: 2025 </w:t>
              <w:br/>
              <w:t xml:space="preserve">Other Current Public Company Boards: 1 </w:t>
            </w:r>
          </w:p>
        </w:tc>
        <w:tc>
          <w:tcPr>
            <w:tcW w:w="16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81" w:type="dxa"/>
            <w:tcBorders/>
            <w:shd w:fill="D8E8F8" w:val="clear"/>
            <w:vAlign w:val="center"/>
          </w:tcPr>
          <w:p>
            <w:pPr>
              <w:pStyle w:val="TableContents"/>
              <w:bidi w:val="0"/>
              <w:spacing w:lineRule="atLeast" w:line="200" w:before="0" w:after="283"/>
              <w:jc w:val="center"/>
              <w:rPr>
                <w:b/>
              </w:rPr>
            </w:pPr>
            <w:r>
              <w:rPr>
                <w:b/>
                <w:spacing w:val="-2"/>
              </w:rPr>
              <w:t xml:space="preserve">CEO </w:t>
              <w:br/>
              <w:t> </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lineRule="atLeast" w:line="200" w:before="0" w:after="283"/>
              <w:jc w:val="left"/>
              <w:rPr>
                <w:spacing w:val="-1"/>
              </w:rPr>
            </w:pPr>
            <w:r>
              <w:rPr>
                <w:spacing w:val="-1"/>
              </w:rPr>
              <w:t xml:space="preserve">Board Committees: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lineRule="atLeast" w:line="200" w:before="0" w:after="283"/>
              <w:jc w:val="left"/>
              <w:rPr>
                <w:spacing w:val="-1"/>
              </w:rPr>
            </w:pPr>
            <w:r>
              <w:rPr>
                <w:spacing w:val="-1"/>
              </w:rPr>
              <w:t xml:space="preserve">None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0" w:type="dxa"/>
            <w:tcBorders/>
            <w:shd w:fill="D8E8F8" w:val="clear"/>
            <w:vAlign w:val="center"/>
          </w:tcPr>
          <w:p>
            <w:pPr>
              <w:pStyle w:val="TableContents"/>
              <w:bidi w:val="0"/>
              <w:spacing w:lineRule="atLeast" w:line="200" w:before="0" w:after="283"/>
              <w:jc w:val="center"/>
              <w:rPr>
                <w:b/>
              </w:rPr>
            </w:pPr>
            <w:r>
              <w:rPr>
                <w:b/>
                <w:spacing w:val="0"/>
              </w:rPr>
              <w:t xml:space="preserve">Financial Expert </w:t>
              <w:b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6" w:type="dxa"/>
            <w:tcBorders/>
            <w:vAlign w:val="center"/>
          </w:tcPr>
          <w:p>
            <w:pPr>
              <w:pStyle w:val="TableContents"/>
              <w:bidi w:val="0"/>
              <w:spacing w:lineRule="atLeast" w:line="200" w:before="0" w:after="283"/>
              <w:jc w:val="left"/>
              <w:rPr>
                <w:spacing w:val="-1"/>
              </w:rPr>
            </w:pPr>
            <w:r>
              <w:rPr>
                <w:spacing w:val="-1"/>
              </w:rPr>
              <w:t xml:space="preserve">Board Committees: </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458" w:type="dxa"/>
            <w:tcBorders/>
            <w:vAlign w:val="center"/>
          </w:tcPr>
          <w:p>
            <w:pPr>
              <w:pStyle w:val="TableContents"/>
              <w:bidi w:val="0"/>
              <w:spacing w:before="0" w:after="0"/>
              <w:jc w:val="left"/>
              <w:rPr/>
            </w:pPr>
            <w:r>
              <w:rPr/>
              <w:drawing>
                <wp:inline distT="0" distB="0" distL="0" distR="0">
                  <wp:extent cx="209550" cy="20955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53"/>
                          <a:stretch>
                            <a:fillRect/>
                          </a:stretch>
                        </pic:blipFill>
                        <pic:spPr bwMode="auto">
                          <a:xfrm>
                            <a:off x="0" y="0"/>
                            <a:ext cx="209550" cy="209550"/>
                          </a:xfrm>
                          <a:prstGeom prst="rect">
                            <a:avLst/>
                          </a:prstGeom>
                        </pic:spPr>
                      </pic:pic>
                    </a:graphicData>
                  </a:graphic>
                </wp:inline>
              </w:drawing>
            </w:r>
            <w:r>
              <w:rPr/>
              <w:t xml:space="preserve"> </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bl>
    <w:p>
      <w:pPr>
        <w:pStyle w:val="TextBody"/>
        <w:bidi w:val="0"/>
        <w:spacing w:lineRule="atLeast" w:line="220" w:before="415"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Board Committees</w:t>
      </w:r>
      <w:r>
        <w:rPr>
          <w:rFonts w:ascii="Arial;Helvetica;sans-serif" w:hAnsi="Arial;Helvetica;sans-serif"/>
          <w:b/>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698"/>
        <w:gridCol w:w="109"/>
        <w:gridCol w:w="109"/>
        <w:gridCol w:w="1516"/>
        <w:gridCol w:w="109"/>
        <w:gridCol w:w="109"/>
        <w:gridCol w:w="2247"/>
        <w:gridCol w:w="109"/>
        <w:gridCol w:w="109"/>
        <w:gridCol w:w="2136"/>
        <w:gridCol w:w="109"/>
        <w:gridCol w:w="109"/>
        <w:gridCol w:w="1736"/>
        <w:gridCol w:w="156"/>
      </w:tblGrid>
      <w:tr>
        <w:trPr/>
        <w:tc>
          <w:tcPr>
            <w:tcW w:w="124" w:type="dxa"/>
            <w:tcBorders/>
            <w:vAlign w:val="center"/>
          </w:tcPr>
          <w:p>
            <w:pPr>
              <w:pStyle w:val="TableContents"/>
              <w:bidi w:val="0"/>
              <w:spacing w:before="0" w:after="283"/>
              <w:jc w:val="left"/>
              <w:rPr/>
            </w:pPr>
            <w:r>
              <w:rPr/>
              <w:t>​</w:t>
            </w:r>
          </w:p>
        </w:tc>
        <w:tc>
          <w:tcPr>
            <w:tcW w:w="698" w:type="dxa"/>
            <w:tcBorders/>
            <w:vAlign w:val="center"/>
          </w:tcPr>
          <w:p>
            <w:pPr>
              <w:pStyle w:val="TableContents"/>
              <w:bidi w:val="0"/>
              <w:spacing w:before="0" w:after="0"/>
              <w:jc w:val="center"/>
              <w:rPr/>
            </w:pPr>
            <w:r>
              <w:rPr/>
              <w:drawing>
                <wp:inline distT="0" distB="0" distL="0" distR="0">
                  <wp:extent cx="266700" cy="26670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4"/>
                          <a:stretch>
                            <a:fillRect/>
                          </a:stretch>
                        </pic:blipFill>
                        <pic:spPr bwMode="auto">
                          <a:xfrm>
                            <a:off x="0" y="0"/>
                            <a:ext cx="266700" cy="2667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center"/>
              <w:rPr/>
            </w:pPr>
            <w:r>
              <w:rPr/>
              <w:drawing>
                <wp:inline distT="0" distB="0" distL="0" distR="0">
                  <wp:extent cx="247650" cy="2286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5"/>
                          <a:stretch>
                            <a:fillRect/>
                          </a:stretch>
                        </pic:blipFill>
                        <pic:spPr bwMode="auto">
                          <a:xfrm>
                            <a:off x="0" y="0"/>
                            <a:ext cx="247650" cy="2286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47" w:type="dxa"/>
            <w:tcBorders/>
            <w:vAlign w:val="center"/>
          </w:tcPr>
          <w:p>
            <w:pPr>
              <w:pStyle w:val="TableContents"/>
              <w:bidi w:val="0"/>
              <w:spacing w:before="0" w:after="0"/>
              <w:jc w:val="center"/>
              <w:rPr/>
            </w:pPr>
            <w:r>
              <w:rPr/>
              <w:drawing>
                <wp:inline distT="0" distB="0" distL="0" distR="0">
                  <wp:extent cx="238125" cy="238125"/>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6"/>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6" w:type="dxa"/>
            <w:tcBorders/>
            <w:vAlign w:val="center"/>
          </w:tcPr>
          <w:p>
            <w:pPr>
              <w:pStyle w:val="TableContents"/>
              <w:bidi w:val="0"/>
              <w:spacing w:before="0" w:after="0"/>
              <w:jc w:val="center"/>
              <w:rPr/>
            </w:pPr>
            <w:r>
              <w:rPr/>
              <w:drawing>
                <wp:inline distT="0" distB="0" distL="0" distR="0">
                  <wp:extent cx="180975" cy="238125"/>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7"/>
                          <a:stretch>
                            <a:fillRect/>
                          </a:stretch>
                        </pic:blipFill>
                        <pic:spPr bwMode="auto">
                          <a:xfrm>
                            <a:off x="0" y="0"/>
                            <a:ext cx="180975"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36" w:type="dxa"/>
            <w:tcBorders/>
            <w:vAlign w:val="center"/>
          </w:tcPr>
          <w:p>
            <w:pPr>
              <w:pStyle w:val="TableContents"/>
              <w:bidi w:val="0"/>
              <w:spacing w:before="0" w:after="0"/>
              <w:jc w:val="center"/>
              <w:rPr/>
            </w:pPr>
            <w:r>
              <w:rPr/>
              <w:drawing>
                <wp:inline distT="0" distB="0" distL="0" distR="0">
                  <wp:extent cx="257175" cy="257175"/>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8"/>
                          <a:stretch>
                            <a:fillRect/>
                          </a:stretch>
                        </pic:blipFill>
                        <pic:spPr bwMode="auto">
                          <a:xfrm>
                            <a:off x="0" y="0"/>
                            <a:ext cx="257175" cy="257175"/>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8" w:type="dxa"/>
            <w:tcBorders/>
            <w:vAlign w:val="center"/>
          </w:tcPr>
          <w:p>
            <w:pPr>
              <w:pStyle w:val="TableContents"/>
              <w:bidi w:val="0"/>
              <w:spacing w:before="0" w:after="0"/>
              <w:jc w:val="center"/>
              <w:rPr>
                <w:spacing w:val="-1"/>
              </w:rPr>
            </w:pPr>
            <w:r>
              <w:rPr>
                <w:spacing w:val="-1"/>
              </w:rPr>
              <w:t xml:space="preserve">Audit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center"/>
              <w:rPr>
                <w:spacing w:val="-1"/>
              </w:rPr>
            </w:pPr>
            <w:r>
              <w:rPr>
                <w:spacing w:val="-1"/>
              </w:rPr>
              <w:t xml:space="preserve">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47" w:type="dxa"/>
            <w:tcBorders/>
            <w:vAlign w:val="center"/>
          </w:tcPr>
          <w:p>
            <w:pPr>
              <w:pStyle w:val="TableContents"/>
              <w:bidi w:val="0"/>
              <w:spacing w:before="0" w:after="0"/>
              <w:jc w:val="center"/>
              <w:rPr>
                <w:spacing w:val="-1"/>
              </w:rPr>
            </w:pPr>
            <w:r>
              <w:rPr>
                <w:spacing w:val="-1"/>
              </w:rPr>
              <w:t xml:space="preserve">Nominating and </w:t>
              <w:br/>
              <w:t xml:space="preserve">Corporate Governance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6" w:type="dxa"/>
            <w:tcBorders/>
            <w:vAlign w:val="center"/>
          </w:tcPr>
          <w:p>
            <w:pPr>
              <w:pStyle w:val="TableContents"/>
              <w:bidi w:val="0"/>
              <w:spacing w:before="0" w:after="0"/>
              <w:jc w:val="center"/>
              <w:rPr/>
            </w:pPr>
            <w:r>
              <w:rPr>
                <w:spacing w:val="-1"/>
              </w:rPr>
              <w:t>Risk and Compliance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36" w:type="dxa"/>
            <w:tcBorders/>
            <w:vAlign w:val="center"/>
          </w:tcPr>
          <w:p>
            <w:pPr>
              <w:pStyle w:val="TableContents"/>
              <w:bidi w:val="0"/>
              <w:spacing w:before="0" w:after="0"/>
              <w:jc w:val="center"/>
              <w:rPr/>
            </w:pPr>
            <w:r>
              <w:rPr>
                <w:spacing w:val="-1"/>
              </w:rPr>
              <w:t>Committee Chair</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Voting Roadmap</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4005"/>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Director Nominees at a Glance (continued)</w:t>
      </w:r>
      <w:r>
        <w:rPr>
          <w:rFonts w:ascii="Arial;Helvetica;sans-serif" w:hAnsi="Arial;Helvetica;sans-serif"/>
          <w:b/>
          <w:i w:val="false"/>
          <w:caps w:val="false"/>
          <w:smallCaps w:val="false"/>
          <w:color w:val="000000"/>
          <w:spacing w:val="6"/>
          <w:sz w:val="28"/>
        </w:rPr>
        <w:t xml:space="preserve"> </w:t>
      </w:r>
    </w:p>
    <w:tbl>
      <w:tblPr>
        <w:tblW w:w="9485" w:type="dxa"/>
        <w:jc w:val="left"/>
        <w:tblInd w:w="720" w:type="dxa"/>
        <w:tblLayout w:type="fixed"/>
        <w:tblCellMar>
          <w:top w:w="0" w:type="dxa"/>
          <w:left w:w="0" w:type="dxa"/>
          <w:bottom w:w="0" w:type="dxa"/>
          <w:right w:w="0" w:type="dxa"/>
        </w:tblCellMar>
      </w:tblPr>
      <w:tblGrid>
        <w:gridCol w:w="124"/>
        <w:gridCol w:w="1398"/>
        <w:gridCol w:w="109"/>
        <w:gridCol w:w="109"/>
        <w:gridCol w:w="1271"/>
        <w:gridCol w:w="110"/>
        <w:gridCol w:w="110"/>
        <w:gridCol w:w="637"/>
        <w:gridCol w:w="110"/>
        <w:gridCol w:w="110"/>
        <w:gridCol w:w="110"/>
        <w:gridCol w:w="110"/>
        <w:gridCol w:w="110"/>
        <w:gridCol w:w="110"/>
        <w:gridCol w:w="109"/>
        <w:gridCol w:w="109"/>
        <w:gridCol w:w="1378"/>
        <w:gridCol w:w="109"/>
        <w:gridCol w:w="109"/>
        <w:gridCol w:w="1381"/>
        <w:gridCol w:w="116"/>
        <w:gridCol w:w="116"/>
        <w:gridCol w:w="675"/>
        <w:gridCol w:w="116"/>
        <w:gridCol w:w="116"/>
        <w:gridCol w:w="116"/>
        <w:gridCol w:w="116"/>
        <w:gridCol w:w="116"/>
        <w:gridCol w:w="116"/>
        <w:gridCol w:w="159"/>
      </w:tblGrid>
      <w:tr>
        <w:trPr/>
        <w:tc>
          <w:tcPr>
            <w:tcW w:w="124"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0"/>
              <w:jc w:val="center"/>
              <w:rPr/>
            </w:pPr>
            <w:r>
              <w:rPr/>
              <w:drawing>
                <wp:inline distT="0" distB="0" distL="0" distR="0">
                  <wp:extent cx="819150" cy="83820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9"/>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8" w:type="dxa"/>
            <w:gridSpan w:val="10"/>
            <w:tcBorders/>
            <w:vAlign w:val="center"/>
          </w:tcPr>
          <w:p>
            <w:pPr>
              <w:pStyle w:val="TableContents"/>
              <w:bidi w:val="0"/>
              <w:spacing w:lineRule="atLeast" w:line="240" w:before="0" w:after="0"/>
              <w:jc w:val="left"/>
              <w:rPr>
                <w:b/>
                <w:sz w:val="20"/>
              </w:rPr>
            </w:pPr>
            <w:r>
              <w:rPr>
                <w:b/>
                <w:spacing w:val="0"/>
                <w:sz w:val="20"/>
              </w:rPr>
              <w:t>Patrick J. Healy</w:t>
            </w:r>
            <w:r>
              <w:rPr>
                <w:b/>
                <w:spacing w:val="-2"/>
                <w:sz w:val="20"/>
              </w:rPr>
              <w:t xml:space="preserve"> </w:t>
            </w:r>
            <w:r>
              <w:rPr>
                <w:b w:val="false"/>
                <w:spacing w:val="-2"/>
                <w:sz w:val="20"/>
              </w:rPr>
              <w:t>| 59</w:t>
            </w:r>
            <w:r>
              <w:rPr>
                <w:b/>
                <w:sz w:val="20"/>
              </w:rPr>
              <w:t xml:space="preserve"> </w:t>
            </w:r>
          </w:p>
          <w:p>
            <w:pPr>
              <w:pStyle w:val="TableContents"/>
              <w:bidi w:val="0"/>
              <w:spacing w:lineRule="atLeast" w:line="200" w:before="100" w:after="283"/>
              <w:jc w:val="left"/>
              <w:rPr/>
            </w:pPr>
            <w:r>
              <w:rPr>
                <w:color w:val="3F3F3F"/>
                <w:spacing w:val="-1"/>
              </w:rPr>
              <w:t>Chief Executive Officer, Hellman &amp; Friedman</w:t>
            </w:r>
            <w:r>
              <w:rPr/>
              <w:t xml:space="preserve"> </w:t>
              <w:br/>
            </w:r>
            <w:r>
              <w:rPr>
                <w:spacing w:val="-1"/>
              </w:rPr>
              <w:t xml:space="preserve">Director Since: 2025 </w:t>
              <w:br/>
              <w:t xml:space="preserve">Other Current Public Company Boards: None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0"/>
              <w:jc w:val="center"/>
              <w:rPr/>
            </w:pPr>
            <w:r>
              <w:rPr/>
              <w:drawing>
                <wp:inline distT="0" distB="0" distL="0" distR="0">
                  <wp:extent cx="819150" cy="83820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60"/>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4" w:type="dxa"/>
            <w:gridSpan w:val="10"/>
            <w:tcBorders/>
            <w:vAlign w:val="center"/>
          </w:tcPr>
          <w:p>
            <w:pPr>
              <w:pStyle w:val="TableContents"/>
              <w:bidi w:val="0"/>
              <w:spacing w:lineRule="atLeast" w:line="240" w:before="0" w:after="0"/>
              <w:jc w:val="left"/>
              <w:rPr>
                <w:b/>
                <w:sz w:val="20"/>
              </w:rPr>
            </w:pPr>
            <w:r>
              <w:rPr>
                <w:b/>
                <w:spacing w:val="0"/>
                <w:sz w:val="20"/>
              </w:rPr>
              <w:t>Andrew J. Mills</w:t>
            </w:r>
            <w:r>
              <w:rPr>
                <w:b/>
                <w:spacing w:val="-2"/>
                <w:sz w:val="20"/>
              </w:rPr>
              <w:t xml:space="preserve"> </w:t>
            </w:r>
            <w:r>
              <w:rPr>
                <w:b w:val="false"/>
                <w:spacing w:val="-2"/>
                <w:sz w:val="20"/>
              </w:rPr>
              <w:t>| 65</w:t>
            </w:r>
            <w:r>
              <w:rPr>
                <w:b/>
                <w:sz w:val="20"/>
              </w:rPr>
              <w:t xml:space="preserve"> </w:t>
            </w:r>
          </w:p>
          <w:p>
            <w:pPr>
              <w:pStyle w:val="TableContents"/>
              <w:bidi w:val="0"/>
              <w:spacing w:lineRule="atLeast" w:line="200" w:before="80" w:after="283"/>
              <w:jc w:val="left"/>
              <w:rPr>
                <w:color w:val="3F3F3F"/>
              </w:rPr>
            </w:pPr>
            <w:r>
              <w:rPr>
                <w:color w:val="3F3F3F"/>
                <w:spacing w:val="-1"/>
              </w:rPr>
              <w:t>Former President, Medline; Chief Executive Officer and General Partner, Council Ring Capital, LLC</w:t>
            </w:r>
            <w:r>
              <w:rPr>
                <w:color w:val="3F3F3F"/>
              </w:rPr>
              <w:t xml:space="preserve"> </w:t>
              <w:br/>
            </w:r>
            <w:r>
              <w:rPr>
                <w:color w:val="000000"/>
                <w:spacing w:val="-1"/>
              </w:rPr>
              <w:t xml:space="preserve">Director Since: 1985 </w:t>
              <w:br/>
              <w:t xml:space="preserve">Other Current Public Company Boards: None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98" w:type="dxa"/>
            <w:tcBorders/>
            <w:shd w:fill="D8E8F8" w:val="clear"/>
            <w:vAlign w:val="center"/>
          </w:tcPr>
          <w:p>
            <w:pPr>
              <w:pStyle w:val="TableContents"/>
              <w:bidi w:val="0"/>
              <w:spacing w:before="0" w:after="0"/>
              <w:jc w:val="center"/>
              <w:rPr>
                <w:b/>
              </w:rPr>
            </w:pPr>
            <w:r>
              <w:rPr>
                <w:b/>
                <w:spacing w:val="0"/>
              </w:rP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1" w:type="dxa"/>
            <w:tcBorders/>
            <w:vAlign w:val="center"/>
          </w:tcPr>
          <w:p>
            <w:pPr>
              <w:pStyle w:val="TableContents"/>
              <w:bidi w:val="0"/>
              <w:spacing w:before="0" w:after="283"/>
              <w:jc w:val="left"/>
              <w:rPr>
                <w:spacing w:val="-1"/>
              </w:rPr>
            </w:pPr>
            <w:r>
              <w:rPr>
                <w:spacing w:val="-1"/>
              </w:rPr>
              <w:t xml:space="preserve">Board Committees: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637" w:type="dxa"/>
            <w:tcBorders/>
            <w:vAlign w:val="center"/>
          </w:tcPr>
          <w:p>
            <w:pPr>
              <w:pStyle w:val="TableContents"/>
              <w:bidi w:val="0"/>
              <w:spacing w:before="0" w:after="283"/>
              <w:jc w:val="left"/>
              <w:rPr>
                <w:spacing w:val="-1"/>
              </w:rPr>
            </w:pPr>
            <w:r>
              <w:rPr>
                <w:spacing w:val="-1"/>
              </w:rPr>
              <w:t xml:space="preserve">None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78" w:type="dxa"/>
            <w:tcBorders/>
            <w:shd w:fill="D8E8F8" w:val="clear"/>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283"/>
              <w:jc w:val="left"/>
              <w:rPr>
                <w:spacing w:val="-1"/>
              </w:rPr>
            </w:pPr>
            <w:r>
              <w:rPr>
                <w:spacing w:val="-1"/>
              </w:rPr>
              <w:t xml:space="preserve">Board Committees: </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675" w:type="dxa"/>
            <w:tcBorders/>
            <w:vAlign w:val="center"/>
          </w:tcPr>
          <w:p>
            <w:pPr>
              <w:pStyle w:val="TableContents"/>
              <w:bidi w:val="0"/>
              <w:spacing w:before="0" w:after="283"/>
              <w:jc w:val="left"/>
              <w:rPr>
                <w:spacing w:val="-1"/>
              </w:rPr>
            </w:pPr>
            <w:r>
              <w:rPr>
                <w:spacing w:val="-1"/>
              </w:rPr>
              <w:t xml:space="preserve">None </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1396"/>
        <w:gridCol w:w="109"/>
        <w:gridCol w:w="109"/>
        <w:gridCol w:w="1268"/>
        <w:gridCol w:w="110"/>
        <w:gridCol w:w="110"/>
        <w:gridCol w:w="1346"/>
        <w:gridCol w:w="109"/>
        <w:gridCol w:w="109"/>
        <w:gridCol w:w="1396"/>
        <w:gridCol w:w="109"/>
        <w:gridCol w:w="109"/>
        <w:gridCol w:w="1318"/>
        <w:gridCol w:w="113"/>
        <w:gridCol w:w="113"/>
        <w:gridCol w:w="1376"/>
        <w:gridCol w:w="161"/>
      </w:tblGrid>
      <w:tr>
        <w:trPr/>
        <w:tc>
          <w:tcPr>
            <w:tcW w:w="124" w:type="dxa"/>
            <w:tcBorders/>
            <w:vAlign w:val="center"/>
          </w:tcPr>
          <w:p>
            <w:pPr>
              <w:pStyle w:val="TableContents"/>
              <w:bidi w:val="0"/>
              <w:spacing w:before="0" w:after="283"/>
              <w:jc w:val="left"/>
              <w:rPr/>
            </w:pPr>
            <w:r>
              <w:rPr/>
              <w:t>​</w:t>
            </w:r>
          </w:p>
        </w:tc>
        <w:tc>
          <w:tcPr>
            <w:tcW w:w="1396" w:type="dxa"/>
            <w:tcBorders/>
            <w:vAlign w:val="center"/>
          </w:tcPr>
          <w:p>
            <w:pPr>
              <w:pStyle w:val="TableContents"/>
              <w:bidi w:val="0"/>
              <w:spacing w:before="0" w:after="0"/>
              <w:jc w:val="center"/>
              <w:rPr/>
            </w:pPr>
            <w:r>
              <w:rPr/>
              <w:drawing>
                <wp:inline distT="0" distB="0" distL="0" distR="0">
                  <wp:extent cx="819150" cy="83820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61"/>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4" w:type="dxa"/>
            <w:gridSpan w:val="4"/>
            <w:tcBorders/>
            <w:vAlign w:val="center"/>
          </w:tcPr>
          <w:p>
            <w:pPr>
              <w:pStyle w:val="TableContents"/>
              <w:bidi w:val="0"/>
              <w:spacing w:lineRule="atLeast" w:line="240" w:before="0" w:after="0"/>
              <w:jc w:val="left"/>
              <w:rPr>
                <w:b/>
                <w:sz w:val="20"/>
              </w:rPr>
            </w:pPr>
            <w:r>
              <w:rPr>
                <w:b/>
                <w:spacing w:val="0"/>
                <w:sz w:val="20"/>
              </w:rPr>
              <w:t>Robert R. Schmidt</w:t>
            </w:r>
            <w:r>
              <w:rPr>
                <w:b/>
                <w:spacing w:val="-2"/>
                <w:sz w:val="20"/>
              </w:rPr>
              <w:t xml:space="preserve"> </w:t>
            </w:r>
            <w:r>
              <w:rPr>
                <w:b w:val="false"/>
                <w:spacing w:val="-2"/>
                <w:sz w:val="20"/>
              </w:rPr>
              <w:t>| 43</w:t>
            </w:r>
            <w:r>
              <w:rPr>
                <w:b/>
                <w:sz w:val="20"/>
              </w:rPr>
              <w:t xml:space="preserve"> </w:t>
            </w:r>
          </w:p>
          <w:p>
            <w:pPr>
              <w:pStyle w:val="TableContents"/>
              <w:bidi w:val="0"/>
              <w:spacing w:lineRule="atLeast" w:line="200" w:before="100" w:after="283"/>
              <w:jc w:val="left"/>
              <w:rPr/>
            </w:pPr>
            <w:r>
              <w:rPr>
                <w:color w:val="3F3F3F"/>
                <w:spacing w:val="-1"/>
              </w:rPr>
              <w:t>Partner and Global Co-Head of Healthcare, Carlyle</w:t>
            </w:r>
            <w:r>
              <w:rPr/>
              <w:t xml:space="preserve"> </w:t>
              <w:br/>
            </w:r>
            <w:r>
              <w:rPr>
                <w:spacing w:val="-1"/>
              </w:rPr>
              <w:t xml:space="preserve">Director Since: 2021 </w:t>
              <w:br/>
              <w:t xml:space="preserve">Other Current Public Company Boards: None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6" w:type="dxa"/>
            <w:tcBorders/>
            <w:vAlign w:val="center"/>
          </w:tcPr>
          <w:p>
            <w:pPr>
              <w:pStyle w:val="TableContents"/>
              <w:bidi w:val="0"/>
              <w:spacing w:before="0" w:after="0"/>
              <w:jc w:val="center"/>
              <w:rPr/>
            </w:pPr>
            <w:r>
              <w:rPr/>
              <w:drawing>
                <wp:inline distT="0" distB="0" distL="0" distR="0">
                  <wp:extent cx="819150" cy="83820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62"/>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0" w:type="dxa"/>
            <w:gridSpan w:val="4"/>
            <w:tcBorders/>
            <w:vAlign w:val="center"/>
          </w:tcPr>
          <w:p>
            <w:pPr>
              <w:pStyle w:val="TableContents"/>
              <w:bidi w:val="0"/>
              <w:spacing w:lineRule="atLeast" w:line="240" w:before="0" w:after="0"/>
              <w:jc w:val="left"/>
              <w:rPr>
                <w:b/>
                <w:sz w:val="20"/>
              </w:rPr>
            </w:pPr>
            <w:r>
              <w:rPr>
                <w:b/>
                <w:spacing w:val="0"/>
                <w:sz w:val="20"/>
              </w:rPr>
              <w:t>Anushka M. Sunder</w:t>
            </w:r>
            <w:r>
              <w:rPr>
                <w:b/>
                <w:spacing w:val="-2"/>
                <w:sz w:val="20"/>
              </w:rPr>
              <w:t xml:space="preserve"> </w:t>
            </w:r>
            <w:r>
              <w:rPr>
                <w:b w:val="false"/>
                <w:spacing w:val="-2"/>
                <w:sz w:val="20"/>
              </w:rPr>
              <w:t>| 39</w:t>
            </w:r>
            <w:r>
              <w:rPr>
                <w:b/>
                <w:sz w:val="20"/>
              </w:rPr>
              <w:t xml:space="preserve"> </w:t>
            </w:r>
          </w:p>
          <w:p>
            <w:pPr>
              <w:pStyle w:val="TableContents"/>
              <w:bidi w:val="0"/>
              <w:spacing w:lineRule="atLeast" w:line="190" w:before="70" w:after="283"/>
              <w:jc w:val="left"/>
              <w:rPr>
                <w:color w:val="3F3F3F"/>
              </w:rPr>
            </w:pPr>
            <w:r>
              <w:rPr>
                <w:color w:val="3F3F3F"/>
                <w:spacing w:val="-1"/>
              </w:rPr>
              <w:t>Senior Managing Director and Head of Healthcare Private Equity North America, Blackstone</w:t>
            </w:r>
            <w:r>
              <w:rPr>
                <w:color w:val="3F3F3F"/>
              </w:rPr>
              <w:t xml:space="preserve"> </w:t>
              <w:br/>
            </w:r>
            <w:r>
              <w:rPr>
                <w:color w:val="000000"/>
                <w:spacing w:val="-1"/>
              </w:rPr>
              <w:t xml:space="preserve">Director Since: 2021 </w:t>
              <w:br/>
              <w:t xml:space="preserve">Other Current Public Company Boards: None </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96" w:type="dxa"/>
            <w:tcBorders/>
            <w:shd w:fill="D8E8F8" w:val="clear"/>
            <w:vAlign w:val="center"/>
          </w:tcPr>
          <w:p>
            <w:pPr>
              <w:pStyle w:val="TableContents"/>
              <w:bidi w:val="0"/>
              <w:spacing w:lineRule="atLeast" w:line="200" w:before="0" w:after="0"/>
              <w:jc w:val="center"/>
              <w:rPr>
                <w:b/>
              </w:rPr>
            </w:pPr>
            <w:r>
              <w:rPr>
                <w:b/>
                <w:spacing w:val="0"/>
              </w:rP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8" w:type="dxa"/>
            <w:tcBorders/>
            <w:vAlign w:val="center"/>
          </w:tcPr>
          <w:p>
            <w:pPr>
              <w:pStyle w:val="TableContents"/>
              <w:bidi w:val="0"/>
              <w:spacing w:lineRule="atLeast" w:line="200" w:before="0" w:after="0"/>
              <w:jc w:val="left"/>
              <w:rPr>
                <w:spacing w:val="-1"/>
              </w:rPr>
            </w:pPr>
            <w:r>
              <w:rPr>
                <w:spacing w:val="-1"/>
              </w:rPr>
              <w:t xml:space="preserve">Board Committees: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346" w:type="dxa"/>
            <w:tcBorders/>
            <w:vAlign w:val="center"/>
          </w:tcPr>
          <w:p>
            <w:pPr>
              <w:pStyle w:val="TableContents"/>
              <w:bidi w:val="0"/>
              <w:spacing w:before="0" w:after="0"/>
              <w:jc w:val="left"/>
              <w:rPr/>
            </w:pPr>
            <w:r>
              <w:rPr/>
              <w:drawing>
                <wp:inline distT="0" distB="0" distL="0" distR="0">
                  <wp:extent cx="171450" cy="161925"/>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63"/>
                          <a:stretch>
                            <a:fillRect/>
                          </a:stretch>
                        </pic:blipFill>
                        <pic:spPr bwMode="auto">
                          <a:xfrm>
                            <a:off x="0" y="0"/>
                            <a:ext cx="171450" cy="161925"/>
                          </a:xfrm>
                          <a:prstGeom prst="rect">
                            <a:avLst/>
                          </a:prstGeom>
                        </pic:spPr>
                      </pic:pic>
                    </a:graphicData>
                  </a:graphic>
                </wp:inline>
              </w:drawing>
            </w:r>
            <w:r>
              <w:rPr>
                <w:spacing w:val="-1"/>
              </w:rPr>
              <w:t>   </w:t>
            </w:r>
            <w:r>
              <w:rPr/>
              <w:drawing>
                <wp:inline distT="0" distB="0" distL="0" distR="0">
                  <wp:extent cx="266700" cy="26670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4"/>
                          <a:stretch>
                            <a:fillRect/>
                          </a:stretch>
                        </pic:blipFill>
                        <pic:spPr bwMode="auto">
                          <a:xfrm>
                            <a:off x="0" y="0"/>
                            <a:ext cx="266700" cy="266700"/>
                          </a:xfrm>
                          <a:prstGeom prst="rect">
                            <a:avLst/>
                          </a:prstGeom>
                        </pic:spPr>
                      </pic:pic>
                    </a:graphicData>
                  </a:graphic>
                </wp:inline>
              </w:drawing>
            </w:r>
            <w:r>
              <w:rPr>
                <w:spacing w:val="-1"/>
              </w:rPr>
              <w:t>   </w:t>
            </w:r>
            <w:r>
              <w:rPr/>
              <w:drawing>
                <wp:inline distT="0" distB="0" distL="0" distR="0">
                  <wp:extent cx="133350" cy="17145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5"/>
                          <a:stretch>
                            <a:fillRect/>
                          </a:stretch>
                        </pic:blipFill>
                        <pic:spPr bwMode="auto">
                          <a:xfrm>
                            <a:off x="0" y="0"/>
                            <a:ext cx="13335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6" w:type="dxa"/>
            <w:tcBorders/>
            <w:shd w:fill="D8E8F8" w:val="clear"/>
            <w:vAlign w:val="center"/>
          </w:tcPr>
          <w:p>
            <w:pPr>
              <w:pStyle w:val="TableContents"/>
              <w:bidi w:val="0"/>
              <w:spacing w:lineRule="atLeast" w:line="200" w:before="0" w:after="0"/>
              <w:jc w:val="center"/>
              <w:rPr>
                <w:b/>
              </w:rPr>
            </w:pPr>
            <w:r>
              <w:rPr>
                <w:b/>
                <w:spacing w:val="0"/>
              </w:rP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8" w:type="dxa"/>
            <w:tcBorders/>
            <w:vAlign w:val="center"/>
          </w:tcPr>
          <w:p>
            <w:pPr>
              <w:pStyle w:val="TableContents"/>
              <w:bidi w:val="0"/>
              <w:spacing w:lineRule="atLeast" w:line="200" w:before="0" w:after="0"/>
              <w:jc w:val="left"/>
              <w:rPr>
                <w:spacing w:val="-1"/>
              </w:rPr>
            </w:pPr>
            <w:r>
              <w:rPr>
                <w:spacing w:val="-1"/>
              </w:rPr>
              <w:t xml:space="preserve">Board Committees: </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376" w:type="dxa"/>
            <w:tcBorders/>
            <w:vAlign w:val="center"/>
          </w:tcPr>
          <w:p>
            <w:pPr>
              <w:pStyle w:val="TableContents"/>
              <w:bidi w:val="0"/>
              <w:spacing w:before="0" w:after="0"/>
              <w:jc w:val="left"/>
              <w:rPr/>
            </w:pPr>
            <w:r>
              <w:rPr/>
              <w:drawing>
                <wp:inline distT="0" distB="0" distL="0" distR="0">
                  <wp:extent cx="276225" cy="276225"/>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6"/>
                          <a:stretch>
                            <a:fillRect/>
                          </a:stretch>
                        </pic:blipFill>
                        <pic:spPr bwMode="auto">
                          <a:xfrm>
                            <a:off x="0" y="0"/>
                            <a:ext cx="276225" cy="276225"/>
                          </a:xfrm>
                          <a:prstGeom prst="rect">
                            <a:avLst/>
                          </a:prstGeom>
                        </pic:spPr>
                      </pic:pic>
                    </a:graphicData>
                  </a:graphic>
                </wp:inline>
              </w:drawing>
            </w:r>
            <w:r>
              <w:rPr>
                <w:spacing w:val="-1"/>
              </w:rPr>
              <w:t>   </w:t>
            </w:r>
            <w:r>
              <w:rPr/>
              <w:drawing>
                <wp:inline distT="0" distB="0" distL="0" distR="0">
                  <wp:extent cx="180975" cy="180975"/>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7"/>
                          <a:stretch>
                            <a:fillRect/>
                          </a:stretch>
                        </pic:blipFill>
                        <pic:spPr bwMode="auto">
                          <a:xfrm>
                            <a:off x="0" y="0"/>
                            <a:ext cx="180975" cy="180975"/>
                          </a:xfrm>
                          <a:prstGeom prst="rect">
                            <a:avLst/>
                          </a:prstGeom>
                        </pic:spPr>
                      </pic:pic>
                    </a:graphicData>
                  </a:graphic>
                </wp:inline>
              </w:drawing>
            </w:r>
            <w:r>
              <w:rPr>
                <w:spacing w:val="-1"/>
              </w:rPr>
              <w:t>   </w:t>
            </w:r>
            <w:r>
              <w:rPr/>
              <w:drawing>
                <wp:inline distT="0" distB="0" distL="0" distR="0">
                  <wp:extent cx="133350" cy="171450"/>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8"/>
                          <a:stretch>
                            <a:fillRect/>
                          </a:stretch>
                        </pic:blipFill>
                        <pic:spPr bwMode="auto">
                          <a:xfrm>
                            <a:off x="0" y="0"/>
                            <a:ext cx="133350" cy="171450"/>
                          </a:xfrm>
                          <a:prstGeom prst="rect">
                            <a:avLst/>
                          </a:prstGeom>
                        </pic:spPr>
                      </pic:pic>
                    </a:graphicData>
                  </a:graphic>
                </wp:inline>
              </w:drawing>
            </w:r>
            <w:r>
              <w:rPr/>
              <w:t xml:space="preserve"> </w:t>
            </w:r>
          </w:p>
        </w:tc>
        <w:tc>
          <w:tcPr>
            <w:tcW w:w="161"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1412"/>
        <w:gridCol w:w="109"/>
        <w:gridCol w:w="109"/>
        <w:gridCol w:w="1270"/>
        <w:gridCol w:w="110"/>
        <w:gridCol w:w="110"/>
        <w:gridCol w:w="529"/>
        <w:gridCol w:w="110"/>
        <w:gridCol w:w="110"/>
        <w:gridCol w:w="317"/>
        <w:gridCol w:w="110"/>
        <w:gridCol w:w="110"/>
        <w:gridCol w:w="110"/>
        <w:gridCol w:w="109"/>
        <w:gridCol w:w="109"/>
        <w:gridCol w:w="1398"/>
        <w:gridCol w:w="109"/>
        <w:gridCol w:w="109"/>
        <w:gridCol w:w="1305"/>
        <w:gridCol w:w="112"/>
        <w:gridCol w:w="112"/>
        <w:gridCol w:w="650"/>
        <w:gridCol w:w="112"/>
        <w:gridCol w:w="112"/>
        <w:gridCol w:w="112"/>
        <w:gridCol w:w="112"/>
        <w:gridCol w:w="112"/>
        <w:gridCol w:w="112"/>
        <w:gridCol w:w="160"/>
      </w:tblGrid>
      <w:tr>
        <w:trPr/>
        <w:tc>
          <w:tcPr>
            <w:tcW w:w="124"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0"/>
              <w:jc w:val="center"/>
              <w:rPr/>
            </w:pPr>
            <w:r>
              <w:rPr/>
              <w:drawing>
                <wp:inline distT="0" distB="0" distL="0" distR="0">
                  <wp:extent cx="819150" cy="838200"/>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9"/>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6" w:type="dxa"/>
            <w:gridSpan w:val="10"/>
            <w:tcBorders/>
            <w:vAlign w:val="center"/>
          </w:tcPr>
          <w:p>
            <w:pPr>
              <w:pStyle w:val="TableContents"/>
              <w:bidi w:val="0"/>
              <w:spacing w:lineRule="atLeast" w:line="240" w:before="0" w:after="0"/>
              <w:jc w:val="left"/>
              <w:rPr>
                <w:b/>
                <w:sz w:val="20"/>
              </w:rPr>
            </w:pPr>
            <w:r>
              <w:rPr>
                <w:b/>
                <w:spacing w:val="0"/>
                <w:sz w:val="20"/>
              </w:rPr>
              <w:t>Thomas W. Sweet</w:t>
            </w:r>
            <w:r>
              <w:rPr>
                <w:b/>
                <w:spacing w:val="-2"/>
                <w:sz w:val="20"/>
              </w:rPr>
              <w:t xml:space="preserve"> </w:t>
            </w:r>
            <w:r>
              <w:rPr>
                <w:b w:val="false"/>
                <w:spacing w:val="-2"/>
                <w:sz w:val="20"/>
              </w:rPr>
              <w:t>| 66</w:t>
            </w:r>
            <w:r>
              <w:rPr>
                <w:b/>
                <w:sz w:val="20"/>
              </w:rPr>
              <w:t xml:space="preserve"> </w:t>
            </w:r>
          </w:p>
          <w:p>
            <w:pPr>
              <w:pStyle w:val="TableContents"/>
              <w:bidi w:val="0"/>
              <w:spacing w:lineRule="atLeast" w:line="200" w:before="100" w:after="283"/>
              <w:jc w:val="left"/>
              <w:rPr/>
            </w:pPr>
            <w:r>
              <w:rPr>
                <w:color w:val="3F3F3F"/>
                <w:spacing w:val="-1"/>
              </w:rPr>
              <w:t>Former Chief Financial Officer, Dell Technologies</w:t>
            </w:r>
            <w:r>
              <w:rPr/>
              <w:t xml:space="preserve"> </w:t>
              <w:br/>
            </w:r>
            <w:r>
              <w:rPr>
                <w:spacing w:val="-1"/>
              </w:rPr>
              <w:t xml:space="preserve">Director Since: 2024 </w:t>
              <w:br/>
              <w:t xml:space="preserve">Other Current Public Company Boards: 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0"/>
              <w:jc w:val="center"/>
              <w:rPr/>
            </w:pPr>
            <w:r>
              <w:rPr/>
              <w:drawing>
                <wp:inline distT="0" distB="0" distL="0" distR="0">
                  <wp:extent cx="819150" cy="838200"/>
                  <wp:effectExtent l="0" t="0" r="0" b="0"/>
                  <wp:docPr id="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5" descr=""/>
                          <pic:cNvPicPr>
                            <a:picLocks noChangeAspect="1" noChangeArrowheads="1"/>
                          </pic:cNvPicPr>
                        </pic:nvPicPr>
                        <pic:blipFill>
                          <a:blip r:embed="rId70"/>
                          <a:stretch>
                            <a:fillRect/>
                          </a:stretch>
                        </pic:blipFill>
                        <pic:spPr bwMode="auto">
                          <a:xfrm>
                            <a:off x="0" y="0"/>
                            <a:ext cx="819150" cy="838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51" w:type="dxa"/>
            <w:gridSpan w:val="10"/>
            <w:tcBorders/>
            <w:vAlign w:val="center"/>
          </w:tcPr>
          <w:p>
            <w:pPr>
              <w:pStyle w:val="TableContents"/>
              <w:bidi w:val="0"/>
              <w:spacing w:lineRule="atLeast" w:line="240" w:before="0" w:after="0"/>
              <w:jc w:val="left"/>
              <w:rPr>
                <w:b/>
                <w:sz w:val="20"/>
              </w:rPr>
            </w:pPr>
            <w:r>
              <w:rPr>
                <w:b/>
                <w:spacing w:val="0"/>
                <w:sz w:val="20"/>
              </w:rPr>
              <w:t>Stephen H. Wise</w:t>
            </w:r>
            <w:r>
              <w:rPr>
                <w:b/>
                <w:spacing w:val="-2"/>
                <w:sz w:val="20"/>
              </w:rPr>
              <w:t xml:space="preserve"> </w:t>
            </w:r>
            <w:r>
              <w:rPr>
                <w:b w:val="false"/>
                <w:spacing w:val="-2"/>
                <w:sz w:val="20"/>
              </w:rPr>
              <w:t>| 53</w:t>
            </w:r>
            <w:r>
              <w:rPr>
                <w:b/>
                <w:sz w:val="20"/>
              </w:rPr>
              <w:t xml:space="preserve"> </w:t>
            </w:r>
          </w:p>
          <w:p>
            <w:pPr>
              <w:pStyle w:val="TableContents"/>
              <w:bidi w:val="0"/>
              <w:spacing w:lineRule="atLeast" w:line="200" w:before="100" w:after="283"/>
              <w:jc w:val="left"/>
              <w:rPr>
                <w:color w:val="3F3F3F"/>
              </w:rPr>
            </w:pPr>
            <w:r>
              <w:rPr>
                <w:color w:val="3F3F3F"/>
                <w:spacing w:val="-1"/>
              </w:rPr>
              <w:t>Partner and Co-Head of Americas Corporate Private Equity, Carlyle</w:t>
            </w:r>
            <w:r>
              <w:rPr>
                <w:color w:val="3F3F3F"/>
              </w:rPr>
              <w:t xml:space="preserve"> </w:t>
              <w:br/>
            </w:r>
            <w:r>
              <w:rPr>
                <w:color w:val="000000"/>
                <w:spacing w:val="-1"/>
              </w:rPr>
              <w:t xml:space="preserve">Director Since: 2021 </w:t>
              <w:br/>
              <w:t xml:space="preserve">Other Current Public Company Boards: None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12" w:type="dxa"/>
            <w:tcBorders/>
            <w:shd w:fill="D8E8F8" w:val="clear"/>
            <w:vAlign w:val="center"/>
          </w:tcPr>
          <w:p>
            <w:pPr>
              <w:pStyle w:val="TableContents"/>
              <w:bidi w:val="0"/>
              <w:spacing w:lineRule="atLeast" w:line="200" w:before="0" w:after="283"/>
              <w:jc w:val="center"/>
              <w:rPr>
                <w:b/>
              </w:rPr>
            </w:pPr>
            <w:r>
              <w:rPr>
                <w:b/>
                <w:spacing w:val="0"/>
              </w:rPr>
              <w:t xml:space="preserve">Financial Expert </w:t>
              <w:b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0" w:type="dxa"/>
            <w:tcBorders/>
            <w:vAlign w:val="center"/>
          </w:tcPr>
          <w:p>
            <w:pPr>
              <w:pStyle w:val="TableContents"/>
              <w:bidi w:val="0"/>
              <w:spacing w:lineRule="atLeast" w:line="200" w:before="0" w:after="283"/>
              <w:jc w:val="left"/>
              <w:rPr>
                <w:spacing w:val="-1"/>
              </w:rPr>
            </w:pPr>
            <w:r>
              <w:rPr>
                <w:spacing w:val="-1"/>
              </w:rPr>
              <w:t xml:space="preserve">Board Committees: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529" w:type="dxa"/>
            <w:tcBorders/>
            <w:vAlign w:val="center"/>
          </w:tcPr>
          <w:p>
            <w:pPr>
              <w:pStyle w:val="TableContents"/>
              <w:bidi w:val="0"/>
              <w:spacing w:before="0" w:after="0"/>
              <w:jc w:val="left"/>
              <w:rPr/>
            </w:pPr>
            <w:r>
              <w:rPr/>
              <w:drawing>
                <wp:inline distT="0" distB="0" distL="0" distR="0">
                  <wp:extent cx="276225" cy="276225"/>
                  <wp:effectExtent l="0" t="0" r="0" b="0"/>
                  <wp:docPr id="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6" descr=""/>
                          <pic:cNvPicPr>
                            <a:picLocks noChangeAspect="1" noChangeArrowheads="1"/>
                          </pic:cNvPicPr>
                        </pic:nvPicPr>
                        <pic:blipFill>
                          <a:blip r:embed="rId71"/>
                          <a:stretch>
                            <a:fillRect/>
                          </a:stretch>
                        </pic:blipFill>
                        <pic:spPr bwMode="auto">
                          <a:xfrm>
                            <a:off x="0" y="0"/>
                            <a:ext cx="276225" cy="276225"/>
                          </a:xfrm>
                          <a:prstGeom prst="rect">
                            <a:avLst/>
                          </a:prstGeom>
                        </pic:spPr>
                      </pic:pic>
                    </a:graphicData>
                  </a:graphic>
                </wp:inline>
              </w:drawing>
            </w:r>
            <w:r>
              <w:rPr/>
              <w:t xml:space="preserve">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0"/>
              <w:jc w:val="center"/>
              <w:rPr/>
            </w:pPr>
            <w:r>
              <w:rPr/>
              <w:drawing>
                <wp:inline distT="0" distB="0" distL="0" distR="0">
                  <wp:extent cx="142875" cy="180975"/>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72"/>
                          <a:stretch>
                            <a:fillRect/>
                          </a:stretch>
                        </pic:blipFill>
                        <pic:spPr bwMode="auto">
                          <a:xfrm>
                            <a:off x="0" y="0"/>
                            <a:ext cx="142875" cy="180975"/>
                          </a:xfrm>
                          <a:prstGeom prst="rect">
                            <a:avLst/>
                          </a:prstGeom>
                        </pic:spPr>
                      </pic:pic>
                    </a:graphicData>
                  </a:graphic>
                </wp:inline>
              </w:drawing>
            </w:r>
            <w:r>
              <w:rPr/>
              <w:t xml:space="preserve">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8" w:type="dxa"/>
            <w:tcBorders/>
            <w:shd w:fill="D8E8F8" w:val="clear"/>
            <w:vAlign w:val="center"/>
          </w:tcPr>
          <w:p>
            <w:pPr>
              <w:pStyle w:val="TableContents"/>
              <w:bidi w:val="0"/>
              <w:spacing w:lineRule="atLeast" w:line="200" w:before="0" w:after="283"/>
              <w:jc w:val="center"/>
              <w:rPr>
                <w:b/>
              </w:rPr>
            </w:pPr>
            <w:r>
              <w:rPr>
                <w:b/>
                <w:spacing w:val="0"/>
              </w:rPr>
              <w:t>Independent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5" w:type="dxa"/>
            <w:tcBorders/>
            <w:vAlign w:val="center"/>
          </w:tcPr>
          <w:p>
            <w:pPr>
              <w:pStyle w:val="TableContents"/>
              <w:bidi w:val="0"/>
              <w:spacing w:lineRule="atLeast" w:line="200" w:before="0" w:after="283"/>
              <w:jc w:val="left"/>
              <w:rPr>
                <w:spacing w:val="-1"/>
              </w:rPr>
            </w:pPr>
            <w:r>
              <w:rPr>
                <w:spacing w:val="-1"/>
              </w:rPr>
              <w:t xml:space="preserve">Board Committees: </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lineRule="atLeast" w:line="200" w:before="0" w:after="283"/>
              <w:jc w:val="left"/>
              <w:rPr>
                <w:spacing w:val="-1"/>
              </w:rPr>
            </w:pPr>
            <w:r>
              <w:rPr>
                <w:spacing w:val="-1"/>
              </w:rPr>
              <w:t xml:space="preserve">None </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220" w:before="52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Board Committees</w:t>
      </w:r>
      <w:r>
        <w:rPr>
          <w:rFonts w:ascii="Arial;Helvetica;sans-serif" w:hAnsi="Arial;Helvetica;sans-serif"/>
          <w:b/>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698"/>
        <w:gridCol w:w="109"/>
        <w:gridCol w:w="109"/>
        <w:gridCol w:w="1516"/>
        <w:gridCol w:w="109"/>
        <w:gridCol w:w="109"/>
        <w:gridCol w:w="2247"/>
        <w:gridCol w:w="109"/>
        <w:gridCol w:w="109"/>
        <w:gridCol w:w="2136"/>
        <w:gridCol w:w="109"/>
        <w:gridCol w:w="109"/>
        <w:gridCol w:w="1736"/>
        <w:gridCol w:w="156"/>
      </w:tblGrid>
      <w:tr>
        <w:trPr/>
        <w:tc>
          <w:tcPr>
            <w:tcW w:w="124" w:type="dxa"/>
            <w:tcBorders/>
            <w:vAlign w:val="center"/>
          </w:tcPr>
          <w:p>
            <w:pPr>
              <w:pStyle w:val="TableContents"/>
              <w:bidi w:val="0"/>
              <w:spacing w:before="0" w:after="283"/>
              <w:jc w:val="left"/>
              <w:rPr/>
            </w:pPr>
            <w:r>
              <w:rPr/>
              <w:t>​</w:t>
            </w:r>
          </w:p>
        </w:tc>
        <w:tc>
          <w:tcPr>
            <w:tcW w:w="698" w:type="dxa"/>
            <w:tcBorders/>
            <w:vAlign w:val="center"/>
          </w:tcPr>
          <w:p>
            <w:pPr>
              <w:pStyle w:val="TableContents"/>
              <w:bidi w:val="0"/>
              <w:spacing w:before="0" w:after="0"/>
              <w:jc w:val="center"/>
              <w:rPr/>
            </w:pPr>
            <w:r>
              <w:rPr/>
              <w:drawing>
                <wp:inline distT="0" distB="0" distL="0" distR="0">
                  <wp:extent cx="266700" cy="266700"/>
                  <wp:effectExtent l="0" t="0" r="0" b="0"/>
                  <wp:docPr id="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8" descr=""/>
                          <pic:cNvPicPr>
                            <a:picLocks noChangeAspect="1" noChangeArrowheads="1"/>
                          </pic:cNvPicPr>
                        </pic:nvPicPr>
                        <pic:blipFill>
                          <a:blip r:embed="rId73"/>
                          <a:stretch>
                            <a:fillRect/>
                          </a:stretch>
                        </pic:blipFill>
                        <pic:spPr bwMode="auto">
                          <a:xfrm>
                            <a:off x="0" y="0"/>
                            <a:ext cx="266700" cy="2667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center"/>
              <w:rPr/>
            </w:pPr>
            <w:r>
              <w:rPr/>
              <w:drawing>
                <wp:inline distT="0" distB="0" distL="0" distR="0">
                  <wp:extent cx="247650" cy="228600"/>
                  <wp:effectExtent l="0" t="0" r="0" b="0"/>
                  <wp:docPr id="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9" descr=""/>
                          <pic:cNvPicPr>
                            <a:picLocks noChangeAspect="1" noChangeArrowheads="1"/>
                          </pic:cNvPicPr>
                        </pic:nvPicPr>
                        <pic:blipFill>
                          <a:blip r:embed="rId74"/>
                          <a:stretch>
                            <a:fillRect/>
                          </a:stretch>
                        </pic:blipFill>
                        <pic:spPr bwMode="auto">
                          <a:xfrm>
                            <a:off x="0" y="0"/>
                            <a:ext cx="247650" cy="2286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47" w:type="dxa"/>
            <w:tcBorders/>
            <w:vAlign w:val="center"/>
          </w:tcPr>
          <w:p>
            <w:pPr>
              <w:pStyle w:val="TableContents"/>
              <w:bidi w:val="0"/>
              <w:spacing w:before="0" w:after="0"/>
              <w:jc w:val="center"/>
              <w:rPr/>
            </w:pPr>
            <w:r>
              <w:rPr/>
              <w:drawing>
                <wp:inline distT="0" distB="0" distL="0" distR="0">
                  <wp:extent cx="238125" cy="238125"/>
                  <wp:effectExtent l="0" t="0" r="0" b="0"/>
                  <wp:docPr id="7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0" descr=""/>
                          <pic:cNvPicPr>
                            <a:picLocks noChangeAspect="1" noChangeArrowheads="1"/>
                          </pic:cNvPicPr>
                        </pic:nvPicPr>
                        <pic:blipFill>
                          <a:blip r:embed="rId75"/>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6" w:type="dxa"/>
            <w:tcBorders/>
            <w:vAlign w:val="center"/>
          </w:tcPr>
          <w:p>
            <w:pPr>
              <w:pStyle w:val="TableContents"/>
              <w:bidi w:val="0"/>
              <w:spacing w:before="0" w:after="0"/>
              <w:jc w:val="center"/>
              <w:rPr/>
            </w:pPr>
            <w:r>
              <w:rPr/>
              <w:drawing>
                <wp:inline distT="0" distB="0" distL="0" distR="0">
                  <wp:extent cx="180975" cy="238125"/>
                  <wp:effectExtent l="0" t="0" r="0" b="0"/>
                  <wp:docPr id="7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1" descr=""/>
                          <pic:cNvPicPr>
                            <a:picLocks noChangeAspect="1" noChangeArrowheads="1"/>
                          </pic:cNvPicPr>
                        </pic:nvPicPr>
                        <pic:blipFill>
                          <a:blip r:embed="rId76"/>
                          <a:stretch>
                            <a:fillRect/>
                          </a:stretch>
                        </pic:blipFill>
                        <pic:spPr bwMode="auto">
                          <a:xfrm>
                            <a:off x="0" y="0"/>
                            <a:ext cx="180975"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36" w:type="dxa"/>
            <w:tcBorders/>
            <w:vAlign w:val="center"/>
          </w:tcPr>
          <w:p>
            <w:pPr>
              <w:pStyle w:val="TableContents"/>
              <w:bidi w:val="0"/>
              <w:spacing w:before="0" w:after="0"/>
              <w:jc w:val="center"/>
              <w:rPr/>
            </w:pPr>
            <w:r>
              <w:rPr/>
              <w:drawing>
                <wp:inline distT="0" distB="0" distL="0" distR="0">
                  <wp:extent cx="257175" cy="257175"/>
                  <wp:effectExtent l="0" t="0" r="0" b="0"/>
                  <wp:docPr id="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2" descr=""/>
                          <pic:cNvPicPr>
                            <a:picLocks noChangeAspect="1" noChangeArrowheads="1"/>
                          </pic:cNvPicPr>
                        </pic:nvPicPr>
                        <pic:blipFill>
                          <a:blip r:embed="rId77"/>
                          <a:stretch>
                            <a:fillRect/>
                          </a:stretch>
                        </pic:blipFill>
                        <pic:spPr bwMode="auto">
                          <a:xfrm>
                            <a:off x="0" y="0"/>
                            <a:ext cx="257175" cy="257175"/>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8" w:type="dxa"/>
            <w:tcBorders/>
            <w:vAlign w:val="center"/>
          </w:tcPr>
          <w:p>
            <w:pPr>
              <w:pStyle w:val="TableContents"/>
              <w:bidi w:val="0"/>
              <w:spacing w:before="0" w:after="0"/>
              <w:jc w:val="center"/>
              <w:rPr>
                <w:spacing w:val="-1"/>
              </w:rPr>
            </w:pPr>
            <w:r>
              <w:rPr>
                <w:spacing w:val="-1"/>
              </w:rPr>
              <w:t xml:space="preserve">Audit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center"/>
              <w:rPr>
                <w:spacing w:val="-1"/>
              </w:rPr>
            </w:pPr>
            <w:r>
              <w:rPr>
                <w:spacing w:val="-1"/>
              </w:rPr>
              <w:t xml:space="preserve">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47" w:type="dxa"/>
            <w:tcBorders/>
            <w:vAlign w:val="center"/>
          </w:tcPr>
          <w:p>
            <w:pPr>
              <w:pStyle w:val="TableContents"/>
              <w:bidi w:val="0"/>
              <w:spacing w:lineRule="atLeast" w:line="187" w:before="0" w:after="0"/>
              <w:jc w:val="center"/>
              <w:rPr>
                <w:spacing w:val="-1"/>
              </w:rPr>
            </w:pPr>
            <w:r>
              <w:rPr>
                <w:spacing w:val="-1"/>
              </w:rPr>
              <w:t xml:space="preserve">Nominating and </w:t>
              <w:br/>
              <w:t xml:space="preserve">Corporate Governance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6" w:type="dxa"/>
            <w:tcBorders/>
            <w:vAlign w:val="center"/>
          </w:tcPr>
          <w:p>
            <w:pPr>
              <w:pStyle w:val="TableContents"/>
              <w:bidi w:val="0"/>
              <w:spacing w:before="0" w:after="0"/>
              <w:jc w:val="center"/>
              <w:rPr/>
            </w:pPr>
            <w:r>
              <w:rPr>
                <w:spacing w:val="-1"/>
              </w:rPr>
              <w:t>Risk and Compliance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36" w:type="dxa"/>
            <w:tcBorders/>
            <w:vAlign w:val="center"/>
          </w:tcPr>
          <w:p>
            <w:pPr>
              <w:pStyle w:val="TableContents"/>
              <w:bidi w:val="0"/>
              <w:spacing w:before="0" w:after="0"/>
              <w:jc w:val="center"/>
              <w:rPr/>
            </w:pPr>
            <w:r>
              <w:rPr>
                <w:spacing w:val="-1"/>
              </w:rPr>
              <w:t>Committee Chair</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Voting Roadmap</w:t>
      </w:r>
      <w:r>
        <w:rPr>
          <w:rFonts w:ascii="Arial;Helvetica;sans-serif" w:hAnsi="Arial;Helvetica;sans-serif"/>
          <w:b w:val="false"/>
          <w:i w:val="false"/>
          <w:caps w:val="false"/>
          <w:smallCaps w:val="false"/>
          <w:color w:val="C3C5C8"/>
          <w:sz w:val="15"/>
        </w:rPr>
        <w:t xml:space="preserve"> </w:t>
      </w:r>
    </w:p>
    <w:tbl>
      <w:tblPr>
        <w:tblW w:w="9485" w:type="dxa"/>
        <w:jc w:val="left"/>
        <w:tblInd w:w="720" w:type="dxa"/>
        <w:tblLayout w:type="fixed"/>
        <w:tblCellMar>
          <w:top w:w="0" w:type="dxa"/>
          <w:left w:w="0" w:type="dxa"/>
          <w:bottom w:w="0" w:type="dxa"/>
          <w:right w:w="0" w:type="dxa"/>
        </w:tblCellMar>
      </w:tblPr>
      <w:tblGrid>
        <w:gridCol w:w="124"/>
        <w:gridCol w:w="1724"/>
        <w:gridCol w:w="109"/>
        <w:gridCol w:w="109"/>
        <w:gridCol w:w="862"/>
        <w:gridCol w:w="180"/>
        <w:gridCol w:w="180"/>
        <w:gridCol w:w="6041"/>
        <w:gridCol w:w="156"/>
      </w:tblGrid>
      <w:tr>
        <w:trPr/>
        <w:tc>
          <w:tcPr>
            <w:tcW w:w="124" w:type="dxa"/>
            <w:vMerge w:val="restart"/>
            <w:tcBorders/>
            <w:shd w:fill="0055B7" w:val="clear"/>
            <w:vAlign w:val="center"/>
          </w:tcPr>
          <w:p>
            <w:pPr>
              <w:pStyle w:val="TableContents"/>
              <w:bidi w:val="0"/>
              <w:spacing w:before="0" w:after="283"/>
              <w:jc w:val="left"/>
              <w:rPr/>
            </w:pPr>
            <w:r>
              <w:rPr/>
              <w:t>​</w:t>
            </w:r>
          </w:p>
        </w:tc>
        <w:tc>
          <w:tcPr>
            <w:tcW w:w="1724" w:type="dxa"/>
            <w:vMerge w:val="restart"/>
            <w:tcBorders/>
            <w:shd w:fill="0055B7" w:val="clear"/>
            <w:tcMar>
              <w:top w:w="28" w:type="dxa"/>
              <w:left w:w="28" w:type="dxa"/>
              <w:bottom w:w="28" w:type="dxa"/>
              <w:right w:w="28" w:type="dxa"/>
            </w:tcMar>
            <w:vAlign w:val="center"/>
          </w:tcPr>
          <w:p>
            <w:pPr>
              <w:pStyle w:val="TableContents"/>
              <w:bidi w:val="0"/>
              <w:spacing w:lineRule="atLeast" w:line="360" w:before="0" w:after="0"/>
              <w:jc w:val="center"/>
              <w:rPr>
                <w:color w:val="FFFFFF"/>
                <w:sz w:val="32"/>
              </w:rPr>
            </w:pPr>
            <w:r>
              <w:rPr>
                <w:color w:val="FFFFFF"/>
                <w:spacing w:val="-4"/>
                <w:sz w:val="32"/>
              </w:rPr>
              <w:t>PROPOSAL</w:t>
            </w:r>
            <w:r>
              <w:rPr>
                <w:color w:val="FFFFFF"/>
                <w:sz w:val="32"/>
              </w:rPr>
              <w:t xml:space="preserve"> </w:t>
            </w:r>
          </w:p>
          <w:p>
            <w:pPr>
              <w:pStyle w:val="TableContents"/>
              <w:bidi w:val="0"/>
              <w:spacing w:before="120" w:after="283"/>
              <w:jc w:val="center"/>
              <w:rPr>
                <w:color w:val="FFFFFF"/>
                <w:sz w:val="96"/>
              </w:rPr>
            </w:pPr>
            <w:r>
              <w:rPr>
                <w:color w:val="FFFFFF"/>
                <w:spacing w:val="-12"/>
                <w:sz w:val="96"/>
              </w:rPr>
              <w:t>2</w:t>
            </w:r>
            <w:r>
              <w:rPr>
                <w:color w:val="000000"/>
                <w:sz w:val="96"/>
              </w:rPr>
              <w:t>​</w:t>
            </w:r>
            <w:r>
              <w:rPr>
                <w:color w:val="FFFFFF"/>
                <w:sz w:val="96"/>
              </w:rPr>
              <w:t xml:space="preserve"> </w:t>
            </w:r>
          </w:p>
        </w:tc>
        <w:tc>
          <w:tcPr>
            <w:tcW w:w="109" w:type="dxa"/>
            <w:vMerge w:val="restart"/>
            <w:tcBorders/>
            <w:shd w:fill="0055B7"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263" w:type="dxa"/>
            <w:gridSpan w:val="4"/>
            <w:tcBorders/>
            <w:shd w:fill="F2F2F2" w:val="clear"/>
            <w:vAlign w:val="center"/>
          </w:tcPr>
          <w:p>
            <w:pPr>
              <w:pStyle w:val="TableContents"/>
              <w:bidi w:val="0"/>
              <w:spacing w:lineRule="atLeast" w:line="320" w:before="0" w:after="0"/>
              <w:ind w:left="120" w:right="0" w:hanging="0"/>
              <w:jc w:val="left"/>
              <w:rPr>
                <w:sz w:val="28"/>
              </w:rPr>
            </w:pPr>
            <w:r>
              <w:rPr>
                <w:spacing w:val="-4"/>
                <w:sz w:val="28"/>
              </w:rPr>
              <w:t>ADVISORY VOTE TO APPROVE OUR EXECUTIVE COMPENSATION</w:t>
            </w:r>
            <w:r>
              <w:rPr>
                <w:sz w:val="28"/>
              </w:rPr>
              <w:t xml:space="preserve"> </w:t>
            </w:r>
          </w:p>
        </w:tc>
        <w:tc>
          <w:tcPr>
            <w:tcW w:w="156"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24"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63" w:type="dxa"/>
            <w:gridSpan w:val="4"/>
            <w:tcBorders/>
            <w:shd w:fill="F2F2F2" w:val="clear"/>
            <w:vAlign w:val="center"/>
          </w:tcPr>
          <w:p>
            <w:pPr>
              <w:pStyle w:val="TableContents"/>
              <w:bidi w:val="0"/>
              <w:spacing w:lineRule="atLeast" w:line="220" w:before="0" w:after="0"/>
              <w:ind w:left="120" w:right="0" w:hanging="0"/>
              <w:jc w:val="left"/>
              <w:rPr>
                <w:spacing w:val="-1"/>
                <w:sz w:val="18"/>
              </w:rPr>
            </w:pPr>
            <w:r>
              <w:rPr>
                <w:spacing w:val="-1"/>
                <w:sz w:val="18"/>
              </w:rPr>
              <w:t xml:space="preserve">Approve, on an advisory (non-binding) basis, the compensation of our Named Executive Officers (“NEOs”), as described in the Compensation Discussion and Analysis and Executive Compensation Tables in this Proxy Statement. </w:t>
            </w:r>
          </w:p>
          <w:p>
            <w:pPr>
              <w:pStyle w:val="TableContents"/>
              <w:bidi w:val="0"/>
              <w:spacing w:before="0" w:after="283"/>
              <w:ind w:left="0" w:right="0" w:hanging="0"/>
              <w:jc w:val="both"/>
              <w:rPr>
                <w:bdr w:val="single" w:sz="8" w:space="1" w:color="000000"/>
              </w:rPr>
            </w:pPr>
            <w:r>
              <w:rPr>
                <w:bdr w:val="single" w:sz="8" w:space="1" w:color="000000"/>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24"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63" w:type="dxa"/>
            <w:gridSpan w:val="4"/>
            <w:tcBorders/>
            <w:shd w:fill="F2F2F2" w:val="clear"/>
            <w:vAlign w:val="center"/>
          </w:tcPr>
          <w:p>
            <w:pPr>
              <w:pStyle w:val="TableContents"/>
              <w:bidi w:val="0"/>
              <w:spacing w:lineRule="atLeast" w:line="220" w:before="0" w:after="0"/>
              <w:ind w:left="120" w:right="0" w:hanging="0"/>
              <w:jc w:val="left"/>
              <w:rPr/>
            </w:pPr>
            <w:r>
              <w:rPr>
                <w:spacing w:val="-1"/>
              </w:rPr>
              <w:t> </w:t>
            </w:r>
            <w:r>
              <w:rPr/>
              <w:t xml:space="preserve"> </w:t>
            </w:r>
          </w:p>
        </w:tc>
        <w:tc>
          <w:tcPr>
            <w:tcW w:w="156"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24"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862" w:type="dxa"/>
            <w:tcBorders/>
            <w:shd w:fill="F2F2F2" w:val="clear"/>
            <w:vAlign w:val="center"/>
          </w:tcPr>
          <w:p>
            <w:pPr>
              <w:pStyle w:val="TableContents"/>
              <w:bidi w:val="0"/>
              <w:spacing w:before="0" w:after="0"/>
              <w:ind w:left="120" w:right="0" w:hanging="0"/>
              <w:jc w:val="left"/>
              <w:rPr/>
            </w:pPr>
            <w:r>
              <w:rPr/>
              <w:drawing>
                <wp:inline distT="0" distB="0" distL="0" distR="0">
                  <wp:extent cx="238125" cy="238125"/>
                  <wp:effectExtent l="0" t="0" r="0" b="0"/>
                  <wp:docPr id="8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3" descr=""/>
                          <pic:cNvPicPr>
                            <a:picLocks noChangeAspect="1" noChangeArrowheads="1"/>
                          </pic:cNvPicPr>
                        </pic:nvPicPr>
                        <pic:blipFill>
                          <a:blip r:embed="rId78"/>
                          <a:stretch>
                            <a:fillRect/>
                          </a:stretch>
                        </pic:blipFill>
                        <pic:spPr bwMode="auto">
                          <a:xfrm>
                            <a:off x="0" y="0"/>
                            <a:ext cx="238125" cy="238125"/>
                          </a:xfrm>
                          <a:prstGeom prst="rect">
                            <a:avLst/>
                          </a:prstGeom>
                        </pic:spPr>
                      </pic:pic>
                    </a:graphicData>
                  </a:graphic>
                </wp:inline>
              </w:drawing>
            </w:r>
            <w:r>
              <w:rPr/>
              <w:t xml:space="preserve"> </w:t>
            </w:r>
          </w:p>
        </w:tc>
        <w:tc>
          <w:tcPr>
            <w:tcW w:w="180" w:type="dxa"/>
            <w:tcBorders/>
            <w:shd w:fill="F2F2F2" w:val="clear"/>
            <w:vAlign w:val="center"/>
          </w:tcPr>
          <w:p>
            <w:pPr>
              <w:pStyle w:val="TableContents"/>
              <w:bidi w:val="0"/>
              <w:spacing w:before="0" w:after="283"/>
              <w:jc w:val="left"/>
              <w:rPr/>
            </w:pPr>
            <w:r>
              <w:rPr/>
              <w:t>​</w:t>
            </w:r>
          </w:p>
        </w:tc>
        <w:tc>
          <w:tcPr>
            <w:tcW w:w="180" w:type="dxa"/>
            <w:tcBorders/>
            <w:shd w:fill="F2F2F2" w:val="clear"/>
            <w:vAlign w:val="center"/>
          </w:tcPr>
          <w:p>
            <w:pPr>
              <w:pStyle w:val="TableContents"/>
              <w:bidi w:val="0"/>
              <w:spacing w:before="0" w:after="283"/>
              <w:jc w:val="left"/>
              <w:rPr/>
            </w:pPr>
            <w:r>
              <w:rPr/>
              <w:t>​</w:t>
            </w:r>
          </w:p>
        </w:tc>
        <w:tc>
          <w:tcPr>
            <w:tcW w:w="6041" w:type="dxa"/>
            <w:tcBorders/>
            <w:shd w:fill="F2F2F2" w:val="clear"/>
            <w:vAlign w:val="center"/>
          </w:tcPr>
          <w:p>
            <w:pPr>
              <w:pStyle w:val="TableContents"/>
              <w:bidi w:val="0"/>
              <w:spacing w:lineRule="atLeast" w:line="240" w:before="0" w:after="0"/>
              <w:jc w:val="left"/>
              <w:rPr>
                <w:sz w:val="20"/>
              </w:rPr>
            </w:pPr>
            <w:r>
              <w:rPr>
                <w:spacing w:val="-3"/>
                <w:sz w:val="20"/>
              </w:rPr>
              <w:t xml:space="preserve">THE BOARD RECOMMENDS A VOTE </w:t>
            </w:r>
            <w:r>
              <w:rPr>
                <w:color w:val="0070CD"/>
                <w:spacing w:val="-3"/>
                <w:sz w:val="20"/>
              </w:rPr>
              <w:t>FOR</w:t>
            </w:r>
            <w:r>
              <w:rPr>
                <w:spacing w:val="-3"/>
                <w:sz w:val="20"/>
              </w:rPr>
              <w:t xml:space="preserve"> PROPOSAL 2.</w:t>
            </w:r>
            <w:r>
              <w:rPr>
                <w:sz w:val="20"/>
              </w:rPr>
              <w:t xml:space="preserve">​ </w:t>
            </w:r>
          </w:p>
        </w:tc>
        <w:tc>
          <w:tcPr>
            <w:tcW w:w="156"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24"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63" w:type="dxa"/>
            <w:gridSpan w:val="4"/>
            <w:tcBorders/>
            <w:shd w:fill="F2F2F2" w:val="clear"/>
            <w:vAlign w:val="center"/>
          </w:tcPr>
          <w:p>
            <w:pPr>
              <w:pStyle w:val="TableContents"/>
              <w:bidi w:val="0"/>
              <w:spacing w:lineRule="atLeast" w:line="240" w:before="0" w:after="0"/>
              <w:ind w:left="120" w:right="0" w:hanging="0"/>
              <w:jc w:val="left"/>
              <w:rPr/>
            </w:pPr>
            <w:r>
              <w:rPr>
                <w:spacing w:val="-2"/>
                <w:sz w:val="20"/>
              </w:rPr>
              <w:t>More on Page </w:t>
            </w:r>
            <w:hyperlink w:anchor="tPRO1">
              <w:r>
                <w:rPr>
                  <w:rStyle w:val="InternetLink"/>
                  <w:spacing w:val="-2"/>
                  <w:sz w:val="20"/>
                </w:rPr>
                <w:t>45</w:t>
              </w:r>
            </w:hyperlink>
            <w:r>
              <w:rPr>
                <w:sz w:val="20"/>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20" w:before="2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executive compensation program is built on a pay-for-performance philosophy, with a significant portion of NEOs’ compensation delivered through at-risk incentives tied to individual and Company performance and long-term value creation. The Compensation Committee of the Board (the “Compensation Committee”) designs and oversees our executive compensation program using market and peer benchmarking and an emphasis on performance-based, investor-aligned incentives that are at risk and reward organizational individual performance.</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736"/>
        <w:gridCol w:w="109"/>
        <w:gridCol w:w="109"/>
        <w:gridCol w:w="557"/>
        <w:gridCol w:w="116"/>
        <w:gridCol w:w="116"/>
        <w:gridCol w:w="6461"/>
        <w:gridCol w:w="157"/>
      </w:tblGrid>
      <w:tr>
        <w:trPr/>
        <w:tc>
          <w:tcPr>
            <w:tcW w:w="124" w:type="dxa"/>
            <w:vMerge w:val="restart"/>
            <w:tcBorders/>
            <w:shd w:fill="0055B7" w:val="clear"/>
            <w:vAlign w:val="center"/>
          </w:tcPr>
          <w:p>
            <w:pPr>
              <w:pStyle w:val="TableContents"/>
              <w:bidi w:val="0"/>
              <w:spacing w:before="0" w:after="283"/>
              <w:jc w:val="left"/>
              <w:rPr/>
            </w:pPr>
            <w:r>
              <w:rPr/>
              <w:t>​</w:t>
            </w:r>
          </w:p>
        </w:tc>
        <w:tc>
          <w:tcPr>
            <w:tcW w:w="1736" w:type="dxa"/>
            <w:vMerge w:val="restart"/>
            <w:tcBorders/>
            <w:shd w:fill="0055B7" w:val="clear"/>
            <w:tcMar>
              <w:top w:w="28" w:type="dxa"/>
              <w:left w:w="28" w:type="dxa"/>
              <w:bottom w:w="28" w:type="dxa"/>
              <w:right w:w="28" w:type="dxa"/>
            </w:tcMar>
            <w:vAlign w:val="center"/>
          </w:tcPr>
          <w:p>
            <w:pPr>
              <w:pStyle w:val="TableContents"/>
              <w:bidi w:val="0"/>
              <w:spacing w:lineRule="atLeast" w:line="360" w:before="0" w:after="0"/>
              <w:jc w:val="center"/>
              <w:rPr>
                <w:color w:val="FFFFFF"/>
                <w:sz w:val="32"/>
              </w:rPr>
            </w:pPr>
            <w:r>
              <w:rPr>
                <w:color w:val="FFFFFF"/>
                <w:spacing w:val="-4"/>
                <w:sz w:val="32"/>
              </w:rPr>
              <w:t>PROPOSAL</w:t>
            </w:r>
            <w:r>
              <w:rPr>
                <w:color w:val="FFFFFF"/>
                <w:sz w:val="32"/>
              </w:rPr>
              <w:t xml:space="preserve"> </w:t>
            </w:r>
          </w:p>
          <w:p>
            <w:pPr>
              <w:pStyle w:val="TableContents"/>
              <w:bidi w:val="0"/>
              <w:spacing w:before="120" w:after="283"/>
              <w:jc w:val="center"/>
              <w:rPr>
                <w:color w:val="FFFFFF"/>
                <w:sz w:val="96"/>
              </w:rPr>
            </w:pPr>
            <w:r>
              <w:rPr>
                <w:color w:val="FFFFFF"/>
                <w:spacing w:val="-12"/>
                <w:sz w:val="96"/>
              </w:rPr>
              <w:t>3</w:t>
            </w:r>
            <w:r>
              <w:rPr>
                <w:color w:val="000000"/>
                <w:sz w:val="96"/>
              </w:rPr>
              <w:t>​</w:t>
            </w:r>
            <w:r>
              <w:rPr>
                <w:color w:val="FFFFFF"/>
                <w:sz w:val="96"/>
              </w:rPr>
              <w:t xml:space="preserve"> </w:t>
            </w:r>
          </w:p>
        </w:tc>
        <w:tc>
          <w:tcPr>
            <w:tcW w:w="109" w:type="dxa"/>
            <w:vMerge w:val="restart"/>
            <w:tcBorders/>
            <w:shd w:fill="0055B7"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250" w:type="dxa"/>
            <w:gridSpan w:val="4"/>
            <w:tcBorders/>
            <w:shd w:fill="F2F2F2" w:val="clear"/>
            <w:vAlign w:val="center"/>
          </w:tcPr>
          <w:p>
            <w:pPr>
              <w:pStyle w:val="TableContents"/>
              <w:bidi w:val="0"/>
              <w:spacing w:lineRule="atLeast" w:line="320" w:before="0" w:after="0"/>
              <w:ind w:left="120" w:right="0" w:hanging="0"/>
              <w:jc w:val="left"/>
              <w:rPr>
                <w:sz w:val="28"/>
              </w:rPr>
            </w:pPr>
            <w:r>
              <w:rPr>
                <w:spacing w:val="-4"/>
                <w:sz w:val="28"/>
              </w:rPr>
              <w:t>ADVISORY VOTE ON THE FREQUENCY OF VOTES ON OUR EXECUTIVE COMPENSATION</w:t>
            </w:r>
            <w:r>
              <w:rPr>
                <w:color w:val="000000"/>
                <w:sz w:val="28"/>
              </w:rPr>
              <w:t>​</w:t>
            </w:r>
            <w:r>
              <w:rPr>
                <w:sz w:val="28"/>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36"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50" w:type="dxa"/>
            <w:gridSpan w:val="4"/>
            <w:tcBorders/>
            <w:shd w:fill="F2F2F2" w:val="clear"/>
            <w:vAlign w:val="center"/>
          </w:tcPr>
          <w:p>
            <w:pPr>
              <w:pStyle w:val="TableContents"/>
              <w:bidi w:val="0"/>
              <w:spacing w:lineRule="atLeast" w:line="220" w:before="0" w:after="0"/>
              <w:ind w:left="120" w:right="0" w:hanging="0"/>
              <w:jc w:val="left"/>
              <w:rPr>
                <w:sz w:val="18"/>
              </w:rPr>
            </w:pPr>
            <w:r>
              <w:rPr>
                <w:spacing w:val="-1"/>
                <w:sz w:val="18"/>
              </w:rPr>
              <w:t>Approve, on an advisory, non-binding basis, the frequency of future stockholder advisory votes on the compensation of our NEOs.</w:t>
            </w:r>
            <w:r>
              <w:rPr>
                <w:sz w:val="18"/>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36"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50" w:type="dxa"/>
            <w:gridSpan w:val="4"/>
            <w:tcBorders/>
            <w:shd w:fill="F2F2F2" w:val="clear"/>
            <w:vAlign w:val="center"/>
          </w:tcPr>
          <w:p>
            <w:pPr>
              <w:pStyle w:val="TableContents"/>
              <w:bidi w:val="0"/>
              <w:spacing w:lineRule="atLeast" w:line="220" w:before="0" w:after="0"/>
              <w:ind w:left="120" w:right="0" w:hanging="0"/>
              <w:jc w:val="left"/>
              <w:rPr/>
            </w:pPr>
            <w:r>
              <w:rPr>
                <w:spacing w:val="-1"/>
              </w:rPr>
              <w:t> </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36"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557" w:type="dxa"/>
            <w:tcBorders/>
            <w:shd w:fill="F2F2F2" w:val="clear"/>
            <w:vAlign w:val="center"/>
          </w:tcPr>
          <w:p>
            <w:pPr>
              <w:pStyle w:val="TableContents"/>
              <w:bidi w:val="0"/>
              <w:spacing w:before="0" w:after="0"/>
              <w:ind w:left="120" w:right="0" w:hanging="0"/>
              <w:jc w:val="left"/>
              <w:rPr/>
            </w:pPr>
            <w:r>
              <w:rPr/>
              <w:drawing>
                <wp:inline distT="0" distB="0" distL="0" distR="0">
                  <wp:extent cx="238125" cy="238125"/>
                  <wp:effectExtent l="0" t="0" r="0" b="0"/>
                  <wp:docPr id="8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4" descr=""/>
                          <pic:cNvPicPr>
                            <a:picLocks noChangeAspect="1" noChangeArrowheads="1"/>
                          </pic:cNvPicPr>
                        </pic:nvPicPr>
                        <pic:blipFill>
                          <a:blip r:embed="rId79"/>
                          <a:stretch>
                            <a:fillRect/>
                          </a:stretch>
                        </pic:blipFill>
                        <pic:spPr bwMode="auto">
                          <a:xfrm>
                            <a:off x="0" y="0"/>
                            <a:ext cx="238125" cy="238125"/>
                          </a:xfrm>
                          <a:prstGeom prst="rect">
                            <a:avLst/>
                          </a:prstGeom>
                        </pic:spPr>
                      </pic:pic>
                    </a:graphicData>
                  </a:graphic>
                </wp:inline>
              </w:drawing>
            </w:r>
            <w:r>
              <w:rPr/>
              <w:t xml:space="preserve"> </w:t>
            </w:r>
          </w:p>
        </w:tc>
        <w:tc>
          <w:tcPr>
            <w:tcW w:w="116" w:type="dxa"/>
            <w:tcBorders/>
            <w:shd w:fill="F2F2F2" w:val="clear"/>
            <w:vAlign w:val="center"/>
          </w:tcPr>
          <w:p>
            <w:pPr>
              <w:pStyle w:val="TableContents"/>
              <w:bidi w:val="0"/>
              <w:spacing w:before="0" w:after="283"/>
              <w:jc w:val="left"/>
              <w:rPr/>
            </w:pPr>
            <w:r>
              <w:rPr/>
              <w:t>​</w:t>
            </w:r>
          </w:p>
        </w:tc>
        <w:tc>
          <w:tcPr>
            <w:tcW w:w="116" w:type="dxa"/>
            <w:tcBorders/>
            <w:shd w:fill="F2F2F2" w:val="clear"/>
            <w:vAlign w:val="center"/>
          </w:tcPr>
          <w:p>
            <w:pPr>
              <w:pStyle w:val="TableContents"/>
              <w:bidi w:val="0"/>
              <w:spacing w:before="0" w:after="283"/>
              <w:jc w:val="left"/>
              <w:rPr/>
            </w:pPr>
            <w:r>
              <w:rPr/>
              <w:t>​</w:t>
            </w:r>
          </w:p>
        </w:tc>
        <w:tc>
          <w:tcPr>
            <w:tcW w:w="6461" w:type="dxa"/>
            <w:tcBorders/>
            <w:shd w:fill="F2F2F2" w:val="clear"/>
            <w:vAlign w:val="center"/>
          </w:tcPr>
          <w:p>
            <w:pPr>
              <w:pStyle w:val="TableContents"/>
              <w:bidi w:val="0"/>
              <w:spacing w:lineRule="atLeast" w:line="240" w:before="0" w:after="0"/>
              <w:jc w:val="both"/>
              <w:rPr>
                <w:sz w:val="20"/>
              </w:rPr>
            </w:pPr>
            <w:r>
              <w:rPr>
                <w:spacing w:val="-3"/>
                <w:sz w:val="20"/>
              </w:rPr>
              <w:t xml:space="preserve">THE BOARD RECOMMENDS A VOTE </w:t>
            </w:r>
            <w:r>
              <w:rPr>
                <w:color w:val="0070CD"/>
                <w:spacing w:val="-3"/>
                <w:sz w:val="20"/>
              </w:rPr>
              <w:t>FOR</w:t>
            </w:r>
            <w:r>
              <w:rPr>
                <w:spacing w:val="-3"/>
                <w:sz w:val="20"/>
              </w:rPr>
              <w:t xml:space="preserve"> A </w:t>
            </w:r>
            <w:r>
              <w:rPr>
                <w:color w:val="0070CD"/>
                <w:spacing w:val="-3"/>
                <w:sz w:val="20"/>
              </w:rPr>
              <w:t>ONE YEAR</w:t>
            </w:r>
            <w:r>
              <w:rPr>
                <w:spacing w:val="-3"/>
                <w:sz w:val="20"/>
              </w:rPr>
              <w:t xml:space="preserve"> INTERVAL FOR THE ADVISORY VOTE ON PROPOSAL 3.</w:t>
            </w:r>
            <w:r>
              <w:rPr>
                <w:sz w:val="20"/>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36"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50" w:type="dxa"/>
            <w:gridSpan w:val="4"/>
            <w:tcBorders/>
            <w:shd w:fill="F2F2F2" w:val="clear"/>
            <w:vAlign w:val="center"/>
          </w:tcPr>
          <w:p>
            <w:pPr>
              <w:pStyle w:val="TableContents"/>
              <w:bidi w:val="0"/>
              <w:spacing w:lineRule="atLeast" w:line="240" w:before="0" w:after="0"/>
              <w:ind w:left="120" w:right="0" w:hanging="0"/>
              <w:jc w:val="left"/>
              <w:rPr/>
            </w:pPr>
            <w:r>
              <w:rPr>
                <w:spacing w:val="-2"/>
                <w:sz w:val="20"/>
              </w:rPr>
              <w:t xml:space="preserve">More on Page </w:t>
            </w:r>
            <w:hyperlink w:anchor="tPRO2">
              <w:r>
                <w:rPr>
                  <w:rStyle w:val="InternetLink"/>
                  <w:spacing w:val="-2"/>
                  <w:sz w:val="20"/>
                </w:rPr>
                <w:t>45</w:t>
              </w:r>
            </w:hyperlink>
            <w:r>
              <w:rPr>
                <w:sz w:val="20"/>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20" w:before="2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 annual say-on-pay vote enables our stockholders to express their views on our executive compensation program in a regular and timely manner. The Company believes a one-year frequency for the say-on-pay vote is a good governance practice and provides the Compensation Committee with important insight on stockholder perspectives in alignment with the Committee’s annual process for compensation review and decision making.</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753"/>
        <w:gridCol w:w="109"/>
        <w:gridCol w:w="109"/>
        <w:gridCol w:w="579"/>
        <w:gridCol w:w="120"/>
        <w:gridCol w:w="120"/>
        <w:gridCol w:w="6414"/>
        <w:gridCol w:w="157"/>
      </w:tblGrid>
      <w:tr>
        <w:trPr/>
        <w:tc>
          <w:tcPr>
            <w:tcW w:w="124" w:type="dxa"/>
            <w:vMerge w:val="restart"/>
            <w:tcBorders/>
            <w:shd w:fill="0055B7" w:val="clear"/>
            <w:vAlign w:val="center"/>
          </w:tcPr>
          <w:p>
            <w:pPr>
              <w:pStyle w:val="TableContents"/>
              <w:bidi w:val="0"/>
              <w:spacing w:before="0" w:after="283"/>
              <w:jc w:val="left"/>
              <w:rPr/>
            </w:pPr>
            <w:r>
              <w:rPr/>
              <w:t>​</w:t>
            </w:r>
          </w:p>
        </w:tc>
        <w:tc>
          <w:tcPr>
            <w:tcW w:w="1753" w:type="dxa"/>
            <w:vMerge w:val="restart"/>
            <w:tcBorders/>
            <w:shd w:fill="0055B7" w:val="clear"/>
            <w:tcMar>
              <w:top w:w="28" w:type="dxa"/>
              <w:left w:w="28" w:type="dxa"/>
              <w:bottom w:w="28" w:type="dxa"/>
              <w:right w:w="28" w:type="dxa"/>
            </w:tcMar>
            <w:vAlign w:val="center"/>
          </w:tcPr>
          <w:p>
            <w:pPr>
              <w:pStyle w:val="TableContents"/>
              <w:bidi w:val="0"/>
              <w:spacing w:lineRule="atLeast" w:line="360" w:before="0" w:after="0"/>
              <w:jc w:val="center"/>
              <w:rPr>
                <w:sz w:val="32"/>
              </w:rPr>
            </w:pPr>
            <w:r>
              <w:rPr>
                <w:spacing w:val="-4"/>
                <w:sz w:val="32"/>
              </w:rPr>
              <w:t>PROPOSAL</w:t>
            </w:r>
            <w:r>
              <w:rPr>
                <w:sz w:val="32"/>
              </w:rPr>
              <w:t xml:space="preserve"> </w:t>
            </w:r>
          </w:p>
          <w:p>
            <w:pPr>
              <w:pStyle w:val="TableContents"/>
              <w:bidi w:val="0"/>
              <w:spacing w:before="120" w:after="283"/>
              <w:jc w:val="center"/>
              <w:rPr>
                <w:sz w:val="96"/>
              </w:rPr>
            </w:pPr>
            <w:r>
              <w:rPr>
                <w:spacing w:val="-12"/>
                <w:sz w:val="96"/>
              </w:rPr>
              <w:t>4</w:t>
            </w:r>
            <w:r>
              <w:rPr>
                <w:color w:val="000000"/>
                <w:sz w:val="96"/>
              </w:rPr>
              <w:t>​</w:t>
            </w:r>
            <w:r>
              <w:rPr>
                <w:sz w:val="96"/>
              </w:rPr>
              <w:t xml:space="preserve"> </w:t>
            </w:r>
          </w:p>
        </w:tc>
        <w:tc>
          <w:tcPr>
            <w:tcW w:w="109" w:type="dxa"/>
            <w:vMerge w:val="restart"/>
            <w:tcBorders/>
            <w:shd w:fill="0055B7"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233" w:type="dxa"/>
            <w:gridSpan w:val="4"/>
            <w:tcBorders/>
            <w:shd w:fill="F2F2F2" w:val="clear"/>
            <w:vAlign w:val="center"/>
          </w:tcPr>
          <w:p>
            <w:pPr>
              <w:pStyle w:val="TableContents"/>
              <w:bidi w:val="0"/>
              <w:spacing w:lineRule="atLeast" w:line="320" w:before="0" w:after="0"/>
              <w:ind w:left="120" w:right="0" w:hanging="0"/>
              <w:jc w:val="left"/>
              <w:rPr>
                <w:color w:val="0055B7"/>
                <w:sz w:val="28"/>
              </w:rPr>
            </w:pPr>
            <w:r>
              <w:rPr>
                <w:color w:val="0055B7"/>
                <w:spacing w:val="-4"/>
                <w:sz w:val="28"/>
              </w:rPr>
              <w:t>RATIFICATION OF SELECTION OF INDEPENDENT AUDITOR</w:t>
            </w:r>
            <w:r>
              <w:rPr>
                <w:color w:val="000000"/>
                <w:sz w:val="28"/>
              </w:rPr>
              <w:t>​</w:t>
            </w:r>
            <w:r>
              <w:rPr>
                <w:color w:val="0055B7"/>
                <w:sz w:val="28"/>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53"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33" w:type="dxa"/>
            <w:gridSpan w:val="4"/>
            <w:tcBorders/>
            <w:shd w:fill="F2F2F2" w:val="clear"/>
            <w:vAlign w:val="center"/>
          </w:tcPr>
          <w:p>
            <w:pPr>
              <w:pStyle w:val="TableContents"/>
              <w:bidi w:val="0"/>
              <w:spacing w:lineRule="atLeast" w:line="220" w:before="0" w:after="0"/>
              <w:ind w:left="120" w:right="0" w:hanging="0"/>
              <w:jc w:val="left"/>
              <w:rPr>
                <w:sz w:val="18"/>
              </w:rPr>
            </w:pPr>
            <w:r>
              <w:rPr>
                <w:spacing w:val="-1"/>
                <w:sz w:val="18"/>
              </w:rPr>
              <w:t>Ratify the selection of Ernst &amp; Young LLP (“EY”) as our independent auditor for the fiscal year ending on December 31, 2026.</w:t>
            </w:r>
            <w:r>
              <w:rPr>
                <w:sz w:val="18"/>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53"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33" w:type="dxa"/>
            <w:gridSpan w:val="4"/>
            <w:tcBorders/>
            <w:shd w:fill="F2F2F2" w:val="clear"/>
            <w:vAlign w:val="center"/>
          </w:tcPr>
          <w:p>
            <w:pPr>
              <w:pStyle w:val="TableContents"/>
              <w:bidi w:val="0"/>
              <w:spacing w:lineRule="atLeast" w:line="220" w:before="0" w:after="0"/>
              <w:ind w:left="120" w:right="0" w:hanging="0"/>
              <w:jc w:val="left"/>
              <w:rPr/>
            </w:pPr>
            <w:r>
              <w:rPr>
                <w:spacing w:val="-1"/>
              </w:rPr>
              <w:t> </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53"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579" w:type="dxa"/>
            <w:tcBorders/>
            <w:shd w:fill="F2F2F2" w:val="clear"/>
            <w:vAlign w:val="center"/>
          </w:tcPr>
          <w:p>
            <w:pPr>
              <w:pStyle w:val="TableContents"/>
              <w:bidi w:val="0"/>
              <w:spacing w:before="0" w:after="0"/>
              <w:ind w:left="120" w:right="0" w:hanging="0"/>
              <w:jc w:val="left"/>
              <w:rPr/>
            </w:pPr>
            <w:r>
              <w:rPr/>
              <w:drawing>
                <wp:inline distT="0" distB="0" distL="0" distR="0">
                  <wp:extent cx="238125" cy="238125"/>
                  <wp:effectExtent l="0" t="0" r="0" b="0"/>
                  <wp:docPr id="8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5" descr=""/>
                          <pic:cNvPicPr>
                            <a:picLocks noChangeAspect="1" noChangeArrowheads="1"/>
                          </pic:cNvPicPr>
                        </pic:nvPicPr>
                        <pic:blipFill>
                          <a:blip r:embed="rId80"/>
                          <a:stretch>
                            <a:fillRect/>
                          </a:stretch>
                        </pic:blipFill>
                        <pic:spPr bwMode="auto">
                          <a:xfrm>
                            <a:off x="0" y="0"/>
                            <a:ext cx="238125" cy="238125"/>
                          </a:xfrm>
                          <a:prstGeom prst="rect">
                            <a:avLst/>
                          </a:prstGeom>
                        </pic:spPr>
                      </pic:pic>
                    </a:graphicData>
                  </a:graphic>
                </wp:inline>
              </w:drawing>
            </w:r>
            <w:r>
              <w:rPr/>
              <w:t xml:space="preserve"> </w:t>
            </w:r>
          </w:p>
        </w:tc>
        <w:tc>
          <w:tcPr>
            <w:tcW w:w="120" w:type="dxa"/>
            <w:tcBorders/>
            <w:shd w:fill="F2F2F2" w:val="clear"/>
            <w:vAlign w:val="center"/>
          </w:tcPr>
          <w:p>
            <w:pPr>
              <w:pStyle w:val="TableContents"/>
              <w:bidi w:val="0"/>
              <w:spacing w:before="0" w:after="283"/>
              <w:jc w:val="left"/>
              <w:rPr/>
            </w:pPr>
            <w:r>
              <w:rPr/>
              <w:t>​</w:t>
            </w:r>
          </w:p>
        </w:tc>
        <w:tc>
          <w:tcPr>
            <w:tcW w:w="120" w:type="dxa"/>
            <w:tcBorders/>
            <w:shd w:fill="F2F2F2" w:val="clear"/>
            <w:vAlign w:val="center"/>
          </w:tcPr>
          <w:p>
            <w:pPr>
              <w:pStyle w:val="TableContents"/>
              <w:bidi w:val="0"/>
              <w:spacing w:before="0" w:after="283"/>
              <w:jc w:val="left"/>
              <w:rPr/>
            </w:pPr>
            <w:r>
              <w:rPr/>
              <w:t>​</w:t>
            </w:r>
          </w:p>
        </w:tc>
        <w:tc>
          <w:tcPr>
            <w:tcW w:w="6414" w:type="dxa"/>
            <w:tcBorders/>
            <w:shd w:fill="F2F2F2" w:val="clear"/>
            <w:vAlign w:val="center"/>
          </w:tcPr>
          <w:p>
            <w:pPr>
              <w:pStyle w:val="TableContents"/>
              <w:bidi w:val="0"/>
              <w:spacing w:lineRule="atLeast" w:line="240" w:before="0" w:after="0"/>
              <w:jc w:val="left"/>
              <w:rPr>
                <w:sz w:val="20"/>
              </w:rPr>
            </w:pPr>
            <w:r>
              <w:rPr>
                <w:spacing w:val="-3"/>
                <w:sz w:val="20"/>
              </w:rPr>
              <w:t xml:space="preserve">THE BOARD AND AUDIT COMMITTEE RECOMMEND A VOTE </w:t>
            </w:r>
            <w:r>
              <w:rPr>
                <w:color w:val="0070CD"/>
                <w:spacing w:val="-3"/>
                <w:sz w:val="20"/>
              </w:rPr>
              <w:t>FOR</w:t>
            </w:r>
            <w:r>
              <w:rPr>
                <w:spacing w:val="-3"/>
                <w:sz w:val="20"/>
              </w:rPr>
              <w:t xml:space="preserve"> PROPOSAL 4.</w:t>
            </w:r>
            <w:r>
              <w:rPr>
                <w:sz w:val="20"/>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53"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33" w:type="dxa"/>
            <w:gridSpan w:val="4"/>
            <w:tcBorders/>
            <w:shd w:fill="F2F2F2" w:val="clear"/>
            <w:vAlign w:val="center"/>
          </w:tcPr>
          <w:p>
            <w:pPr>
              <w:pStyle w:val="TableContents"/>
              <w:bidi w:val="0"/>
              <w:spacing w:lineRule="atLeast" w:line="240" w:before="0" w:after="0"/>
              <w:ind w:left="120" w:right="0" w:hanging="0"/>
              <w:jc w:val="left"/>
              <w:rPr/>
            </w:pPr>
            <w:r>
              <w:rPr>
                <w:spacing w:val="-2"/>
                <w:sz w:val="20"/>
              </w:rPr>
              <w:t>More on Page </w:t>
            </w:r>
            <w:hyperlink w:anchor="tPRO3">
              <w:r>
                <w:rPr>
                  <w:rStyle w:val="InternetLink"/>
                  <w:spacing w:val="-2"/>
                  <w:sz w:val="20"/>
                </w:rPr>
                <w:t>72</w:t>
              </w:r>
            </w:hyperlink>
            <w:r>
              <w:rPr>
                <w:sz w:val="20"/>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20" w:before="2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Taking into consideration EY’s qualifications, performance, independence, and the factors described in the </w:t>
      </w:r>
      <w:r>
        <w:rPr>
          <w:rFonts w:ascii="Arial;Helvetica;sans-serif" w:hAnsi="Arial;Helvetica;sans-serif"/>
          <w:b w:val="false"/>
          <w:i/>
          <w:caps w:val="false"/>
          <w:smallCaps w:val="false"/>
          <w:color w:val="000000"/>
          <w:sz w:val="18"/>
        </w:rPr>
        <w:t>Audit Matters</w:t>
      </w:r>
      <w:r>
        <w:rPr>
          <w:rFonts w:ascii="Arial;Helvetica;sans-serif" w:hAnsi="Arial;Helvetica;sans-serif"/>
          <w:b w:val="false"/>
          <w:i w:val="false"/>
          <w:caps w:val="false"/>
          <w:smallCaps w:val="false"/>
          <w:color w:val="000000"/>
          <w:spacing w:val="-1"/>
          <w:sz w:val="18"/>
        </w:rPr>
        <w:t xml:space="preserve"> section of this Proxy Statement, the Audit Committee of the Board (the “Audit Committee”) and the Board have determined that retaining EY as our independent auditor is in the best interests of the Company and our stockholders. In making this determination, the Audit Committee considered, among other things, the quality and effectiveness of EY’s audit services, EY’s understanding of our business and risk profile, and the competitiveness of EY’s fees.</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RO"/>
      <w:bookmarkEnd w:id="10"/>
      <w:r>
        <w:rPr>
          <w:rFonts w:ascii="calibri;arial;sans-serif" w:hAnsi="calibri;arial;sans-serif"/>
          <w:b w:val="false"/>
          <w:i w:val="false"/>
          <w:caps w:val="false"/>
          <w:smallCaps w:val="false"/>
          <w:color w:val="000000"/>
          <w:sz w:val="16"/>
        </w:rPr>
        <w:t>​</w:t>
      </w:r>
      <w:bookmarkStart w:id="11" w:name="tO2D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5980"/>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6"/>
          <w:sz w:val="44"/>
        </w:rPr>
        <w:t>O</w:t>
      </w:r>
      <w:r>
        <w:rPr>
          <w:rFonts w:ascii="Arial;Helvetica;sans-serif" w:hAnsi="Arial;Helvetica;sans-serif"/>
          <w:b/>
          <w:i w:val="false"/>
          <w:caps w:val="false"/>
          <w:smallCaps w:val="false"/>
          <w:color w:val="003CA6"/>
          <w:spacing w:val="-6"/>
          <w:sz w:val="44"/>
        </w:rPr>
        <w:t>UR</w:t>
      </w:r>
      <w:r>
        <w:rPr>
          <w:rFonts w:ascii="Arial;Helvetica;sans-serif" w:hAnsi="Arial;Helvetica;sans-serif"/>
          <w:b/>
          <w:i w:val="false"/>
          <w:caps w:val="false"/>
          <w:smallCaps w:val="false"/>
          <w:color w:val="003CA6"/>
          <w:spacing w:val="-6"/>
          <w:sz w:val="44"/>
        </w:rPr>
        <w:t xml:space="preserve"> B</w:t>
      </w:r>
      <w:r>
        <w:rPr>
          <w:rFonts w:ascii="Arial;Helvetica;sans-serif" w:hAnsi="Arial;Helvetica;sans-serif"/>
          <w:b/>
          <w:i w:val="false"/>
          <w:caps w:val="false"/>
          <w:smallCaps w:val="false"/>
          <w:color w:val="003CA6"/>
          <w:spacing w:val="-6"/>
          <w:sz w:val="44"/>
        </w:rPr>
        <w:t>OARD</w:t>
      </w:r>
      <w:r>
        <w:rPr>
          <w:rFonts w:ascii="Arial;Helvetica;sans-serif" w:hAnsi="Arial;Helvetica;sans-serif"/>
          <w:b/>
          <w:i w:val="false"/>
          <w:caps w:val="false"/>
          <w:smallCaps w:val="false"/>
          <w:color w:val="000000"/>
          <w:spacing w:val="9"/>
          <w:sz w:val="44"/>
        </w:rPr>
        <w:t xml:space="preserve"> </w:t>
      </w:r>
    </w:p>
    <w:tbl>
      <w:tblPr>
        <w:tblW w:w="9485" w:type="dxa"/>
        <w:jc w:val="left"/>
        <w:tblInd w:w="720" w:type="dxa"/>
        <w:tblLayout w:type="fixed"/>
        <w:tblCellMar>
          <w:top w:w="0" w:type="dxa"/>
          <w:left w:w="0" w:type="dxa"/>
          <w:bottom w:w="0" w:type="dxa"/>
          <w:right w:w="0" w:type="dxa"/>
        </w:tblCellMar>
      </w:tblPr>
      <w:tblGrid>
        <w:gridCol w:w="124"/>
        <w:gridCol w:w="1765"/>
        <w:gridCol w:w="109"/>
        <w:gridCol w:w="109"/>
        <w:gridCol w:w="514"/>
        <w:gridCol w:w="109"/>
        <w:gridCol w:w="109"/>
        <w:gridCol w:w="6491"/>
        <w:gridCol w:w="155"/>
      </w:tblGrid>
      <w:tr>
        <w:trPr/>
        <w:tc>
          <w:tcPr>
            <w:tcW w:w="124" w:type="dxa"/>
            <w:vMerge w:val="restart"/>
            <w:tcBorders/>
            <w:shd w:fill="0055B7" w:val="clear"/>
            <w:vAlign w:val="center"/>
          </w:tcPr>
          <w:p>
            <w:pPr>
              <w:pStyle w:val="TableContents"/>
              <w:bidi w:val="0"/>
              <w:spacing w:before="0" w:after="283"/>
              <w:jc w:val="left"/>
              <w:rPr/>
            </w:pPr>
            <w:r>
              <w:rPr/>
              <w:t>​</w:t>
            </w:r>
          </w:p>
        </w:tc>
        <w:tc>
          <w:tcPr>
            <w:tcW w:w="1765" w:type="dxa"/>
            <w:vMerge w:val="restart"/>
            <w:tcBorders/>
            <w:shd w:fill="0055B7" w:val="clear"/>
            <w:tcMar>
              <w:top w:w="28" w:type="dxa"/>
              <w:left w:w="28" w:type="dxa"/>
              <w:bottom w:w="28" w:type="dxa"/>
              <w:right w:w="28" w:type="dxa"/>
            </w:tcMar>
            <w:vAlign w:val="center"/>
          </w:tcPr>
          <w:p>
            <w:pPr>
              <w:pStyle w:val="TableContents"/>
              <w:bidi w:val="0"/>
              <w:spacing w:lineRule="atLeast" w:line="360" w:before="0" w:after="0"/>
              <w:jc w:val="center"/>
              <w:rPr>
                <w:sz w:val="32"/>
              </w:rPr>
            </w:pPr>
            <w:r>
              <w:rPr>
                <w:spacing w:val="-4"/>
                <w:sz w:val="32"/>
              </w:rPr>
              <w:t>PROPOSAL</w:t>
            </w:r>
            <w:r>
              <w:rPr>
                <w:sz w:val="32"/>
              </w:rPr>
              <w:t xml:space="preserve"> </w:t>
            </w:r>
          </w:p>
          <w:p>
            <w:pPr>
              <w:pStyle w:val="TableContents"/>
              <w:bidi w:val="0"/>
              <w:spacing w:before="120" w:after="283"/>
              <w:jc w:val="center"/>
              <w:rPr>
                <w:sz w:val="96"/>
              </w:rPr>
            </w:pPr>
            <w:r>
              <w:rPr>
                <w:spacing w:val="-12"/>
                <w:sz w:val="96"/>
              </w:rPr>
              <w:t>1</w:t>
            </w:r>
            <w:r>
              <w:rPr>
                <w:color w:val="000000"/>
                <w:sz w:val="96"/>
              </w:rPr>
              <w:t>​</w:t>
            </w:r>
            <w:r>
              <w:rPr>
                <w:sz w:val="96"/>
              </w:rPr>
              <w:t xml:space="preserve"> </w:t>
            </w:r>
          </w:p>
        </w:tc>
        <w:tc>
          <w:tcPr>
            <w:tcW w:w="109" w:type="dxa"/>
            <w:vMerge w:val="restart"/>
            <w:tcBorders/>
            <w:shd w:fill="0055B7"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223" w:type="dxa"/>
            <w:gridSpan w:val="4"/>
            <w:tcBorders/>
            <w:shd w:fill="F2F2F2" w:val="clear"/>
            <w:vAlign w:val="center"/>
          </w:tcPr>
          <w:p>
            <w:pPr>
              <w:pStyle w:val="TableContents"/>
              <w:bidi w:val="0"/>
              <w:spacing w:lineRule="atLeast" w:line="320" w:before="0" w:after="0"/>
              <w:ind w:left="120" w:right="0" w:hanging="0"/>
              <w:jc w:val="left"/>
              <w:rPr>
                <w:color w:val="0055B7"/>
                <w:sz w:val="28"/>
              </w:rPr>
            </w:pPr>
            <w:r>
              <w:rPr>
                <w:color w:val="0055B7"/>
                <w:spacing w:val="-4"/>
                <w:sz w:val="28"/>
              </w:rPr>
              <w:t>ELECTION OF DIRECTORS</w:t>
            </w:r>
            <w:r>
              <w:rPr>
                <w:color w:val="0055B7"/>
                <w:sz w:val="28"/>
              </w:rPr>
              <w:t xml:space="preserve"> </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65"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23" w:type="dxa"/>
            <w:gridSpan w:val="4"/>
            <w:tcBorders/>
            <w:shd w:fill="F2F2F2" w:val="clear"/>
            <w:vAlign w:val="center"/>
          </w:tcPr>
          <w:p>
            <w:pPr>
              <w:pStyle w:val="TableContents"/>
              <w:bidi w:val="0"/>
              <w:spacing w:lineRule="atLeast" w:line="220" w:before="0" w:after="0"/>
              <w:ind w:left="120" w:right="0" w:hanging="0"/>
              <w:jc w:val="left"/>
              <w:rPr>
                <w:spacing w:val="-1"/>
                <w:sz w:val="18"/>
              </w:rPr>
            </w:pPr>
            <w:r>
              <w:rPr>
                <w:spacing w:val="-1"/>
                <w:sz w:val="18"/>
              </w:rPr>
              <w:t xml:space="preserve">Elect the following 12 directors to hold office until the Company’s 2027 Annual Meeting. </w:t>
            </w:r>
          </w:p>
          <w:p>
            <w:pPr>
              <w:pStyle w:val="TableContents"/>
              <w:bidi w:val="0"/>
              <w:spacing w:before="0" w:after="283"/>
              <w:ind w:left="0" w:right="0" w:hanging="0"/>
              <w:jc w:val="both"/>
              <w:rPr>
                <w:bdr w:val="single" w:sz="8" w:space="1" w:color="000000"/>
              </w:rPr>
            </w:pPr>
            <w:r>
              <w:rPr>
                <w:bdr w:val="single" w:sz="8" w:space="1" w:color="000000"/>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65"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23" w:type="dxa"/>
            <w:gridSpan w:val="4"/>
            <w:tcBorders/>
            <w:shd w:fill="F2F2F2" w:val="clear"/>
            <w:vAlign w:val="center"/>
          </w:tcPr>
          <w:p>
            <w:pPr>
              <w:pStyle w:val="TableContents"/>
              <w:bidi w:val="0"/>
              <w:spacing w:lineRule="atLeast" w:line="220" w:before="0" w:after="0"/>
              <w:ind w:left="120" w:right="0" w:hanging="0"/>
              <w:jc w:val="left"/>
              <w:rPr/>
            </w:pPr>
            <w:r>
              <w:rPr>
                <w:spacing w:val="-1"/>
              </w:rPr>
              <w:t> </w:t>
            </w:r>
            <w:r>
              <w:rPr/>
              <w:t xml:space="preserve"> </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65"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514" w:type="dxa"/>
            <w:tcBorders/>
            <w:shd w:fill="F2F2F2" w:val="clear"/>
            <w:vAlign w:val="center"/>
          </w:tcPr>
          <w:p>
            <w:pPr>
              <w:pStyle w:val="TableContents"/>
              <w:bidi w:val="0"/>
              <w:spacing w:before="0" w:after="0"/>
              <w:ind w:left="120" w:right="0" w:hanging="0"/>
              <w:jc w:val="left"/>
              <w:rPr/>
            </w:pPr>
            <w:r>
              <w:rPr/>
              <w:drawing>
                <wp:inline distT="0" distB="0" distL="0" distR="0">
                  <wp:extent cx="238125" cy="238125"/>
                  <wp:effectExtent l="0" t="0" r="0" b="0"/>
                  <wp:docPr id="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6" descr=""/>
                          <pic:cNvPicPr>
                            <a:picLocks noChangeAspect="1" noChangeArrowheads="1"/>
                          </pic:cNvPicPr>
                        </pic:nvPicPr>
                        <pic:blipFill>
                          <a:blip r:embed="rId81"/>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491" w:type="dxa"/>
            <w:tcBorders/>
            <w:shd w:fill="F2F2F2" w:val="clear"/>
            <w:vAlign w:val="center"/>
          </w:tcPr>
          <w:p>
            <w:pPr>
              <w:pStyle w:val="TableContents"/>
              <w:bidi w:val="0"/>
              <w:spacing w:lineRule="atLeast" w:line="240" w:before="0" w:after="0"/>
              <w:jc w:val="left"/>
              <w:rPr>
                <w:sz w:val="20"/>
              </w:rPr>
            </w:pPr>
            <w:r>
              <w:rPr>
                <w:spacing w:val="-3"/>
                <w:sz w:val="20"/>
              </w:rPr>
              <w:t xml:space="preserve">THE BOARD RECOMMENDS A VOTE </w:t>
            </w:r>
            <w:r>
              <w:rPr>
                <w:color w:val="0070CD"/>
                <w:spacing w:val="-3"/>
                <w:sz w:val="20"/>
              </w:rPr>
              <w:t>FOR</w:t>
            </w:r>
            <w:r>
              <w:rPr>
                <w:spacing w:val="-3"/>
                <w:sz w:val="20"/>
              </w:rPr>
              <w:t xml:space="preserve"> EACH OF THE DIRECTOR NOMINEES.</w:t>
            </w:r>
            <w:r>
              <w:rPr>
                <w:sz w:val="20"/>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2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the recommendation of the Nominating and Corporate Governance Committee (“Governance Committee”), the Board has nominated the 12 directors named in this Proxy Statement for election to a one-year term expiring at our 2027 Annual Meeting of Stockholders. Each elected director will serve until their successor has been duly elected and qualified, or until the director’s earlier resignation, retirement, death, disqualification, or removal. All of the director nominees are current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the director nominees are highly qualified and collectively reflect the mix of skills, experience, and expertise to advance the interests of the Company, provide sound oversight and counsel to management, and deliver value to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nominee has consented to being named as a nominee, has accepted the nomination, and has agreed to serve as a director if elected. If any nominee becomes unable or unwilling to serve between the date of this Proxy Statement and the Annual Meeting, the Board may designate a new nominee, and the persons named as proxy holders may vote for the substitute nominee. Alternatively, the Board may reduce the size of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Our 2026 Director Nominees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Director Nominee Skills And Expertise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following highlights the key knowledge, skills, and expertise that the Governance Committee and the Board consider most important to the Company’s business, long-term strategy, and risks. The matrix is intended to depict notable areas of experience and expertise for the Board.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8</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tbl>
      <w:tblPr>
        <w:tblW w:w="9485" w:type="dxa"/>
        <w:jc w:val="left"/>
        <w:tblInd w:w="720" w:type="dxa"/>
        <w:tblLayout w:type="fixed"/>
        <w:tblCellMar>
          <w:top w:w="0" w:type="dxa"/>
          <w:left w:w="0" w:type="dxa"/>
          <w:bottom w:w="28" w:type="dxa"/>
          <w:right w:w="0" w:type="dxa"/>
        </w:tblCellMar>
      </w:tblPr>
      <w:tblGrid>
        <w:gridCol w:w="124"/>
        <w:gridCol w:w="722"/>
        <w:gridCol w:w="109"/>
        <w:gridCol w:w="109"/>
        <w:gridCol w:w="434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5"/>
      </w:tblGrid>
      <w:tr>
        <w:trPr/>
        <w:tc>
          <w:tcPr>
            <w:tcW w:w="124" w:type="dxa"/>
            <w:tcBorders>
              <w:bottom w:val="single" w:sz="2" w:space="0" w:color="0070CD"/>
            </w:tcBorders>
            <w:vAlign w:val="center"/>
          </w:tcPr>
          <w:p>
            <w:pPr>
              <w:pStyle w:val="TableContents"/>
              <w:bidi w:val="0"/>
              <w:spacing w:before="0" w:after="283"/>
              <w:jc w:val="left"/>
              <w:rPr/>
            </w:pPr>
            <w:r>
              <w:rPr/>
              <w:t>​</w:t>
            </w:r>
          </w:p>
        </w:tc>
        <w:tc>
          <w:tcPr>
            <w:tcW w:w="9206" w:type="dxa"/>
            <w:gridSpan w:val="40"/>
            <w:tcBorders>
              <w:bottom w:val="single" w:sz="2" w:space="0" w:color="0070CD"/>
            </w:tcBorders>
            <w:tcMar>
              <w:bottom w:w="50" w:type="dxa"/>
            </w:tcMar>
            <w:vAlign w:val="center"/>
          </w:tcPr>
          <w:p>
            <w:pPr>
              <w:pStyle w:val="TableContents"/>
              <w:bidi w:val="0"/>
              <w:spacing w:before="0" w:after="0"/>
              <w:jc w:val="left"/>
              <w:rPr/>
            </w:pPr>
            <w:r>
              <w:rPr>
                <w:spacing w:val="-3"/>
              </w:rPr>
              <w:t>SKILLS AND EXPERIENCE</w:t>
            </w:r>
            <w:r>
              <w:rPr>
                <w:color w:val="000000"/>
              </w:rPr>
              <w:t>​</w:t>
            </w:r>
            <w:r>
              <w:rPr/>
              <w:t xml:space="preserve"> </w:t>
            </w:r>
          </w:p>
        </w:tc>
        <w:tc>
          <w:tcPr>
            <w:tcW w:w="155" w:type="dxa"/>
            <w:tcBorders>
              <w:bottom w:val="single" w:sz="2" w:space="0" w:color="0070CD"/>
            </w:tcBorders>
            <w:vAlign w:val="center"/>
          </w:tcPr>
          <w:p>
            <w:pPr>
              <w:pStyle w:val="TableContents"/>
              <w:bidi w:val="0"/>
              <w:spacing w:before="0" w:after="283"/>
              <w:jc w:val="left"/>
              <w:rPr/>
            </w:pPr>
            <w:r>
              <w:rPr/>
              <w:t>​</w:t>
            </w:r>
          </w:p>
        </w:tc>
      </w:tr>
      <w:tr>
        <w:trPr/>
        <w:tc>
          <w:tcPr>
            <w:tcW w:w="124" w:type="dxa"/>
            <w:tcBorders/>
            <w:tcMar>
              <w:top w:w="28" w:type="dxa"/>
              <w:left w:w="28" w:type="dxa"/>
              <w:right w:w="28" w:type="dxa"/>
            </w:tcMar>
            <w:vAlign w:val="center"/>
          </w:tcPr>
          <w:p>
            <w:pPr>
              <w:pStyle w:val="TableContents"/>
              <w:bidi w:val="0"/>
              <w:spacing w:before="0" w:after="283"/>
              <w:jc w:val="left"/>
              <w:rPr/>
            </w:pPr>
            <w:r>
              <w:rPr/>
              <w:t>​</w:t>
            </w:r>
          </w:p>
        </w:tc>
        <w:tc>
          <w:tcPr>
            <w:tcW w:w="722"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4342"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55"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vAlign w:val="center"/>
          </w:tcPr>
          <w:p>
            <w:pPr>
              <w:pStyle w:val="TableContents"/>
              <w:bidi w:val="0"/>
              <w:spacing w:before="0" w:after="0"/>
              <w:jc w:val="center"/>
              <w:rPr/>
            </w:pPr>
            <w:r>
              <w:rPr/>
              <w:drawing>
                <wp:inline distT="0" distB="0" distL="0" distR="0">
                  <wp:extent cx="361950" cy="314325"/>
                  <wp:effectExtent l="0" t="0" r="0" b="0"/>
                  <wp:docPr id="8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7" descr=""/>
                          <pic:cNvPicPr>
                            <a:picLocks noChangeAspect="1" noChangeArrowheads="1"/>
                          </pic:cNvPicPr>
                        </pic:nvPicPr>
                        <pic:blipFill>
                          <a:blip r:embed="rId82"/>
                          <a:stretch>
                            <a:fillRect/>
                          </a:stretch>
                        </pic:blipFill>
                        <pic:spPr bwMode="auto">
                          <a:xfrm>
                            <a:off x="0" y="0"/>
                            <a:ext cx="361950" cy="314325"/>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vAlign w:val="center"/>
          </w:tcPr>
          <w:p>
            <w:pPr>
              <w:pStyle w:val="TableContents"/>
              <w:bidi w:val="0"/>
              <w:spacing w:lineRule="atLeast" w:line="180" w:before="0" w:after="0"/>
              <w:jc w:val="left"/>
              <w:rPr>
                <w:color w:val="000000"/>
              </w:rPr>
            </w:pPr>
            <w:r>
              <w:rPr>
                <w:color w:val="0055B7"/>
                <w:spacing w:val="0"/>
              </w:rPr>
              <w:t>Medical Product Manufacturing or Related Industry</w:t>
            </w:r>
            <w:r>
              <w:rPr>
                <w:color w:val="000000"/>
              </w:rPr>
              <w:t xml:space="preserve"> </w:t>
              <w:br/>
            </w:r>
            <w:r>
              <w:rPr>
                <w:b w:val="false"/>
                <w:color w:val="000000"/>
                <w:spacing w:val="-1"/>
              </w:rPr>
              <w:t>Experience in medical product manufacturing and distribution, and related healthcare services, including familiarity with the needs of hospital systems and other care settings.</w:t>
            </w:r>
            <w:r>
              <w:rPr>
                <w:color w:val="000000"/>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2071" w:type="dxa"/>
            <w:gridSpan w:val="19"/>
            <w:tcBorders>
              <w:bottom w:val="single" w:sz="2" w:space="0" w:color="0070CD"/>
            </w:tcBorders>
            <w:shd w:fill="CCDDF1" w:val="clear"/>
            <w:vAlign w:val="center"/>
          </w:tcPr>
          <w:p>
            <w:pPr>
              <w:pStyle w:val="TableContents"/>
              <w:bidi w:val="0"/>
              <w:spacing w:lineRule="atLeast" w:line="240" w:before="0" w:after="0"/>
              <w:jc w:val="center"/>
              <w:rPr>
                <w:sz w:val="20"/>
              </w:rPr>
            </w:pPr>
            <w:r>
              <w:rPr>
                <w:spacing w:val="0"/>
                <w:sz w:val="20"/>
              </w:rPr>
              <w:t>7 of 12</w:t>
            </w:r>
            <w:r>
              <w:rPr>
                <w:sz w:val="20"/>
              </w:rPr>
              <w:t xml:space="preserve"> </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55" w:type="dxa"/>
            <w:tcBorders>
              <w:bottom w:val="single" w:sz="2" w:space="0" w:color="0070CD"/>
            </w:tcBorders>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tcMar>
              <w:bottom w:w="115" w:type="dxa"/>
            </w:tcMar>
            <w:vAlign w:val="center"/>
          </w:tcPr>
          <w:p>
            <w:pPr>
              <w:pStyle w:val="TableContents"/>
              <w:bidi w:val="0"/>
              <w:spacing w:before="0" w:after="0"/>
              <w:jc w:val="center"/>
              <w:rPr/>
            </w:pPr>
            <w:r>
              <w:rPr/>
              <w:drawing>
                <wp:inline distT="0" distB="0" distL="0" distR="0">
                  <wp:extent cx="295275" cy="390525"/>
                  <wp:effectExtent l="0" t="0" r="0" b="0"/>
                  <wp:docPr id="8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8" descr=""/>
                          <pic:cNvPicPr>
                            <a:picLocks noChangeAspect="1" noChangeArrowheads="1"/>
                          </pic:cNvPicPr>
                        </pic:nvPicPr>
                        <pic:blipFill>
                          <a:blip r:embed="rId83"/>
                          <a:stretch>
                            <a:fillRect/>
                          </a:stretch>
                        </pic:blipFill>
                        <pic:spPr bwMode="auto">
                          <a:xfrm>
                            <a:off x="0" y="0"/>
                            <a:ext cx="295275" cy="390525"/>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vAlign w:val="center"/>
          </w:tcPr>
          <w:p>
            <w:pPr>
              <w:pStyle w:val="TableContents"/>
              <w:bidi w:val="0"/>
              <w:spacing w:lineRule="atLeast" w:line="180" w:before="0" w:after="0"/>
              <w:jc w:val="left"/>
              <w:rPr/>
            </w:pPr>
            <w:r>
              <w:rPr>
                <w:spacing w:val="-2"/>
              </w:rPr>
              <w:t>P</w:t>
            </w:r>
            <w:r>
              <w:rPr>
                <w:caps w:val="false"/>
                <w:smallCaps w:val="false"/>
                <w:spacing w:val="-2"/>
              </w:rPr>
              <w:t>UBLIC</w:t>
            </w:r>
            <w:r>
              <w:rPr>
                <w:spacing w:val="-2"/>
              </w:rPr>
              <w:t xml:space="preserve"> C</w:t>
            </w:r>
            <w:r>
              <w:rPr>
                <w:caps w:val="false"/>
                <w:smallCaps w:val="false"/>
                <w:spacing w:val="-2"/>
              </w:rPr>
              <w:t>OMPANY</w:t>
            </w:r>
            <w:r>
              <w:rPr>
                <w:spacing w:val="-2"/>
              </w:rPr>
              <w:t xml:space="preserve"> G</w:t>
            </w:r>
            <w:r>
              <w:rPr>
                <w:caps w:val="false"/>
                <w:smallCaps w:val="false"/>
                <w:spacing w:val="-2"/>
              </w:rPr>
              <w:t>OVERNANCE</w:t>
            </w:r>
            <w:r>
              <w:rPr/>
              <w:t xml:space="preserve"> </w:t>
              <w:br/>
            </w:r>
            <w:r>
              <w:rPr>
                <w:b w:val="false"/>
                <w:color w:val="000000"/>
                <w:spacing w:val="-1"/>
              </w:rPr>
              <w:t>Experience on a public company board, including knowledge of corporate governance and oversight, and experience with communications between a board and management</w:t>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2071" w:type="dxa"/>
            <w:gridSpan w:val="19"/>
            <w:tcBorders>
              <w:bottom w:val="single" w:sz="2" w:space="0" w:color="0070CD"/>
            </w:tcBorders>
            <w:shd w:fill="CCDDF1" w:val="clear"/>
            <w:vAlign w:val="center"/>
          </w:tcPr>
          <w:p>
            <w:pPr>
              <w:pStyle w:val="TableContents"/>
              <w:bidi w:val="0"/>
              <w:spacing w:lineRule="atLeast" w:line="240" w:before="0" w:after="0"/>
              <w:jc w:val="center"/>
              <w:rPr>
                <w:sz w:val="20"/>
              </w:rPr>
            </w:pPr>
            <w:r>
              <w:rPr>
                <w:spacing w:val="0"/>
                <w:sz w:val="20"/>
              </w:rPr>
              <w:t>7 of 12</w:t>
            </w:r>
            <w:r>
              <w:rPr>
                <w:sz w:val="20"/>
              </w:rPr>
              <w:t xml:space="preserve"> </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55" w:type="dxa"/>
            <w:tcBorders>
              <w:bottom w:val="single" w:sz="2" w:space="0" w:color="0070CD"/>
            </w:tcBorders>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vAlign w:val="center"/>
          </w:tcPr>
          <w:p>
            <w:pPr>
              <w:pStyle w:val="TableContents"/>
              <w:bidi w:val="0"/>
              <w:spacing w:before="0" w:after="0"/>
              <w:jc w:val="center"/>
              <w:rPr/>
            </w:pPr>
            <w:r>
              <w:rPr/>
              <w:drawing>
                <wp:inline distT="0" distB="0" distL="0" distR="0">
                  <wp:extent cx="400050" cy="285750"/>
                  <wp:effectExtent l="0" t="0" r="0" b="0"/>
                  <wp:docPr id="8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9" descr=""/>
                          <pic:cNvPicPr>
                            <a:picLocks noChangeAspect="1" noChangeArrowheads="1"/>
                          </pic:cNvPicPr>
                        </pic:nvPicPr>
                        <pic:blipFill>
                          <a:blip r:embed="rId84"/>
                          <a:stretch>
                            <a:fillRect/>
                          </a:stretch>
                        </pic:blipFill>
                        <pic:spPr bwMode="auto">
                          <a:xfrm>
                            <a:off x="0" y="0"/>
                            <a:ext cx="400050" cy="285750"/>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vAlign w:val="center"/>
          </w:tcPr>
          <w:p>
            <w:pPr>
              <w:pStyle w:val="TableContents"/>
              <w:bidi w:val="0"/>
              <w:spacing w:lineRule="atLeast" w:line="180" w:before="0" w:after="0"/>
              <w:jc w:val="left"/>
              <w:rPr/>
            </w:pPr>
            <w:r>
              <w:rPr>
                <w:b/>
                <w:color w:val="0055B7"/>
                <w:spacing w:val="0"/>
              </w:rPr>
              <w:t>Digital Transformation</w:t>
            </w:r>
            <w:r>
              <w:rPr/>
              <w:t xml:space="preserve"> </w:t>
              <w:br/>
            </w:r>
            <w:r>
              <w:rPr>
                <w:spacing w:val="-1"/>
              </w:rPr>
              <w:t xml:space="preserve">Experience in technology, artificial intelligence (“AI”), or cloud computing, including optimizing processes, fostering a culture of innovation, and aligning digital strategies with corporate goals to enhance business operations.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763" w:type="dxa"/>
            <w:gridSpan w:val="7"/>
            <w:tcBorders>
              <w:bottom w:val="single" w:sz="2" w:space="0" w:color="0070CD"/>
            </w:tcBorders>
            <w:shd w:fill="CCDDF1" w:val="clear"/>
            <w:vAlign w:val="center"/>
          </w:tcPr>
          <w:p>
            <w:pPr>
              <w:pStyle w:val="TableContents"/>
              <w:bidi w:val="0"/>
              <w:spacing w:lineRule="atLeast" w:line="240" w:before="0" w:after="0"/>
              <w:jc w:val="center"/>
              <w:rPr>
                <w:b/>
                <w:color w:val="0055B7"/>
                <w:sz w:val="20"/>
              </w:rPr>
            </w:pPr>
            <w:r>
              <w:rPr>
                <w:b/>
                <w:color w:val="0055B7"/>
                <w:spacing w:val="0"/>
                <w:sz w:val="20"/>
              </w:rPr>
              <w:t>3 of 12</w:t>
            </w:r>
            <w:r>
              <w:rPr>
                <w:b/>
                <w:color w:val="0055B7"/>
                <w:sz w:val="20"/>
              </w:rPr>
              <w:t xml:space="preserve"> </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55" w:type="dxa"/>
            <w:tcBorders>
              <w:bottom w:val="single" w:sz="2" w:space="0" w:color="0070CD"/>
            </w:tcBorders>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tcMar>
              <w:bottom w:w="85" w:type="dxa"/>
            </w:tcMar>
            <w:vAlign w:val="center"/>
          </w:tcPr>
          <w:p>
            <w:pPr>
              <w:pStyle w:val="TableContents"/>
              <w:bidi w:val="0"/>
              <w:spacing w:before="0" w:after="0"/>
              <w:jc w:val="center"/>
              <w:rPr/>
            </w:pPr>
            <w:r>
              <w:rPr/>
              <w:drawing>
                <wp:inline distT="0" distB="0" distL="0" distR="0">
                  <wp:extent cx="352425" cy="314325"/>
                  <wp:effectExtent l="0" t="0" r="0" b="0"/>
                  <wp:docPr id="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0" descr=""/>
                          <pic:cNvPicPr>
                            <a:picLocks noChangeAspect="1" noChangeArrowheads="1"/>
                          </pic:cNvPicPr>
                        </pic:nvPicPr>
                        <pic:blipFill>
                          <a:blip r:embed="rId85"/>
                          <a:stretch>
                            <a:fillRect/>
                          </a:stretch>
                        </pic:blipFill>
                        <pic:spPr bwMode="auto">
                          <a:xfrm>
                            <a:off x="0" y="0"/>
                            <a:ext cx="352425" cy="314325"/>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vAlign w:val="center"/>
          </w:tcPr>
          <w:p>
            <w:pPr>
              <w:pStyle w:val="TableContents"/>
              <w:bidi w:val="0"/>
              <w:spacing w:lineRule="atLeast" w:line="180" w:before="0" w:after="0"/>
              <w:jc w:val="left"/>
              <w:rPr/>
            </w:pPr>
            <w:r>
              <w:rPr>
                <w:b/>
                <w:color w:val="0055B7"/>
                <w:spacing w:val="0"/>
              </w:rPr>
              <w:t>Risk Management</w:t>
            </w:r>
            <w:r>
              <w:rPr/>
              <w:t xml:space="preserve"> </w:t>
              <w:br/>
            </w:r>
            <w:r>
              <w:rPr>
                <w:spacing w:val="-1"/>
              </w:rPr>
              <w:t xml:space="preserve">Experience overseeing risk identification, analysis, and mitigation efforts, including those related to changes in laws and regulations.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3706" w:type="dxa"/>
            <w:gridSpan w:val="34"/>
            <w:tcBorders>
              <w:bottom w:val="single" w:sz="2" w:space="0" w:color="0070CD"/>
            </w:tcBorders>
            <w:shd w:fill="CCDDF1" w:val="clear"/>
            <w:vAlign w:val="center"/>
          </w:tcPr>
          <w:p>
            <w:pPr>
              <w:pStyle w:val="TableContents"/>
              <w:bidi w:val="0"/>
              <w:spacing w:lineRule="atLeast" w:line="240" w:before="0" w:after="0"/>
              <w:jc w:val="center"/>
              <w:rPr>
                <w:b/>
                <w:color w:val="0055B7"/>
                <w:sz w:val="20"/>
              </w:rPr>
            </w:pPr>
            <w:r>
              <w:rPr>
                <w:b/>
                <w:color w:val="0055B7"/>
                <w:spacing w:val="0"/>
                <w:sz w:val="20"/>
              </w:rPr>
              <w:t>12 of 12</w:t>
            </w:r>
            <w:r>
              <w:rPr>
                <w:b/>
                <w:color w:val="0055B7"/>
                <w:sz w:val="20"/>
              </w:rPr>
              <w:t xml:space="preserve"> </w:t>
            </w:r>
          </w:p>
        </w:tc>
        <w:tc>
          <w:tcPr>
            <w:tcW w:w="155" w:type="dxa"/>
            <w:tcBorders>
              <w:bottom w:val="single" w:sz="2" w:space="0" w:color="0070CD"/>
            </w:tcBorders>
            <w:shd w:fill="CCDDF1" w:val="clear"/>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vAlign w:val="center"/>
          </w:tcPr>
          <w:p>
            <w:pPr>
              <w:pStyle w:val="TableContents"/>
              <w:bidi w:val="0"/>
              <w:spacing w:before="0" w:after="0"/>
              <w:jc w:val="center"/>
              <w:rPr/>
            </w:pPr>
            <w:r>
              <w:rPr/>
              <w:drawing>
                <wp:inline distT="0" distB="0" distL="0" distR="0">
                  <wp:extent cx="390525" cy="371475"/>
                  <wp:effectExtent l="0" t="0" r="0" b="0"/>
                  <wp:docPr id="8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1" descr=""/>
                          <pic:cNvPicPr>
                            <a:picLocks noChangeAspect="1" noChangeArrowheads="1"/>
                          </pic:cNvPicPr>
                        </pic:nvPicPr>
                        <pic:blipFill>
                          <a:blip r:embed="rId86"/>
                          <a:stretch>
                            <a:fillRect/>
                          </a:stretch>
                        </pic:blipFill>
                        <pic:spPr bwMode="auto">
                          <a:xfrm>
                            <a:off x="0" y="0"/>
                            <a:ext cx="390525" cy="371475"/>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vAlign w:val="center"/>
          </w:tcPr>
          <w:p>
            <w:pPr>
              <w:pStyle w:val="TableContents"/>
              <w:bidi w:val="0"/>
              <w:spacing w:lineRule="atLeast" w:line="180" w:before="0" w:after="0"/>
              <w:jc w:val="left"/>
              <w:rPr/>
            </w:pPr>
            <w:r>
              <w:rPr>
                <w:b/>
                <w:color w:val="0055B7"/>
                <w:spacing w:val="0"/>
              </w:rPr>
              <w:t>Brand Building</w:t>
            </w:r>
            <w:r>
              <w:rPr/>
              <w:t xml:space="preserve"> </w:t>
              <w:br/>
            </w:r>
            <w:r>
              <w:rPr>
                <w:spacing w:val="-1"/>
              </w:rPr>
              <w:t>Experience understanding interactions, impressions, and connections that customers, the public, and investors have with a brand, including the overall perception and emotional connection people have with a brand, influenced by all touchpoints and communications.</w:t>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417" w:type="dxa"/>
            <w:gridSpan w:val="13"/>
            <w:tcBorders>
              <w:bottom w:val="single" w:sz="2" w:space="0" w:color="0070CD"/>
            </w:tcBorders>
            <w:shd w:fill="CCDDF1" w:val="clear"/>
            <w:vAlign w:val="center"/>
          </w:tcPr>
          <w:p>
            <w:pPr>
              <w:pStyle w:val="TableContents"/>
              <w:bidi w:val="0"/>
              <w:spacing w:lineRule="atLeast" w:line="240" w:before="0" w:after="0"/>
              <w:jc w:val="center"/>
              <w:rPr>
                <w:b/>
                <w:color w:val="0055B7"/>
                <w:sz w:val="20"/>
              </w:rPr>
            </w:pPr>
            <w:r>
              <w:rPr>
                <w:b/>
                <w:color w:val="0055B7"/>
                <w:spacing w:val="0"/>
                <w:sz w:val="20"/>
              </w:rPr>
              <w:t>5 of 12</w:t>
            </w:r>
            <w:r>
              <w:rPr>
                <w:b/>
                <w:color w:val="0055B7"/>
                <w:sz w:val="20"/>
              </w:rPr>
              <w:t xml:space="preserve"> </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55" w:type="dxa"/>
            <w:tcBorders>
              <w:bottom w:val="single" w:sz="2" w:space="0" w:color="0070CD"/>
            </w:tcBorders>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tcMar>
              <w:bottom w:w="85" w:type="dxa"/>
            </w:tcMar>
            <w:vAlign w:val="center"/>
          </w:tcPr>
          <w:p>
            <w:pPr>
              <w:pStyle w:val="TableContents"/>
              <w:bidi w:val="0"/>
              <w:spacing w:before="0" w:after="0"/>
              <w:jc w:val="center"/>
              <w:rPr/>
            </w:pPr>
            <w:r>
              <w:rPr/>
              <w:drawing>
                <wp:inline distT="0" distB="0" distL="0" distR="0">
                  <wp:extent cx="390525" cy="390525"/>
                  <wp:effectExtent l="0" t="0" r="0" b="0"/>
                  <wp:docPr id="9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2" descr=""/>
                          <pic:cNvPicPr>
                            <a:picLocks noChangeAspect="1" noChangeArrowheads="1"/>
                          </pic:cNvPicPr>
                        </pic:nvPicPr>
                        <pic:blipFill>
                          <a:blip r:embed="rId87"/>
                          <a:stretch>
                            <a:fillRect/>
                          </a:stretch>
                        </pic:blipFill>
                        <pic:spPr bwMode="auto">
                          <a:xfrm>
                            <a:off x="0" y="0"/>
                            <a:ext cx="390525" cy="390525"/>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tcMar>
              <w:bottom w:w="37" w:type="dxa"/>
            </w:tcMar>
            <w:vAlign w:val="center"/>
          </w:tcPr>
          <w:p>
            <w:pPr>
              <w:pStyle w:val="TableContents"/>
              <w:bidi w:val="0"/>
              <w:spacing w:lineRule="atLeast" w:line="180" w:before="0" w:after="0"/>
              <w:jc w:val="left"/>
              <w:rPr/>
            </w:pPr>
            <w:r>
              <w:rPr>
                <w:spacing w:val="0"/>
              </w:rPr>
              <w:t>Mergers and Acquisitions</w:t>
            </w:r>
            <w:r>
              <w:rPr/>
              <w:t xml:space="preserve"> </w:t>
              <w:br/>
            </w:r>
            <w:r>
              <w:rPr>
                <w:b w:val="false"/>
                <w:color w:val="000000"/>
                <w:spacing w:val="-1"/>
              </w:rPr>
              <w:t>Experience evaluating, negotiating, or overseeing strategic acquisitions, divestitures, and other transactions and related integrations.</w:t>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3379" w:type="dxa"/>
            <w:gridSpan w:val="31"/>
            <w:tcBorders>
              <w:bottom w:val="single" w:sz="2" w:space="0" w:color="0070CD"/>
            </w:tcBorders>
            <w:shd w:fill="CCDDF1" w:val="clear"/>
            <w:vAlign w:val="center"/>
          </w:tcPr>
          <w:p>
            <w:pPr>
              <w:pStyle w:val="TableContents"/>
              <w:bidi w:val="0"/>
              <w:spacing w:lineRule="atLeast" w:line="240" w:before="0" w:after="0"/>
              <w:jc w:val="center"/>
              <w:rPr>
                <w:sz w:val="20"/>
              </w:rPr>
            </w:pPr>
            <w:r>
              <w:rPr>
                <w:spacing w:val="0"/>
                <w:sz w:val="20"/>
              </w:rPr>
              <w:t>11 of 12</w:t>
            </w:r>
            <w:r>
              <w:rPr>
                <w:sz w:val="20"/>
              </w:rPr>
              <w:t xml:space="preserve"> </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55" w:type="dxa"/>
            <w:tcBorders>
              <w:bottom w:val="single" w:sz="2" w:space="0" w:color="0070CD"/>
            </w:tcBorders>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vAlign w:val="center"/>
          </w:tcPr>
          <w:p>
            <w:pPr>
              <w:pStyle w:val="TableContents"/>
              <w:bidi w:val="0"/>
              <w:spacing w:before="0" w:after="0"/>
              <w:jc w:val="center"/>
              <w:rPr/>
            </w:pPr>
            <w:r>
              <w:rPr/>
              <w:drawing>
                <wp:inline distT="0" distB="0" distL="0" distR="0">
                  <wp:extent cx="342900" cy="381000"/>
                  <wp:effectExtent l="0" t="0" r="0" b="0"/>
                  <wp:docPr id="9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3" descr=""/>
                          <pic:cNvPicPr>
                            <a:picLocks noChangeAspect="1" noChangeArrowheads="1"/>
                          </pic:cNvPicPr>
                        </pic:nvPicPr>
                        <pic:blipFill>
                          <a:blip r:embed="rId88"/>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vAlign w:val="center"/>
          </w:tcPr>
          <w:p>
            <w:pPr>
              <w:pStyle w:val="TableContents"/>
              <w:bidi w:val="0"/>
              <w:spacing w:lineRule="atLeast" w:line="180" w:before="0" w:after="0"/>
              <w:jc w:val="left"/>
              <w:rPr/>
            </w:pPr>
            <w:r>
              <w:rPr>
                <w:b/>
                <w:color w:val="0055B7"/>
                <w:spacing w:val="0"/>
              </w:rPr>
              <w:t>Supply Chain</w:t>
            </w:r>
            <w:r>
              <w:rPr/>
              <w:t xml:space="preserve"> </w:t>
              <w:br/>
            </w:r>
            <w:r>
              <w:rPr>
                <w:spacing w:val="-1"/>
              </w:rPr>
              <w:t xml:space="preserve">Experience in the process of getting products from raw materials to customers, including sourcing materials, producing goods, handling logistics, and making efficient deliveries.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744" w:type="dxa"/>
            <w:gridSpan w:val="16"/>
            <w:tcBorders>
              <w:bottom w:val="single" w:sz="2" w:space="0" w:color="0070CD"/>
            </w:tcBorders>
            <w:shd w:fill="CCDDF1" w:val="clear"/>
            <w:vAlign w:val="center"/>
          </w:tcPr>
          <w:p>
            <w:pPr>
              <w:pStyle w:val="TableContents"/>
              <w:bidi w:val="0"/>
              <w:spacing w:lineRule="atLeast" w:line="240" w:before="0" w:after="0"/>
              <w:jc w:val="center"/>
              <w:rPr>
                <w:b/>
                <w:color w:val="0055B7"/>
                <w:sz w:val="20"/>
              </w:rPr>
            </w:pPr>
            <w:r>
              <w:rPr>
                <w:b/>
                <w:color w:val="0055B7"/>
                <w:spacing w:val="0"/>
                <w:sz w:val="20"/>
              </w:rPr>
              <w:t>6 of 12</w:t>
            </w:r>
            <w:r>
              <w:rPr>
                <w:b/>
                <w:color w:val="0055B7"/>
                <w:sz w:val="20"/>
              </w:rPr>
              <w:t xml:space="preserve"> </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55" w:type="dxa"/>
            <w:tcBorders>
              <w:bottom w:val="single" w:sz="2" w:space="0" w:color="0070CD"/>
            </w:tcBorders>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tcMar>
              <w:bottom w:w="85" w:type="dxa"/>
            </w:tcMar>
            <w:vAlign w:val="center"/>
          </w:tcPr>
          <w:p>
            <w:pPr>
              <w:pStyle w:val="TableContents"/>
              <w:bidi w:val="0"/>
              <w:spacing w:before="0" w:after="0"/>
              <w:jc w:val="center"/>
              <w:rPr/>
            </w:pPr>
            <w:r>
              <w:rPr/>
              <w:drawing>
                <wp:inline distT="0" distB="0" distL="0" distR="0">
                  <wp:extent cx="381000" cy="381000"/>
                  <wp:effectExtent l="0" t="0" r="0" b="0"/>
                  <wp:docPr id="9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4" descr=""/>
                          <pic:cNvPicPr>
                            <a:picLocks noChangeAspect="1" noChangeArrowheads="1"/>
                          </pic:cNvPicPr>
                        </pic:nvPicPr>
                        <pic:blipFill>
                          <a:blip r:embed="rId89"/>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tcMar>
              <w:bottom w:w="37" w:type="dxa"/>
            </w:tcMar>
            <w:vAlign w:val="center"/>
          </w:tcPr>
          <w:p>
            <w:pPr>
              <w:pStyle w:val="TableContents"/>
              <w:bidi w:val="0"/>
              <w:spacing w:lineRule="atLeast" w:line="180" w:before="0" w:after="0"/>
              <w:jc w:val="left"/>
              <w:rPr/>
            </w:pPr>
            <w:r>
              <w:rPr>
                <w:b/>
                <w:color w:val="0055B7"/>
                <w:spacing w:val="0"/>
              </w:rPr>
              <w:t>International</w:t>
            </w:r>
            <w:r>
              <w:rPr/>
              <w:t xml:space="preserve"> </w:t>
              <w:br/>
            </w:r>
            <w:r>
              <w:rPr>
                <w:spacing w:val="-1"/>
              </w:rPr>
              <w:t>Experience operating in global business markets or familiarity with culture, practices, trends, and issues outside of the United States.</w:t>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2725" w:type="dxa"/>
            <w:gridSpan w:val="25"/>
            <w:tcBorders>
              <w:bottom w:val="single" w:sz="2" w:space="0" w:color="0070CD"/>
            </w:tcBorders>
            <w:shd w:fill="CCDDF1" w:val="clear"/>
            <w:vAlign w:val="center"/>
          </w:tcPr>
          <w:p>
            <w:pPr>
              <w:pStyle w:val="TableContents"/>
              <w:bidi w:val="0"/>
              <w:spacing w:lineRule="atLeast" w:line="240" w:before="0" w:after="0"/>
              <w:jc w:val="center"/>
              <w:rPr>
                <w:b/>
                <w:color w:val="0055B7"/>
                <w:sz w:val="20"/>
              </w:rPr>
            </w:pPr>
            <w:r>
              <w:rPr>
                <w:b/>
                <w:color w:val="0055B7"/>
                <w:spacing w:val="0"/>
                <w:sz w:val="20"/>
              </w:rPr>
              <w:t>9 of 12</w:t>
            </w:r>
            <w:r>
              <w:rPr>
                <w:b/>
                <w:color w:val="0055B7"/>
                <w:sz w:val="20"/>
              </w:rPr>
              <w:t xml:space="preserve"> </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55" w:type="dxa"/>
            <w:tcBorders>
              <w:bottom w:val="single" w:sz="2" w:space="0" w:color="0070CD"/>
            </w:tcBorders>
            <w:vAlign w:val="center"/>
          </w:tcPr>
          <w:p>
            <w:pPr>
              <w:pStyle w:val="TableContents"/>
              <w:bidi w:val="0"/>
              <w:spacing w:before="0" w:after="283"/>
              <w:jc w:val="left"/>
              <w:rPr/>
            </w:pPr>
            <w:r>
              <w:rPr/>
              <w:t>​</w:t>
            </w:r>
          </w:p>
        </w:tc>
      </w:tr>
      <w:tr>
        <w:trPr/>
        <w:tc>
          <w:tcPr>
            <w:tcW w:w="124" w:type="dxa"/>
            <w:tcBorders>
              <w:bottom w:val="single" w:sz="2" w:space="0" w:color="0070CD"/>
            </w:tcBorders>
            <w:vAlign w:val="center"/>
          </w:tcPr>
          <w:p>
            <w:pPr>
              <w:pStyle w:val="TableContents"/>
              <w:bidi w:val="0"/>
              <w:spacing w:before="0" w:after="283"/>
              <w:jc w:val="left"/>
              <w:rPr/>
            </w:pPr>
            <w:r>
              <w:rPr/>
              <w:t>​</w:t>
            </w:r>
          </w:p>
        </w:tc>
        <w:tc>
          <w:tcPr>
            <w:tcW w:w="722" w:type="dxa"/>
            <w:tcBorders>
              <w:bottom w:val="single" w:sz="2" w:space="0" w:color="0070CD"/>
            </w:tcBorders>
            <w:tcMar>
              <w:bottom w:w="85" w:type="dxa"/>
            </w:tcMar>
            <w:vAlign w:val="center"/>
          </w:tcPr>
          <w:p>
            <w:pPr>
              <w:pStyle w:val="TableContents"/>
              <w:bidi w:val="0"/>
              <w:spacing w:before="0" w:after="0"/>
              <w:jc w:val="center"/>
              <w:rPr/>
            </w:pPr>
            <w:r>
              <w:rPr/>
              <w:drawing>
                <wp:inline distT="0" distB="0" distL="0" distR="0">
                  <wp:extent cx="381000" cy="495300"/>
                  <wp:effectExtent l="0" t="0" r="0" b="0"/>
                  <wp:docPr id="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5" descr=""/>
                          <pic:cNvPicPr>
                            <a:picLocks noChangeAspect="1" noChangeArrowheads="1"/>
                          </pic:cNvPicPr>
                        </pic:nvPicPr>
                        <pic:blipFill>
                          <a:blip r:embed="rId90"/>
                          <a:stretch>
                            <a:fillRect/>
                          </a:stretch>
                        </pic:blipFill>
                        <pic:spPr bwMode="auto">
                          <a:xfrm>
                            <a:off x="0" y="0"/>
                            <a:ext cx="381000" cy="495300"/>
                          </a:xfrm>
                          <a:prstGeom prst="rect">
                            <a:avLst/>
                          </a:prstGeom>
                        </pic:spPr>
                      </pic:pic>
                    </a:graphicData>
                  </a:graphic>
                </wp:inline>
              </w:drawing>
            </w:r>
            <w:r>
              <w:rPr/>
              <w:t xml:space="preserve">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4342" w:type="dxa"/>
            <w:tcBorders>
              <w:bottom w:val="single" w:sz="2" w:space="0" w:color="0070CD"/>
            </w:tcBorders>
            <w:tcMar>
              <w:bottom w:w="37" w:type="dxa"/>
            </w:tcMar>
            <w:vAlign w:val="center"/>
          </w:tcPr>
          <w:p>
            <w:pPr>
              <w:pStyle w:val="TableContents"/>
              <w:bidi w:val="0"/>
              <w:spacing w:lineRule="atLeast" w:line="180" w:before="0" w:after="0"/>
              <w:jc w:val="left"/>
              <w:rPr>
                <w:b w:val="false"/>
                <w:color w:val="000000"/>
              </w:rPr>
            </w:pPr>
            <w:r>
              <w:rPr>
                <w:b/>
                <w:color w:val="0055B7"/>
                <w:spacing w:val="0"/>
              </w:rPr>
              <w:t>Sustainability and Human Capital</w:t>
            </w:r>
            <w:r>
              <w:rPr>
                <w:b w:val="false"/>
                <w:color w:val="000000"/>
              </w:rPr>
              <w:t xml:space="preserve"> </w:t>
              <w:br/>
            </w:r>
            <w:r>
              <w:rPr>
                <w:b w:val="false"/>
                <w:color w:val="000000"/>
                <w:spacing w:val="-1"/>
              </w:rPr>
              <w:t xml:space="preserve">Experience in sustainability, including reducing carbon footprints, managing waste, and conserving natural resources, or in human capital management and building relationships with diverse employees, suppliers, customers, and communities. </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744" w:type="dxa"/>
            <w:gridSpan w:val="16"/>
            <w:tcBorders>
              <w:bottom w:val="single" w:sz="2" w:space="0" w:color="0070CD"/>
            </w:tcBorders>
            <w:shd w:fill="CCDDF1" w:val="clear"/>
            <w:vAlign w:val="center"/>
          </w:tcPr>
          <w:p>
            <w:pPr>
              <w:pStyle w:val="TableContents"/>
              <w:bidi w:val="0"/>
              <w:spacing w:lineRule="atLeast" w:line="240" w:before="0" w:after="0"/>
              <w:jc w:val="center"/>
              <w:rPr>
                <w:sz w:val="20"/>
              </w:rPr>
            </w:pPr>
            <w:r>
              <w:rPr>
                <w:spacing w:val="0"/>
                <w:sz w:val="20"/>
              </w:rPr>
              <w:t>6 of 12</w:t>
            </w:r>
            <w:r>
              <w:rPr>
                <w:sz w:val="20"/>
              </w:rPr>
              <w:t xml:space="preserve"> </w:t>
            </w:r>
          </w:p>
        </w:tc>
        <w:tc>
          <w:tcPr>
            <w:tcW w:w="109" w:type="dxa"/>
            <w:tcBorders>
              <w:bottom w:val="single" w:sz="2" w:space="0" w:color="0070CD"/>
            </w:tcBorders>
            <w:shd w:fill="CCDDF1" w:val="clear"/>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09" w:type="dxa"/>
            <w:tcBorders>
              <w:bottom w:val="single" w:sz="2" w:space="0" w:color="0070CD"/>
            </w:tcBorders>
            <w:vAlign w:val="center"/>
          </w:tcPr>
          <w:p>
            <w:pPr>
              <w:pStyle w:val="TableContents"/>
              <w:bidi w:val="0"/>
              <w:spacing w:before="0" w:after="283"/>
              <w:jc w:val="left"/>
              <w:rPr/>
            </w:pPr>
            <w:r>
              <w:rPr/>
              <w:t>​</w:t>
            </w:r>
          </w:p>
        </w:tc>
        <w:tc>
          <w:tcPr>
            <w:tcW w:w="155" w:type="dxa"/>
            <w:tcBorders>
              <w:bottom w:val="single" w:sz="2" w:space="0" w:color="0070CD"/>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836" w:type="dxa"/>
        <w:jc w:val="left"/>
        <w:tblInd w:w="720" w:type="dxa"/>
        <w:tblLayout w:type="fixed"/>
        <w:tblCellMar>
          <w:top w:w="0" w:type="dxa"/>
          <w:left w:w="0" w:type="dxa"/>
          <w:bottom w:w="0" w:type="dxa"/>
          <w:right w:w="0" w:type="dxa"/>
        </w:tblCellMar>
      </w:tblPr>
      <w:tblGrid>
        <w:gridCol w:w="124"/>
        <w:gridCol w:w="1255"/>
        <w:gridCol w:w="109"/>
        <w:gridCol w:w="109"/>
        <w:gridCol w:w="61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9</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283"/>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Director Nominee Biographies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director nominee biographies summarize the key experience and expertise the director nominees bring to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4">
                <wp:simplePos x="0" y="0"/>
                <wp:positionH relativeFrom="column">
                  <wp:align>left</wp:align>
                </wp:positionH>
                <wp:positionV relativeFrom="line">
                  <wp:posOffset>635</wp:posOffset>
                </wp:positionV>
                <wp:extent cx="1358900" cy="3854450"/>
                <wp:effectExtent l="0" t="0" r="0" b="0"/>
                <wp:wrapSquare wrapText="right"/>
                <wp:docPr id="94" name="Frame5"/>
                <a:graphic xmlns:a="http://schemas.openxmlformats.org/drawingml/2006/main">
                  <a:graphicData uri="http://schemas.microsoft.com/office/word/2010/wordprocessingShape">
                    <wps:wsp>
                      <wps:cNvSpPr txBox="1"/>
                      <wps:spPr>
                        <a:xfrm>
                          <a:off x="0" y="0"/>
                          <a:ext cx="1358900" cy="3854450"/>
                        </a:xfrm>
                        <a:prstGeom prst="rect"/>
                        <a:solidFill>
                          <a:srgbClr val="FFFFFF"/>
                        </a:solidFill>
                      </wps:spPr>
                      <wps:txb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9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6" descr=""/>
                                                <pic:cNvPicPr>
                                                  <a:picLocks noChangeAspect="1" noChangeArrowheads="1"/>
                                                </pic:cNvPicPr>
                                              </pic:nvPicPr>
                                              <pic:blipFill>
                                                <a:blip r:embed="rId91"/>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64</w:t>
                                  </w:r>
                                  <w:r>
                                    <w:rPr>
                                      <w:b/>
                                    </w:rPr>
                                    <w:t xml:space="preserve"> </w:t>
                                    <w:br/>
                                  </w:r>
                                  <w:r>
                                    <w:rPr>
                                      <w:b/>
                                      <w:spacing w:val="0"/>
                                    </w:rPr>
                                    <w:t>Director Since:</w:t>
                                  </w:r>
                                  <w:r>
                                    <w:rPr>
                                      <w:b/>
                                      <w:spacing w:val="-1"/>
                                    </w:rPr>
                                    <w:t xml:space="preserve"> </w:t>
                                  </w:r>
                                  <w:r>
                                    <w:rPr>
                                      <w:b w:val="false"/>
                                      <w:spacing w:val="-1"/>
                                    </w:rPr>
                                    <w:t>1985</w:t>
                                  </w:r>
                                  <w:r>
                                    <w:rPr>
                                      <w:b/>
                                    </w:rPr>
                                    <w:t xml:space="preserve"> </w:t>
                                    <w:br/>
                                  </w:r>
                                  <w:r>
                                    <w:rPr>
                                      <w:b/>
                                      <w:spacing w:val="0"/>
                                    </w:rPr>
                                    <w:t>Chair Since:</w:t>
                                  </w:r>
                                  <w:r>
                                    <w:rPr>
                                      <w:b/>
                                      <w:spacing w:val="-1"/>
                                    </w:rPr>
                                    <w:t xml:space="preserve"> </w:t>
                                  </w:r>
                                  <w:r>
                                    <w:rPr>
                                      <w:b w:val="false"/>
                                      <w:spacing w:val="-1"/>
                                    </w:rPr>
                                    <w:t>2018</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pPr>
                                  <w:r>
                                    <w:rPr>
                                      <w:spacing w:val="-1"/>
                                    </w:rPr>
                                    <w:t>Risk and Compliance Committee</w:t>
                                  </w:r>
                                  <w:r>
                                    <w:rPr/>
                                    <w:t xml:space="preserv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55B7"/>
                                      <w:sz w:val="20"/>
                                    </w:rPr>
                                    <w:t xml:space="preserve"> </w:t>
                                  </w:r>
                                </w:p>
                                <w:p>
                                  <w:pPr>
                                    <w:pStyle w:val="TableContents"/>
                                    <w:bidi w:val="0"/>
                                    <w:spacing w:lineRule="atLeast" w:line="225" w:before="45" w:after="283"/>
                                    <w:ind w:left="80" w:right="0" w:hanging="0"/>
                                    <w:jc w:val="left"/>
                                    <w:rPr/>
                                  </w:pPr>
                                  <w:r>
                                    <w:rPr>
                                      <w:spacing w:val="-1"/>
                                    </w:rPr>
                                    <w:t>None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03.5pt;mso-wrap-distance-left:36pt;mso-wrap-distance-right:0pt;mso-wrap-distance-top:0pt;mso-wrap-distance-bottom:0pt;margin-top:0pt;mso-position-vertical:top;mso-position-vertical-relative:text;margin-left:36pt;mso-position-horizontal:left;mso-position-horizontal-relative:text">
                <v:textbo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9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6" descr=""/>
                                          <pic:cNvPicPr>
                                            <a:picLocks noChangeAspect="1" noChangeArrowheads="1"/>
                                          </pic:cNvPicPr>
                                        </pic:nvPicPr>
                                        <pic:blipFill>
                                          <a:blip r:embed="rId92"/>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64</w:t>
                            </w:r>
                            <w:r>
                              <w:rPr>
                                <w:b/>
                              </w:rPr>
                              <w:t xml:space="preserve"> </w:t>
                              <w:br/>
                            </w:r>
                            <w:r>
                              <w:rPr>
                                <w:b/>
                                <w:spacing w:val="0"/>
                              </w:rPr>
                              <w:t>Director Since:</w:t>
                            </w:r>
                            <w:r>
                              <w:rPr>
                                <w:b/>
                                <w:spacing w:val="-1"/>
                              </w:rPr>
                              <w:t xml:space="preserve"> </w:t>
                            </w:r>
                            <w:r>
                              <w:rPr>
                                <w:b w:val="false"/>
                                <w:spacing w:val="-1"/>
                              </w:rPr>
                              <w:t>1985</w:t>
                            </w:r>
                            <w:r>
                              <w:rPr>
                                <w:b/>
                              </w:rPr>
                              <w:t xml:space="preserve"> </w:t>
                              <w:br/>
                            </w:r>
                            <w:r>
                              <w:rPr>
                                <w:b/>
                                <w:spacing w:val="0"/>
                              </w:rPr>
                              <w:t>Chair Since:</w:t>
                            </w:r>
                            <w:r>
                              <w:rPr>
                                <w:b/>
                                <w:spacing w:val="-1"/>
                              </w:rPr>
                              <w:t xml:space="preserve"> </w:t>
                            </w:r>
                            <w:r>
                              <w:rPr>
                                <w:b w:val="false"/>
                                <w:spacing w:val="-1"/>
                              </w:rPr>
                              <w:t>2018</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pPr>
                            <w:r>
                              <w:rPr>
                                <w:spacing w:val="-1"/>
                              </w:rPr>
                              <w:t>Risk and Compliance Committee</w:t>
                            </w:r>
                            <w:r>
                              <w:rPr/>
                              <w:t xml:space="preserv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55B7"/>
                                <w:sz w:val="20"/>
                              </w:rPr>
                              <w:t xml:space="preserve"> </w:t>
                            </w:r>
                          </w:p>
                          <w:p>
                            <w:pPr>
                              <w:pStyle w:val="TableContents"/>
                              <w:bidi w:val="0"/>
                              <w:spacing w:lineRule="atLeast" w:line="225" w:before="45" w:after="283"/>
                              <w:ind w:left="80" w:right="0" w:hanging="0"/>
                              <w:jc w:val="left"/>
                              <w:rPr/>
                            </w:pPr>
                            <w:r>
                              <w:rPr>
                                <w:spacing w:val="-1"/>
                              </w:rPr>
                              <w:t>None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75">
                <wp:simplePos x="0" y="0"/>
                <wp:positionH relativeFrom="column">
                  <wp:align>left</wp:align>
                </wp:positionH>
                <wp:positionV relativeFrom="line">
                  <wp:posOffset>635</wp:posOffset>
                </wp:positionV>
                <wp:extent cx="5118100" cy="4535170"/>
                <wp:effectExtent l="0" t="0" r="0" b="0"/>
                <wp:wrapSquare wrapText="right"/>
                <wp:docPr id="97" name="Frame6"/>
                <a:graphic xmlns:a="http://schemas.openxmlformats.org/drawingml/2006/main">
                  <a:graphicData uri="http://schemas.microsoft.com/office/word/2010/wordprocessingShape">
                    <wps:wsp>
                      <wps:cNvSpPr txBox="1"/>
                      <wps:spPr>
                        <a:xfrm>
                          <a:off x="0" y="0"/>
                          <a:ext cx="5118100" cy="453517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b/>
                                      <w:color w:val="0055B7"/>
                                      <w:sz w:val="24"/>
                                    </w:rPr>
                                  </w:pPr>
                                  <w:r>
                                    <w:rPr>
                                      <w:b/>
                                      <w:color w:val="0055B7"/>
                                      <w:spacing w:val="-1"/>
                                      <w:sz w:val="24"/>
                                    </w:rPr>
                                    <w:t>Charles N. Mills</w:t>
                                  </w:r>
                                  <w:r>
                                    <w:rPr>
                                      <w:b/>
                                      <w:color w:val="0055B7"/>
                                      <w:sz w:val="24"/>
                                    </w:rPr>
                                    <w:t xml:space="preserve"> </w:t>
                                  </w:r>
                                </w:p>
                                <w:p>
                                  <w:pPr>
                                    <w:pStyle w:val="TableContents"/>
                                    <w:bidi w:val="0"/>
                                    <w:spacing w:lineRule="atLeast" w:line="245" w:before="45" w:after="283"/>
                                    <w:jc w:val="left"/>
                                    <w:rPr>
                                      <w:b/>
                                      <w:sz w:val="20"/>
                                    </w:rPr>
                                  </w:pPr>
                                  <w:r>
                                    <w:rPr>
                                      <w:b/>
                                      <w:spacing w:val="0"/>
                                      <w:sz w:val="20"/>
                                    </w:rPr>
                                    <w:t>Chair</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000000"/>
                                      <w:sz w:val="20"/>
                                    </w:rPr>
                                    <w:t>​</w:t>
                                  </w:r>
                                  <w:r>
                                    <w:rPr>
                                      <w:b/>
                                      <w:color w:val="3E8DDD"/>
                                      <w:sz w:val="20"/>
                                    </w:rPr>
                                    <w:t xml:space="preserve"> </w:t>
                                  </w:r>
                                </w:p>
                                <w:p>
                                  <w:pPr>
                                    <w:pStyle w:val="TableContents"/>
                                    <w:bidi w:val="0"/>
                                    <w:spacing w:lineRule="atLeast" w:line="225" w:before="165" w:after="283"/>
                                    <w:jc w:val="left"/>
                                    <w:rPr>
                                      <w:spacing w:val="-1"/>
                                    </w:rPr>
                                  </w:pPr>
                                  <w:r>
                                    <w:rPr>
                                      <w:spacing w:val="-1"/>
                                    </w:rPr>
                                    <w:t xml:space="preserve">Mr. C. Mills brings to the Board extensive industry knowledge, management expertise, and business experience, particularly from his former role as our Chief Executive Officer.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Medline</w:t>
                                  </w:r>
                                  <w:r>
                                    <w:rPr>
                                      <w:b/>
                                    </w:rPr>
                                    <w:t xml:space="preserve"> </w:t>
                                  </w:r>
                                </w:p>
                                <w:p>
                                  <w:pPr>
                                    <w:pStyle w:val="TableContents"/>
                                    <w:bidi w:val="0"/>
                                    <w:spacing w:lineRule="atLeast" w:line="180" w:before="165" w:after="0"/>
                                    <w:ind w:left="680" w:right="0" w:hanging="0"/>
                                    <w:jc w:val="left"/>
                                    <w:rPr/>
                                  </w:pPr>
                                  <w:r>
                                    <w:rPr>
                                      <w:spacing w:val="-1"/>
                                    </w:rPr>
                                    <w:t>Chief Executive Officer (1997 to 2023)</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spacing w:val="-1"/>
                                    </w:rPr>
                                  </w:pPr>
                                  <w:r>
                                    <w:rPr>
                                      <w:spacing w:val="-1"/>
                                    </w:rPr>
                                    <w:t xml:space="preserve">Various sales positions (1986 to 1997)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p>
                                  <w:pPr>
                                    <w:pStyle w:val="TableContents"/>
                                    <w:bidi w:val="0"/>
                                    <w:spacing w:lineRule="atLeast" w:line="180" w:before="165" w:after="0"/>
                                    <w:ind w:left="680" w:right="0" w:hanging="0"/>
                                    <w:jc w:val="left"/>
                                    <w:rPr/>
                                  </w:pPr>
                                  <w:r>
                                    <w:rPr>
                                      <w:spacing w:val="-1"/>
                                    </w:rPr>
                                    <w:t>Northwestern Memorial Hospital (since 2016)</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pt;height:357.1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b/>
                                <w:color w:val="0055B7"/>
                                <w:sz w:val="24"/>
                              </w:rPr>
                            </w:pPr>
                            <w:r>
                              <w:rPr>
                                <w:b/>
                                <w:color w:val="0055B7"/>
                                <w:spacing w:val="-1"/>
                                <w:sz w:val="24"/>
                              </w:rPr>
                              <w:t>Charles N. Mills</w:t>
                            </w:r>
                            <w:r>
                              <w:rPr>
                                <w:b/>
                                <w:color w:val="0055B7"/>
                                <w:sz w:val="24"/>
                              </w:rPr>
                              <w:t xml:space="preserve"> </w:t>
                            </w:r>
                          </w:p>
                          <w:p>
                            <w:pPr>
                              <w:pStyle w:val="TableContents"/>
                              <w:bidi w:val="0"/>
                              <w:spacing w:lineRule="atLeast" w:line="245" w:before="45" w:after="283"/>
                              <w:jc w:val="left"/>
                              <w:rPr>
                                <w:b/>
                                <w:sz w:val="20"/>
                              </w:rPr>
                            </w:pPr>
                            <w:r>
                              <w:rPr>
                                <w:b/>
                                <w:spacing w:val="0"/>
                                <w:sz w:val="20"/>
                              </w:rPr>
                              <w:t>Chair</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000000"/>
                                <w:sz w:val="20"/>
                              </w:rPr>
                              <w:t>​</w:t>
                            </w:r>
                            <w:r>
                              <w:rPr>
                                <w:b/>
                                <w:color w:val="3E8DDD"/>
                                <w:sz w:val="20"/>
                              </w:rPr>
                              <w:t xml:space="preserve"> </w:t>
                            </w:r>
                          </w:p>
                          <w:p>
                            <w:pPr>
                              <w:pStyle w:val="TableContents"/>
                              <w:bidi w:val="0"/>
                              <w:spacing w:lineRule="atLeast" w:line="225" w:before="165" w:after="283"/>
                              <w:jc w:val="left"/>
                              <w:rPr>
                                <w:spacing w:val="-1"/>
                              </w:rPr>
                            </w:pPr>
                            <w:r>
                              <w:rPr>
                                <w:spacing w:val="-1"/>
                              </w:rPr>
                              <w:t xml:space="preserve">Mr. C. Mills brings to the Board extensive industry knowledge, management expertise, and business experience, particularly from his former role as our Chief Executive Officer.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Medline</w:t>
                            </w:r>
                            <w:r>
                              <w:rPr>
                                <w:b/>
                              </w:rPr>
                              <w:t xml:space="preserve"> </w:t>
                            </w:r>
                          </w:p>
                          <w:p>
                            <w:pPr>
                              <w:pStyle w:val="TableContents"/>
                              <w:bidi w:val="0"/>
                              <w:spacing w:lineRule="atLeast" w:line="180" w:before="165" w:after="0"/>
                              <w:ind w:left="680" w:right="0" w:hanging="0"/>
                              <w:jc w:val="left"/>
                              <w:rPr/>
                            </w:pPr>
                            <w:r>
                              <w:rPr>
                                <w:spacing w:val="-1"/>
                              </w:rPr>
                              <w:t>Chief Executive Officer (1997 to 2023)</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spacing w:val="-1"/>
                              </w:rPr>
                            </w:pPr>
                            <w:r>
                              <w:rPr>
                                <w:spacing w:val="-1"/>
                              </w:rPr>
                              <w:t xml:space="preserve">Various sales positions (1986 to 1997)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p>
                            <w:pPr>
                              <w:pStyle w:val="TableContents"/>
                              <w:bidi w:val="0"/>
                              <w:spacing w:lineRule="atLeast" w:line="180" w:before="165" w:after="0"/>
                              <w:ind w:left="680" w:right="0" w:hanging="0"/>
                              <w:jc w:val="left"/>
                              <w:rPr/>
                            </w:pPr>
                            <w:r>
                              <w:rPr>
                                <w:spacing w:val="-1"/>
                              </w:rPr>
                              <w:t>Northwestern Memorial Hospital (since 2016)</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4775" distB="0" distL="228600" distR="0" simplePos="0" locked="0" layoutInCell="1" allowOverlap="1" relativeHeight="176">
                <wp:simplePos x="0" y="0"/>
                <wp:positionH relativeFrom="column">
                  <wp:align>left</wp:align>
                </wp:positionH>
                <wp:positionV relativeFrom="line">
                  <wp:align>top</wp:align>
                </wp:positionV>
                <wp:extent cx="203200" cy="350520"/>
                <wp:effectExtent l="0" t="0" r="0" b="0"/>
                <wp:wrapSquare wrapText="right"/>
                <wp:docPr id="98" name="Frame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177">
                <wp:simplePos x="0" y="0"/>
                <wp:positionH relativeFrom="column">
                  <wp:align>left</wp:align>
                </wp:positionH>
                <wp:positionV relativeFrom="line">
                  <wp:align>top</wp:align>
                </wp:positionV>
                <wp:extent cx="203200" cy="350520"/>
                <wp:effectExtent l="0" t="0" r="0" b="0"/>
                <wp:wrapSquare wrapText="right"/>
                <wp:docPr id="99" name="Frame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04775" distB="0" distL="228600" distR="0" simplePos="0" locked="0" layoutInCell="1" allowOverlap="1" relativeHeight="178">
                <wp:simplePos x="0" y="0"/>
                <wp:positionH relativeFrom="column">
                  <wp:align>left</wp:align>
                </wp:positionH>
                <wp:positionV relativeFrom="line">
                  <wp:align>top</wp:align>
                </wp:positionV>
                <wp:extent cx="203200" cy="350520"/>
                <wp:effectExtent l="0" t="0" r="0" b="0"/>
                <wp:wrapSquare wrapText="right"/>
                <wp:docPr id="100" name="Frame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142" w:before="272" w:after="283"/>
        <w:ind w:left="720" w:right="0" w:hanging="0"/>
        <w:jc w:val="left"/>
        <w:rPr>
          <w:caps w:val="false"/>
          <w:smallCaps w:val="false"/>
          <w:color w:val="000000"/>
        </w:rPr>
      </w:pPr>
      <w:r>
        <w:rPr>
          <w:caps w:val="false"/>
          <w:smallCaps w:val="false"/>
          <w:color w:val="000000"/>
          <w:spacing w:val="0"/>
        </w:rPr>
        <w:t>   </w:t>
      </w:r>
      <w:r>
        <w:rPr>
          <w:caps w:val="false"/>
          <w:smallCaps w:val="false"/>
          <w:color w:val="000000"/>
          <w:spacing w:val="1"/>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24">
                <wp:simplePos x="0" y="0"/>
                <wp:positionH relativeFrom="column">
                  <wp:align>left</wp:align>
                </wp:positionH>
                <wp:positionV relativeFrom="line">
                  <wp:posOffset>635</wp:posOffset>
                </wp:positionV>
                <wp:extent cx="1358900" cy="4034155"/>
                <wp:effectExtent l="0" t="0" r="0" b="0"/>
                <wp:wrapSquare wrapText="right"/>
                <wp:docPr id="101" name="Frame10"/>
                <a:graphic xmlns:a="http://schemas.openxmlformats.org/drawingml/2006/main">
                  <a:graphicData uri="http://schemas.microsoft.com/office/word/2010/wordprocessingShape">
                    <wps:wsp>
                      <wps:cNvSpPr txBox="1"/>
                      <wps:spPr>
                        <a:xfrm>
                          <a:off x="0" y="0"/>
                          <a:ext cx="1358900" cy="4034155"/>
                        </a:xfrm>
                        <a:prstGeom prst="rect"/>
                        <a:solidFill>
                          <a:srgbClr val="FFFFFF"/>
                        </a:solidFill>
                      </wps:spPr>
                      <wps:txb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0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7" descr=""/>
                                                <pic:cNvPicPr>
                                                  <a:picLocks noChangeAspect="1" noChangeArrowheads="1"/>
                                                </pic:cNvPicPr>
                                              </pic:nvPicPr>
                                              <pic:blipFill>
                                                <a:blip r:embed="rId93"/>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 xml:space="preserve">55 </w:t>
                                  </w:r>
                                  <w:r>
                                    <w:rPr>
                                      <w:b/>
                                    </w:rPr>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pPr>
                                  <w:r>
                                    <w:rPr>
                                      <w:spacing w:val="-1"/>
                                    </w:rPr>
                                    <w:t>None</w:t>
                                  </w:r>
                                  <w:r>
                                    <w:rPr/>
                                    <w:t xml:space="preserv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1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17.65pt;mso-wrap-distance-left:36pt;mso-wrap-distance-right:0pt;mso-wrap-distance-top:0pt;mso-wrap-distance-bottom:0pt;margin-top:0pt;mso-position-vertical:top;mso-position-vertical-relative:text;margin-left:36pt;mso-position-horizontal:left;mso-position-horizontal-relative:text">
                <v:textbo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0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7" descr=""/>
                                          <pic:cNvPicPr>
                                            <a:picLocks noChangeAspect="1" noChangeArrowheads="1"/>
                                          </pic:cNvPicPr>
                                        </pic:nvPicPr>
                                        <pic:blipFill>
                                          <a:blip r:embed="rId94"/>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 xml:space="preserve">55 </w:t>
                            </w:r>
                            <w:r>
                              <w:rPr>
                                <w:b/>
                              </w:rPr>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pPr>
                            <w:r>
                              <w:rPr>
                                <w:spacing w:val="-1"/>
                              </w:rPr>
                              <w:t>None</w:t>
                            </w:r>
                            <w:r>
                              <w:rPr/>
                              <w:t xml:space="preserv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1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79">
                <wp:simplePos x="0" y="0"/>
                <wp:positionH relativeFrom="column">
                  <wp:align>left</wp:align>
                </wp:positionH>
                <wp:positionV relativeFrom="line">
                  <wp:posOffset>635</wp:posOffset>
                </wp:positionV>
                <wp:extent cx="5118100" cy="5882640"/>
                <wp:effectExtent l="0" t="0" r="0" b="0"/>
                <wp:wrapSquare wrapText="right"/>
                <wp:docPr id="104" name="Frame11"/>
                <a:graphic xmlns:a="http://schemas.openxmlformats.org/drawingml/2006/main">
                  <a:graphicData uri="http://schemas.microsoft.com/office/word/2010/wordprocessingShape">
                    <wps:wsp>
                      <wps:cNvSpPr txBox="1"/>
                      <wps:spPr>
                        <a:xfrm>
                          <a:off x="0" y="0"/>
                          <a:ext cx="5118100" cy="58826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4834"/>
                              <w:gridCol w:w="120"/>
                              <w:gridCol w:w="120"/>
                              <w:gridCol w:w="4851"/>
                              <w:gridCol w:w="156"/>
                            </w:tblGrid>
                            <w:tr>
                              <w:trPr/>
                              <w:tc>
                                <w:tcPr>
                                  <w:tcW w:w="124" w:type="dxa"/>
                                  <w:tcBorders/>
                                  <w:vAlign w:val="center"/>
                                </w:tcPr>
                                <w:p>
                                  <w:pPr>
                                    <w:pStyle w:val="TableContents"/>
                                    <w:bidi w:val="0"/>
                                    <w:spacing w:before="0" w:after="283"/>
                                    <w:jc w:val="left"/>
                                    <w:rPr/>
                                  </w:pPr>
                                  <w:r>
                                    <w:rPr/>
                                    <w:t>​</w:t>
                                  </w:r>
                                </w:p>
                              </w:tc>
                              <w:tc>
                                <w:tcPr>
                                  <w:tcW w:w="9925" w:type="dxa"/>
                                  <w:gridSpan w:val="4"/>
                                  <w:tcBorders/>
                                  <w:vAlign w:val="center"/>
                                </w:tcPr>
                                <w:p>
                                  <w:pPr>
                                    <w:pStyle w:val="TableContents"/>
                                    <w:bidi w:val="0"/>
                                    <w:spacing w:before="0" w:after="0"/>
                                    <w:jc w:val="left"/>
                                    <w:rPr>
                                      <w:b/>
                                      <w:color w:val="0055B7"/>
                                      <w:sz w:val="24"/>
                                    </w:rPr>
                                  </w:pPr>
                                  <w:r>
                                    <w:rPr>
                                      <w:b/>
                                      <w:color w:val="0055B7"/>
                                      <w:spacing w:val="-1"/>
                                      <w:sz w:val="24"/>
                                    </w:rPr>
                                    <w:t>Joseph P. Baratta</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000000"/>
                                      <w:sz w:val="20"/>
                                    </w:rPr>
                                    <w:t>​</w:t>
                                  </w:r>
                                  <w:r>
                                    <w:rPr>
                                      <w:b/>
                                      <w:color w:val="3E8DDD"/>
                                      <w:sz w:val="20"/>
                                    </w:rPr>
                                    <w:t xml:space="preserve"> </w:t>
                                  </w:r>
                                </w:p>
                                <w:p>
                                  <w:pPr>
                                    <w:pStyle w:val="TableContents"/>
                                    <w:bidi w:val="0"/>
                                    <w:spacing w:lineRule="atLeast" w:line="225" w:before="165" w:after="283"/>
                                    <w:jc w:val="left"/>
                                    <w:rPr>
                                      <w:spacing w:val="-1"/>
                                    </w:rPr>
                                  </w:pPr>
                                  <w:r>
                                    <w:rPr>
                                      <w:spacing w:val="-1"/>
                                    </w:rPr>
                                    <w:t xml:space="preserve">Mr. Baratta brings to the Board extensive financial, management, and investment experience from his involvement at Blackstone Inc. (“Blackstone”), including as the Global Head of Private Equity, and his service on the boards of various companies across multiple sectors.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Blackstone</w:t>
                                  </w:r>
                                  <w:r>
                                    <w:rPr>
                                      <w:b w:val="false"/>
                                      <w:spacing w:val="-1"/>
                                    </w:rPr>
                                    <w:t>, an alternative asset manager</w:t>
                                  </w:r>
                                  <w:r>
                                    <w:rPr>
                                      <w:b/>
                                    </w:rPr>
                                    <w:t xml:space="preserve"> </w:t>
                                  </w:r>
                                </w:p>
                                <w:p>
                                  <w:pPr>
                                    <w:pStyle w:val="TableContents"/>
                                    <w:bidi w:val="0"/>
                                    <w:spacing w:lineRule="atLeast" w:line="180" w:before="165" w:after="0"/>
                                    <w:ind w:left="680" w:right="0" w:hanging="0"/>
                                    <w:jc w:val="left"/>
                                    <w:rPr/>
                                  </w:pPr>
                                  <w:r>
                                    <w:rPr>
                                      <w:spacing w:val="-1"/>
                                    </w:rPr>
                                    <w:t>Global Head of Private Equity (since 2012)</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Various positions (1998 to 2012)</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000000"/>
                                      <w:sz w:val="20"/>
                                    </w:rPr>
                                    <w:t>​</w:t>
                                  </w:r>
                                  <w:r>
                                    <w:rPr>
                                      <w:b/>
                                      <w:color w:val="3E8DDD"/>
                                      <w:sz w:val="20"/>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34" w:type="dxa"/>
                                  <w:tcBorders/>
                                  <w:vAlign w:val="center"/>
                                </w:tcPr>
                                <w:p>
                                  <w:pPr>
                                    <w:pStyle w:val="TableContents"/>
                                    <w:bidi w:val="0"/>
                                    <w:spacing w:lineRule="atLeast" w:line="180" w:before="0" w:after="0"/>
                                    <w:ind w:left="680" w:right="0" w:hanging="0"/>
                                    <w:jc w:val="left"/>
                                    <w:rPr/>
                                  </w:pPr>
                                  <w:r>
                                    <w:rPr>
                                      <w:b/>
                                      <w:spacing w:val="0"/>
                                    </w:rPr>
                                    <w:t>Blackstone</w:t>
                                  </w:r>
                                  <w:r>
                                    <w:rPr>
                                      <w:spacing w:val="-1"/>
                                    </w:rPr>
                                    <w:t xml:space="preserve"> (since 2020)</w:t>
                                  </w:r>
                                  <w:r>
                                    <w:rPr>
                                      <w:spacing w:val="-1"/>
                                      <w:szCs w:val="11"/>
                                    </w:rPr>
                                    <w:t>﻿♦</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Merlin Entertainments Group</w:t>
                                  </w:r>
                                  <w:r>
                                    <w:rPr>
                                      <w:spacing w:val="-1"/>
                                    </w:rPr>
                                    <w:t xml:space="preserve">, a location-based entertainment company (since 2005) </w:t>
                                  </w:r>
                                </w:p>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4851" w:type="dxa"/>
                                  <w:tcBorders/>
                                  <w:vAlign w:val="center"/>
                                </w:tcPr>
                                <w:p>
                                  <w:pPr>
                                    <w:pStyle w:val="TableContents"/>
                                    <w:bidi w:val="0"/>
                                    <w:spacing w:lineRule="atLeast" w:line="225" w:before="0" w:after="0"/>
                                    <w:ind w:left="320" w:right="0" w:hanging="0"/>
                                    <w:jc w:val="left"/>
                                    <w:rPr/>
                                  </w:pPr>
                                  <w:r>
                                    <w:rPr>
                                      <w:spacing w:val="-1"/>
                                    </w:rPr>
                                    <w:t>Various other portfolio companies of Blackstone in media, finance, and sustainability (since 2017)</w:t>
                                  </w:r>
                                  <w:r>
                                    <w:rPr/>
                                    <w:t xml:space="preserve"> </w: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00" w:before="160" w:after="0"/>
                              <w:ind w:left="220" w:right="0" w:hanging="0"/>
                              <w:jc w:val="left"/>
                              <w:rPr>
                                <w:sz w:val="16"/>
                              </w:rPr>
                            </w:pPr>
                            <w:r>
                              <w:rPr>
                                <w:spacing w:val="-1"/>
                                <w:sz w:val="16"/>
                              </w:rPr>
                              <w:t>current public company board</w:t>
                            </w:r>
                            <w:r>
                              <w:rPr>
                                <w:sz w:val="16"/>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403pt;height:463.2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4834"/>
                        <w:gridCol w:w="120"/>
                        <w:gridCol w:w="120"/>
                        <w:gridCol w:w="4851"/>
                        <w:gridCol w:w="156"/>
                      </w:tblGrid>
                      <w:tr>
                        <w:trPr/>
                        <w:tc>
                          <w:tcPr>
                            <w:tcW w:w="124" w:type="dxa"/>
                            <w:tcBorders/>
                            <w:vAlign w:val="center"/>
                          </w:tcPr>
                          <w:p>
                            <w:pPr>
                              <w:pStyle w:val="TableContents"/>
                              <w:bidi w:val="0"/>
                              <w:spacing w:before="0" w:after="283"/>
                              <w:jc w:val="left"/>
                              <w:rPr/>
                            </w:pPr>
                            <w:r>
                              <w:rPr/>
                              <w:t>​</w:t>
                            </w:r>
                          </w:p>
                        </w:tc>
                        <w:tc>
                          <w:tcPr>
                            <w:tcW w:w="9925" w:type="dxa"/>
                            <w:gridSpan w:val="4"/>
                            <w:tcBorders/>
                            <w:vAlign w:val="center"/>
                          </w:tcPr>
                          <w:p>
                            <w:pPr>
                              <w:pStyle w:val="TableContents"/>
                              <w:bidi w:val="0"/>
                              <w:spacing w:before="0" w:after="0"/>
                              <w:jc w:val="left"/>
                              <w:rPr>
                                <w:b/>
                                <w:color w:val="0055B7"/>
                                <w:sz w:val="24"/>
                              </w:rPr>
                            </w:pPr>
                            <w:r>
                              <w:rPr>
                                <w:b/>
                                <w:color w:val="0055B7"/>
                                <w:spacing w:val="-1"/>
                                <w:sz w:val="24"/>
                              </w:rPr>
                              <w:t>Joseph P. Baratta</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000000"/>
                                <w:sz w:val="20"/>
                              </w:rPr>
                              <w:t>​</w:t>
                            </w:r>
                            <w:r>
                              <w:rPr>
                                <w:b/>
                                <w:color w:val="3E8DDD"/>
                                <w:sz w:val="20"/>
                              </w:rPr>
                              <w:t xml:space="preserve"> </w:t>
                            </w:r>
                          </w:p>
                          <w:p>
                            <w:pPr>
                              <w:pStyle w:val="TableContents"/>
                              <w:bidi w:val="0"/>
                              <w:spacing w:lineRule="atLeast" w:line="225" w:before="165" w:after="283"/>
                              <w:jc w:val="left"/>
                              <w:rPr>
                                <w:spacing w:val="-1"/>
                              </w:rPr>
                            </w:pPr>
                            <w:r>
                              <w:rPr>
                                <w:spacing w:val="-1"/>
                              </w:rPr>
                              <w:t xml:space="preserve">Mr. Baratta brings to the Board extensive financial, management, and investment experience from his involvement at Blackstone Inc. (“Blackstone”), including as the Global Head of Private Equity, and his service on the boards of various companies across multiple sectors.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Blackstone</w:t>
                            </w:r>
                            <w:r>
                              <w:rPr>
                                <w:b w:val="false"/>
                                <w:spacing w:val="-1"/>
                              </w:rPr>
                              <w:t>, an alternative asset manager</w:t>
                            </w:r>
                            <w:r>
                              <w:rPr>
                                <w:b/>
                              </w:rPr>
                              <w:t xml:space="preserve"> </w:t>
                            </w:r>
                          </w:p>
                          <w:p>
                            <w:pPr>
                              <w:pStyle w:val="TableContents"/>
                              <w:bidi w:val="0"/>
                              <w:spacing w:lineRule="atLeast" w:line="180" w:before="165" w:after="0"/>
                              <w:ind w:left="680" w:right="0" w:hanging="0"/>
                              <w:jc w:val="left"/>
                              <w:rPr/>
                            </w:pPr>
                            <w:r>
                              <w:rPr>
                                <w:spacing w:val="-1"/>
                              </w:rPr>
                              <w:t>Global Head of Private Equity (since 2012)</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Various positions (1998 to 2012)</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000000"/>
                                <w:sz w:val="20"/>
                              </w:rPr>
                              <w:t>​</w:t>
                            </w:r>
                            <w:r>
                              <w:rPr>
                                <w:b/>
                                <w:color w:val="3E8DDD"/>
                                <w:sz w:val="20"/>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34" w:type="dxa"/>
                            <w:tcBorders/>
                            <w:vAlign w:val="center"/>
                          </w:tcPr>
                          <w:p>
                            <w:pPr>
                              <w:pStyle w:val="TableContents"/>
                              <w:bidi w:val="0"/>
                              <w:spacing w:lineRule="atLeast" w:line="180" w:before="0" w:after="0"/>
                              <w:ind w:left="680" w:right="0" w:hanging="0"/>
                              <w:jc w:val="left"/>
                              <w:rPr/>
                            </w:pPr>
                            <w:r>
                              <w:rPr>
                                <w:b/>
                                <w:spacing w:val="0"/>
                              </w:rPr>
                              <w:t>Blackstone</w:t>
                            </w:r>
                            <w:r>
                              <w:rPr>
                                <w:spacing w:val="-1"/>
                              </w:rPr>
                              <w:t xml:space="preserve"> (since 2020)</w:t>
                            </w:r>
                            <w:r>
                              <w:rPr>
                                <w:spacing w:val="-1"/>
                                <w:szCs w:val="11"/>
                              </w:rPr>
                              <w:t>﻿♦</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Merlin Entertainments Group</w:t>
                            </w:r>
                            <w:r>
                              <w:rPr>
                                <w:spacing w:val="-1"/>
                              </w:rPr>
                              <w:t xml:space="preserve">, a location-based entertainment company (since 2005) </w:t>
                            </w:r>
                          </w:p>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4851" w:type="dxa"/>
                            <w:tcBorders/>
                            <w:vAlign w:val="center"/>
                          </w:tcPr>
                          <w:p>
                            <w:pPr>
                              <w:pStyle w:val="TableContents"/>
                              <w:bidi w:val="0"/>
                              <w:spacing w:lineRule="atLeast" w:line="225" w:before="0" w:after="0"/>
                              <w:ind w:left="320" w:right="0" w:hanging="0"/>
                              <w:jc w:val="left"/>
                              <w:rPr/>
                            </w:pPr>
                            <w:r>
                              <w:rPr>
                                <w:spacing w:val="-1"/>
                              </w:rPr>
                              <w:t>Various other portfolio companies of Blackstone in media, finance, and sustainability (since 2017)</w:t>
                            </w:r>
                            <w:r>
                              <w:rPr/>
                              <w:t xml:space="preserve"> </w: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00" w:before="160" w:after="0"/>
                        <w:ind w:left="220" w:right="0" w:hanging="0"/>
                        <w:jc w:val="left"/>
                        <w:rPr>
                          <w:sz w:val="16"/>
                        </w:rPr>
                      </w:pPr>
                      <w:r>
                        <w:rPr>
                          <w:spacing w:val="-1"/>
                          <w:sz w:val="16"/>
                        </w:rPr>
                        <w:t>current public company board</w:t>
                      </w:r>
                      <w:r>
                        <w:rPr>
                          <w:sz w:val="16"/>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04775" distB="0" distL="228600" distR="0" simplePos="0" locked="0" layoutInCell="1" allowOverlap="1" relativeHeight="180">
                <wp:simplePos x="0" y="0"/>
                <wp:positionH relativeFrom="column">
                  <wp:align>left</wp:align>
                </wp:positionH>
                <wp:positionV relativeFrom="line">
                  <wp:align>top</wp:align>
                </wp:positionV>
                <wp:extent cx="203200" cy="350520"/>
                <wp:effectExtent l="0" t="0" r="0" b="0"/>
                <wp:wrapSquare wrapText="right"/>
                <wp:docPr id="105" name="Frame1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181">
                <wp:simplePos x="0" y="0"/>
                <wp:positionH relativeFrom="column">
                  <wp:align>left</wp:align>
                </wp:positionH>
                <wp:positionV relativeFrom="line">
                  <wp:align>top</wp:align>
                </wp:positionV>
                <wp:extent cx="203200" cy="350520"/>
                <wp:effectExtent l="0" t="0" r="0" b="0"/>
                <wp:wrapSquare wrapText="right"/>
                <wp:docPr id="106" name="Frame1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182">
                <wp:simplePos x="0" y="0"/>
                <wp:positionH relativeFrom="column">
                  <wp:align>left</wp:align>
                </wp:positionH>
                <wp:positionV relativeFrom="line">
                  <wp:posOffset>635</wp:posOffset>
                </wp:positionV>
                <wp:extent cx="203200" cy="350520"/>
                <wp:effectExtent l="0" t="0" r="0" b="0"/>
                <wp:wrapSquare wrapText="right"/>
                <wp:docPr id="107" name="Frame1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183">
                <wp:simplePos x="0" y="0"/>
                <wp:positionH relativeFrom="column">
                  <wp:align>left</wp:align>
                </wp:positionH>
                <wp:positionV relativeFrom="line">
                  <wp:align>top</wp:align>
                </wp:positionV>
                <wp:extent cx="203200" cy="350520"/>
                <wp:effectExtent l="0" t="0" r="0" b="0"/>
                <wp:wrapSquare wrapText="right"/>
                <wp:docPr id="108" name="Frame1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203200" cy="350520"/>
                <wp:effectExtent l="0" t="0" r="0" b="0"/>
                <wp:wrapSquare wrapText="right"/>
                <wp:docPr id="109" name="Frame1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185">
                <wp:simplePos x="0" y="0"/>
                <wp:positionH relativeFrom="column">
                  <wp:align>left</wp:align>
                </wp:positionH>
                <wp:positionV relativeFrom="line">
                  <wp:align>top</wp:align>
                </wp:positionV>
                <wp:extent cx="139700" cy="350520"/>
                <wp:effectExtent l="0" t="0" r="0" b="0"/>
                <wp:wrapSquare wrapText="right"/>
                <wp:docPr id="110" name="Frame1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before="0" w:after="283"/>
                              <w:jc w:val="left"/>
                              <w:rPr/>
                            </w:pPr>
                            <w:r>
                              <w:rPr>
                                <w:spacing w:val="-1"/>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sz w:val="16"/>
                        </w:rPr>
                        <w:br/>
                      </w:r>
                    </w:p>
                  </w:txbxContent>
                </v:textbox>
                <w10:wrap type="square" side="right"/>
              </v:rect>
            </w:pict>
          </mc:Fallback>
        </mc:AlternateConten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10</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142" w:before="400" w:after="283"/>
        <w:ind w:left="720" w:right="0" w:hanging="0"/>
        <w:jc w:val="left"/>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7">
                <wp:simplePos x="0" y="0"/>
                <wp:positionH relativeFrom="column">
                  <wp:align>left</wp:align>
                </wp:positionH>
                <wp:positionV relativeFrom="line">
                  <wp:posOffset>635</wp:posOffset>
                </wp:positionV>
                <wp:extent cx="1358900" cy="4232275"/>
                <wp:effectExtent l="0" t="0" r="0" b="0"/>
                <wp:wrapSquare wrapText="right"/>
                <wp:docPr id="111" name="Frame18"/>
                <a:graphic xmlns:a="http://schemas.openxmlformats.org/drawingml/2006/main">
                  <a:graphicData uri="http://schemas.microsoft.com/office/word/2010/wordprocessingShape">
                    <wps:wsp>
                      <wps:cNvSpPr txBox="1"/>
                      <wps:spPr>
                        <a:xfrm>
                          <a:off x="0" y="0"/>
                          <a:ext cx="1358900" cy="4232275"/>
                        </a:xfrm>
                        <a:prstGeom prst="rect"/>
                        <a:solidFill>
                          <a:srgbClr val="FFFFFF"/>
                        </a:solidFill>
                      </wps:spPr>
                      <wps:txbx>
                        <w:txbxContent>
                          <w:tbl>
                            <w:tblPr>
                              <w:tblW w:w="9170" w:type="dxa"/>
                              <w:jc w:val="left"/>
                              <w:tblInd w:w="0" w:type="dxa"/>
                              <w:tblLayout w:type="fixed"/>
                              <w:tblCellMar>
                                <w:top w:w="0" w:type="dxa"/>
                                <w:left w:w="0" w:type="dxa"/>
                                <w:bottom w:w="0" w:type="dxa"/>
                                <w:right w:w="0" w:type="dxa"/>
                              </w:tblCellMar>
                            </w:tblPr>
                            <w:tblGrid>
                              <w:gridCol w:w="124"/>
                              <w:gridCol w:w="8892"/>
                              <w:gridCol w:w="154"/>
                            </w:tblGrid>
                            <w:tr>
                              <w:trPr/>
                              <w:tc>
                                <w:tcPr>
                                  <w:tcW w:w="124" w:type="dxa"/>
                                  <w:tcBorders/>
                                  <w:vAlign w:val="center"/>
                                </w:tcPr>
                                <w:p>
                                  <w:pPr>
                                    <w:pStyle w:val="TableContents"/>
                                    <w:bidi w:val="0"/>
                                    <w:spacing w:before="0" w:after="283"/>
                                    <w:jc w:val="left"/>
                                    <w:rPr/>
                                  </w:pPr>
                                  <w:r>
                                    <w:rPr/>
                                    <w:t>​</w:t>
                                  </w:r>
                                </w:p>
                              </w:tc>
                              <w:tc>
                                <w:tcPr>
                                  <w:tcW w:w="8892" w:type="dxa"/>
                                  <w:tcBorders/>
                                  <w:vAlign w:val="center"/>
                                </w:tcPr>
                                <w:p>
                                  <w:pPr>
                                    <w:pStyle w:val="TableContents"/>
                                    <w:bidi w:val="0"/>
                                    <w:spacing w:before="0" w:after="0"/>
                                    <w:jc w:val="left"/>
                                    <w:rPr/>
                                  </w:pPr>
                                  <w:r>
                                    <w:rPr/>
                                    <w:drawing>
                                      <wp:inline distT="0" distB="0" distL="0" distR="0">
                                        <wp:extent cx="1362075" cy="1381125"/>
                                        <wp:effectExtent l="0" t="0" r="0" b="0"/>
                                        <wp:docPr id="11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8" descr=""/>
                                                <pic:cNvPicPr>
                                                  <a:picLocks noChangeAspect="1" noChangeArrowheads="1"/>
                                                </pic:cNvPicPr>
                                              </pic:nvPicPr>
                                              <pic:blipFill>
                                                <a:blip r:embed="rId95"/>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 xml:space="preserve">41 </w:t>
                                  </w:r>
                                  <w:r>
                                    <w:rPr>
                                      <w:b/>
                                    </w:rPr>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pPr>
                                  <w:r>
                                    <w:rPr>
                                      <w:spacing w:val="-1"/>
                                    </w:rPr>
                                    <w:t xml:space="preserve">Compensation Committee, Nominating and Corporate Governance Committee, and Risk and </w:t>
                                    <w:br/>
                                    <w:t>Compliance Committee</w:t>
                                  </w:r>
                                  <w:r>
                                    <w:rPr/>
                                    <w:t xml:space="preserv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33.25pt;mso-wrap-distance-left:36pt;mso-wrap-distance-right:0pt;mso-wrap-distance-top:0pt;mso-wrap-distance-bottom:0pt;margin-top:0pt;mso-position-vertical:top;mso-position-vertical-relative:text;margin-left:179pt;mso-position-horizontal:left;mso-position-horizontal-relative:text">
                <v:textbox>
                  <w:txbxContent>
                    <w:tbl>
                      <w:tblPr>
                        <w:tblW w:w="9170" w:type="dxa"/>
                        <w:jc w:val="left"/>
                        <w:tblInd w:w="0" w:type="dxa"/>
                        <w:tblLayout w:type="fixed"/>
                        <w:tblCellMar>
                          <w:top w:w="0" w:type="dxa"/>
                          <w:left w:w="0" w:type="dxa"/>
                          <w:bottom w:w="0" w:type="dxa"/>
                          <w:right w:w="0" w:type="dxa"/>
                        </w:tblCellMar>
                      </w:tblPr>
                      <w:tblGrid>
                        <w:gridCol w:w="124"/>
                        <w:gridCol w:w="8892"/>
                        <w:gridCol w:w="154"/>
                      </w:tblGrid>
                      <w:tr>
                        <w:trPr/>
                        <w:tc>
                          <w:tcPr>
                            <w:tcW w:w="124" w:type="dxa"/>
                            <w:tcBorders/>
                            <w:vAlign w:val="center"/>
                          </w:tcPr>
                          <w:p>
                            <w:pPr>
                              <w:pStyle w:val="TableContents"/>
                              <w:bidi w:val="0"/>
                              <w:spacing w:before="0" w:after="283"/>
                              <w:jc w:val="left"/>
                              <w:rPr/>
                            </w:pPr>
                            <w:r>
                              <w:rPr/>
                              <w:t>​</w:t>
                            </w:r>
                          </w:p>
                        </w:tc>
                        <w:tc>
                          <w:tcPr>
                            <w:tcW w:w="8892" w:type="dxa"/>
                            <w:tcBorders/>
                            <w:vAlign w:val="center"/>
                          </w:tcPr>
                          <w:p>
                            <w:pPr>
                              <w:pStyle w:val="TableContents"/>
                              <w:bidi w:val="0"/>
                              <w:spacing w:before="0" w:after="0"/>
                              <w:jc w:val="left"/>
                              <w:rPr/>
                            </w:pPr>
                            <w:r>
                              <w:rPr/>
                              <w:drawing>
                                <wp:inline distT="0" distB="0" distL="0" distR="0">
                                  <wp:extent cx="1362075" cy="1381125"/>
                                  <wp:effectExtent l="0" t="0" r="0" b="0"/>
                                  <wp:docPr id="11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8" descr=""/>
                                          <pic:cNvPicPr>
                                            <a:picLocks noChangeAspect="1" noChangeArrowheads="1"/>
                                          </pic:cNvPicPr>
                                        </pic:nvPicPr>
                                        <pic:blipFill>
                                          <a:blip r:embed="rId96"/>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 xml:space="preserve">41 </w:t>
                            </w:r>
                            <w:r>
                              <w:rPr>
                                <w:b/>
                              </w:rPr>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pPr>
                            <w:r>
                              <w:rPr>
                                <w:spacing w:val="-1"/>
                              </w:rPr>
                              <w:t xml:space="preserve">Compensation Committee, Nominating and Corporate Governance Committee, and Risk and </w:t>
                              <w:br/>
                              <w:t>Compliance Committee</w:t>
                            </w:r>
                            <w:r>
                              <w:rPr/>
                              <w:t xml:space="preserv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86">
                <wp:simplePos x="0" y="0"/>
                <wp:positionH relativeFrom="column">
                  <wp:align>left</wp:align>
                </wp:positionH>
                <wp:positionV relativeFrom="line">
                  <wp:posOffset>635</wp:posOffset>
                </wp:positionV>
                <wp:extent cx="5118100" cy="8648065"/>
                <wp:effectExtent l="0" t="0" r="0" b="0"/>
                <wp:wrapSquare wrapText="right"/>
                <wp:docPr id="114" name="Frame19"/>
                <a:graphic xmlns:a="http://schemas.openxmlformats.org/drawingml/2006/main">
                  <a:graphicData uri="http://schemas.microsoft.com/office/word/2010/wordprocessingShape">
                    <wps:wsp>
                      <wps:cNvSpPr txBox="1"/>
                      <wps:spPr>
                        <a:xfrm>
                          <a:off x="0" y="0"/>
                          <a:ext cx="5118100" cy="864806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4813"/>
                              <w:gridCol w:w="109"/>
                              <w:gridCol w:w="109"/>
                              <w:gridCol w:w="4895"/>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1"/>
                                      <w:sz w:val="24"/>
                                    </w:rPr>
                                    <w:t>Jacob D. Best</w:t>
                                  </w:r>
                                  <w:r>
                                    <w:rPr>
                                      <w:b/>
                                      <w:color w:val="000000"/>
                                      <w:sz w:val="24"/>
                                    </w:rPr>
                                    <w:t>​</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Best brings to the Board significant financial, management, and investment experience from his involvement at Hellman &amp; Friedman LLC (“H&amp;F”), including as a Partner, as well as his thorough knowledge of our industry.</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2"/>
                                    </w:rPr>
                                    <w:t>H&amp;F</w:t>
                                  </w:r>
                                  <w:r>
                                    <w:rPr>
                                      <w:b w:val="false"/>
                                      <w:spacing w:val="-1"/>
                                    </w:rPr>
                                    <w:t>, a private equity investment firm</w:t>
                                  </w:r>
                                  <w:r>
                                    <w:rPr>
                                      <w:b/>
                                    </w:rPr>
                                    <w:t xml:space="preserve"> </w:t>
                                  </w:r>
                                </w:p>
                                <w:p>
                                  <w:pPr>
                                    <w:pStyle w:val="TableContents"/>
                                    <w:bidi w:val="0"/>
                                    <w:spacing w:lineRule="atLeast" w:line="180" w:before="165" w:after="0"/>
                                    <w:ind w:left="680" w:right="0" w:hanging="0"/>
                                    <w:jc w:val="left"/>
                                    <w:rPr>
                                      <w:spacing w:val="-1"/>
                                    </w:rPr>
                                  </w:pPr>
                                  <w:r>
                                    <w:rPr>
                                      <w:spacing w:val="-1"/>
                                    </w:rPr>
                                    <w:t xml:space="preserve">Partner (2009 to 2012, and since 2016)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Change Healthcare (formerly Emdeon)</w:t>
                                  </w:r>
                                  <w:r>
                                    <w:rPr>
                                      <w:spacing w:val="-1"/>
                                    </w:rPr>
                                    <w:t>, a provider of revenue and payment cycle management and clinical information exchange solutions</w:t>
                                  </w:r>
                                  <w:r>
                                    <w:rPr/>
                                    <w:t xml:space="preserve"> </w:t>
                                  </w:r>
                                </w:p>
                                <w:p>
                                  <w:pPr>
                                    <w:pStyle w:val="TableContents"/>
                                    <w:bidi w:val="0"/>
                                    <w:spacing w:lineRule="atLeast" w:line="180" w:before="165" w:after="0"/>
                                    <w:ind w:left="680" w:right="0" w:hanging="0"/>
                                    <w:jc w:val="left"/>
                                    <w:rPr/>
                                  </w:pPr>
                                  <w:r>
                                    <w:rPr>
                                      <w:spacing w:val="-1"/>
                                    </w:rPr>
                                    <w:t>Chief of Staff (2013)</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Included Health (formerly Grand Rounds)</w:t>
                                  </w:r>
                                  <w:r>
                                    <w:rPr>
                                      <w:spacing w:val="-1"/>
                                    </w:rPr>
                                    <w:t>, a healthcare company that delivers personalized, all-in-one care</w:t>
                                  </w:r>
                                  <w:r>
                                    <w:rPr/>
                                    <w:t xml:space="preserve"> </w:t>
                                  </w:r>
                                </w:p>
                                <w:p>
                                  <w:pPr>
                                    <w:pStyle w:val="TableContents"/>
                                    <w:bidi w:val="0"/>
                                    <w:spacing w:lineRule="atLeast" w:line="180" w:before="165" w:after="0"/>
                                    <w:ind w:left="680" w:right="0" w:hanging="0"/>
                                    <w:jc w:val="left"/>
                                    <w:rPr/>
                                  </w:pPr>
                                  <w:r>
                                    <w:rPr>
                                      <w:spacing w:val="-1"/>
                                    </w:rPr>
                                    <w:t>Head of Medical Networks (2014 to 2016)</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Bain &amp; Company</w:t>
                                  </w:r>
                                  <w:r>
                                    <w:rPr>
                                      <w:spacing w:val="-1"/>
                                    </w:rPr>
                                    <w:t>, a consulting firm that works with organizations on strategy and transformation initiatives</w:t>
                                  </w:r>
                                  <w:r>
                                    <w:rPr/>
                                    <w:t xml:space="preserve"> </w:t>
                                  </w:r>
                                </w:p>
                                <w:p>
                                  <w:pPr>
                                    <w:pStyle w:val="TableContents"/>
                                    <w:bidi w:val="0"/>
                                    <w:spacing w:lineRule="atLeast" w:line="180" w:before="165" w:after="0"/>
                                    <w:ind w:left="680" w:right="0" w:hanging="0"/>
                                    <w:jc w:val="left"/>
                                    <w:rPr/>
                                  </w:pPr>
                                  <w:r>
                                    <w:rPr>
                                      <w:spacing w:val="-1"/>
                                    </w:rPr>
                                    <w:t>Senior Associate Consultant (2006 to 2009)</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000000"/>
                                      <w:sz w:val="20"/>
                                    </w:rPr>
                                    <w:t>​</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13" w:type="dxa"/>
                                  <w:tcBorders/>
                                  <w:vAlign w:val="center"/>
                                </w:tcPr>
                                <w:p>
                                  <w:pPr>
                                    <w:pStyle w:val="TableContents"/>
                                    <w:bidi w:val="0"/>
                                    <w:spacing w:lineRule="atLeast" w:line="225" w:before="0" w:after="0"/>
                                    <w:ind w:left="680" w:right="0" w:hanging="0"/>
                                    <w:jc w:val="left"/>
                                    <w:rPr/>
                                  </w:pPr>
                                  <w:r>
                                    <w:rPr>
                                      <w:b/>
                                      <w:spacing w:val="0"/>
                                    </w:rPr>
                                    <w:t>athenahealth, Inc.</w:t>
                                  </w:r>
                                  <w:r>
                                    <w:rPr>
                                      <w:spacing w:val="-1"/>
                                    </w:rPr>
                                    <w:t>, a provider of cloud-based enterprise software solutions for medical groups and health systems (since 2022)</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Snap One Holdings Corp.</w:t>
                                  </w:r>
                                  <w:r>
                                    <w:rPr>
                                      <w:spacing w:val="-1"/>
                                    </w:rPr>
                                    <w:t>, an eCommerce provider in the connected home sector (2017 to 2023)</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lineRule="atLeast" w:line="225" w:before="0" w:after="0"/>
                                    <w:ind w:left="320" w:right="0" w:hanging="0"/>
                                    <w:jc w:val="left"/>
                                    <w:rPr/>
                                  </w:pPr>
                                  <w:r>
                                    <w:rPr>
                                      <w:b/>
                                      <w:spacing w:val="0"/>
                                    </w:rPr>
                                    <w:t>Goodman Global, Inc.</w:t>
                                  </w:r>
                                  <w:r>
                                    <w:rPr>
                                      <w:spacing w:val="-1"/>
                                    </w:rPr>
                                    <w:t>, a domestic unit manufacturer and distributor of heating, ventilation, and air conditioning products (2011 to 2012)</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320" w:right="0" w:hanging="0"/>
                                    <w:jc w:val="left"/>
                                    <w:rPr/>
                                  </w:pPr>
                                  <w:r>
                                    <w:rPr>
                                      <w:b/>
                                      <w:spacing w:val="0"/>
                                    </w:rPr>
                                    <w:t>Ellucian, Inc.</w:t>
                                  </w:r>
                                  <w:r>
                                    <w:rPr>
                                      <w:spacing w:val="-1"/>
                                    </w:rPr>
                                    <w:t>, a provider of software products and services to higher education institutions (2011 to 2012)</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pt;height:680.95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4813"/>
                        <w:gridCol w:w="109"/>
                        <w:gridCol w:w="109"/>
                        <w:gridCol w:w="4895"/>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1"/>
                                <w:sz w:val="24"/>
                              </w:rPr>
                              <w:t>Jacob D. Best</w:t>
                            </w:r>
                            <w:r>
                              <w:rPr>
                                <w:b/>
                                <w:color w:val="000000"/>
                                <w:sz w:val="24"/>
                              </w:rPr>
                              <w:t>​</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Best brings to the Board significant financial, management, and investment experience from his involvement at Hellman &amp; Friedman LLC (“H&amp;F”), including as a Partner, as well as his thorough knowledge of our industry.</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2"/>
                              </w:rPr>
                              <w:t>H&amp;F</w:t>
                            </w:r>
                            <w:r>
                              <w:rPr>
                                <w:b w:val="false"/>
                                <w:spacing w:val="-1"/>
                              </w:rPr>
                              <w:t>, a private equity investment firm</w:t>
                            </w:r>
                            <w:r>
                              <w:rPr>
                                <w:b/>
                              </w:rPr>
                              <w:t xml:space="preserve"> </w:t>
                            </w:r>
                          </w:p>
                          <w:p>
                            <w:pPr>
                              <w:pStyle w:val="TableContents"/>
                              <w:bidi w:val="0"/>
                              <w:spacing w:lineRule="atLeast" w:line="180" w:before="165" w:after="0"/>
                              <w:ind w:left="680" w:right="0" w:hanging="0"/>
                              <w:jc w:val="left"/>
                              <w:rPr>
                                <w:spacing w:val="-1"/>
                              </w:rPr>
                            </w:pPr>
                            <w:r>
                              <w:rPr>
                                <w:spacing w:val="-1"/>
                              </w:rPr>
                              <w:t xml:space="preserve">Partner (2009 to 2012, and since 2016)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Change Healthcare (formerly Emdeon)</w:t>
                            </w:r>
                            <w:r>
                              <w:rPr>
                                <w:spacing w:val="-1"/>
                              </w:rPr>
                              <w:t>, a provider of revenue and payment cycle management and clinical information exchange solutions</w:t>
                            </w:r>
                            <w:r>
                              <w:rPr/>
                              <w:t xml:space="preserve"> </w:t>
                            </w:r>
                          </w:p>
                          <w:p>
                            <w:pPr>
                              <w:pStyle w:val="TableContents"/>
                              <w:bidi w:val="0"/>
                              <w:spacing w:lineRule="atLeast" w:line="180" w:before="165" w:after="0"/>
                              <w:ind w:left="680" w:right="0" w:hanging="0"/>
                              <w:jc w:val="left"/>
                              <w:rPr/>
                            </w:pPr>
                            <w:r>
                              <w:rPr>
                                <w:spacing w:val="-1"/>
                              </w:rPr>
                              <w:t>Chief of Staff (2013)</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Included Health (formerly Grand Rounds)</w:t>
                            </w:r>
                            <w:r>
                              <w:rPr>
                                <w:spacing w:val="-1"/>
                              </w:rPr>
                              <w:t>, a healthcare company that delivers personalized, all-in-one care</w:t>
                            </w:r>
                            <w:r>
                              <w:rPr/>
                              <w:t xml:space="preserve"> </w:t>
                            </w:r>
                          </w:p>
                          <w:p>
                            <w:pPr>
                              <w:pStyle w:val="TableContents"/>
                              <w:bidi w:val="0"/>
                              <w:spacing w:lineRule="atLeast" w:line="180" w:before="165" w:after="0"/>
                              <w:ind w:left="680" w:right="0" w:hanging="0"/>
                              <w:jc w:val="left"/>
                              <w:rPr/>
                            </w:pPr>
                            <w:r>
                              <w:rPr>
                                <w:spacing w:val="-1"/>
                              </w:rPr>
                              <w:t>Head of Medical Networks (2014 to 2016)</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Bain &amp; Company</w:t>
                            </w:r>
                            <w:r>
                              <w:rPr>
                                <w:spacing w:val="-1"/>
                              </w:rPr>
                              <w:t>, a consulting firm that works with organizations on strategy and transformation initiatives</w:t>
                            </w:r>
                            <w:r>
                              <w:rPr/>
                              <w:t xml:space="preserve"> </w:t>
                            </w:r>
                          </w:p>
                          <w:p>
                            <w:pPr>
                              <w:pStyle w:val="TableContents"/>
                              <w:bidi w:val="0"/>
                              <w:spacing w:lineRule="atLeast" w:line="180" w:before="165" w:after="0"/>
                              <w:ind w:left="680" w:right="0" w:hanging="0"/>
                              <w:jc w:val="left"/>
                              <w:rPr/>
                            </w:pPr>
                            <w:r>
                              <w:rPr>
                                <w:spacing w:val="-1"/>
                              </w:rPr>
                              <w:t>Senior Associate Consultant (2006 to 2009)</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000000"/>
                                <w:sz w:val="20"/>
                              </w:rPr>
                              <w:t>​</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13" w:type="dxa"/>
                            <w:tcBorders/>
                            <w:vAlign w:val="center"/>
                          </w:tcPr>
                          <w:p>
                            <w:pPr>
                              <w:pStyle w:val="TableContents"/>
                              <w:bidi w:val="0"/>
                              <w:spacing w:lineRule="atLeast" w:line="225" w:before="0" w:after="0"/>
                              <w:ind w:left="680" w:right="0" w:hanging="0"/>
                              <w:jc w:val="left"/>
                              <w:rPr/>
                            </w:pPr>
                            <w:r>
                              <w:rPr>
                                <w:b/>
                                <w:spacing w:val="0"/>
                              </w:rPr>
                              <w:t>athenahealth, Inc.</w:t>
                            </w:r>
                            <w:r>
                              <w:rPr>
                                <w:spacing w:val="-1"/>
                              </w:rPr>
                              <w:t>, a provider of cloud-based enterprise software solutions for medical groups and health systems (since 2022)</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Snap One Holdings Corp.</w:t>
                            </w:r>
                            <w:r>
                              <w:rPr>
                                <w:spacing w:val="-1"/>
                              </w:rPr>
                              <w:t>, an eCommerce provider in the connected home sector (2017 to 2023)</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lineRule="atLeast" w:line="225" w:before="0" w:after="0"/>
                              <w:ind w:left="320" w:right="0" w:hanging="0"/>
                              <w:jc w:val="left"/>
                              <w:rPr/>
                            </w:pPr>
                            <w:r>
                              <w:rPr>
                                <w:b/>
                                <w:spacing w:val="0"/>
                              </w:rPr>
                              <w:t>Goodman Global, Inc.</w:t>
                            </w:r>
                            <w:r>
                              <w:rPr>
                                <w:spacing w:val="-1"/>
                              </w:rPr>
                              <w:t>, a domestic unit manufacturer and distributor of heating, ventilation, and air conditioning products (2011 to 2012)</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320" w:right="0" w:hanging="0"/>
                              <w:jc w:val="left"/>
                              <w:rPr/>
                            </w:pPr>
                            <w:r>
                              <w:rPr>
                                <w:b/>
                                <w:spacing w:val="0"/>
                              </w:rPr>
                              <w:t>Ellucian, Inc.</w:t>
                            </w:r>
                            <w:r>
                              <w:rPr>
                                <w:spacing w:val="-1"/>
                              </w:rPr>
                              <w:t>, a provider of software products and services to higher education institutions (2011 to 2012)</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4775" distB="0" distL="228600" distR="0" simplePos="0" locked="0" layoutInCell="1" allowOverlap="1" relativeHeight="187">
                <wp:simplePos x="0" y="0"/>
                <wp:positionH relativeFrom="column">
                  <wp:align>left</wp:align>
                </wp:positionH>
                <wp:positionV relativeFrom="line">
                  <wp:align>top</wp:align>
                </wp:positionV>
                <wp:extent cx="203200" cy="350520"/>
                <wp:effectExtent l="0" t="0" r="0" b="0"/>
                <wp:wrapSquare wrapText="right"/>
                <wp:docPr id="115" name="Frame2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04775" distB="0" distL="228600" distR="0" simplePos="0" locked="0" layoutInCell="1" allowOverlap="1" relativeHeight="188">
                <wp:simplePos x="0" y="0"/>
                <wp:positionH relativeFrom="column">
                  <wp:align>left</wp:align>
                </wp:positionH>
                <wp:positionV relativeFrom="line">
                  <wp:align>top</wp:align>
                </wp:positionV>
                <wp:extent cx="203200" cy="350520"/>
                <wp:effectExtent l="0" t="0" r="0" b="0"/>
                <wp:wrapSquare wrapText="right"/>
                <wp:docPr id="116" name="Frame2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04775" distB="0" distL="228600" distR="0" simplePos="0" locked="0" layoutInCell="1" allowOverlap="1" relativeHeight="189">
                <wp:simplePos x="0" y="0"/>
                <wp:positionH relativeFrom="column">
                  <wp:align>left</wp:align>
                </wp:positionH>
                <wp:positionV relativeFrom="line">
                  <wp:align>top</wp:align>
                </wp:positionV>
                <wp:extent cx="203200" cy="350520"/>
                <wp:effectExtent l="0" t="0" r="0" b="0"/>
                <wp:wrapSquare wrapText="right"/>
                <wp:docPr id="117" name="Frame2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04775" distB="0" distL="228600" distR="0" simplePos="0" locked="0" layoutInCell="1" allowOverlap="1" relativeHeight="190">
                <wp:simplePos x="0" y="0"/>
                <wp:positionH relativeFrom="column">
                  <wp:align>left</wp:align>
                </wp:positionH>
                <wp:positionV relativeFrom="line">
                  <wp:align>top</wp:align>
                </wp:positionV>
                <wp:extent cx="203200" cy="350520"/>
                <wp:effectExtent l="0" t="0" r="0" b="0"/>
                <wp:wrapSquare wrapText="right"/>
                <wp:docPr id="118" name="Frame2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191">
                <wp:simplePos x="0" y="0"/>
                <wp:positionH relativeFrom="column">
                  <wp:align>left</wp:align>
                </wp:positionH>
                <wp:positionV relativeFrom="line">
                  <wp:posOffset>635</wp:posOffset>
                </wp:positionV>
                <wp:extent cx="203200" cy="350520"/>
                <wp:effectExtent l="0" t="0" r="0" b="0"/>
                <wp:wrapSquare wrapText="right"/>
                <wp:docPr id="119" name="Frame2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192">
                <wp:simplePos x="0" y="0"/>
                <wp:positionH relativeFrom="column">
                  <wp:align>left</wp:align>
                </wp:positionH>
                <wp:positionV relativeFrom="line">
                  <wp:align>top</wp:align>
                </wp:positionV>
                <wp:extent cx="203200" cy="350520"/>
                <wp:effectExtent l="0" t="0" r="0" b="0"/>
                <wp:wrapSquare wrapText="right"/>
                <wp:docPr id="120" name="Frame2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203200" cy="350520"/>
                <wp:effectExtent l="0" t="0" r="0" b="0"/>
                <wp:wrapSquare wrapText="right"/>
                <wp:docPr id="121" name="Frame2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0" distR="0" simplePos="0" locked="0" layoutInCell="1" allowOverlap="1" relativeHeight="194">
                <wp:simplePos x="0" y="0"/>
                <wp:positionH relativeFrom="column">
                  <wp:align>left</wp:align>
                </wp:positionH>
                <wp:positionV relativeFrom="line">
                  <wp:align>top</wp:align>
                </wp:positionV>
                <wp:extent cx="203200" cy="350520"/>
                <wp:effectExtent l="0" t="0" r="0" b="0"/>
                <wp:wrapSquare wrapText="right"/>
                <wp:docPr id="122" name="Frame2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9">
                <wp:simplePos x="0" y="0"/>
                <wp:positionH relativeFrom="column">
                  <wp:align>left</wp:align>
                </wp:positionH>
                <wp:positionV relativeFrom="line">
                  <wp:posOffset>635</wp:posOffset>
                </wp:positionV>
                <wp:extent cx="1358900" cy="4034155"/>
                <wp:effectExtent l="0" t="0" r="0" b="0"/>
                <wp:wrapSquare wrapText="right"/>
                <wp:docPr id="123" name="Frame28"/>
                <a:graphic xmlns:a="http://schemas.openxmlformats.org/drawingml/2006/main">
                  <a:graphicData uri="http://schemas.microsoft.com/office/word/2010/wordprocessingShape">
                    <wps:wsp>
                      <wps:cNvSpPr txBox="1"/>
                      <wps:spPr>
                        <a:xfrm>
                          <a:off x="0" y="0"/>
                          <a:ext cx="1358900" cy="4034155"/>
                        </a:xfrm>
                        <a:prstGeom prst="rect"/>
                        <a:solidFill>
                          <a:srgbClr val="FFFFFF"/>
                        </a:solidFill>
                      </wps:spPr>
                      <wps:txb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2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9" descr=""/>
                                                <pic:cNvPicPr>
                                                  <a:picLocks noChangeAspect="1" noChangeArrowheads="1"/>
                                                </pic:cNvPicPr>
                                              </pic:nvPicPr>
                                              <pic:blipFill>
                                                <a:blip r:embed="rId97"/>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63</w:t>
                                  </w:r>
                                  <w:r>
                                    <w:rPr>
                                      <w:b/>
                                    </w:rPr>
                                    <w:t xml:space="preserve"> </w:t>
                                    <w:br/>
                                  </w:r>
                                  <w:r>
                                    <w:rPr>
                                      <w:b/>
                                      <w:spacing w:val="0"/>
                                    </w:rPr>
                                    <w:t>Director Since:</w:t>
                                  </w:r>
                                  <w:r>
                                    <w:rPr>
                                      <w:b/>
                                      <w:spacing w:val="-1"/>
                                    </w:rPr>
                                    <w:t xml:space="preserve"> </w:t>
                                  </w:r>
                                  <w:r>
                                    <w:rPr>
                                      <w:b w:val="false"/>
                                      <w:spacing w:val="-1"/>
                                    </w:rPr>
                                    <w:t>2025</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pPr>
                                  <w:r>
                                    <w:rPr>
                                      <w:spacing w:val="-1"/>
                                    </w:rPr>
                                    <w:t>Audit Committee</w:t>
                                  </w:r>
                                  <w:r>
                                    <w:rPr/>
                                    <w:t xml:space="preserv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2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17.65pt;mso-wrap-distance-left:36pt;mso-wrap-distance-right:0pt;mso-wrap-distance-top:0pt;mso-wrap-distance-bottom:0pt;margin-top:0pt;mso-position-vertical:top;mso-position-vertical-relative:text;margin-left:36pt;mso-position-horizontal:left;mso-position-horizontal-relative:text">
                <v:textbo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2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9" descr=""/>
                                          <pic:cNvPicPr>
                                            <a:picLocks noChangeAspect="1" noChangeArrowheads="1"/>
                                          </pic:cNvPicPr>
                                        </pic:nvPicPr>
                                        <pic:blipFill>
                                          <a:blip r:embed="rId98"/>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63</w:t>
                            </w:r>
                            <w:r>
                              <w:rPr>
                                <w:b/>
                              </w:rPr>
                              <w:t xml:space="preserve"> </w:t>
                              <w:br/>
                            </w:r>
                            <w:r>
                              <w:rPr>
                                <w:b/>
                                <w:spacing w:val="0"/>
                              </w:rPr>
                              <w:t>Director Since:</w:t>
                            </w:r>
                            <w:r>
                              <w:rPr>
                                <w:b/>
                                <w:spacing w:val="-1"/>
                              </w:rPr>
                              <w:t xml:space="preserve"> </w:t>
                            </w:r>
                            <w:r>
                              <w:rPr>
                                <w:b w:val="false"/>
                                <w:spacing w:val="-1"/>
                              </w:rPr>
                              <w:t>2025</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pPr>
                            <w:r>
                              <w:rPr>
                                <w:spacing w:val="-1"/>
                              </w:rPr>
                              <w:t>Audit Committee</w:t>
                            </w:r>
                            <w:r>
                              <w:rPr/>
                              <w:t xml:space="preserv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2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95">
                <wp:simplePos x="0" y="0"/>
                <wp:positionH relativeFrom="column">
                  <wp:align>left</wp:align>
                </wp:positionH>
                <wp:positionV relativeFrom="line">
                  <wp:posOffset>635</wp:posOffset>
                </wp:positionV>
                <wp:extent cx="5118100" cy="8382635"/>
                <wp:effectExtent l="0" t="0" r="0" b="0"/>
                <wp:wrapSquare wrapText="right"/>
                <wp:docPr id="126" name="Frame29"/>
                <a:graphic xmlns:a="http://schemas.openxmlformats.org/drawingml/2006/main">
                  <a:graphicData uri="http://schemas.microsoft.com/office/word/2010/wordprocessingShape">
                    <wps:wsp>
                      <wps:cNvSpPr txBox="1"/>
                      <wps:spPr>
                        <a:xfrm>
                          <a:off x="0" y="0"/>
                          <a:ext cx="5118100" cy="838263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5006"/>
                              <w:gridCol w:w="122"/>
                              <w:gridCol w:w="122"/>
                              <w:gridCol w:w="4676"/>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1"/>
                                      <w:sz w:val="24"/>
                                    </w:rPr>
                                    <w:t>Todd M. Bluedorn</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Bluedorn brings to the Board significant management expertise and business experience, including his time as Chief Executive Officer of Lennox International Inc. and his service on the boards of multiple companies.</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Madison Industries</w:t>
                                  </w:r>
                                  <w:r>
                                    <w:rPr>
                                      <w:b w:val="false"/>
                                      <w:spacing w:val="-1"/>
                                    </w:rPr>
                                    <w:t>, a diversified industrial holding company</w:t>
                                  </w:r>
                                  <w:r>
                                    <w:rPr>
                                      <w:b/>
                                    </w:rPr>
                                    <w:t xml:space="preserve"> </w:t>
                                  </w:r>
                                </w:p>
                                <w:p>
                                  <w:pPr>
                                    <w:pStyle w:val="TableContents"/>
                                    <w:bidi w:val="0"/>
                                    <w:spacing w:lineRule="atLeast" w:line="180" w:before="165" w:after="0"/>
                                    <w:ind w:left="680" w:right="0" w:hanging="0"/>
                                    <w:jc w:val="left"/>
                                    <w:rPr/>
                                  </w:pPr>
                                  <w:r>
                                    <w:rPr>
                                      <w:spacing w:val="-1"/>
                                    </w:rPr>
                                    <w:t>Vice Chair of the Board (April 2022 to August 2023)</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Lennox International Inc.</w:t>
                                  </w:r>
                                  <w:r>
                                    <w:rPr>
                                      <w:spacing w:val="-1"/>
                                    </w:rPr>
                                    <w:t>, a provider of climate control solutions for air conditioning, heating, and refrigeration (“Lennox International”)</w:t>
                                  </w:r>
                                  <w:r>
                                    <w:rPr/>
                                    <w:t xml:space="preserve"> </w:t>
                                  </w:r>
                                </w:p>
                                <w:p>
                                  <w:pPr>
                                    <w:pStyle w:val="TableContents"/>
                                    <w:bidi w:val="0"/>
                                    <w:spacing w:lineRule="atLeast" w:line="180" w:before="105" w:after="0"/>
                                    <w:ind w:left="680" w:right="0" w:hanging="0"/>
                                    <w:jc w:val="left"/>
                                    <w:rPr/>
                                  </w:pPr>
                                  <w:r>
                                    <w:rPr>
                                      <w:spacing w:val="-1"/>
                                    </w:rPr>
                                    <w:t>Chief Executive Officer (2007 to March 2022)</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United Technologies Corporation</w:t>
                                  </w:r>
                                  <w:r>
                                    <w:rPr>
                                      <w:spacing w:val="-1"/>
                                    </w:rPr>
                                    <w:t>, a conglomerate specializing in aerospace, defense, and building systems (merged with Raytheon Company to form RTX Corporation in 2020)</w:t>
                                  </w:r>
                                  <w:r>
                                    <w:rPr/>
                                    <w:t xml:space="preserve"> </w:t>
                                  </w:r>
                                </w:p>
                                <w:p>
                                  <w:pPr>
                                    <w:pStyle w:val="TableContents"/>
                                    <w:bidi w:val="0"/>
                                    <w:spacing w:lineRule="atLeast" w:line="180" w:before="105" w:after="0"/>
                                    <w:ind w:left="680" w:right="0" w:hanging="0"/>
                                    <w:jc w:val="left"/>
                                    <w:rPr/>
                                  </w:pPr>
                                  <w:r>
                                    <w:rPr>
                                      <w:spacing w:val="-1"/>
                                    </w:rPr>
                                    <w:t>Various senior management positions (1995 to 2007)</w:t>
                                  </w:r>
                                  <w:r>
                                    <w:rPr/>
                                    <w:t xml:space="preserve"> </w:t>
                                  </w:r>
                                </w:p>
                                <w:p>
                                  <w:pPr>
                                    <w:pStyle w:val="TableContents"/>
                                    <w:bidi w:val="0"/>
                                    <w:spacing w:before="0" w:after="0"/>
                                    <w:ind w:left="0" w:right="0" w:hanging="0"/>
                                    <w:jc w:val="left"/>
                                    <w:rPr/>
                                  </w:pPr>
                                  <w:r>
                                    <w:rPr/>
                                    <w:t>​</w:t>
                                  </w:r>
                                </w:p>
                                <w:p>
                                  <w:pPr>
                                    <w:pStyle w:val="TableContents"/>
                                    <w:bidi w:val="0"/>
                                    <w:spacing w:lineRule="atLeast" w:line="180" w:before="165" w:after="283"/>
                                    <w:jc w:val="left"/>
                                    <w:rPr>
                                      <w:b/>
                                    </w:rPr>
                                  </w:pPr>
                                  <w:r>
                                    <w:rPr>
                                      <w:b/>
                                      <w:spacing w:val="0"/>
                                    </w:rPr>
                                    <w:t>McKinsey &amp; Company</w:t>
                                  </w:r>
                                  <w:r>
                                    <w:rPr>
                                      <w:b w:val="false"/>
                                      <w:spacing w:val="-1"/>
                                    </w:rPr>
                                    <w:t>, a management consulting firm</w:t>
                                  </w:r>
                                  <w:r>
                                    <w:rPr>
                                      <w:b/>
                                    </w:rPr>
                                    <w:t xml:space="preserve"> </w:t>
                                  </w:r>
                                </w:p>
                                <w:p>
                                  <w:pPr>
                                    <w:pStyle w:val="TableContents"/>
                                    <w:bidi w:val="0"/>
                                    <w:spacing w:lineRule="atLeast" w:line="180" w:before="105" w:after="0"/>
                                    <w:ind w:left="680" w:right="0" w:hanging="0"/>
                                    <w:jc w:val="left"/>
                                    <w:rPr/>
                                  </w:pPr>
                                  <w:r>
                                    <w:rPr>
                                      <w:spacing w:val="-1"/>
                                    </w:rPr>
                                    <w:t>Various positions (1992 to 1995)</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000000"/>
                                      <w:sz w:val="20"/>
                                    </w:rPr>
                                    <w:t>​</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06" w:type="dxa"/>
                                  <w:tcBorders/>
                                  <w:vAlign w:val="center"/>
                                </w:tcPr>
                                <w:p>
                                  <w:pPr>
                                    <w:pStyle w:val="TableContents"/>
                                    <w:bidi w:val="0"/>
                                    <w:spacing w:lineRule="atLeast" w:line="225" w:before="0" w:after="0"/>
                                    <w:ind w:left="680" w:right="0" w:hanging="0"/>
                                    <w:jc w:val="left"/>
                                    <w:rPr/>
                                  </w:pPr>
                                  <w:r>
                                    <w:rPr>
                                      <w:b/>
                                      <w:spacing w:val="0"/>
                                    </w:rPr>
                                    <w:t>Samsara Inc.</w:t>
                                  </w:r>
                                  <w:r>
                                    <w:rPr>
                                      <w:spacing w:val="-1"/>
                                    </w:rPr>
                                    <w:t>, a connected cloud operations software company (since 2023)</w:t>
                                  </w:r>
                                  <w:r>
                                    <w:rPr>
                                      <w:spacing w:val="-1"/>
                                      <w:szCs w:val="11"/>
                                    </w:rPr>
                                    <w:t>﻿♦</w:t>
                                  </w:r>
                                  <w:r>
                                    <w:rPr/>
                                    <w:t xml:space="preserve"> </w:t>
                                  </w:r>
                                </w:p>
                                <w:p>
                                  <w:pPr>
                                    <w:pStyle w:val="TableContents"/>
                                    <w:bidi w:val="0"/>
                                    <w:spacing w:before="0" w:after="0"/>
                                    <w:ind w:left="0" w:right="0" w:hanging="0"/>
                                    <w:jc w:val="left"/>
                                    <w:rPr/>
                                  </w:pPr>
                                  <w:r>
                                    <w:rPr/>
                                    <w:t>​</w:t>
                                  </w:r>
                                </w:p>
                                <w:p>
                                  <w:pPr>
                                    <w:pStyle w:val="TableContents"/>
                                    <w:bidi w:val="0"/>
                                    <w:spacing w:lineRule="atLeast" w:line="224" w:before="105" w:after="0"/>
                                    <w:ind w:left="680" w:right="0" w:hanging="0"/>
                                    <w:jc w:val="left"/>
                                    <w:rPr/>
                                  </w:pPr>
                                  <w:r>
                                    <w:rPr>
                                      <w:b/>
                                      <w:spacing w:val="0"/>
                                    </w:rPr>
                                    <w:t>Texas Instruments Inc.</w:t>
                                  </w:r>
                                  <w:r>
                                    <w:rPr>
                                      <w:spacing w:val="-1"/>
                                    </w:rPr>
                                    <w:t>, a semiconductor company (since 2017)</w:t>
                                  </w:r>
                                  <w:r>
                                    <w:rPr>
                                      <w:spacing w:val="-1"/>
                                      <w:szCs w:val="11"/>
                                    </w:rPr>
                                    <w:t>﻿♦</w:t>
                                  </w:r>
                                  <w:r>
                                    <w:rPr/>
                                    <w:t xml:space="preserve"> </w:t>
                                  </w:r>
                                </w:p>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4676" w:type="dxa"/>
                                  <w:tcBorders/>
                                  <w:vAlign w:val="center"/>
                                </w:tcPr>
                                <w:p>
                                  <w:pPr>
                                    <w:pStyle w:val="TableContents"/>
                                    <w:bidi w:val="0"/>
                                    <w:spacing w:lineRule="atLeast" w:line="180" w:before="0" w:after="0"/>
                                    <w:ind w:left="320" w:right="0" w:hanging="0"/>
                                    <w:jc w:val="left"/>
                                    <w:rPr/>
                                  </w:pPr>
                                  <w:r>
                                    <w:rPr>
                                      <w:b/>
                                      <w:spacing w:val="0"/>
                                    </w:rPr>
                                    <w:t>Lennox International</w:t>
                                  </w:r>
                                  <w:r>
                                    <w:rPr>
                                      <w:spacing w:val="-1"/>
                                    </w:rPr>
                                    <w:t xml:space="preserve"> (2007 to 2022)</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320" w:right="0" w:hanging="0"/>
                                    <w:jc w:val="left"/>
                                    <w:rPr/>
                                  </w:pPr>
                                  <w:r>
                                    <w:rPr>
                                      <w:b/>
                                      <w:spacing w:val="0"/>
                                    </w:rPr>
                                    <w:t>Eaton Corporation PLC</w:t>
                                  </w:r>
                                  <w:r>
                                    <w:rPr>
                                      <w:spacing w:val="-1"/>
                                    </w:rPr>
                                    <w:t>, a power management company (2010 to 2020)</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00" w:before="184" w:after="0"/>
                              <w:ind w:left="220" w:right="0" w:hanging="0"/>
                              <w:jc w:val="left"/>
                              <w:rPr>
                                <w:sz w:val="16"/>
                              </w:rPr>
                            </w:pPr>
                            <w:r>
                              <w:rPr>
                                <w:spacing w:val="-1"/>
                                <w:sz w:val="16"/>
                              </w:rPr>
                              <w:t>current public company board</w:t>
                            </w:r>
                            <w:r>
                              <w:rPr>
                                <w:sz w:val="16"/>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403pt;height:660.05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5006"/>
                        <w:gridCol w:w="122"/>
                        <w:gridCol w:w="122"/>
                        <w:gridCol w:w="4676"/>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1"/>
                                <w:sz w:val="24"/>
                              </w:rPr>
                              <w:t>Todd M. Bluedorn</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Bluedorn brings to the Board significant management expertise and business experience, including his time as Chief Executive Officer of Lennox International Inc. and his service on the boards of multiple companies.</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Madison Industries</w:t>
                            </w:r>
                            <w:r>
                              <w:rPr>
                                <w:b w:val="false"/>
                                <w:spacing w:val="-1"/>
                              </w:rPr>
                              <w:t>, a diversified industrial holding company</w:t>
                            </w:r>
                            <w:r>
                              <w:rPr>
                                <w:b/>
                              </w:rPr>
                              <w:t xml:space="preserve"> </w:t>
                            </w:r>
                          </w:p>
                          <w:p>
                            <w:pPr>
                              <w:pStyle w:val="TableContents"/>
                              <w:bidi w:val="0"/>
                              <w:spacing w:lineRule="atLeast" w:line="180" w:before="165" w:after="0"/>
                              <w:ind w:left="680" w:right="0" w:hanging="0"/>
                              <w:jc w:val="left"/>
                              <w:rPr/>
                            </w:pPr>
                            <w:r>
                              <w:rPr>
                                <w:spacing w:val="-1"/>
                              </w:rPr>
                              <w:t>Vice Chair of the Board (April 2022 to August 2023)</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Lennox International Inc.</w:t>
                            </w:r>
                            <w:r>
                              <w:rPr>
                                <w:spacing w:val="-1"/>
                              </w:rPr>
                              <w:t>, a provider of climate control solutions for air conditioning, heating, and refrigeration (“Lennox International”)</w:t>
                            </w:r>
                            <w:r>
                              <w:rPr/>
                              <w:t xml:space="preserve"> </w:t>
                            </w:r>
                          </w:p>
                          <w:p>
                            <w:pPr>
                              <w:pStyle w:val="TableContents"/>
                              <w:bidi w:val="0"/>
                              <w:spacing w:lineRule="atLeast" w:line="180" w:before="105" w:after="0"/>
                              <w:ind w:left="680" w:right="0" w:hanging="0"/>
                              <w:jc w:val="left"/>
                              <w:rPr/>
                            </w:pPr>
                            <w:r>
                              <w:rPr>
                                <w:spacing w:val="-1"/>
                              </w:rPr>
                              <w:t>Chief Executive Officer (2007 to March 2022)</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United Technologies Corporation</w:t>
                            </w:r>
                            <w:r>
                              <w:rPr>
                                <w:spacing w:val="-1"/>
                              </w:rPr>
                              <w:t>, a conglomerate specializing in aerospace, defense, and building systems (merged with Raytheon Company to form RTX Corporation in 2020)</w:t>
                            </w:r>
                            <w:r>
                              <w:rPr/>
                              <w:t xml:space="preserve"> </w:t>
                            </w:r>
                          </w:p>
                          <w:p>
                            <w:pPr>
                              <w:pStyle w:val="TableContents"/>
                              <w:bidi w:val="0"/>
                              <w:spacing w:lineRule="atLeast" w:line="180" w:before="105" w:after="0"/>
                              <w:ind w:left="680" w:right="0" w:hanging="0"/>
                              <w:jc w:val="left"/>
                              <w:rPr/>
                            </w:pPr>
                            <w:r>
                              <w:rPr>
                                <w:spacing w:val="-1"/>
                              </w:rPr>
                              <w:t>Various senior management positions (1995 to 2007)</w:t>
                            </w:r>
                            <w:r>
                              <w:rPr/>
                              <w:t xml:space="preserve"> </w:t>
                            </w:r>
                          </w:p>
                          <w:p>
                            <w:pPr>
                              <w:pStyle w:val="TableContents"/>
                              <w:bidi w:val="0"/>
                              <w:spacing w:before="0" w:after="0"/>
                              <w:ind w:left="0" w:right="0" w:hanging="0"/>
                              <w:jc w:val="left"/>
                              <w:rPr/>
                            </w:pPr>
                            <w:r>
                              <w:rPr/>
                              <w:t>​</w:t>
                            </w:r>
                          </w:p>
                          <w:p>
                            <w:pPr>
                              <w:pStyle w:val="TableContents"/>
                              <w:bidi w:val="0"/>
                              <w:spacing w:lineRule="atLeast" w:line="180" w:before="165" w:after="283"/>
                              <w:jc w:val="left"/>
                              <w:rPr>
                                <w:b/>
                              </w:rPr>
                            </w:pPr>
                            <w:r>
                              <w:rPr>
                                <w:b/>
                                <w:spacing w:val="0"/>
                              </w:rPr>
                              <w:t>McKinsey &amp; Company</w:t>
                            </w:r>
                            <w:r>
                              <w:rPr>
                                <w:b w:val="false"/>
                                <w:spacing w:val="-1"/>
                              </w:rPr>
                              <w:t>, a management consulting firm</w:t>
                            </w:r>
                            <w:r>
                              <w:rPr>
                                <w:b/>
                              </w:rPr>
                              <w:t xml:space="preserve"> </w:t>
                            </w:r>
                          </w:p>
                          <w:p>
                            <w:pPr>
                              <w:pStyle w:val="TableContents"/>
                              <w:bidi w:val="0"/>
                              <w:spacing w:lineRule="atLeast" w:line="180" w:before="105" w:after="0"/>
                              <w:ind w:left="680" w:right="0" w:hanging="0"/>
                              <w:jc w:val="left"/>
                              <w:rPr/>
                            </w:pPr>
                            <w:r>
                              <w:rPr>
                                <w:spacing w:val="-1"/>
                              </w:rPr>
                              <w:t>Various positions (1992 to 1995)</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000000"/>
                                <w:sz w:val="20"/>
                              </w:rPr>
                              <w:t>​</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06" w:type="dxa"/>
                            <w:tcBorders/>
                            <w:vAlign w:val="center"/>
                          </w:tcPr>
                          <w:p>
                            <w:pPr>
                              <w:pStyle w:val="TableContents"/>
                              <w:bidi w:val="0"/>
                              <w:spacing w:lineRule="atLeast" w:line="225" w:before="0" w:after="0"/>
                              <w:ind w:left="680" w:right="0" w:hanging="0"/>
                              <w:jc w:val="left"/>
                              <w:rPr/>
                            </w:pPr>
                            <w:r>
                              <w:rPr>
                                <w:b/>
                                <w:spacing w:val="0"/>
                              </w:rPr>
                              <w:t>Samsara Inc.</w:t>
                            </w:r>
                            <w:r>
                              <w:rPr>
                                <w:spacing w:val="-1"/>
                              </w:rPr>
                              <w:t>, a connected cloud operations software company (since 2023)</w:t>
                            </w:r>
                            <w:r>
                              <w:rPr>
                                <w:spacing w:val="-1"/>
                                <w:szCs w:val="11"/>
                              </w:rPr>
                              <w:t>﻿♦</w:t>
                            </w:r>
                            <w:r>
                              <w:rPr/>
                              <w:t xml:space="preserve"> </w:t>
                            </w:r>
                          </w:p>
                          <w:p>
                            <w:pPr>
                              <w:pStyle w:val="TableContents"/>
                              <w:bidi w:val="0"/>
                              <w:spacing w:before="0" w:after="0"/>
                              <w:ind w:left="0" w:right="0" w:hanging="0"/>
                              <w:jc w:val="left"/>
                              <w:rPr/>
                            </w:pPr>
                            <w:r>
                              <w:rPr/>
                              <w:t>​</w:t>
                            </w:r>
                          </w:p>
                          <w:p>
                            <w:pPr>
                              <w:pStyle w:val="TableContents"/>
                              <w:bidi w:val="0"/>
                              <w:spacing w:lineRule="atLeast" w:line="224" w:before="105" w:after="0"/>
                              <w:ind w:left="680" w:right="0" w:hanging="0"/>
                              <w:jc w:val="left"/>
                              <w:rPr/>
                            </w:pPr>
                            <w:r>
                              <w:rPr>
                                <w:b/>
                                <w:spacing w:val="0"/>
                              </w:rPr>
                              <w:t>Texas Instruments Inc.</w:t>
                            </w:r>
                            <w:r>
                              <w:rPr>
                                <w:spacing w:val="-1"/>
                              </w:rPr>
                              <w:t>, a semiconductor company (since 2017)</w:t>
                            </w:r>
                            <w:r>
                              <w:rPr>
                                <w:spacing w:val="-1"/>
                                <w:szCs w:val="11"/>
                              </w:rPr>
                              <w:t>﻿♦</w:t>
                            </w:r>
                            <w:r>
                              <w:rPr/>
                              <w:t xml:space="preserve"> </w:t>
                            </w:r>
                          </w:p>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4676" w:type="dxa"/>
                            <w:tcBorders/>
                            <w:vAlign w:val="center"/>
                          </w:tcPr>
                          <w:p>
                            <w:pPr>
                              <w:pStyle w:val="TableContents"/>
                              <w:bidi w:val="0"/>
                              <w:spacing w:lineRule="atLeast" w:line="180" w:before="0" w:after="0"/>
                              <w:ind w:left="320" w:right="0" w:hanging="0"/>
                              <w:jc w:val="left"/>
                              <w:rPr/>
                            </w:pPr>
                            <w:r>
                              <w:rPr>
                                <w:b/>
                                <w:spacing w:val="0"/>
                              </w:rPr>
                              <w:t>Lennox International</w:t>
                            </w:r>
                            <w:r>
                              <w:rPr>
                                <w:spacing w:val="-1"/>
                              </w:rPr>
                              <w:t xml:space="preserve"> (2007 to 2022)</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320" w:right="0" w:hanging="0"/>
                              <w:jc w:val="left"/>
                              <w:rPr/>
                            </w:pPr>
                            <w:r>
                              <w:rPr>
                                <w:b/>
                                <w:spacing w:val="0"/>
                              </w:rPr>
                              <w:t>Eaton Corporation PLC</w:t>
                            </w:r>
                            <w:r>
                              <w:rPr>
                                <w:spacing w:val="-1"/>
                              </w:rPr>
                              <w:t>, a power management company (2010 to 2020)</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00" w:before="184" w:after="0"/>
                        <w:ind w:left="220" w:right="0" w:hanging="0"/>
                        <w:jc w:val="left"/>
                        <w:rPr>
                          <w:sz w:val="16"/>
                        </w:rPr>
                      </w:pPr>
                      <w:r>
                        <w:rPr>
                          <w:spacing w:val="-1"/>
                          <w:sz w:val="16"/>
                        </w:rPr>
                        <w:t>current public company board</w:t>
                      </w:r>
                      <w:r>
                        <w:rPr>
                          <w:sz w:val="16"/>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04775" distB="0" distL="228600" distR="0" simplePos="0" locked="0" layoutInCell="1" allowOverlap="1" relativeHeight="196">
                <wp:simplePos x="0" y="0"/>
                <wp:positionH relativeFrom="column">
                  <wp:align>left</wp:align>
                </wp:positionH>
                <wp:positionV relativeFrom="line">
                  <wp:align>top</wp:align>
                </wp:positionV>
                <wp:extent cx="203200" cy="350520"/>
                <wp:effectExtent l="0" t="0" r="0" b="0"/>
                <wp:wrapSquare wrapText="right"/>
                <wp:docPr id="127" name="Frame3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197">
                <wp:simplePos x="0" y="0"/>
                <wp:positionH relativeFrom="column">
                  <wp:align>left</wp:align>
                </wp:positionH>
                <wp:positionV relativeFrom="line">
                  <wp:align>top</wp:align>
                </wp:positionV>
                <wp:extent cx="203200" cy="350520"/>
                <wp:effectExtent l="0" t="0" r="0" b="0"/>
                <wp:wrapSquare wrapText="right"/>
                <wp:docPr id="128" name="Frame3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198">
                <wp:simplePos x="0" y="0"/>
                <wp:positionH relativeFrom="column">
                  <wp:align>left</wp:align>
                </wp:positionH>
                <wp:positionV relativeFrom="line">
                  <wp:align>top</wp:align>
                </wp:positionV>
                <wp:extent cx="203200" cy="350520"/>
                <wp:effectExtent l="0" t="0" r="0" b="0"/>
                <wp:wrapSquare wrapText="right"/>
                <wp:docPr id="129" name="Frame3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199">
                <wp:simplePos x="0" y="0"/>
                <wp:positionH relativeFrom="column">
                  <wp:align>left</wp:align>
                </wp:positionH>
                <wp:positionV relativeFrom="line">
                  <wp:align>top</wp:align>
                </wp:positionV>
                <wp:extent cx="203200" cy="350520"/>
                <wp:effectExtent l="0" t="0" r="0" b="0"/>
                <wp:wrapSquare wrapText="right"/>
                <wp:docPr id="130" name="Frame3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200">
                <wp:simplePos x="0" y="0"/>
                <wp:positionH relativeFrom="column">
                  <wp:align>left</wp:align>
                </wp:positionH>
                <wp:positionV relativeFrom="line">
                  <wp:posOffset>635</wp:posOffset>
                </wp:positionV>
                <wp:extent cx="203200" cy="350520"/>
                <wp:effectExtent l="0" t="0" r="0" b="0"/>
                <wp:wrapSquare wrapText="right"/>
                <wp:docPr id="131" name="Frame3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01">
                <wp:simplePos x="0" y="0"/>
                <wp:positionH relativeFrom="column">
                  <wp:align>left</wp:align>
                </wp:positionH>
                <wp:positionV relativeFrom="line">
                  <wp:align>top</wp:align>
                </wp:positionV>
                <wp:extent cx="203200" cy="350520"/>
                <wp:effectExtent l="0" t="0" r="0" b="0"/>
                <wp:wrapSquare wrapText="right"/>
                <wp:docPr id="132" name="Frame3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4"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4"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03200" cy="350520"/>
                <wp:effectExtent l="0" t="0" r="0" b="0"/>
                <wp:wrapSquare wrapText="right"/>
                <wp:docPr id="133" name="Frame3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0" distR="0" simplePos="0" locked="0" layoutInCell="1" allowOverlap="1" relativeHeight="203">
                <wp:simplePos x="0" y="0"/>
                <wp:positionH relativeFrom="column">
                  <wp:align>left</wp:align>
                </wp:positionH>
                <wp:positionV relativeFrom="line">
                  <wp:align>top</wp:align>
                </wp:positionV>
                <wp:extent cx="203200" cy="350520"/>
                <wp:effectExtent l="0" t="0" r="0" b="0"/>
                <wp:wrapSquare wrapText="right"/>
                <wp:docPr id="134" name="Frame3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16840" distB="0" distL="0" distR="0" simplePos="0" locked="0" layoutInCell="1" allowOverlap="1" relativeHeight="204">
                <wp:simplePos x="0" y="0"/>
                <wp:positionH relativeFrom="column">
                  <wp:align>left</wp:align>
                </wp:positionH>
                <wp:positionV relativeFrom="line">
                  <wp:align>top</wp:align>
                </wp:positionV>
                <wp:extent cx="139700" cy="350520"/>
                <wp:effectExtent l="0" t="0" r="0" b="0"/>
                <wp:wrapSquare wrapText="right"/>
                <wp:docPr id="135" name="Frame3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before="0" w:after="283"/>
                              <w:jc w:val="left"/>
                              <w:rPr/>
                            </w:pPr>
                            <w:r>
                              <w:rPr>
                                <w:spacing w:val="-1"/>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sz w:val="16"/>
                        </w:rPr>
                        <w:br/>
                      </w:r>
                    </w:p>
                  </w:txbxContent>
                </v:textbox>
                <w10:wrap type="square" side="right"/>
              </v:rect>
            </w:pict>
          </mc:Fallback>
        </mc:AlternateConten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1">
                <wp:simplePos x="0" y="0"/>
                <wp:positionH relativeFrom="column">
                  <wp:align>left</wp:align>
                </wp:positionH>
                <wp:positionV relativeFrom="line">
                  <wp:posOffset>635</wp:posOffset>
                </wp:positionV>
                <wp:extent cx="1358900" cy="4034155"/>
                <wp:effectExtent l="0" t="0" r="0" b="0"/>
                <wp:wrapSquare wrapText="right"/>
                <wp:docPr id="136" name="Frame39"/>
                <a:graphic xmlns:a="http://schemas.openxmlformats.org/drawingml/2006/main">
                  <a:graphicData uri="http://schemas.microsoft.com/office/word/2010/wordprocessingShape">
                    <wps:wsp>
                      <wps:cNvSpPr txBox="1"/>
                      <wps:spPr>
                        <a:xfrm>
                          <a:off x="0" y="0"/>
                          <a:ext cx="1358900" cy="4034155"/>
                        </a:xfrm>
                        <a:prstGeom prst="rect"/>
                        <a:solidFill>
                          <a:srgbClr val="FFFFFF"/>
                        </a:solidFill>
                      </wps:spPr>
                      <wps:txb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3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0" descr=""/>
                                                <pic:cNvPicPr>
                                                  <a:picLocks noChangeAspect="1" noChangeArrowheads="1"/>
                                                </pic:cNvPicPr>
                                              </pic:nvPicPr>
                                              <pic:blipFill>
                                                <a:blip r:embed="rId99"/>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54</w:t>
                                  </w:r>
                                  <w:r>
                                    <w:rPr>
                                      <w:b/>
                                    </w:rPr>
                                    <w:t xml:space="preserve"> </w:t>
                                    <w:br/>
                                  </w:r>
                                  <w:r>
                                    <w:rPr>
                                      <w:b/>
                                      <w:spacing w:val="0"/>
                                    </w:rPr>
                                    <w:t>Director Since:</w:t>
                                  </w:r>
                                  <w:r>
                                    <w:rPr>
                                      <w:b/>
                                      <w:spacing w:val="-1"/>
                                    </w:rPr>
                                    <w:t xml:space="preserve"> </w:t>
                                  </w:r>
                                  <w:r>
                                    <w:rPr>
                                      <w:b w:val="false"/>
                                      <w:spacing w:val="-1"/>
                                    </w:rPr>
                                    <w:t>2023</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17.65pt;mso-wrap-distance-left:36pt;mso-wrap-distance-right:0pt;mso-wrap-distance-top:0pt;mso-wrap-distance-bottom:0pt;margin-top:0pt;mso-position-vertical:top;mso-position-vertical-relative:text;margin-left:179pt;mso-position-horizontal:left;mso-position-horizontal-relative:text">
                <v:textbo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3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0" descr=""/>
                                          <pic:cNvPicPr>
                                            <a:picLocks noChangeAspect="1" noChangeArrowheads="1"/>
                                          </pic:cNvPicPr>
                                        </pic:nvPicPr>
                                        <pic:blipFill>
                                          <a:blip r:embed="rId100"/>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54</w:t>
                            </w:r>
                            <w:r>
                              <w:rPr>
                                <w:b/>
                              </w:rPr>
                              <w:t xml:space="preserve"> </w:t>
                              <w:br/>
                            </w:r>
                            <w:r>
                              <w:rPr>
                                <w:b/>
                                <w:spacing w:val="0"/>
                              </w:rPr>
                              <w:t>Director Since:</w:t>
                            </w:r>
                            <w:r>
                              <w:rPr>
                                <w:b/>
                                <w:spacing w:val="-1"/>
                              </w:rPr>
                              <w:t xml:space="preserve"> </w:t>
                            </w:r>
                            <w:r>
                              <w:rPr>
                                <w:b w:val="false"/>
                                <w:spacing w:val="-1"/>
                              </w:rPr>
                              <w:t>2023</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05">
                <wp:simplePos x="0" y="0"/>
                <wp:positionH relativeFrom="column">
                  <wp:align>left</wp:align>
                </wp:positionH>
                <wp:positionV relativeFrom="line">
                  <wp:posOffset>635</wp:posOffset>
                </wp:positionV>
                <wp:extent cx="5118100" cy="5686425"/>
                <wp:effectExtent l="0" t="0" r="0" b="0"/>
                <wp:wrapSquare wrapText="right"/>
                <wp:docPr id="139" name="Frame40"/>
                <a:graphic xmlns:a="http://schemas.openxmlformats.org/drawingml/2006/main">
                  <a:graphicData uri="http://schemas.microsoft.com/office/word/2010/wordprocessingShape">
                    <wps:wsp>
                      <wps:cNvSpPr txBox="1"/>
                      <wps:spPr>
                        <a:xfrm>
                          <a:off x="0" y="0"/>
                          <a:ext cx="5118100" cy="56864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b/>
                                      <w:color w:val="0055B7"/>
                                      <w:sz w:val="24"/>
                                    </w:rPr>
                                  </w:pPr>
                                  <w:r>
                                    <w:rPr>
                                      <w:b/>
                                      <w:color w:val="0055B7"/>
                                      <w:spacing w:val="-1"/>
                                      <w:sz w:val="24"/>
                                    </w:rPr>
                                    <w:t>James M. Boyle</w:t>
                                  </w:r>
                                  <w:r>
                                    <w:rPr>
                                      <w:b/>
                                      <w:color w:val="000000"/>
                                      <w:sz w:val="24"/>
                                    </w:rPr>
                                    <w:t>​</w:t>
                                  </w:r>
                                  <w:r>
                                    <w:rPr>
                                      <w:b/>
                                      <w:color w:val="0055B7"/>
                                      <w:sz w:val="24"/>
                                    </w:rPr>
                                    <w:t xml:space="preserve"> </w:t>
                                  </w:r>
                                </w:p>
                                <w:p>
                                  <w:pPr>
                                    <w:pStyle w:val="TableContents"/>
                                    <w:bidi w:val="0"/>
                                    <w:spacing w:lineRule="atLeast" w:line="245" w:before="45" w:after="283"/>
                                    <w:jc w:val="left"/>
                                    <w:rPr>
                                      <w:b/>
                                      <w:sz w:val="20"/>
                                    </w:rPr>
                                  </w:pPr>
                                  <w:r>
                                    <w:rPr>
                                      <w:b/>
                                      <w:spacing w:val="0"/>
                                      <w:sz w:val="20"/>
                                    </w:rPr>
                                    <w:t>Medline CEO</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Boyle brings to the Board perspective, experience, and thorough knowledge of our industry as our Chief Executive Officer.</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Medline</w:t>
                                  </w:r>
                                  <w:r>
                                    <w:rPr>
                                      <w:b/>
                                    </w:rPr>
                                    <w:t xml:space="preserve"> </w:t>
                                  </w:r>
                                </w:p>
                                <w:p>
                                  <w:pPr>
                                    <w:pStyle w:val="TableContents"/>
                                    <w:bidi w:val="0"/>
                                    <w:spacing w:lineRule="atLeast" w:line="180" w:before="165" w:after="0"/>
                                    <w:ind w:left="680" w:right="0" w:hanging="0"/>
                                    <w:jc w:val="left"/>
                                    <w:rPr>
                                      <w:spacing w:val="-1"/>
                                    </w:rPr>
                                  </w:pPr>
                                  <w:r>
                                    <w:rPr>
                                      <w:spacing w:val="-1"/>
                                    </w:rPr>
                                    <w:t xml:space="preserve">Chief Executive Officer (since October 2023)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spacing w:val="-1"/>
                                    </w:rPr>
                                  </w:pPr>
                                  <w:r>
                                    <w:rPr>
                                      <w:spacing w:val="-1"/>
                                    </w:rPr>
                                    <w:t xml:space="preserve">Executive Vice President, Sales (2018 to October 2023)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spacing w:val="-1"/>
                                    </w:rPr>
                                  </w:pPr>
                                  <w:r>
                                    <w:rPr>
                                      <w:spacing w:val="-1"/>
                                    </w:rPr>
                                    <w:t xml:space="preserve">Senior Vice President, National Field Sales (2018)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spacing w:val="-1"/>
                                    </w:rPr>
                                  </w:pPr>
                                  <w:r>
                                    <w:rPr>
                                      <w:spacing w:val="-1"/>
                                    </w:rPr>
                                    <w:t xml:space="preserve">Senior Vice President, Sales (2014 to 2018)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Various sales positions (1996 to 2014)</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p>
                                  <w:pPr>
                                    <w:pStyle w:val="TableContents"/>
                                    <w:bidi w:val="0"/>
                                    <w:spacing w:lineRule="atLeast" w:line="180" w:before="165" w:after="283"/>
                                    <w:jc w:val="left"/>
                                    <w:rPr/>
                                  </w:pPr>
                                  <w:r>
                                    <w:rPr>
                                      <w:spacing w:val="-1"/>
                                    </w:rPr>
                                    <w:t>None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pt;height:447.75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b/>
                                <w:color w:val="0055B7"/>
                                <w:sz w:val="24"/>
                              </w:rPr>
                            </w:pPr>
                            <w:r>
                              <w:rPr>
                                <w:b/>
                                <w:color w:val="0055B7"/>
                                <w:spacing w:val="-1"/>
                                <w:sz w:val="24"/>
                              </w:rPr>
                              <w:t>James M. Boyle</w:t>
                            </w:r>
                            <w:r>
                              <w:rPr>
                                <w:b/>
                                <w:color w:val="000000"/>
                                <w:sz w:val="24"/>
                              </w:rPr>
                              <w:t>​</w:t>
                            </w:r>
                            <w:r>
                              <w:rPr>
                                <w:b/>
                                <w:color w:val="0055B7"/>
                                <w:sz w:val="24"/>
                              </w:rPr>
                              <w:t xml:space="preserve"> </w:t>
                            </w:r>
                          </w:p>
                          <w:p>
                            <w:pPr>
                              <w:pStyle w:val="TableContents"/>
                              <w:bidi w:val="0"/>
                              <w:spacing w:lineRule="atLeast" w:line="245" w:before="45" w:after="283"/>
                              <w:jc w:val="left"/>
                              <w:rPr>
                                <w:b/>
                                <w:sz w:val="20"/>
                              </w:rPr>
                            </w:pPr>
                            <w:r>
                              <w:rPr>
                                <w:b/>
                                <w:spacing w:val="0"/>
                                <w:sz w:val="20"/>
                              </w:rPr>
                              <w:t>Medline CEO</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Boyle brings to the Board perspective, experience, and thorough knowledge of our industry as our Chief Executive Officer.</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Medline</w:t>
                            </w:r>
                            <w:r>
                              <w:rPr>
                                <w:b/>
                              </w:rPr>
                              <w:t xml:space="preserve"> </w:t>
                            </w:r>
                          </w:p>
                          <w:p>
                            <w:pPr>
                              <w:pStyle w:val="TableContents"/>
                              <w:bidi w:val="0"/>
                              <w:spacing w:lineRule="atLeast" w:line="180" w:before="165" w:after="0"/>
                              <w:ind w:left="680" w:right="0" w:hanging="0"/>
                              <w:jc w:val="left"/>
                              <w:rPr>
                                <w:spacing w:val="-1"/>
                              </w:rPr>
                            </w:pPr>
                            <w:r>
                              <w:rPr>
                                <w:spacing w:val="-1"/>
                              </w:rPr>
                              <w:t xml:space="preserve">Chief Executive Officer (since October 2023)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spacing w:val="-1"/>
                              </w:rPr>
                            </w:pPr>
                            <w:r>
                              <w:rPr>
                                <w:spacing w:val="-1"/>
                              </w:rPr>
                              <w:t xml:space="preserve">Executive Vice President, Sales (2018 to October 2023)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spacing w:val="-1"/>
                              </w:rPr>
                            </w:pPr>
                            <w:r>
                              <w:rPr>
                                <w:spacing w:val="-1"/>
                              </w:rPr>
                              <w:t xml:space="preserve">Senior Vice President, National Field Sales (2018)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spacing w:val="-1"/>
                              </w:rPr>
                            </w:pPr>
                            <w:r>
                              <w:rPr>
                                <w:spacing w:val="-1"/>
                              </w:rPr>
                              <w:t xml:space="preserve">Senior Vice President, Sales (2014 to 2018)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Various sales positions (1996 to 2014)</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p>
                            <w:pPr>
                              <w:pStyle w:val="TableContents"/>
                              <w:bidi w:val="0"/>
                              <w:spacing w:lineRule="atLeast" w:line="180" w:before="165" w:after="283"/>
                              <w:jc w:val="left"/>
                              <w:rPr/>
                            </w:pPr>
                            <w:r>
                              <w:rPr>
                                <w:spacing w:val="-1"/>
                              </w:rPr>
                              <w:t>None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4775" distB="0" distL="228600" distR="0" simplePos="0" locked="0" layoutInCell="1" allowOverlap="1" relativeHeight="206">
                <wp:simplePos x="0" y="0"/>
                <wp:positionH relativeFrom="column">
                  <wp:align>left</wp:align>
                </wp:positionH>
                <wp:positionV relativeFrom="line">
                  <wp:align>top</wp:align>
                </wp:positionV>
                <wp:extent cx="203200" cy="350520"/>
                <wp:effectExtent l="0" t="0" r="0" b="0"/>
                <wp:wrapSquare wrapText="right"/>
                <wp:docPr id="140" name="Frame4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07">
                <wp:simplePos x="0" y="0"/>
                <wp:positionH relativeFrom="column">
                  <wp:align>left</wp:align>
                </wp:positionH>
                <wp:positionV relativeFrom="line">
                  <wp:align>top</wp:align>
                </wp:positionV>
                <wp:extent cx="203200" cy="350520"/>
                <wp:effectExtent l="0" t="0" r="0" b="0"/>
                <wp:wrapSquare wrapText="right"/>
                <wp:docPr id="141" name="Frame4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08">
                <wp:simplePos x="0" y="0"/>
                <wp:positionH relativeFrom="column">
                  <wp:align>left</wp:align>
                </wp:positionH>
                <wp:positionV relativeFrom="line">
                  <wp:align>top</wp:align>
                </wp:positionV>
                <wp:extent cx="203200" cy="350520"/>
                <wp:effectExtent l="0" t="0" r="0" b="0"/>
                <wp:wrapSquare wrapText="right"/>
                <wp:docPr id="142" name="Frame4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09">
                <wp:simplePos x="0" y="0"/>
                <wp:positionH relativeFrom="column">
                  <wp:align>left</wp:align>
                </wp:positionH>
                <wp:positionV relativeFrom="line">
                  <wp:align>top</wp:align>
                </wp:positionV>
                <wp:extent cx="203200" cy="350520"/>
                <wp:effectExtent l="0" t="0" r="0" b="0"/>
                <wp:wrapSquare wrapText="right"/>
                <wp:docPr id="143" name="Frame4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10">
                <wp:simplePos x="0" y="0"/>
                <wp:positionH relativeFrom="column">
                  <wp:align>left</wp:align>
                </wp:positionH>
                <wp:positionV relativeFrom="line">
                  <wp:align>top</wp:align>
                </wp:positionV>
                <wp:extent cx="203200" cy="350520"/>
                <wp:effectExtent l="0" t="0" r="0" b="0"/>
                <wp:wrapSquare wrapText="right"/>
                <wp:docPr id="144" name="Frame4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142" w:before="272" w:after="283"/>
        <w:ind w:left="720" w:right="0" w:hanging="0"/>
        <w:jc w:val="left"/>
        <w:rPr>
          <w:caps w:val="false"/>
          <w:smallCaps w:val="false"/>
          <w:color w:val="000000"/>
        </w:rPr>
      </w:pPr>
      <w:r>
        <w:rPr>
          <w:caps w:val="false"/>
          <w:smallCaps w:val="false"/>
          <w:color w:val="000000"/>
          <w:spacing w:val="0"/>
        </w:rPr>
        <w:t>   </w:t>
      </w:r>
      <w:r>
        <w:rPr>
          <w:caps w:val="false"/>
          <w:smallCaps w:val="false"/>
          <w:color w:val="000000"/>
          <w:spacing w:val="1"/>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3">
                <wp:simplePos x="0" y="0"/>
                <wp:positionH relativeFrom="column">
                  <wp:align>left</wp:align>
                </wp:positionH>
                <wp:positionV relativeFrom="line">
                  <wp:posOffset>635</wp:posOffset>
                </wp:positionV>
                <wp:extent cx="1358900" cy="4034155"/>
                <wp:effectExtent l="0" t="0" r="0" b="0"/>
                <wp:wrapSquare wrapText="right"/>
                <wp:docPr id="145" name="Frame46"/>
                <a:graphic xmlns:a="http://schemas.openxmlformats.org/drawingml/2006/main">
                  <a:graphicData uri="http://schemas.microsoft.com/office/word/2010/wordprocessingShape">
                    <wps:wsp>
                      <wps:cNvSpPr txBox="1"/>
                      <wps:spPr>
                        <a:xfrm>
                          <a:off x="0" y="0"/>
                          <a:ext cx="1358900" cy="4034155"/>
                        </a:xfrm>
                        <a:prstGeom prst="rect"/>
                        <a:solidFill>
                          <a:srgbClr val="FFFFFF"/>
                        </a:solidFill>
                      </wps:spPr>
                      <wps:txb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4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1" descr=""/>
                                                <pic:cNvPicPr>
                                                  <a:picLocks noChangeAspect="1" noChangeArrowheads="1"/>
                                                </pic:cNvPicPr>
                                              </pic:nvPicPr>
                                              <pic:blipFill>
                                                <a:blip r:embed="rId101"/>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 xml:space="preserve">70 </w:t>
                                  </w:r>
                                  <w:r>
                                    <w:rPr>
                                      <w:b/>
                                    </w:rPr>
                                    <w:br/>
                                  </w:r>
                                  <w:r>
                                    <w:rPr>
                                      <w:b/>
                                      <w:spacing w:val="0"/>
                                    </w:rPr>
                                    <w:t>Director Since:</w:t>
                                  </w:r>
                                  <w:r>
                                    <w:rPr>
                                      <w:b/>
                                      <w:spacing w:val="-1"/>
                                    </w:rPr>
                                    <w:t xml:space="preserve"> </w:t>
                                  </w:r>
                                  <w:r>
                                    <w:rPr>
                                      <w:b w:val="false"/>
                                      <w:spacing w:val="-1"/>
                                    </w:rPr>
                                    <w:t xml:space="preserve">2025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Audit Committee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pPr>
                                  <w:r>
                                    <w:rPr>
                                      <w:spacing w:val="-1"/>
                                    </w:rPr>
                                    <w:t>1</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17.65pt;mso-wrap-distance-left:36pt;mso-wrap-distance-right:0pt;mso-wrap-distance-top:0pt;mso-wrap-distance-bottom:0pt;margin-top:0pt;mso-position-vertical:top;mso-position-vertical-relative:text;margin-left:322pt;mso-position-horizontal:left;mso-position-horizontal-relative:text">
                <v:textbo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4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1" descr=""/>
                                          <pic:cNvPicPr>
                                            <a:picLocks noChangeAspect="1" noChangeArrowheads="1"/>
                                          </pic:cNvPicPr>
                                        </pic:nvPicPr>
                                        <pic:blipFill>
                                          <a:blip r:embed="rId102"/>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 xml:space="preserve">70 </w:t>
                            </w:r>
                            <w:r>
                              <w:rPr>
                                <w:b/>
                              </w:rPr>
                              <w:br/>
                            </w:r>
                            <w:r>
                              <w:rPr>
                                <w:b/>
                                <w:spacing w:val="0"/>
                              </w:rPr>
                              <w:t>Director Since:</w:t>
                            </w:r>
                            <w:r>
                              <w:rPr>
                                <w:b/>
                                <w:spacing w:val="-1"/>
                              </w:rPr>
                              <w:t xml:space="preserve"> </w:t>
                            </w:r>
                            <w:r>
                              <w:rPr>
                                <w:b w:val="false"/>
                                <w:spacing w:val="-1"/>
                              </w:rPr>
                              <w:t xml:space="preserve">2025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Audit Committee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pPr>
                            <w:r>
                              <w:rPr>
                                <w:spacing w:val="-1"/>
                              </w:rPr>
                              <w:t>1</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11">
                <wp:simplePos x="0" y="0"/>
                <wp:positionH relativeFrom="column">
                  <wp:align>left</wp:align>
                </wp:positionH>
                <wp:positionV relativeFrom="line">
                  <wp:posOffset>635</wp:posOffset>
                </wp:positionV>
                <wp:extent cx="5118100" cy="6802120"/>
                <wp:effectExtent l="0" t="0" r="0" b="0"/>
                <wp:wrapSquare wrapText="right"/>
                <wp:docPr id="148" name="Frame47"/>
                <a:graphic xmlns:a="http://schemas.openxmlformats.org/drawingml/2006/main">
                  <a:graphicData uri="http://schemas.microsoft.com/office/word/2010/wordprocessingShape">
                    <wps:wsp>
                      <wps:cNvSpPr txBox="1"/>
                      <wps:spPr>
                        <a:xfrm>
                          <a:off x="0" y="0"/>
                          <a:ext cx="5118100" cy="68021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7503"/>
                              <w:gridCol w:w="119"/>
                              <w:gridCol w:w="119"/>
                              <w:gridCol w:w="2183"/>
                              <w:gridCol w:w="157"/>
                            </w:tblGrid>
                            <w:tr>
                              <w:trPr/>
                              <w:tc>
                                <w:tcPr>
                                  <w:tcW w:w="124" w:type="dxa"/>
                                  <w:tcBorders/>
                                  <w:vAlign w:val="center"/>
                                </w:tcPr>
                                <w:p>
                                  <w:pPr>
                                    <w:pStyle w:val="TableContents"/>
                                    <w:bidi w:val="0"/>
                                    <w:spacing w:before="0" w:after="283"/>
                                    <w:jc w:val="left"/>
                                    <w:rPr/>
                                  </w:pPr>
                                  <w:r>
                                    <w:rPr/>
                                    <w:t>​</w:t>
                                  </w:r>
                                </w:p>
                              </w:tc>
                              <w:tc>
                                <w:tcPr>
                                  <w:tcW w:w="9924" w:type="dxa"/>
                                  <w:gridSpan w:val="4"/>
                                  <w:tcBorders/>
                                  <w:vAlign w:val="center"/>
                                </w:tcPr>
                                <w:p>
                                  <w:pPr>
                                    <w:pStyle w:val="TableContents"/>
                                    <w:bidi w:val="0"/>
                                    <w:spacing w:before="0" w:after="0"/>
                                    <w:jc w:val="left"/>
                                    <w:rPr>
                                      <w:b/>
                                      <w:color w:val="0055B7"/>
                                      <w:sz w:val="24"/>
                                    </w:rPr>
                                  </w:pPr>
                                  <w:r>
                                    <w:rPr>
                                      <w:b/>
                                      <w:color w:val="0055B7"/>
                                      <w:spacing w:val="-1"/>
                                      <w:sz w:val="24"/>
                                    </w:rPr>
                                    <w:t>Richard A. Galanti</w:t>
                                  </w:r>
                                  <w:r>
                                    <w:rPr>
                                      <w:b/>
                                      <w:color w:val="0055B7"/>
                                      <w:sz w:val="24"/>
                                    </w:rPr>
                                    <w:t xml:space="preserve"> </w:t>
                                  </w:r>
                                </w:p>
                                <w:p>
                                  <w:pPr>
                                    <w:pStyle w:val="TableContents"/>
                                    <w:bidi w:val="0"/>
                                    <w:spacing w:lineRule="atLeast" w:line="240" w:before="45" w:after="283"/>
                                    <w:jc w:val="left"/>
                                    <w:rPr>
                                      <w:b/>
                                      <w:sz w:val="20"/>
                                    </w:rPr>
                                  </w:pPr>
                                  <w:r>
                                    <w:rPr>
                                      <w:b/>
                                      <w:spacing w:val="0"/>
                                      <w:sz w:val="20"/>
                                    </w:rPr>
                                    <w:t xml:space="preserve">Financial Expert </w:t>
                                    <w:b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Galanti brings to the Board significant finance and financial reporting experience, specifically as the former Chief Financial Officer of Costco Wholesale.</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225" w:before="165" w:after="283"/>
                                    <w:jc w:val="left"/>
                                    <w:rPr/>
                                  </w:pPr>
                                  <w:r>
                                    <w:rPr>
                                      <w:b/>
                                      <w:spacing w:val="0"/>
                                    </w:rPr>
                                    <w:t>Costco Wholesale Corporation</w:t>
                                  </w:r>
                                  <w:r>
                                    <w:rPr>
                                      <w:spacing w:val="-1"/>
                                    </w:rPr>
                                    <w:t>, a global retailer that operates membership warehouse clubs (“Costco”)</w:t>
                                  </w:r>
                                  <w:r>
                                    <w:rPr/>
                                    <w:t xml:space="preserve"> </w:t>
                                  </w:r>
                                </w:p>
                                <w:p>
                                  <w:pPr>
                                    <w:pStyle w:val="TableContents"/>
                                    <w:bidi w:val="0"/>
                                    <w:spacing w:lineRule="atLeast" w:line="180" w:before="165" w:after="0"/>
                                    <w:ind w:left="680" w:right="0" w:hanging="0"/>
                                    <w:jc w:val="left"/>
                                    <w:rPr/>
                                  </w:pPr>
                                  <w:r>
                                    <w:rPr>
                                      <w:spacing w:val="-1"/>
                                    </w:rPr>
                                    <w:t>Executive Vice President (March 2024 to January 2025)</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Executive Vice President and Chief Financial Officer (1993 to March 2024)</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Senior Vice President, Chief Financial Officer, and Treasurer (1985 to 1993)</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Vice President of Finance (1984 to 1985)</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3" w:type="dxa"/>
                                  <w:tcBorders/>
                                  <w:vAlign w:val="center"/>
                                </w:tcPr>
                                <w:p>
                                  <w:pPr>
                                    <w:pStyle w:val="TableContents"/>
                                    <w:bidi w:val="0"/>
                                    <w:spacing w:lineRule="atLeast" w:line="225" w:before="0" w:after="0"/>
                                    <w:ind w:left="680" w:right="0" w:hanging="0"/>
                                    <w:jc w:val="left"/>
                                    <w:rPr/>
                                  </w:pPr>
                                  <w:r>
                                    <w:rPr>
                                      <w:b/>
                                      <w:spacing w:val="0"/>
                                    </w:rPr>
                                    <w:t>Affirm Holdings, Inc.</w:t>
                                  </w:r>
                                  <w:r>
                                    <w:rPr>
                                      <w:spacing w:val="-1"/>
                                    </w:rPr>
                                    <w:t>, a financial technology company and a point-of-sale lender (since 2025)</w:t>
                                  </w:r>
                                  <w:r>
                                    <w:rPr>
                                      <w:spacing w:val="-1"/>
                                      <w:szCs w:val="11"/>
                                    </w:rPr>
                                    <w:t>﻿♦</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Veterinary Emergency Group</w:t>
                                  </w:r>
                                  <w:r>
                                    <w:rPr>
                                      <w:spacing w:val="-1"/>
                                    </w:rPr>
                                    <w:t>, a veterinary emergency company (since 2021)</w:t>
                                  </w:r>
                                  <w:r>
                                    <w:rPr/>
                                    <w:t xml:space="preserve"> </w:t>
                                  </w:r>
                                </w:p>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2183" w:type="dxa"/>
                                  <w:tcBorders/>
                                  <w:vAlign w:val="center"/>
                                </w:tcPr>
                                <w:p>
                                  <w:pPr>
                                    <w:pStyle w:val="TableContents"/>
                                    <w:bidi w:val="0"/>
                                    <w:spacing w:lineRule="atLeast" w:line="180" w:before="0" w:after="0"/>
                                    <w:ind w:left="320" w:right="0" w:hanging="0"/>
                                    <w:jc w:val="left"/>
                                    <w:rPr/>
                                  </w:pPr>
                                  <w:r>
                                    <w:rPr>
                                      <w:b/>
                                      <w:spacing w:val="0"/>
                                    </w:rPr>
                                    <w:t>Costco</w:t>
                                  </w:r>
                                  <w:r>
                                    <w:rPr>
                                      <w:spacing w:val="-1"/>
                                    </w:rPr>
                                    <w:t xml:space="preserve"> (1995 to 2025)</w:t>
                                  </w:r>
                                  <w:r>
                                    <w:rPr/>
                                    <w:t xml:space="preserve"> </w: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00" w:before="184" w:after="0"/>
                              <w:ind w:left="220" w:right="0" w:hanging="0"/>
                              <w:jc w:val="left"/>
                              <w:rPr>
                                <w:sz w:val="16"/>
                              </w:rPr>
                            </w:pPr>
                            <w:r>
                              <w:rPr>
                                <w:spacing w:val="-1"/>
                                <w:sz w:val="16"/>
                              </w:rPr>
                              <w:t>current public company board</w:t>
                            </w:r>
                            <w:r>
                              <w:rPr>
                                <w:sz w:val="16"/>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403pt;height:535.6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7503"/>
                        <w:gridCol w:w="119"/>
                        <w:gridCol w:w="119"/>
                        <w:gridCol w:w="2183"/>
                        <w:gridCol w:w="157"/>
                      </w:tblGrid>
                      <w:tr>
                        <w:trPr/>
                        <w:tc>
                          <w:tcPr>
                            <w:tcW w:w="124" w:type="dxa"/>
                            <w:tcBorders/>
                            <w:vAlign w:val="center"/>
                          </w:tcPr>
                          <w:p>
                            <w:pPr>
                              <w:pStyle w:val="TableContents"/>
                              <w:bidi w:val="0"/>
                              <w:spacing w:before="0" w:after="283"/>
                              <w:jc w:val="left"/>
                              <w:rPr/>
                            </w:pPr>
                            <w:r>
                              <w:rPr/>
                              <w:t>​</w:t>
                            </w:r>
                          </w:p>
                        </w:tc>
                        <w:tc>
                          <w:tcPr>
                            <w:tcW w:w="9924" w:type="dxa"/>
                            <w:gridSpan w:val="4"/>
                            <w:tcBorders/>
                            <w:vAlign w:val="center"/>
                          </w:tcPr>
                          <w:p>
                            <w:pPr>
                              <w:pStyle w:val="TableContents"/>
                              <w:bidi w:val="0"/>
                              <w:spacing w:before="0" w:after="0"/>
                              <w:jc w:val="left"/>
                              <w:rPr>
                                <w:b/>
                                <w:color w:val="0055B7"/>
                                <w:sz w:val="24"/>
                              </w:rPr>
                            </w:pPr>
                            <w:r>
                              <w:rPr>
                                <w:b/>
                                <w:color w:val="0055B7"/>
                                <w:spacing w:val="-1"/>
                                <w:sz w:val="24"/>
                              </w:rPr>
                              <w:t>Richard A. Galanti</w:t>
                            </w:r>
                            <w:r>
                              <w:rPr>
                                <w:b/>
                                <w:color w:val="0055B7"/>
                                <w:sz w:val="24"/>
                              </w:rPr>
                              <w:t xml:space="preserve"> </w:t>
                            </w:r>
                          </w:p>
                          <w:p>
                            <w:pPr>
                              <w:pStyle w:val="TableContents"/>
                              <w:bidi w:val="0"/>
                              <w:spacing w:lineRule="atLeast" w:line="240" w:before="45" w:after="283"/>
                              <w:jc w:val="left"/>
                              <w:rPr>
                                <w:b/>
                                <w:sz w:val="20"/>
                              </w:rPr>
                            </w:pPr>
                            <w:r>
                              <w:rPr>
                                <w:b/>
                                <w:spacing w:val="0"/>
                                <w:sz w:val="20"/>
                              </w:rPr>
                              <w:t xml:space="preserve">Financial Expert </w:t>
                              <w:b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Galanti brings to the Board significant finance and financial reporting experience, specifically as the former Chief Financial Officer of Costco Wholesale.</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225" w:before="165" w:after="283"/>
                              <w:jc w:val="left"/>
                              <w:rPr/>
                            </w:pPr>
                            <w:r>
                              <w:rPr>
                                <w:b/>
                                <w:spacing w:val="0"/>
                              </w:rPr>
                              <w:t>Costco Wholesale Corporation</w:t>
                            </w:r>
                            <w:r>
                              <w:rPr>
                                <w:spacing w:val="-1"/>
                              </w:rPr>
                              <w:t>, a global retailer that operates membership warehouse clubs (“Costco”)</w:t>
                            </w:r>
                            <w:r>
                              <w:rPr/>
                              <w:t xml:space="preserve"> </w:t>
                            </w:r>
                          </w:p>
                          <w:p>
                            <w:pPr>
                              <w:pStyle w:val="TableContents"/>
                              <w:bidi w:val="0"/>
                              <w:spacing w:lineRule="atLeast" w:line="180" w:before="165" w:after="0"/>
                              <w:ind w:left="680" w:right="0" w:hanging="0"/>
                              <w:jc w:val="left"/>
                              <w:rPr/>
                            </w:pPr>
                            <w:r>
                              <w:rPr>
                                <w:spacing w:val="-1"/>
                              </w:rPr>
                              <w:t>Executive Vice President (March 2024 to January 2025)</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Executive Vice President and Chief Financial Officer (1993 to March 2024)</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Senior Vice President, Chief Financial Officer, and Treasurer (1985 to 1993)</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Vice President of Finance (1984 to 1985)</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3" w:type="dxa"/>
                            <w:tcBorders/>
                            <w:vAlign w:val="center"/>
                          </w:tcPr>
                          <w:p>
                            <w:pPr>
                              <w:pStyle w:val="TableContents"/>
                              <w:bidi w:val="0"/>
                              <w:spacing w:lineRule="atLeast" w:line="225" w:before="0" w:after="0"/>
                              <w:ind w:left="680" w:right="0" w:hanging="0"/>
                              <w:jc w:val="left"/>
                              <w:rPr/>
                            </w:pPr>
                            <w:r>
                              <w:rPr>
                                <w:b/>
                                <w:spacing w:val="0"/>
                              </w:rPr>
                              <w:t>Affirm Holdings, Inc.</w:t>
                            </w:r>
                            <w:r>
                              <w:rPr>
                                <w:spacing w:val="-1"/>
                              </w:rPr>
                              <w:t>, a financial technology company and a point-of-sale lender (since 2025)</w:t>
                            </w:r>
                            <w:r>
                              <w:rPr>
                                <w:spacing w:val="-1"/>
                                <w:szCs w:val="11"/>
                              </w:rPr>
                              <w:t>﻿♦</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Veterinary Emergency Group</w:t>
                            </w:r>
                            <w:r>
                              <w:rPr>
                                <w:spacing w:val="-1"/>
                              </w:rPr>
                              <w:t>, a veterinary emergency company (since 2021)</w:t>
                            </w:r>
                            <w:r>
                              <w:rPr/>
                              <w:t xml:space="preserve"> </w:t>
                            </w:r>
                          </w:p>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2183" w:type="dxa"/>
                            <w:tcBorders/>
                            <w:vAlign w:val="center"/>
                          </w:tcPr>
                          <w:p>
                            <w:pPr>
                              <w:pStyle w:val="TableContents"/>
                              <w:bidi w:val="0"/>
                              <w:spacing w:lineRule="atLeast" w:line="180" w:before="0" w:after="0"/>
                              <w:ind w:left="320" w:right="0" w:hanging="0"/>
                              <w:jc w:val="left"/>
                              <w:rPr/>
                            </w:pPr>
                            <w:r>
                              <w:rPr>
                                <w:b/>
                                <w:spacing w:val="0"/>
                              </w:rPr>
                              <w:t>Costco</w:t>
                            </w:r>
                            <w:r>
                              <w:rPr>
                                <w:spacing w:val="-1"/>
                              </w:rPr>
                              <w:t xml:space="preserve"> (1995 to 2025)</w:t>
                            </w:r>
                            <w:r>
                              <w:rPr/>
                              <w:t xml:space="preserve"> </w: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00" w:before="184" w:after="0"/>
                        <w:ind w:left="220" w:right="0" w:hanging="0"/>
                        <w:jc w:val="left"/>
                        <w:rPr>
                          <w:sz w:val="16"/>
                        </w:rPr>
                      </w:pPr>
                      <w:r>
                        <w:rPr>
                          <w:spacing w:val="-1"/>
                          <w:sz w:val="16"/>
                        </w:rPr>
                        <w:t>current public company board</w:t>
                      </w:r>
                      <w:r>
                        <w:rPr>
                          <w:sz w:val="16"/>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04775" distB="0" distL="228600" distR="0" simplePos="0" locked="0" layoutInCell="1" allowOverlap="1" relativeHeight="212">
                <wp:simplePos x="0" y="0"/>
                <wp:positionH relativeFrom="column">
                  <wp:align>left</wp:align>
                </wp:positionH>
                <wp:positionV relativeFrom="line">
                  <wp:align>top</wp:align>
                </wp:positionV>
                <wp:extent cx="203200" cy="350520"/>
                <wp:effectExtent l="0" t="0" r="0" b="0"/>
                <wp:wrapSquare wrapText="right"/>
                <wp:docPr id="149" name="Frame4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13">
                <wp:simplePos x="0" y="0"/>
                <wp:positionH relativeFrom="column">
                  <wp:align>left</wp:align>
                </wp:positionH>
                <wp:positionV relativeFrom="line">
                  <wp:align>top</wp:align>
                </wp:positionV>
                <wp:extent cx="203200" cy="350520"/>
                <wp:effectExtent l="0" t="0" r="0" b="0"/>
                <wp:wrapSquare wrapText="right"/>
                <wp:docPr id="150" name="Frame4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14">
                <wp:simplePos x="0" y="0"/>
                <wp:positionH relativeFrom="column">
                  <wp:align>left</wp:align>
                </wp:positionH>
                <wp:positionV relativeFrom="line">
                  <wp:align>top</wp:align>
                </wp:positionV>
                <wp:extent cx="203200" cy="350520"/>
                <wp:effectExtent l="0" t="0" r="0" b="0"/>
                <wp:wrapSquare wrapText="right"/>
                <wp:docPr id="151" name="Frame5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15">
                <wp:simplePos x="0" y="0"/>
                <wp:positionH relativeFrom="column">
                  <wp:align>left</wp:align>
                </wp:positionH>
                <wp:positionV relativeFrom="line">
                  <wp:align>top</wp:align>
                </wp:positionV>
                <wp:extent cx="203200" cy="350520"/>
                <wp:effectExtent l="0" t="0" r="0" b="0"/>
                <wp:wrapSquare wrapText="right"/>
                <wp:docPr id="152" name="Frame5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216">
                <wp:simplePos x="0" y="0"/>
                <wp:positionH relativeFrom="column">
                  <wp:align>left</wp:align>
                </wp:positionH>
                <wp:positionV relativeFrom="line">
                  <wp:posOffset>635</wp:posOffset>
                </wp:positionV>
                <wp:extent cx="203200" cy="350520"/>
                <wp:effectExtent l="0" t="0" r="0" b="0"/>
                <wp:wrapSquare wrapText="right"/>
                <wp:docPr id="153" name="Frame5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17">
                <wp:simplePos x="0" y="0"/>
                <wp:positionH relativeFrom="column">
                  <wp:align>left</wp:align>
                </wp:positionH>
                <wp:positionV relativeFrom="line">
                  <wp:align>top</wp:align>
                </wp:positionV>
                <wp:extent cx="203200" cy="350520"/>
                <wp:effectExtent l="0" t="0" r="0" b="0"/>
                <wp:wrapSquare wrapText="right"/>
                <wp:docPr id="154" name="Frame5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203200" cy="350520"/>
                <wp:effectExtent l="0" t="0" r="0" b="0"/>
                <wp:wrapSquare wrapText="right"/>
                <wp:docPr id="155" name="Frame5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16840" distB="0" distL="0" distR="0" simplePos="0" locked="0" layoutInCell="1" allowOverlap="1" relativeHeight="219">
                <wp:simplePos x="0" y="0"/>
                <wp:positionH relativeFrom="column">
                  <wp:align>left</wp:align>
                </wp:positionH>
                <wp:positionV relativeFrom="line">
                  <wp:align>top</wp:align>
                </wp:positionV>
                <wp:extent cx="139700" cy="350520"/>
                <wp:effectExtent l="0" t="0" r="0" b="0"/>
                <wp:wrapSquare wrapText="right"/>
                <wp:docPr id="156" name="Frame5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before="0" w:after="283"/>
                              <w:jc w:val="left"/>
                              <w:rPr/>
                            </w:pPr>
                            <w:r>
                              <w:rPr>
                                <w:spacing w:val="-1"/>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sz w:val="16"/>
                        </w:rPr>
                        <w:br/>
                      </w:r>
                    </w:p>
                  </w:txbxContent>
                </v:textbox>
                <w10:wrap type="square" side="right"/>
              </v:rect>
            </w:pict>
          </mc:Fallback>
        </mc:AlternateConten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5">
                <wp:simplePos x="0" y="0"/>
                <wp:positionH relativeFrom="column">
                  <wp:align>left</wp:align>
                </wp:positionH>
                <wp:positionV relativeFrom="line">
                  <wp:posOffset>635</wp:posOffset>
                </wp:positionV>
                <wp:extent cx="1358900" cy="4034155"/>
                <wp:effectExtent l="0" t="0" r="0" b="0"/>
                <wp:wrapSquare wrapText="right"/>
                <wp:docPr id="157" name="Frame56"/>
                <a:graphic xmlns:a="http://schemas.openxmlformats.org/drawingml/2006/main">
                  <a:graphicData uri="http://schemas.microsoft.com/office/word/2010/wordprocessingShape">
                    <wps:wsp>
                      <wps:cNvSpPr txBox="1"/>
                      <wps:spPr>
                        <a:xfrm>
                          <a:off x="0" y="0"/>
                          <a:ext cx="1358900" cy="4034155"/>
                        </a:xfrm>
                        <a:prstGeom prst="rect"/>
                        <a:solidFill>
                          <a:srgbClr val="FFFFFF"/>
                        </a:solidFill>
                      </wps:spPr>
                      <wps:txb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5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2" descr=""/>
                                                <pic:cNvPicPr>
                                                  <a:picLocks noChangeAspect="1" noChangeArrowheads="1"/>
                                                </pic:cNvPicPr>
                                              </pic:nvPicPr>
                                              <pic:blipFill>
                                                <a:blip r:embed="rId103"/>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59</w:t>
                                  </w:r>
                                  <w:r>
                                    <w:rPr>
                                      <w:b/>
                                    </w:rPr>
                                    <w:t xml:space="preserve"> </w:t>
                                    <w:br/>
                                  </w:r>
                                  <w:r>
                                    <w:rPr>
                                      <w:b/>
                                      <w:spacing w:val="0"/>
                                    </w:rPr>
                                    <w:t>Director Since:</w:t>
                                  </w:r>
                                  <w:r>
                                    <w:rPr>
                                      <w:b/>
                                      <w:spacing w:val="-1"/>
                                    </w:rPr>
                                    <w:t xml:space="preserve"> </w:t>
                                  </w:r>
                                  <w:r>
                                    <w:rPr>
                                      <w:b w:val="false"/>
                                      <w:spacing w:val="-1"/>
                                    </w:rPr>
                                    <w:t>2025</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17.65pt;mso-wrap-distance-left:36pt;mso-wrap-distance-right:0pt;mso-wrap-distance-top:0pt;mso-wrap-distance-bottom:0pt;margin-top:0pt;mso-position-vertical:top;mso-position-vertical-relative:text;margin-left:36pt;mso-position-horizontal:left;mso-position-horizontal-relative:text">
                <v:textbo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5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2" descr=""/>
                                          <pic:cNvPicPr>
                                            <a:picLocks noChangeAspect="1" noChangeArrowheads="1"/>
                                          </pic:cNvPicPr>
                                        </pic:nvPicPr>
                                        <pic:blipFill>
                                          <a:blip r:embed="rId104"/>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59</w:t>
                            </w:r>
                            <w:r>
                              <w:rPr>
                                <w:b/>
                              </w:rPr>
                              <w:t xml:space="preserve"> </w:t>
                              <w:br/>
                            </w:r>
                            <w:r>
                              <w:rPr>
                                <w:b/>
                                <w:spacing w:val="0"/>
                              </w:rPr>
                              <w:t>Director Since:</w:t>
                            </w:r>
                            <w:r>
                              <w:rPr>
                                <w:b/>
                                <w:spacing w:val="-1"/>
                              </w:rPr>
                              <w:t xml:space="preserve"> </w:t>
                            </w:r>
                            <w:r>
                              <w:rPr>
                                <w:b w:val="false"/>
                                <w:spacing w:val="-1"/>
                              </w:rPr>
                              <w:t>2025</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20">
                <wp:simplePos x="0" y="0"/>
                <wp:positionH relativeFrom="column">
                  <wp:align>left</wp:align>
                </wp:positionH>
                <wp:positionV relativeFrom="line">
                  <wp:posOffset>635</wp:posOffset>
                </wp:positionV>
                <wp:extent cx="5118100" cy="6306820"/>
                <wp:effectExtent l="0" t="0" r="0" b="0"/>
                <wp:wrapSquare wrapText="right"/>
                <wp:docPr id="160" name="Frame57"/>
                <a:graphic xmlns:a="http://schemas.openxmlformats.org/drawingml/2006/main">
                  <a:graphicData uri="http://schemas.microsoft.com/office/word/2010/wordprocessingShape">
                    <wps:wsp>
                      <wps:cNvSpPr txBox="1"/>
                      <wps:spPr>
                        <a:xfrm>
                          <a:off x="0" y="0"/>
                          <a:ext cx="5118100" cy="63068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5401"/>
                              <w:gridCol w:w="122"/>
                              <w:gridCol w:w="122"/>
                              <w:gridCol w:w="4279"/>
                              <w:gridCol w:w="157"/>
                            </w:tblGrid>
                            <w:tr>
                              <w:trPr/>
                              <w:tc>
                                <w:tcPr>
                                  <w:tcW w:w="124" w:type="dxa"/>
                                  <w:tcBorders/>
                                  <w:vAlign w:val="center"/>
                                </w:tcPr>
                                <w:p>
                                  <w:pPr>
                                    <w:pStyle w:val="TableContents"/>
                                    <w:bidi w:val="0"/>
                                    <w:spacing w:before="0" w:after="283"/>
                                    <w:jc w:val="left"/>
                                    <w:rPr/>
                                  </w:pPr>
                                  <w:r>
                                    <w:rPr/>
                                    <w:t>​</w:t>
                                  </w:r>
                                </w:p>
                              </w:tc>
                              <w:tc>
                                <w:tcPr>
                                  <w:tcW w:w="9924" w:type="dxa"/>
                                  <w:gridSpan w:val="4"/>
                                  <w:tcBorders/>
                                  <w:vAlign w:val="center"/>
                                </w:tcPr>
                                <w:p>
                                  <w:pPr>
                                    <w:pStyle w:val="TableContents"/>
                                    <w:bidi w:val="0"/>
                                    <w:spacing w:before="0" w:after="0"/>
                                    <w:jc w:val="left"/>
                                    <w:rPr>
                                      <w:b/>
                                      <w:color w:val="0055B7"/>
                                      <w:sz w:val="24"/>
                                    </w:rPr>
                                  </w:pPr>
                                  <w:r>
                                    <w:rPr>
                                      <w:b/>
                                      <w:color w:val="0055B7"/>
                                      <w:spacing w:val="-3"/>
                                      <w:sz w:val="24"/>
                                    </w:rPr>
                                    <w:t>P</w:t>
                                  </w:r>
                                  <w:r>
                                    <w:rPr>
                                      <w:b/>
                                      <w:caps w:val="false"/>
                                      <w:smallCaps w:val="false"/>
                                      <w:color w:val="0055B7"/>
                                      <w:spacing w:val="-3"/>
                                      <w:sz w:val="24"/>
                                    </w:rPr>
                                    <w:t>ATRICK</w:t>
                                  </w:r>
                                  <w:r>
                                    <w:rPr>
                                      <w:b/>
                                      <w:color w:val="0055B7"/>
                                      <w:spacing w:val="-3"/>
                                      <w:sz w:val="24"/>
                                    </w:rPr>
                                    <w:t xml:space="preserve"> J. H</w:t>
                                  </w:r>
                                  <w:r>
                                    <w:rPr>
                                      <w:b/>
                                      <w:caps w:val="false"/>
                                      <w:smallCaps w:val="false"/>
                                      <w:color w:val="0055B7"/>
                                      <w:spacing w:val="-3"/>
                                      <w:sz w:val="24"/>
                                    </w:rPr>
                                    <w:t>EALY</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Healy brings to the Board extensive financial, management, and investment experience, particularly from his role as Chief Executive Officer of H&amp;F and his service on the boards of various companies across multiple sectors.</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2"/>
                                    </w:rPr>
                                    <w:t>H&amp;F</w:t>
                                  </w:r>
                                  <w:r>
                                    <w:rPr>
                                      <w:b w:val="false"/>
                                      <w:spacing w:val="-1"/>
                                    </w:rPr>
                                    <w:t>, a private equity investment firm</w:t>
                                  </w:r>
                                  <w:r>
                                    <w:rPr>
                                      <w:b/>
                                    </w:rPr>
                                    <w:t xml:space="preserve"> </w:t>
                                  </w:r>
                                </w:p>
                                <w:p>
                                  <w:pPr>
                                    <w:pStyle w:val="TableContents"/>
                                    <w:bidi w:val="0"/>
                                    <w:spacing w:lineRule="atLeast" w:line="180" w:before="105" w:after="0"/>
                                    <w:ind w:left="680" w:right="0" w:hanging="0"/>
                                    <w:jc w:val="left"/>
                                    <w:rPr/>
                                  </w:pPr>
                                  <w:r>
                                    <w:rPr>
                                      <w:spacing w:val="-1"/>
                                    </w:rPr>
                                    <w:t>Chief Executive Officer (since 2019)</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Co-Chief Executive Officer (2018 to 2019)</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Deputy Chief Executive Officer (2009 to 2017)</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Various positions (1994 to 2009)</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Compensation Committee Chairman (current)</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Investment Committee Member (current)</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1" w:type="dxa"/>
                                  <w:tcBorders/>
                                  <w:vAlign w:val="center"/>
                                </w:tcPr>
                                <w:p>
                                  <w:pPr>
                                    <w:pStyle w:val="TableContents"/>
                                    <w:bidi w:val="0"/>
                                    <w:spacing w:lineRule="atLeast" w:line="225" w:before="0" w:after="0"/>
                                    <w:ind w:left="680" w:right="0" w:hanging="0"/>
                                    <w:jc w:val="left"/>
                                    <w:rPr/>
                                  </w:pPr>
                                  <w:r>
                                    <w:rPr>
                                      <w:b/>
                                      <w:spacing w:val="0"/>
                                    </w:rPr>
                                    <w:t>Global Music Rights Holdings LLC</w:t>
                                  </w:r>
                                  <w:r>
                                    <w:rPr>
                                      <w:spacing w:val="-1"/>
                                    </w:rPr>
                                    <w:t>, a performance rights organization (since 2024)</w:t>
                                  </w:r>
                                  <w:r>
                                    <w:rPr/>
                                    <w:t xml:space="preserve"> </w:t>
                                  </w:r>
                                </w:p>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4279" w:type="dxa"/>
                                  <w:tcBorders/>
                                  <w:vAlign w:val="center"/>
                                </w:tcPr>
                                <w:p>
                                  <w:pPr>
                                    <w:pStyle w:val="TableContents"/>
                                    <w:bidi w:val="0"/>
                                    <w:spacing w:lineRule="atLeast" w:line="225" w:before="0" w:after="0"/>
                                    <w:ind w:left="680" w:right="0" w:hanging="0"/>
                                    <w:jc w:val="left"/>
                                    <w:rPr/>
                                  </w:pPr>
                                  <w:r>
                                    <w:rPr>
                                      <w:b/>
                                      <w:spacing w:val="0"/>
                                    </w:rPr>
                                    <w:t>Verisure (Securitas Direct)</w:t>
                                  </w:r>
                                  <w:r>
                                    <w:rPr>
                                      <w:spacing w:val="-1"/>
                                    </w:rPr>
                                    <w:t>, a security company (2023 to 2026)</w:t>
                                  </w:r>
                                  <w:r>
                                    <w:rPr/>
                                    <w:t xml:space="preserve"> </w: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pt;height:496.6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5401"/>
                        <w:gridCol w:w="122"/>
                        <w:gridCol w:w="122"/>
                        <w:gridCol w:w="4279"/>
                        <w:gridCol w:w="157"/>
                      </w:tblGrid>
                      <w:tr>
                        <w:trPr/>
                        <w:tc>
                          <w:tcPr>
                            <w:tcW w:w="124" w:type="dxa"/>
                            <w:tcBorders/>
                            <w:vAlign w:val="center"/>
                          </w:tcPr>
                          <w:p>
                            <w:pPr>
                              <w:pStyle w:val="TableContents"/>
                              <w:bidi w:val="0"/>
                              <w:spacing w:before="0" w:after="283"/>
                              <w:jc w:val="left"/>
                              <w:rPr/>
                            </w:pPr>
                            <w:r>
                              <w:rPr/>
                              <w:t>​</w:t>
                            </w:r>
                          </w:p>
                        </w:tc>
                        <w:tc>
                          <w:tcPr>
                            <w:tcW w:w="9924" w:type="dxa"/>
                            <w:gridSpan w:val="4"/>
                            <w:tcBorders/>
                            <w:vAlign w:val="center"/>
                          </w:tcPr>
                          <w:p>
                            <w:pPr>
                              <w:pStyle w:val="TableContents"/>
                              <w:bidi w:val="0"/>
                              <w:spacing w:before="0" w:after="0"/>
                              <w:jc w:val="left"/>
                              <w:rPr>
                                <w:b/>
                                <w:color w:val="0055B7"/>
                                <w:sz w:val="24"/>
                              </w:rPr>
                            </w:pPr>
                            <w:r>
                              <w:rPr>
                                <w:b/>
                                <w:color w:val="0055B7"/>
                                <w:spacing w:val="-3"/>
                                <w:sz w:val="24"/>
                              </w:rPr>
                              <w:t>P</w:t>
                            </w:r>
                            <w:r>
                              <w:rPr>
                                <w:b/>
                                <w:caps w:val="false"/>
                                <w:smallCaps w:val="false"/>
                                <w:color w:val="0055B7"/>
                                <w:spacing w:val="-3"/>
                                <w:sz w:val="24"/>
                              </w:rPr>
                              <w:t>ATRICK</w:t>
                            </w:r>
                            <w:r>
                              <w:rPr>
                                <w:b/>
                                <w:color w:val="0055B7"/>
                                <w:spacing w:val="-3"/>
                                <w:sz w:val="24"/>
                              </w:rPr>
                              <w:t xml:space="preserve"> J. H</w:t>
                            </w:r>
                            <w:r>
                              <w:rPr>
                                <w:b/>
                                <w:caps w:val="false"/>
                                <w:smallCaps w:val="false"/>
                                <w:color w:val="0055B7"/>
                                <w:spacing w:val="-3"/>
                                <w:sz w:val="24"/>
                              </w:rPr>
                              <w:t>EALY</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Healy brings to the Board extensive financial, management, and investment experience, particularly from his role as Chief Executive Officer of H&amp;F and his service on the boards of various companies across multiple sectors.</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2"/>
                              </w:rPr>
                              <w:t>H&amp;F</w:t>
                            </w:r>
                            <w:r>
                              <w:rPr>
                                <w:b w:val="false"/>
                                <w:spacing w:val="-1"/>
                              </w:rPr>
                              <w:t>, a private equity investment firm</w:t>
                            </w:r>
                            <w:r>
                              <w:rPr>
                                <w:b/>
                              </w:rPr>
                              <w:t xml:space="preserve"> </w:t>
                            </w:r>
                          </w:p>
                          <w:p>
                            <w:pPr>
                              <w:pStyle w:val="TableContents"/>
                              <w:bidi w:val="0"/>
                              <w:spacing w:lineRule="atLeast" w:line="180" w:before="105" w:after="0"/>
                              <w:ind w:left="680" w:right="0" w:hanging="0"/>
                              <w:jc w:val="left"/>
                              <w:rPr/>
                            </w:pPr>
                            <w:r>
                              <w:rPr>
                                <w:spacing w:val="-1"/>
                              </w:rPr>
                              <w:t>Chief Executive Officer (since 2019)</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Co-Chief Executive Officer (2018 to 2019)</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Deputy Chief Executive Officer (2009 to 2017)</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Various positions (1994 to 2009)</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Compensation Committee Chairman (current)</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Investment Committee Member (current)</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1" w:type="dxa"/>
                            <w:tcBorders/>
                            <w:vAlign w:val="center"/>
                          </w:tcPr>
                          <w:p>
                            <w:pPr>
                              <w:pStyle w:val="TableContents"/>
                              <w:bidi w:val="0"/>
                              <w:spacing w:lineRule="atLeast" w:line="225" w:before="0" w:after="0"/>
                              <w:ind w:left="680" w:right="0" w:hanging="0"/>
                              <w:jc w:val="left"/>
                              <w:rPr/>
                            </w:pPr>
                            <w:r>
                              <w:rPr>
                                <w:b/>
                                <w:spacing w:val="0"/>
                              </w:rPr>
                              <w:t>Global Music Rights Holdings LLC</w:t>
                            </w:r>
                            <w:r>
                              <w:rPr>
                                <w:spacing w:val="-1"/>
                              </w:rPr>
                              <w:t>, a performance rights organization (since 2024)</w:t>
                            </w:r>
                            <w:r>
                              <w:rPr/>
                              <w:t xml:space="preserve"> </w:t>
                            </w:r>
                          </w:p>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4279" w:type="dxa"/>
                            <w:tcBorders/>
                            <w:vAlign w:val="center"/>
                          </w:tcPr>
                          <w:p>
                            <w:pPr>
                              <w:pStyle w:val="TableContents"/>
                              <w:bidi w:val="0"/>
                              <w:spacing w:lineRule="atLeast" w:line="225" w:before="0" w:after="0"/>
                              <w:ind w:left="680" w:right="0" w:hanging="0"/>
                              <w:jc w:val="left"/>
                              <w:rPr/>
                            </w:pPr>
                            <w:r>
                              <w:rPr>
                                <w:b/>
                                <w:spacing w:val="0"/>
                              </w:rPr>
                              <w:t>Verisure (Securitas Direct)</w:t>
                            </w:r>
                            <w:r>
                              <w:rPr>
                                <w:spacing w:val="-1"/>
                              </w:rPr>
                              <w:t>, a security company (2023 to 2026)</w:t>
                            </w:r>
                            <w:r>
                              <w:rPr/>
                              <w:t xml:space="preserve"> </w: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6675" distB="0" distL="228600" distR="0" simplePos="0" locked="0" layoutInCell="1" allowOverlap="1" relativeHeight="221">
                <wp:simplePos x="0" y="0"/>
                <wp:positionH relativeFrom="column">
                  <wp:align>left</wp:align>
                </wp:positionH>
                <wp:positionV relativeFrom="line">
                  <wp:align>top</wp:align>
                </wp:positionV>
                <wp:extent cx="203200" cy="350520"/>
                <wp:effectExtent l="0" t="0" r="0" b="0"/>
                <wp:wrapSquare wrapText="right"/>
                <wp:docPr id="161" name="Frame5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22">
                <wp:simplePos x="0" y="0"/>
                <wp:positionH relativeFrom="column">
                  <wp:align>left</wp:align>
                </wp:positionH>
                <wp:positionV relativeFrom="line">
                  <wp:align>top</wp:align>
                </wp:positionV>
                <wp:extent cx="203200" cy="350520"/>
                <wp:effectExtent l="0" t="0" r="0" b="0"/>
                <wp:wrapSquare wrapText="right"/>
                <wp:docPr id="162" name="Frame5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23">
                <wp:simplePos x="0" y="0"/>
                <wp:positionH relativeFrom="column">
                  <wp:align>left</wp:align>
                </wp:positionH>
                <wp:positionV relativeFrom="line">
                  <wp:align>top</wp:align>
                </wp:positionV>
                <wp:extent cx="203200" cy="350520"/>
                <wp:effectExtent l="0" t="0" r="0" b="0"/>
                <wp:wrapSquare wrapText="right"/>
                <wp:docPr id="163" name="Frame6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24">
                <wp:simplePos x="0" y="0"/>
                <wp:positionH relativeFrom="column">
                  <wp:align>left</wp:align>
                </wp:positionH>
                <wp:positionV relativeFrom="line">
                  <wp:align>top</wp:align>
                </wp:positionV>
                <wp:extent cx="203200" cy="350520"/>
                <wp:effectExtent l="0" t="0" r="0" b="0"/>
                <wp:wrapSquare wrapText="right"/>
                <wp:docPr id="164" name="Frame6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25">
                <wp:simplePos x="0" y="0"/>
                <wp:positionH relativeFrom="column">
                  <wp:align>left</wp:align>
                </wp:positionH>
                <wp:positionV relativeFrom="line">
                  <wp:align>top</wp:align>
                </wp:positionV>
                <wp:extent cx="203200" cy="350520"/>
                <wp:effectExtent l="0" t="0" r="0" b="0"/>
                <wp:wrapSquare wrapText="right"/>
                <wp:docPr id="165" name="Frame6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26">
                <wp:simplePos x="0" y="0"/>
                <wp:positionH relativeFrom="column">
                  <wp:align>left</wp:align>
                </wp:positionH>
                <wp:positionV relativeFrom="line">
                  <wp:align>top</wp:align>
                </wp:positionV>
                <wp:extent cx="203200" cy="350520"/>
                <wp:effectExtent l="0" t="0" r="0" b="0"/>
                <wp:wrapSquare wrapText="right"/>
                <wp:docPr id="166" name="Frame6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227">
                <wp:simplePos x="0" y="0"/>
                <wp:positionH relativeFrom="column">
                  <wp:align>left</wp:align>
                </wp:positionH>
                <wp:positionV relativeFrom="line">
                  <wp:posOffset>635</wp:posOffset>
                </wp:positionV>
                <wp:extent cx="203200" cy="350520"/>
                <wp:effectExtent l="0" t="0" r="0" b="0"/>
                <wp:wrapSquare wrapText="right"/>
                <wp:docPr id="167" name="Frame6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228">
                <wp:simplePos x="0" y="0"/>
                <wp:positionH relativeFrom="column">
                  <wp:align>left</wp:align>
                </wp:positionH>
                <wp:positionV relativeFrom="line">
                  <wp:posOffset>635</wp:posOffset>
                </wp:positionV>
                <wp:extent cx="203200" cy="350520"/>
                <wp:effectExtent l="0" t="0" r="0" b="0"/>
                <wp:wrapSquare wrapText="right"/>
                <wp:docPr id="168" name="Frame6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142" w:before="272" w:after="283"/>
        <w:ind w:left="720" w:right="0" w:hanging="0"/>
        <w:jc w:val="left"/>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7">
                <wp:simplePos x="0" y="0"/>
                <wp:positionH relativeFrom="column">
                  <wp:align>left</wp:align>
                </wp:positionH>
                <wp:positionV relativeFrom="line">
                  <wp:posOffset>635</wp:posOffset>
                </wp:positionV>
                <wp:extent cx="1358900" cy="4034155"/>
                <wp:effectExtent l="0" t="0" r="0" b="0"/>
                <wp:wrapSquare wrapText="right"/>
                <wp:docPr id="169" name="Frame66"/>
                <a:graphic xmlns:a="http://schemas.openxmlformats.org/drawingml/2006/main">
                  <a:graphicData uri="http://schemas.microsoft.com/office/word/2010/wordprocessingShape">
                    <wps:wsp>
                      <wps:cNvSpPr txBox="1"/>
                      <wps:spPr>
                        <a:xfrm>
                          <a:off x="0" y="0"/>
                          <a:ext cx="1358900" cy="4034155"/>
                        </a:xfrm>
                        <a:prstGeom prst="rect"/>
                        <a:solidFill>
                          <a:srgbClr val="FFFFFF"/>
                        </a:solidFill>
                      </wps:spPr>
                      <wps:txb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7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93" descr=""/>
                                                <pic:cNvPicPr>
                                                  <a:picLocks noChangeAspect="1" noChangeArrowheads="1"/>
                                                </pic:cNvPicPr>
                                              </pic:nvPicPr>
                                              <pic:blipFill>
                                                <a:blip r:embed="rId105"/>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65</w:t>
                                  </w:r>
                                  <w:r>
                                    <w:rPr>
                                      <w:b/>
                                    </w:rPr>
                                    <w:t xml:space="preserve"> </w:t>
                                    <w:br/>
                                  </w:r>
                                  <w:r>
                                    <w:rPr>
                                      <w:b/>
                                      <w:spacing w:val="0"/>
                                    </w:rPr>
                                    <w:t>Director Since:</w:t>
                                  </w:r>
                                  <w:r>
                                    <w:rPr>
                                      <w:b/>
                                      <w:spacing w:val="-1"/>
                                    </w:rPr>
                                    <w:t xml:space="preserve"> </w:t>
                                  </w:r>
                                  <w:r>
                                    <w:rPr>
                                      <w:b w:val="false"/>
                                      <w:spacing w:val="-1"/>
                                    </w:rPr>
                                    <w:t>1985</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17.65pt;mso-wrap-distance-left:36pt;mso-wrap-distance-right:0pt;mso-wrap-distance-top:0pt;mso-wrap-distance-bottom:0pt;margin-top:0pt;mso-position-vertical:top;mso-position-vertical-relative:text;margin-left:179pt;mso-position-horizontal:left;mso-position-horizontal-relative:text">
                <v:textbo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17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93" descr=""/>
                                          <pic:cNvPicPr>
                                            <a:picLocks noChangeAspect="1" noChangeArrowheads="1"/>
                                          </pic:cNvPicPr>
                                        </pic:nvPicPr>
                                        <pic:blipFill>
                                          <a:blip r:embed="rId106"/>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65</w:t>
                            </w:r>
                            <w:r>
                              <w:rPr>
                                <w:b/>
                              </w:rPr>
                              <w:t xml:space="preserve"> </w:t>
                              <w:br/>
                            </w:r>
                            <w:r>
                              <w:rPr>
                                <w:b/>
                                <w:spacing w:val="0"/>
                              </w:rPr>
                              <w:t>Director Since:</w:t>
                            </w:r>
                            <w:r>
                              <w:rPr>
                                <w:b/>
                                <w:spacing w:val="-1"/>
                              </w:rPr>
                              <w:t xml:space="preserve"> </w:t>
                            </w:r>
                            <w:r>
                              <w:rPr>
                                <w:b w:val="false"/>
                                <w:spacing w:val="-1"/>
                              </w:rPr>
                              <w:t>1985</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29">
                <wp:simplePos x="0" y="0"/>
                <wp:positionH relativeFrom="column">
                  <wp:align>left</wp:align>
                </wp:positionH>
                <wp:positionV relativeFrom="line">
                  <wp:posOffset>635</wp:posOffset>
                </wp:positionV>
                <wp:extent cx="5118100" cy="6170295"/>
                <wp:effectExtent l="0" t="0" r="0" b="0"/>
                <wp:wrapSquare wrapText="right"/>
                <wp:docPr id="172" name="Frame67"/>
                <a:graphic xmlns:a="http://schemas.openxmlformats.org/drawingml/2006/main">
                  <a:graphicData uri="http://schemas.microsoft.com/office/word/2010/wordprocessingShape">
                    <wps:wsp>
                      <wps:cNvSpPr txBox="1"/>
                      <wps:spPr>
                        <a:xfrm>
                          <a:off x="0" y="0"/>
                          <a:ext cx="5118100" cy="617029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b/>
                                      <w:color w:val="0055B7"/>
                                      <w:sz w:val="24"/>
                                    </w:rPr>
                                  </w:pPr>
                                  <w:r>
                                    <w:rPr>
                                      <w:b/>
                                      <w:color w:val="0055B7"/>
                                      <w:spacing w:val="-3"/>
                                      <w:sz w:val="24"/>
                                    </w:rPr>
                                    <w:t>A</w:t>
                                  </w:r>
                                  <w:r>
                                    <w:rPr>
                                      <w:b/>
                                      <w:caps w:val="false"/>
                                      <w:smallCaps w:val="false"/>
                                      <w:color w:val="0055B7"/>
                                      <w:spacing w:val="-3"/>
                                      <w:sz w:val="24"/>
                                    </w:rPr>
                                    <w:t>NDREW</w:t>
                                  </w:r>
                                  <w:r>
                                    <w:rPr>
                                      <w:b/>
                                      <w:color w:val="0055B7"/>
                                      <w:spacing w:val="-3"/>
                                      <w:sz w:val="24"/>
                                    </w:rPr>
                                    <w:t xml:space="preserve"> J. M</w:t>
                                  </w:r>
                                  <w:r>
                                    <w:rPr>
                                      <w:b/>
                                      <w:caps w:val="false"/>
                                      <w:smallCaps w:val="false"/>
                                      <w:color w:val="0055B7"/>
                                      <w:spacing w:val="-3"/>
                                      <w:sz w:val="24"/>
                                    </w:rPr>
                                    <w:t>ILLS</w:t>
                                  </w:r>
                                  <w:r>
                                    <w:rPr>
                                      <w:b/>
                                      <w:color w:val="000000"/>
                                      <w:sz w:val="24"/>
                                    </w:rPr>
                                    <w:t>​</w:t>
                                  </w:r>
                                  <w:r>
                                    <w:rPr>
                                      <w:b/>
                                      <w:color w:val="0055B7"/>
                                      <w:sz w:val="24"/>
                                    </w:rPr>
                                    <w:t xml:space="preserve"> </w:t>
                                  </w:r>
                                </w:p>
                                <w:p>
                                  <w:pPr>
                                    <w:pStyle w:val="TableContents"/>
                                    <w:bidi w:val="0"/>
                                    <w:spacing w:lineRule="atLeast" w:line="245" w:before="45" w:after="283"/>
                                    <w:jc w:val="left"/>
                                    <w:rPr>
                                      <w:b/>
                                      <w:sz w:val="20"/>
                                    </w:rPr>
                                  </w:pPr>
                                  <w:r>
                                    <w:rPr>
                                      <w:b/>
                                      <w:spacing w:val="0"/>
                                      <w:sz w:val="20"/>
                                    </w:rPr>
                                    <w:t>Former Medline President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A. Mills brings to the Board extensive industry knowledge, management expertise, and business experience, particularly from his former role as our President.</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Medline</w:t>
                                  </w:r>
                                  <w:r>
                                    <w:rPr>
                                      <w:b/>
                                    </w:rPr>
                                    <w:t xml:space="preserve"> </w:t>
                                  </w:r>
                                </w:p>
                                <w:p>
                                  <w:pPr>
                                    <w:pStyle w:val="TableContents"/>
                                    <w:bidi w:val="0"/>
                                    <w:spacing w:lineRule="atLeast" w:line="180" w:before="165" w:after="0"/>
                                    <w:ind w:left="680" w:right="0" w:hanging="0"/>
                                    <w:jc w:val="left"/>
                                    <w:rPr/>
                                  </w:pPr>
                                  <w:r>
                                    <w:rPr>
                                      <w:spacing w:val="-1"/>
                                    </w:rPr>
                                    <w:t>President (1997 to 2023)</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Manager of Marketing Department (1993 to 1996)</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OR Product Division (1989 to 1992)</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Sales Representative (1986 to 1989)</w:t>
                                  </w:r>
                                  <w:r>
                                    <w:rPr/>
                                    <w:t xml:space="preserve"> </w:t>
                                  </w:r>
                                </w:p>
                                <w:p>
                                  <w:pPr>
                                    <w:pStyle w:val="TableContents"/>
                                    <w:bidi w:val="0"/>
                                    <w:spacing w:before="0" w:after="0"/>
                                    <w:ind w:left="0" w:right="0" w:hanging="0"/>
                                    <w:jc w:val="left"/>
                                    <w:rPr/>
                                  </w:pPr>
                                  <w:r>
                                    <w:rPr/>
                                    <w:t>​</w:t>
                                  </w:r>
                                </w:p>
                                <w:p>
                                  <w:pPr>
                                    <w:pStyle w:val="TableContents"/>
                                    <w:bidi w:val="0"/>
                                    <w:spacing w:lineRule="atLeast" w:line="180" w:before="165" w:after="283"/>
                                    <w:jc w:val="left"/>
                                    <w:rPr>
                                      <w:b/>
                                    </w:rPr>
                                  </w:pPr>
                                  <w:r>
                                    <w:rPr>
                                      <w:b/>
                                      <w:spacing w:val="0"/>
                                    </w:rPr>
                                    <w:t>Council Ring Capital, LLC</w:t>
                                  </w:r>
                                  <w:r>
                                    <w:rPr>
                                      <w:b w:val="false"/>
                                      <w:spacing w:val="-1"/>
                                    </w:rPr>
                                    <w:t>, a Chicago-based investment firm</w:t>
                                  </w:r>
                                  <w:r>
                                    <w:rPr>
                                      <w:b/>
                                    </w:rPr>
                                    <w:t xml:space="preserve"> </w:t>
                                  </w:r>
                                </w:p>
                                <w:p>
                                  <w:pPr>
                                    <w:pStyle w:val="TableContents"/>
                                    <w:bidi w:val="0"/>
                                    <w:spacing w:lineRule="atLeast" w:line="180" w:before="105" w:after="0"/>
                                    <w:ind w:left="680" w:right="0" w:hanging="0"/>
                                    <w:jc w:val="left"/>
                                    <w:rPr/>
                                  </w:pPr>
                                  <w:r>
                                    <w:rPr>
                                      <w:spacing w:val="-1"/>
                                    </w:rPr>
                                    <w:t>Chief Executive Officer and General Partner (since October 2021)</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p>
                                  <w:pPr>
                                    <w:pStyle w:val="TableContents"/>
                                    <w:bidi w:val="0"/>
                                    <w:spacing w:lineRule="atLeast" w:line="225" w:before="105" w:after="0"/>
                                    <w:ind w:left="680" w:right="0" w:hanging="0"/>
                                    <w:jc w:val="left"/>
                                    <w:rPr/>
                                  </w:pPr>
                                  <w:r>
                                    <w:rPr>
                                      <w:b/>
                                      <w:spacing w:val="0"/>
                                    </w:rPr>
                                    <w:t>Rush University Medical Center Board of Trustees</w:t>
                                  </w:r>
                                  <w:r>
                                    <w:rPr>
                                      <w:spacing w:val="-1"/>
                                    </w:rPr>
                                    <w:t>, an academic medical center (2019 to 2025)</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pt;height:485.85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b/>
                                <w:color w:val="0055B7"/>
                                <w:sz w:val="24"/>
                              </w:rPr>
                            </w:pPr>
                            <w:r>
                              <w:rPr>
                                <w:b/>
                                <w:color w:val="0055B7"/>
                                <w:spacing w:val="-3"/>
                                <w:sz w:val="24"/>
                              </w:rPr>
                              <w:t>A</w:t>
                            </w:r>
                            <w:r>
                              <w:rPr>
                                <w:b/>
                                <w:caps w:val="false"/>
                                <w:smallCaps w:val="false"/>
                                <w:color w:val="0055B7"/>
                                <w:spacing w:val="-3"/>
                                <w:sz w:val="24"/>
                              </w:rPr>
                              <w:t>NDREW</w:t>
                            </w:r>
                            <w:r>
                              <w:rPr>
                                <w:b/>
                                <w:color w:val="0055B7"/>
                                <w:spacing w:val="-3"/>
                                <w:sz w:val="24"/>
                              </w:rPr>
                              <w:t xml:space="preserve"> J. M</w:t>
                            </w:r>
                            <w:r>
                              <w:rPr>
                                <w:b/>
                                <w:caps w:val="false"/>
                                <w:smallCaps w:val="false"/>
                                <w:color w:val="0055B7"/>
                                <w:spacing w:val="-3"/>
                                <w:sz w:val="24"/>
                              </w:rPr>
                              <w:t>ILLS</w:t>
                            </w:r>
                            <w:r>
                              <w:rPr>
                                <w:b/>
                                <w:color w:val="000000"/>
                                <w:sz w:val="24"/>
                              </w:rPr>
                              <w:t>​</w:t>
                            </w:r>
                            <w:r>
                              <w:rPr>
                                <w:b/>
                                <w:color w:val="0055B7"/>
                                <w:sz w:val="24"/>
                              </w:rPr>
                              <w:t xml:space="preserve"> </w:t>
                            </w:r>
                          </w:p>
                          <w:p>
                            <w:pPr>
                              <w:pStyle w:val="TableContents"/>
                              <w:bidi w:val="0"/>
                              <w:spacing w:lineRule="atLeast" w:line="245" w:before="45" w:after="283"/>
                              <w:jc w:val="left"/>
                              <w:rPr>
                                <w:b/>
                                <w:sz w:val="20"/>
                              </w:rPr>
                            </w:pPr>
                            <w:r>
                              <w:rPr>
                                <w:b/>
                                <w:spacing w:val="0"/>
                                <w:sz w:val="20"/>
                              </w:rPr>
                              <w:t>Former Medline President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A. Mills brings to the Board extensive industry knowledge, management expertise, and business experience, particularly from his former role as our President.</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Medline</w:t>
                            </w:r>
                            <w:r>
                              <w:rPr>
                                <w:b/>
                              </w:rPr>
                              <w:t xml:space="preserve"> </w:t>
                            </w:r>
                          </w:p>
                          <w:p>
                            <w:pPr>
                              <w:pStyle w:val="TableContents"/>
                              <w:bidi w:val="0"/>
                              <w:spacing w:lineRule="atLeast" w:line="180" w:before="165" w:after="0"/>
                              <w:ind w:left="680" w:right="0" w:hanging="0"/>
                              <w:jc w:val="left"/>
                              <w:rPr/>
                            </w:pPr>
                            <w:r>
                              <w:rPr>
                                <w:spacing w:val="-1"/>
                              </w:rPr>
                              <w:t>President (1997 to 2023)</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Manager of Marketing Department (1993 to 1996)</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OR Product Division (1989 to 1992)</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Sales Representative (1986 to 1989)</w:t>
                            </w:r>
                            <w:r>
                              <w:rPr/>
                              <w:t xml:space="preserve"> </w:t>
                            </w:r>
                          </w:p>
                          <w:p>
                            <w:pPr>
                              <w:pStyle w:val="TableContents"/>
                              <w:bidi w:val="0"/>
                              <w:spacing w:before="0" w:after="0"/>
                              <w:ind w:left="0" w:right="0" w:hanging="0"/>
                              <w:jc w:val="left"/>
                              <w:rPr/>
                            </w:pPr>
                            <w:r>
                              <w:rPr/>
                              <w:t>​</w:t>
                            </w:r>
                          </w:p>
                          <w:p>
                            <w:pPr>
                              <w:pStyle w:val="TableContents"/>
                              <w:bidi w:val="0"/>
                              <w:spacing w:lineRule="atLeast" w:line="180" w:before="165" w:after="283"/>
                              <w:jc w:val="left"/>
                              <w:rPr>
                                <w:b/>
                              </w:rPr>
                            </w:pPr>
                            <w:r>
                              <w:rPr>
                                <w:b/>
                                <w:spacing w:val="0"/>
                              </w:rPr>
                              <w:t>Council Ring Capital, LLC</w:t>
                            </w:r>
                            <w:r>
                              <w:rPr>
                                <w:b w:val="false"/>
                                <w:spacing w:val="-1"/>
                              </w:rPr>
                              <w:t>, a Chicago-based investment firm</w:t>
                            </w:r>
                            <w:r>
                              <w:rPr>
                                <w:b/>
                              </w:rPr>
                              <w:t xml:space="preserve"> </w:t>
                            </w:r>
                          </w:p>
                          <w:p>
                            <w:pPr>
                              <w:pStyle w:val="TableContents"/>
                              <w:bidi w:val="0"/>
                              <w:spacing w:lineRule="atLeast" w:line="180" w:before="105" w:after="0"/>
                              <w:ind w:left="680" w:right="0" w:hanging="0"/>
                              <w:jc w:val="left"/>
                              <w:rPr/>
                            </w:pPr>
                            <w:r>
                              <w:rPr>
                                <w:spacing w:val="-1"/>
                              </w:rPr>
                              <w:t>Chief Executive Officer and General Partner (since October 2021)</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p>
                            <w:pPr>
                              <w:pStyle w:val="TableContents"/>
                              <w:bidi w:val="0"/>
                              <w:spacing w:lineRule="atLeast" w:line="225" w:before="105" w:after="0"/>
                              <w:ind w:left="680" w:right="0" w:hanging="0"/>
                              <w:jc w:val="left"/>
                              <w:rPr/>
                            </w:pPr>
                            <w:r>
                              <w:rPr>
                                <w:b/>
                                <w:spacing w:val="0"/>
                              </w:rPr>
                              <w:t>Rush University Medical Center Board of Trustees</w:t>
                            </w:r>
                            <w:r>
                              <w:rPr>
                                <w:spacing w:val="-1"/>
                              </w:rPr>
                              <w:t>, an academic medical center (2019 to 2025)</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4775" distB="0" distL="228600" distR="0" simplePos="0" locked="0" layoutInCell="1" allowOverlap="1" relativeHeight="230">
                <wp:simplePos x="0" y="0"/>
                <wp:positionH relativeFrom="column">
                  <wp:align>left</wp:align>
                </wp:positionH>
                <wp:positionV relativeFrom="line">
                  <wp:align>top</wp:align>
                </wp:positionV>
                <wp:extent cx="203200" cy="350520"/>
                <wp:effectExtent l="0" t="0" r="0" b="0"/>
                <wp:wrapSquare wrapText="right"/>
                <wp:docPr id="173" name="Frame6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8.25pt;mso-wrap-distance-bottom:0pt;margin-top:8.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31">
                <wp:simplePos x="0" y="0"/>
                <wp:positionH relativeFrom="column">
                  <wp:align>left</wp:align>
                </wp:positionH>
                <wp:positionV relativeFrom="line">
                  <wp:align>top</wp:align>
                </wp:positionV>
                <wp:extent cx="203200" cy="350520"/>
                <wp:effectExtent l="0" t="0" r="0" b="0"/>
                <wp:wrapSquare wrapText="right"/>
                <wp:docPr id="174" name="Frame6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32">
                <wp:simplePos x="0" y="0"/>
                <wp:positionH relativeFrom="column">
                  <wp:align>left</wp:align>
                </wp:positionH>
                <wp:positionV relativeFrom="line">
                  <wp:align>top</wp:align>
                </wp:positionV>
                <wp:extent cx="203200" cy="350520"/>
                <wp:effectExtent l="0" t="0" r="0" b="0"/>
                <wp:wrapSquare wrapText="right"/>
                <wp:docPr id="175" name="Frame7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33">
                <wp:simplePos x="0" y="0"/>
                <wp:positionH relativeFrom="column">
                  <wp:align>left</wp:align>
                </wp:positionH>
                <wp:positionV relativeFrom="line">
                  <wp:align>top</wp:align>
                </wp:positionV>
                <wp:extent cx="203200" cy="350520"/>
                <wp:effectExtent l="0" t="0" r="0" b="0"/>
                <wp:wrapSquare wrapText="right"/>
                <wp:docPr id="176" name="Frame7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34">
                <wp:simplePos x="0" y="0"/>
                <wp:positionH relativeFrom="column">
                  <wp:align>left</wp:align>
                </wp:positionH>
                <wp:positionV relativeFrom="line">
                  <wp:align>top</wp:align>
                </wp:positionV>
                <wp:extent cx="203200" cy="350520"/>
                <wp:effectExtent l="0" t="0" r="0" b="0"/>
                <wp:wrapSquare wrapText="right"/>
                <wp:docPr id="177" name="Frame7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35">
                <wp:simplePos x="0" y="0"/>
                <wp:positionH relativeFrom="column">
                  <wp:align>left</wp:align>
                </wp:positionH>
                <wp:positionV relativeFrom="line">
                  <wp:align>top</wp:align>
                </wp:positionV>
                <wp:extent cx="203200" cy="350520"/>
                <wp:effectExtent l="0" t="0" r="0" b="0"/>
                <wp:wrapSquare wrapText="right"/>
                <wp:docPr id="178" name="Frame7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9">
                <wp:simplePos x="0" y="0"/>
                <wp:positionH relativeFrom="column">
                  <wp:align>left</wp:align>
                </wp:positionH>
                <wp:positionV relativeFrom="line">
                  <wp:posOffset>635</wp:posOffset>
                </wp:positionV>
                <wp:extent cx="1358900" cy="3941445"/>
                <wp:effectExtent l="0" t="0" r="0" b="0"/>
                <wp:wrapSquare wrapText="right"/>
                <wp:docPr id="179" name="Frame74"/>
                <a:graphic xmlns:a="http://schemas.openxmlformats.org/drawingml/2006/main">
                  <a:graphicData uri="http://schemas.microsoft.com/office/word/2010/wordprocessingShape">
                    <wps:wsp>
                      <wps:cNvSpPr txBox="1"/>
                      <wps:spPr>
                        <a:xfrm>
                          <a:off x="0" y="0"/>
                          <a:ext cx="1358900" cy="3941445"/>
                        </a:xfrm>
                        <a:prstGeom prst="rect"/>
                        <a:solidFill>
                          <a:srgbClr val="FFFFFF"/>
                        </a:solidFill>
                      </wps:spPr>
                      <wps:txbx>
                        <w:txbxContent>
                          <w:tbl>
                            <w:tblPr>
                              <w:tblW w:w="9170" w:type="dxa"/>
                              <w:jc w:val="left"/>
                              <w:tblInd w:w="0" w:type="dxa"/>
                              <w:tblLayout w:type="fixed"/>
                              <w:tblCellMar>
                                <w:top w:w="0" w:type="dxa"/>
                                <w:left w:w="0" w:type="dxa"/>
                                <w:bottom w:w="0" w:type="dxa"/>
                                <w:right w:w="0" w:type="dxa"/>
                              </w:tblCellMar>
                            </w:tblPr>
                            <w:tblGrid>
                              <w:gridCol w:w="124"/>
                              <w:gridCol w:w="8892"/>
                              <w:gridCol w:w="154"/>
                            </w:tblGrid>
                            <w:tr>
                              <w:trPr/>
                              <w:tc>
                                <w:tcPr>
                                  <w:tcW w:w="124" w:type="dxa"/>
                                  <w:tcBorders/>
                                  <w:vAlign w:val="center"/>
                                </w:tcPr>
                                <w:p>
                                  <w:pPr>
                                    <w:pStyle w:val="TableContents"/>
                                    <w:bidi w:val="0"/>
                                    <w:spacing w:before="0" w:after="283"/>
                                    <w:jc w:val="left"/>
                                    <w:rPr/>
                                  </w:pPr>
                                  <w:r>
                                    <w:rPr/>
                                    <w:t>​</w:t>
                                  </w:r>
                                </w:p>
                              </w:tc>
                              <w:tc>
                                <w:tcPr>
                                  <w:tcW w:w="8892" w:type="dxa"/>
                                  <w:tcBorders/>
                                  <w:vAlign w:val="center"/>
                                </w:tcPr>
                                <w:p>
                                  <w:pPr>
                                    <w:pStyle w:val="TableContents"/>
                                    <w:bidi w:val="0"/>
                                    <w:spacing w:before="0" w:after="0"/>
                                    <w:jc w:val="left"/>
                                    <w:rPr/>
                                  </w:pPr>
                                  <w:r>
                                    <w:rPr/>
                                    <w:drawing>
                                      <wp:inline distT="0" distB="0" distL="0" distR="0">
                                        <wp:extent cx="1362075" cy="1381125"/>
                                        <wp:effectExtent l="0" t="0" r="0" b="0"/>
                                        <wp:docPr id="18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94" descr=""/>
                                                <pic:cNvPicPr>
                                                  <a:picLocks noChangeAspect="1" noChangeArrowheads="1"/>
                                                </pic:cNvPicPr>
                                              </pic:nvPicPr>
                                              <pic:blipFill>
                                                <a:blip r:embed="rId107"/>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43</w:t>
                                  </w:r>
                                  <w:r>
                                    <w:rPr>
                                      <w:b/>
                                    </w:rPr>
                                    <w:t xml:space="preserve"> </w:t>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75"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0" w:after="0"/>
                                    <w:ind w:left="80" w:right="0" w:hanging="0"/>
                                    <w:jc w:val="left"/>
                                    <w:rPr>
                                      <w:spacing w:val="-1"/>
                                    </w:rPr>
                                  </w:pPr>
                                  <w:r>
                                    <w:rPr>
                                      <w:spacing w:val="-1"/>
                                    </w:rPr>
                                    <w:t xml:space="preserve">Compensation Committee, Nominating and Corporate Governance Committee, and Risk and </w:t>
                                    <w:br/>
                                    <w:t xml:space="preserve">Compliance Committee </w:t>
                                  </w:r>
                                </w:p>
                                <w:p>
                                  <w:pPr>
                                    <w:pStyle w:val="TableContents"/>
                                    <w:bidi w:val="0"/>
                                    <w:spacing w:lineRule="atLeast" w:line="240" w:before="8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0"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10.35pt;mso-wrap-distance-left:36pt;mso-wrap-distance-right:0pt;mso-wrap-distance-top:0pt;mso-wrap-distance-bottom:0pt;margin-top:0pt;mso-position-vertical:top;mso-position-vertical-relative:text;margin-left:322pt;mso-position-horizontal:left;mso-position-horizontal-relative:text">
                <v:textbox>
                  <w:txbxContent>
                    <w:tbl>
                      <w:tblPr>
                        <w:tblW w:w="9170" w:type="dxa"/>
                        <w:jc w:val="left"/>
                        <w:tblInd w:w="0" w:type="dxa"/>
                        <w:tblLayout w:type="fixed"/>
                        <w:tblCellMar>
                          <w:top w:w="0" w:type="dxa"/>
                          <w:left w:w="0" w:type="dxa"/>
                          <w:bottom w:w="0" w:type="dxa"/>
                          <w:right w:w="0" w:type="dxa"/>
                        </w:tblCellMar>
                      </w:tblPr>
                      <w:tblGrid>
                        <w:gridCol w:w="124"/>
                        <w:gridCol w:w="8892"/>
                        <w:gridCol w:w="154"/>
                      </w:tblGrid>
                      <w:tr>
                        <w:trPr/>
                        <w:tc>
                          <w:tcPr>
                            <w:tcW w:w="124" w:type="dxa"/>
                            <w:tcBorders/>
                            <w:vAlign w:val="center"/>
                          </w:tcPr>
                          <w:p>
                            <w:pPr>
                              <w:pStyle w:val="TableContents"/>
                              <w:bidi w:val="0"/>
                              <w:spacing w:before="0" w:after="283"/>
                              <w:jc w:val="left"/>
                              <w:rPr/>
                            </w:pPr>
                            <w:r>
                              <w:rPr/>
                              <w:t>​</w:t>
                            </w:r>
                          </w:p>
                        </w:tc>
                        <w:tc>
                          <w:tcPr>
                            <w:tcW w:w="8892" w:type="dxa"/>
                            <w:tcBorders/>
                            <w:vAlign w:val="center"/>
                          </w:tcPr>
                          <w:p>
                            <w:pPr>
                              <w:pStyle w:val="TableContents"/>
                              <w:bidi w:val="0"/>
                              <w:spacing w:before="0" w:after="0"/>
                              <w:jc w:val="left"/>
                              <w:rPr/>
                            </w:pPr>
                            <w:r>
                              <w:rPr/>
                              <w:drawing>
                                <wp:inline distT="0" distB="0" distL="0" distR="0">
                                  <wp:extent cx="1362075" cy="1381125"/>
                                  <wp:effectExtent l="0" t="0" r="0" b="0"/>
                                  <wp:docPr id="18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4" descr=""/>
                                          <pic:cNvPicPr>
                                            <a:picLocks noChangeAspect="1" noChangeArrowheads="1"/>
                                          </pic:cNvPicPr>
                                        </pic:nvPicPr>
                                        <pic:blipFill>
                                          <a:blip r:embed="rId108"/>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43</w:t>
                            </w:r>
                            <w:r>
                              <w:rPr>
                                <w:b/>
                              </w:rPr>
                              <w:t xml:space="preserve"> </w:t>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75"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0" w:after="0"/>
                              <w:ind w:left="80" w:right="0" w:hanging="0"/>
                              <w:jc w:val="left"/>
                              <w:rPr>
                                <w:spacing w:val="-1"/>
                              </w:rPr>
                            </w:pPr>
                            <w:r>
                              <w:rPr>
                                <w:spacing w:val="-1"/>
                              </w:rPr>
                              <w:t xml:space="preserve">Compensation Committee, Nominating and Corporate Governance Committee, and Risk and </w:t>
                              <w:br/>
                              <w:t xml:space="preserve">Compliance Committee </w:t>
                            </w:r>
                          </w:p>
                          <w:p>
                            <w:pPr>
                              <w:pStyle w:val="TableContents"/>
                              <w:bidi w:val="0"/>
                              <w:spacing w:lineRule="atLeast" w:line="240" w:before="8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0"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36">
                <wp:simplePos x="0" y="0"/>
                <wp:positionH relativeFrom="column">
                  <wp:align>left</wp:align>
                </wp:positionH>
                <wp:positionV relativeFrom="line">
                  <wp:posOffset>635</wp:posOffset>
                </wp:positionV>
                <wp:extent cx="5118100" cy="7468870"/>
                <wp:effectExtent l="0" t="0" r="0" b="0"/>
                <wp:wrapSquare wrapText="right"/>
                <wp:docPr id="182" name="Frame75"/>
                <a:graphic xmlns:a="http://schemas.openxmlformats.org/drawingml/2006/main">
                  <a:graphicData uri="http://schemas.microsoft.com/office/word/2010/wordprocessingShape">
                    <wps:wsp>
                      <wps:cNvSpPr txBox="1"/>
                      <wps:spPr>
                        <a:xfrm>
                          <a:off x="0" y="0"/>
                          <a:ext cx="5118100" cy="746887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4640"/>
                              <w:gridCol w:w="109"/>
                              <w:gridCol w:w="109"/>
                              <w:gridCol w:w="5068"/>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3"/>
                                      <w:sz w:val="24"/>
                                    </w:rPr>
                                    <w:t>R</w:t>
                                  </w:r>
                                  <w:r>
                                    <w:rPr>
                                      <w:b/>
                                      <w:caps w:val="false"/>
                                      <w:smallCaps w:val="false"/>
                                      <w:color w:val="0055B7"/>
                                      <w:spacing w:val="-3"/>
                                      <w:sz w:val="24"/>
                                    </w:rPr>
                                    <w:t>OBERT</w:t>
                                  </w:r>
                                  <w:r>
                                    <w:rPr>
                                      <w:b/>
                                      <w:color w:val="0055B7"/>
                                      <w:spacing w:val="-3"/>
                                      <w:sz w:val="24"/>
                                    </w:rPr>
                                    <w:t xml:space="preserve"> R. S</w:t>
                                  </w:r>
                                  <w:r>
                                    <w:rPr>
                                      <w:b/>
                                      <w:caps w:val="false"/>
                                      <w:smallCaps w:val="false"/>
                                      <w:color w:val="0055B7"/>
                                      <w:spacing w:val="-3"/>
                                      <w:sz w:val="24"/>
                                    </w:rPr>
                                    <w:t>CHMIDT</w:t>
                                  </w:r>
                                  <w:r>
                                    <w:rPr>
                                      <w:b/>
                                      <w:color w:val="0055B7"/>
                                      <w:sz w:val="24"/>
                                    </w:rPr>
                                    <w:t xml:space="preserve"> </w:t>
                                  </w:r>
                                </w:p>
                                <w:p>
                                  <w:pPr>
                                    <w:pStyle w:val="TableContents"/>
                                    <w:bidi w:val="0"/>
                                    <w:spacing w:lineRule="atLeast" w:line="245" w:before="0" w:after="0"/>
                                    <w:jc w:val="left"/>
                                    <w:rPr>
                                      <w:b/>
                                      <w:sz w:val="20"/>
                                    </w:rPr>
                                  </w:pPr>
                                  <w:r>
                                    <w:rPr>
                                      <w:b/>
                                      <w:spacing w:val="0"/>
                                      <w:sz w:val="20"/>
                                    </w:rPr>
                                    <w:t>Independent</w:t>
                                  </w:r>
                                  <w:r>
                                    <w:rPr>
                                      <w:b/>
                                      <w:sz w:val="20"/>
                                    </w:rPr>
                                    <w:t xml:space="preserve">​ </w:t>
                                  </w:r>
                                </w:p>
                                <w:p>
                                  <w:pPr>
                                    <w:pStyle w:val="TableContents"/>
                                    <w:bidi w:val="0"/>
                                    <w:spacing w:lineRule="atLeast" w:line="200" w:before="127"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20" w:after="283"/>
                                    <w:jc w:val="left"/>
                                    <w:rPr/>
                                  </w:pPr>
                                  <w:r>
                                    <w:rPr>
                                      <w:spacing w:val="-1"/>
                                    </w:rPr>
                                    <w:t>Mr. Schmidt brings to the Board significant financial, management, and investment experience from his involvement at The Carlyle Group Inc. (“Carlyle”), including as Partner and Global Co-Head of Healthcare, as well as his thorough knowledge of our industry.</w:t>
                                  </w:r>
                                  <w:r>
                                    <w:rPr/>
                                    <w:t xml:space="preserve"> </w:t>
                                  </w:r>
                                </w:p>
                                <w:p>
                                  <w:pPr>
                                    <w:pStyle w:val="TableContents"/>
                                    <w:bidi w:val="0"/>
                                    <w:spacing w:lineRule="atLeast" w:line="200" w:before="127"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29" w:after="283"/>
                                    <w:jc w:val="left"/>
                                    <w:rPr>
                                      <w:b/>
                                    </w:rPr>
                                  </w:pPr>
                                  <w:r>
                                    <w:rPr>
                                      <w:b/>
                                      <w:spacing w:val="0"/>
                                    </w:rPr>
                                    <w:t>Carlyle</w:t>
                                  </w:r>
                                  <w:r>
                                    <w:rPr>
                                      <w:b w:val="false"/>
                                      <w:spacing w:val="-1"/>
                                    </w:rPr>
                                    <w:t>, an investment firm</w:t>
                                  </w:r>
                                  <w:r>
                                    <w:rPr>
                                      <w:b/>
                                    </w:rPr>
                                    <w:t xml:space="preserve"> </w:t>
                                  </w:r>
                                </w:p>
                                <w:p>
                                  <w:pPr>
                                    <w:pStyle w:val="TableContents"/>
                                    <w:bidi w:val="0"/>
                                    <w:spacing w:lineRule="atLeast" w:line="180" w:before="69" w:after="0"/>
                                    <w:ind w:left="680" w:right="0" w:hanging="0"/>
                                    <w:jc w:val="left"/>
                                    <w:rPr/>
                                  </w:pPr>
                                  <w:r>
                                    <w:rPr>
                                      <w:spacing w:val="-1"/>
                                    </w:rPr>
                                    <w:t>Partner and Global Co-Head of Healthcare (since August 2011)</w:t>
                                  </w:r>
                                  <w:r>
                                    <w:rPr/>
                                    <w:t xml:space="preserve"> </w:t>
                                  </w:r>
                                </w:p>
                                <w:p>
                                  <w:pPr>
                                    <w:pStyle w:val="TableContents"/>
                                    <w:bidi w:val="0"/>
                                    <w:spacing w:before="0" w:after="0"/>
                                    <w:ind w:left="0" w:right="0" w:hanging="0"/>
                                    <w:jc w:val="left"/>
                                    <w:rPr/>
                                  </w:pPr>
                                  <w:r>
                                    <w:rPr/>
                                    <w:t>​</w:t>
                                  </w:r>
                                </w:p>
                                <w:p>
                                  <w:pPr>
                                    <w:pStyle w:val="TableContents"/>
                                    <w:bidi w:val="0"/>
                                    <w:spacing w:lineRule="atLeast" w:line="225" w:before="120" w:after="283"/>
                                    <w:jc w:val="left"/>
                                    <w:rPr/>
                                  </w:pPr>
                                  <w:r>
                                    <w:rPr>
                                      <w:b/>
                                      <w:spacing w:val="0"/>
                                    </w:rPr>
                                    <w:t>Welsh, Carson, Anderson &amp; Stowe</w:t>
                                  </w:r>
                                  <w:r>
                                    <w:rPr>
                                      <w:spacing w:val="-1"/>
                                    </w:rPr>
                                    <w:t>, a private equity firm focused on healthcare and technology investments</w:t>
                                  </w:r>
                                  <w:r>
                                    <w:rPr/>
                                    <w:t xml:space="preserve"> </w:t>
                                  </w:r>
                                </w:p>
                                <w:p>
                                  <w:pPr>
                                    <w:pStyle w:val="TableContents"/>
                                    <w:bidi w:val="0"/>
                                    <w:spacing w:lineRule="atLeast" w:line="180" w:before="69" w:after="0"/>
                                    <w:ind w:left="680" w:right="0" w:hanging="0"/>
                                    <w:jc w:val="left"/>
                                    <w:rPr/>
                                  </w:pPr>
                                  <w:r>
                                    <w:rPr>
                                      <w:spacing w:val="-1"/>
                                    </w:rPr>
                                    <w:t>Associate (2006 to 2009)</w:t>
                                  </w:r>
                                  <w:r>
                                    <w:rPr/>
                                    <w:t xml:space="preserve"> </w:t>
                                  </w:r>
                                </w:p>
                                <w:p>
                                  <w:pPr>
                                    <w:pStyle w:val="TableContents"/>
                                    <w:bidi w:val="0"/>
                                    <w:spacing w:before="0" w:after="0"/>
                                    <w:ind w:left="0" w:right="0" w:hanging="0"/>
                                    <w:jc w:val="left"/>
                                    <w:rPr/>
                                  </w:pPr>
                                  <w:r>
                                    <w:rPr/>
                                    <w:t>​</w:t>
                                  </w:r>
                                </w:p>
                                <w:p>
                                  <w:pPr>
                                    <w:pStyle w:val="TableContents"/>
                                    <w:bidi w:val="0"/>
                                    <w:spacing w:lineRule="atLeast" w:line="180" w:before="129" w:after="283"/>
                                    <w:jc w:val="left"/>
                                    <w:rPr>
                                      <w:b/>
                                    </w:rPr>
                                  </w:pPr>
                                  <w:r>
                                    <w:rPr>
                                      <w:b/>
                                      <w:spacing w:val="0"/>
                                    </w:rPr>
                                    <w:t>Merrill Lynch Global Private Equity</w:t>
                                  </w:r>
                                  <w:r>
                                    <w:rPr>
                                      <w:b w:val="false"/>
                                      <w:spacing w:val="-1"/>
                                    </w:rPr>
                                    <w:t>, a private equity arm of Merrill Lynch</w:t>
                                  </w:r>
                                  <w:r>
                                    <w:rPr>
                                      <w:b/>
                                    </w:rPr>
                                    <w:t xml:space="preserve"> </w:t>
                                  </w:r>
                                </w:p>
                                <w:p>
                                  <w:pPr>
                                    <w:pStyle w:val="TableContents"/>
                                    <w:bidi w:val="0"/>
                                    <w:spacing w:lineRule="atLeast" w:line="180" w:before="69" w:after="0"/>
                                    <w:ind w:left="680" w:right="0" w:hanging="0"/>
                                    <w:jc w:val="left"/>
                                    <w:rPr/>
                                  </w:pPr>
                                  <w:r>
                                    <w:rPr>
                                      <w:spacing w:val="-1"/>
                                    </w:rPr>
                                    <w:t>Analyst (2004 to 2006)</w:t>
                                  </w:r>
                                  <w:r>
                                    <w:rPr/>
                                    <w:t xml:space="preserve"> </w:t>
                                  </w:r>
                                </w:p>
                                <w:p>
                                  <w:pPr>
                                    <w:pStyle w:val="TableContents"/>
                                    <w:bidi w:val="0"/>
                                    <w:spacing w:before="0" w:after="0"/>
                                    <w:ind w:left="0" w:right="0" w:hanging="0"/>
                                    <w:jc w:val="left"/>
                                    <w:rPr/>
                                  </w:pPr>
                                  <w:r>
                                    <w:rPr/>
                                    <w:t>​</w:t>
                                  </w:r>
                                </w:p>
                                <w:p>
                                  <w:pPr>
                                    <w:pStyle w:val="TableContents"/>
                                    <w:bidi w:val="0"/>
                                    <w:spacing w:lineRule="atLeast" w:line="200" w:before="127" w:after="283"/>
                                    <w:jc w:val="left"/>
                                    <w:rPr>
                                      <w:b/>
                                      <w:color w:val="3E8DDD"/>
                                      <w:sz w:val="20"/>
                                    </w:rPr>
                                  </w:pPr>
                                  <w:r>
                                    <w:rPr>
                                      <w:b/>
                                      <w:color w:val="3E8DDD"/>
                                      <w:spacing w:val="0"/>
                                      <w:sz w:val="20"/>
                                    </w:rPr>
                                    <w:t>Other Boards</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lineRule="atLeast" w:line="225" w:before="0" w:after="0"/>
                                    <w:ind w:left="680" w:right="0" w:hanging="0"/>
                                    <w:jc w:val="left"/>
                                    <w:rPr/>
                                  </w:pPr>
                                  <w:r>
                                    <w:rPr>
                                      <w:b/>
                                      <w:spacing w:val="0"/>
                                    </w:rPr>
                                    <w:t>Vantive</w:t>
                                  </w:r>
                                  <w:r>
                                    <w:rPr>
                                      <w:spacing w:val="-1"/>
                                    </w:rPr>
                                    <w:t>, a vital organ therapy company (since 2025)</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Resonetics</w:t>
                                  </w:r>
                                  <w:r>
                                    <w:rPr>
                                      <w:spacing w:val="-1"/>
                                    </w:rPr>
                                    <w:t>, a medtech development and manufacturing organization (since 2021)</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Unchained Labs</w:t>
                                  </w:r>
                                  <w:r>
                                    <w:rPr>
                                      <w:spacing w:val="-1"/>
                                    </w:rPr>
                                    <w:t>, a life science tools company (since 2021)</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Included Health (formerly Grand Rounds)</w:t>
                                  </w:r>
                                  <w:r>
                                    <w:rPr>
                                      <w:spacing w:val="-1"/>
                                    </w:rPr>
                                    <w:t>, a healthcare company that delivers personalized, all-in-one care (since 2020)</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68" w:type="dxa"/>
                                  <w:tcBorders/>
                                  <w:vAlign w:val="center"/>
                                </w:tcPr>
                                <w:p>
                                  <w:pPr>
                                    <w:pStyle w:val="TableContents"/>
                                    <w:bidi w:val="0"/>
                                    <w:spacing w:lineRule="atLeast" w:line="225" w:before="0" w:after="0"/>
                                    <w:ind w:left="320" w:right="0" w:hanging="0"/>
                                    <w:jc w:val="left"/>
                                    <w:rPr/>
                                  </w:pPr>
                                  <w:r>
                                    <w:rPr>
                                      <w:b/>
                                      <w:spacing w:val="0"/>
                                    </w:rPr>
                                    <w:t>QuidelOrtho Corporation</w:t>
                                  </w:r>
                                  <w:r>
                                    <w:rPr>
                                      <w:spacing w:val="-1"/>
                                    </w:rPr>
                                    <w:t>, a manufacturer of diagnostic healthcare products (“QuidelOrtho”) (2019 to 2024)</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320" w:right="0" w:hanging="0"/>
                                    <w:jc w:val="left"/>
                                    <w:rPr/>
                                  </w:pPr>
                                  <w:r>
                                    <w:rPr>
                                      <w:b/>
                                      <w:spacing w:val="0"/>
                                    </w:rPr>
                                    <w:t>One Medical</w:t>
                                  </w:r>
                                  <w:r>
                                    <w:rPr>
                                      <w:spacing w:val="-1"/>
                                    </w:rPr>
                                    <w:t>, a member-based, technology-powered national primary care organization focused on transforming health care (2018 to 2023)</w:t>
                                  </w:r>
                                  <w:r>
                                    <w:rPr/>
                                    <w:t xml:space="preserve"> </w:t>
                                  </w:r>
                                </w:p>
                                <w:p>
                                  <w:pPr>
                                    <w:pStyle w:val="TableContents"/>
                                    <w:bidi w:val="0"/>
                                    <w:spacing w:before="0" w:after="0"/>
                                    <w:ind w:left="0" w:right="0" w:hanging="0"/>
                                    <w:jc w:val="left"/>
                                    <w:rPr/>
                                  </w:pPr>
                                  <w:r>
                                    <w:rPr/>
                                    <w:t>​</w:t>
                                  </w:r>
                                </w:p>
                                <w:p>
                                  <w:pPr>
                                    <w:pStyle w:val="TableContents"/>
                                    <w:bidi w:val="0"/>
                                    <w:spacing w:lineRule="atLeast" w:line="224" w:before="61" w:after="0"/>
                                    <w:ind w:left="320" w:right="0" w:hanging="0"/>
                                    <w:jc w:val="left"/>
                                    <w:rPr/>
                                  </w:pPr>
                                  <w:r>
                                    <w:rPr>
                                      <w:spacing w:val="-1"/>
                                    </w:rPr>
                                    <w:t>Various other portfolio companies of Carlyle in healthcare (since 2017)</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pt;height:588.1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4640"/>
                        <w:gridCol w:w="109"/>
                        <w:gridCol w:w="109"/>
                        <w:gridCol w:w="5068"/>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3"/>
                                <w:sz w:val="24"/>
                              </w:rPr>
                              <w:t>R</w:t>
                            </w:r>
                            <w:r>
                              <w:rPr>
                                <w:b/>
                                <w:caps w:val="false"/>
                                <w:smallCaps w:val="false"/>
                                <w:color w:val="0055B7"/>
                                <w:spacing w:val="-3"/>
                                <w:sz w:val="24"/>
                              </w:rPr>
                              <w:t>OBERT</w:t>
                            </w:r>
                            <w:r>
                              <w:rPr>
                                <w:b/>
                                <w:color w:val="0055B7"/>
                                <w:spacing w:val="-3"/>
                                <w:sz w:val="24"/>
                              </w:rPr>
                              <w:t xml:space="preserve"> R. S</w:t>
                            </w:r>
                            <w:r>
                              <w:rPr>
                                <w:b/>
                                <w:caps w:val="false"/>
                                <w:smallCaps w:val="false"/>
                                <w:color w:val="0055B7"/>
                                <w:spacing w:val="-3"/>
                                <w:sz w:val="24"/>
                              </w:rPr>
                              <w:t>CHMIDT</w:t>
                            </w:r>
                            <w:r>
                              <w:rPr>
                                <w:b/>
                                <w:color w:val="0055B7"/>
                                <w:sz w:val="24"/>
                              </w:rPr>
                              <w:t xml:space="preserve"> </w:t>
                            </w:r>
                          </w:p>
                          <w:p>
                            <w:pPr>
                              <w:pStyle w:val="TableContents"/>
                              <w:bidi w:val="0"/>
                              <w:spacing w:lineRule="atLeast" w:line="245" w:before="0" w:after="0"/>
                              <w:jc w:val="left"/>
                              <w:rPr>
                                <w:b/>
                                <w:sz w:val="20"/>
                              </w:rPr>
                            </w:pPr>
                            <w:r>
                              <w:rPr>
                                <w:b/>
                                <w:spacing w:val="0"/>
                                <w:sz w:val="20"/>
                              </w:rPr>
                              <w:t>Independent</w:t>
                            </w:r>
                            <w:r>
                              <w:rPr>
                                <w:b/>
                                <w:sz w:val="20"/>
                              </w:rPr>
                              <w:t xml:space="preserve">​ </w:t>
                            </w:r>
                          </w:p>
                          <w:p>
                            <w:pPr>
                              <w:pStyle w:val="TableContents"/>
                              <w:bidi w:val="0"/>
                              <w:spacing w:lineRule="atLeast" w:line="200" w:before="127"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20" w:after="283"/>
                              <w:jc w:val="left"/>
                              <w:rPr/>
                            </w:pPr>
                            <w:r>
                              <w:rPr>
                                <w:spacing w:val="-1"/>
                              </w:rPr>
                              <w:t>Mr. Schmidt brings to the Board significant financial, management, and investment experience from his involvement at The Carlyle Group Inc. (“Carlyle”), including as Partner and Global Co-Head of Healthcare, as well as his thorough knowledge of our industry.</w:t>
                            </w:r>
                            <w:r>
                              <w:rPr/>
                              <w:t xml:space="preserve"> </w:t>
                            </w:r>
                          </w:p>
                          <w:p>
                            <w:pPr>
                              <w:pStyle w:val="TableContents"/>
                              <w:bidi w:val="0"/>
                              <w:spacing w:lineRule="atLeast" w:line="200" w:before="127"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29" w:after="283"/>
                              <w:jc w:val="left"/>
                              <w:rPr>
                                <w:b/>
                              </w:rPr>
                            </w:pPr>
                            <w:r>
                              <w:rPr>
                                <w:b/>
                                <w:spacing w:val="0"/>
                              </w:rPr>
                              <w:t>Carlyle</w:t>
                            </w:r>
                            <w:r>
                              <w:rPr>
                                <w:b w:val="false"/>
                                <w:spacing w:val="-1"/>
                              </w:rPr>
                              <w:t>, an investment firm</w:t>
                            </w:r>
                            <w:r>
                              <w:rPr>
                                <w:b/>
                              </w:rPr>
                              <w:t xml:space="preserve"> </w:t>
                            </w:r>
                          </w:p>
                          <w:p>
                            <w:pPr>
                              <w:pStyle w:val="TableContents"/>
                              <w:bidi w:val="0"/>
                              <w:spacing w:lineRule="atLeast" w:line="180" w:before="69" w:after="0"/>
                              <w:ind w:left="680" w:right="0" w:hanging="0"/>
                              <w:jc w:val="left"/>
                              <w:rPr/>
                            </w:pPr>
                            <w:r>
                              <w:rPr>
                                <w:spacing w:val="-1"/>
                              </w:rPr>
                              <w:t>Partner and Global Co-Head of Healthcare (since August 2011)</w:t>
                            </w:r>
                            <w:r>
                              <w:rPr/>
                              <w:t xml:space="preserve"> </w:t>
                            </w:r>
                          </w:p>
                          <w:p>
                            <w:pPr>
                              <w:pStyle w:val="TableContents"/>
                              <w:bidi w:val="0"/>
                              <w:spacing w:before="0" w:after="0"/>
                              <w:ind w:left="0" w:right="0" w:hanging="0"/>
                              <w:jc w:val="left"/>
                              <w:rPr/>
                            </w:pPr>
                            <w:r>
                              <w:rPr/>
                              <w:t>​</w:t>
                            </w:r>
                          </w:p>
                          <w:p>
                            <w:pPr>
                              <w:pStyle w:val="TableContents"/>
                              <w:bidi w:val="0"/>
                              <w:spacing w:lineRule="atLeast" w:line="225" w:before="120" w:after="283"/>
                              <w:jc w:val="left"/>
                              <w:rPr/>
                            </w:pPr>
                            <w:r>
                              <w:rPr>
                                <w:b/>
                                <w:spacing w:val="0"/>
                              </w:rPr>
                              <w:t>Welsh, Carson, Anderson &amp; Stowe</w:t>
                            </w:r>
                            <w:r>
                              <w:rPr>
                                <w:spacing w:val="-1"/>
                              </w:rPr>
                              <w:t>, a private equity firm focused on healthcare and technology investments</w:t>
                            </w:r>
                            <w:r>
                              <w:rPr/>
                              <w:t xml:space="preserve"> </w:t>
                            </w:r>
                          </w:p>
                          <w:p>
                            <w:pPr>
                              <w:pStyle w:val="TableContents"/>
                              <w:bidi w:val="0"/>
                              <w:spacing w:lineRule="atLeast" w:line="180" w:before="69" w:after="0"/>
                              <w:ind w:left="680" w:right="0" w:hanging="0"/>
                              <w:jc w:val="left"/>
                              <w:rPr/>
                            </w:pPr>
                            <w:r>
                              <w:rPr>
                                <w:spacing w:val="-1"/>
                              </w:rPr>
                              <w:t>Associate (2006 to 2009)</w:t>
                            </w:r>
                            <w:r>
                              <w:rPr/>
                              <w:t xml:space="preserve"> </w:t>
                            </w:r>
                          </w:p>
                          <w:p>
                            <w:pPr>
                              <w:pStyle w:val="TableContents"/>
                              <w:bidi w:val="0"/>
                              <w:spacing w:before="0" w:after="0"/>
                              <w:ind w:left="0" w:right="0" w:hanging="0"/>
                              <w:jc w:val="left"/>
                              <w:rPr/>
                            </w:pPr>
                            <w:r>
                              <w:rPr/>
                              <w:t>​</w:t>
                            </w:r>
                          </w:p>
                          <w:p>
                            <w:pPr>
                              <w:pStyle w:val="TableContents"/>
                              <w:bidi w:val="0"/>
                              <w:spacing w:lineRule="atLeast" w:line="180" w:before="129" w:after="283"/>
                              <w:jc w:val="left"/>
                              <w:rPr>
                                <w:b/>
                              </w:rPr>
                            </w:pPr>
                            <w:r>
                              <w:rPr>
                                <w:b/>
                                <w:spacing w:val="0"/>
                              </w:rPr>
                              <w:t>Merrill Lynch Global Private Equity</w:t>
                            </w:r>
                            <w:r>
                              <w:rPr>
                                <w:b w:val="false"/>
                                <w:spacing w:val="-1"/>
                              </w:rPr>
                              <w:t>, a private equity arm of Merrill Lynch</w:t>
                            </w:r>
                            <w:r>
                              <w:rPr>
                                <w:b/>
                              </w:rPr>
                              <w:t xml:space="preserve"> </w:t>
                            </w:r>
                          </w:p>
                          <w:p>
                            <w:pPr>
                              <w:pStyle w:val="TableContents"/>
                              <w:bidi w:val="0"/>
                              <w:spacing w:lineRule="atLeast" w:line="180" w:before="69" w:after="0"/>
                              <w:ind w:left="680" w:right="0" w:hanging="0"/>
                              <w:jc w:val="left"/>
                              <w:rPr/>
                            </w:pPr>
                            <w:r>
                              <w:rPr>
                                <w:spacing w:val="-1"/>
                              </w:rPr>
                              <w:t>Analyst (2004 to 2006)</w:t>
                            </w:r>
                            <w:r>
                              <w:rPr/>
                              <w:t xml:space="preserve"> </w:t>
                            </w:r>
                          </w:p>
                          <w:p>
                            <w:pPr>
                              <w:pStyle w:val="TableContents"/>
                              <w:bidi w:val="0"/>
                              <w:spacing w:before="0" w:after="0"/>
                              <w:ind w:left="0" w:right="0" w:hanging="0"/>
                              <w:jc w:val="left"/>
                              <w:rPr/>
                            </w:pPr>
                            <w:r>
                              <w:rPr/>
                              <w:t>​</w:t>
                            </w:r>
                          </w:p>
                          <w:p>
                            <w:pPr>
                              <w:pStyle w:val="TableContents"/>
                              <w:bidi w:val="0"/>
                              <w:spacing w:lineRule="atLeast" w:line="200" w:before="127" w:after="283"/>
                              <w:jc w:val="left"/>
                              <w:rPr>
                                <w:b/>
                                <w:color w:val="3E8DDD"/>
                                <w:sz w:val="20"/>
                              </w:rPr>
                            </w:pPr>
                            <w:r>
                              <w:rPr>
                                <w:b/>
                                <w:color w:val="3E8DDD"/>
                                <w:spacing w:val="0"/>
                                <w:sz w:val="20"/>
                              </w:rPr>
                              <w:t>Other Boards</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lineRule="atLeast" w:line="225" w:before="0" w:after="0"/>
                              <w:ind w:left="680" w:right="0" w:hanging="0"/>
                              <w:jc w:val="left"/>
                              <w:rPr/>
                            </w:pPr>
                            <w:r>
                              <w:rPr>
                                <w:b/>
                                <w:spacing w:val="0"/>
                              </w:rPr>
                              <w:t>Vantive</w:t>
                            </w:r>
                            <w:r>
                              <w:rPr>
                                <w:spacing w:val="-1"/>
                              </w:rPr>
                              <w:t>, a vital organ therapy company (since 2025)</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Resonetics</w:t>
                            </w:r>
                            <w:r>
                              <w:rPr>
                                <w:spacing w:val="-1"/>
                              </w:rPr>
                              <w:t>, a medtech development and manufacturing organization (since 2021)</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Unchained Labs</w:t>
                            </w:r>
                            <w:r>
                              <w:rPr>
                                <w:spacing w:val="-1"/>
                              </w:rPr>
                              <w:t>, a life science tools company (since 2021)</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Included Health (formerly Grand Rounds)</w:t>
                            </w:r>
                            <w:r>
                              <w:rPr>
                                <w:spacing w:val="-1"/>
                              </w:rPr>
                              <w:t>, a healthcare company that delivers personalized, all-in-one care (since 2020)</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68" w:type="dxa"/>
                            <w:tcBorders/>
                            <w:vAlign w:val="center"/>
                          </w:tcPr>
                          <w:p>
                            <w:pPr>
                              <w:pStyle w:val="TableContents"/>
                              <w:bidi w:val="0"/>
                              <w:spacing w:lineRule="atLeast" w:line="225" w:before="0" w:after="0"/>
                              <w:ind w:left="320" w:right="0" w:hanging="0"/>
                              <w:jc w:val="left"/>
                              <w:rPr/>
                            </w:pPr>
                            <w:r>
                              <w:rPr>
                                <w:b/>
                                <w:spacing w:val="0"/>
                              </w:rPr>
                              <w:t>QuidelOrtho Corporation</w:t>
                            </w:r>
                            <w:r>
                              <w:rPr>
                                <w:spacing w:val="-1"/>
                              </w:rPr>
                              <w:t>, a manufacturer of diagnostic healthcare products (“QuidelOrtho”) (2019 to 2024)</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320" w:right="0" w:hanging="0"/>
                              <w:jc w:val="left"/>
                              <w:rPr/>
                            </w:pPr>
                            <w:r>
                              <w:rPr>
                                <w:b/>
                                <w:spacing w:val="0"/>
                              </w:rPr>
                              <w:t>One Medical</w:t>
                            </w:r>
                            <w:r>
                              <w:rPr>
                                <w:spacing w:val="-1"/>
                              </w:rPr>
                              <w:t>, a member-based, technology-powered national primary care organization focused on transforming health care (2018 to 2023)</w:t>
                            </w:r>
                            <w:r>
                              <w:rPr/>
                              <w:t xml:space="preserve"> </w:t>
                            </w:r>
                          </w:p>
                          <w:p>
                            <w:pPr>
                              <w:pStyle w:val="TableContents"/>
                              <w:bidi w:val="0"/>
                              <w:spacing w:before="0" w:after="0"/>
                              <w:ind w:left="0" w:right="0" w:hanging="0"/>
                              <w:jc w:val="left"/>
                              <w:rPr/>
                            </w:pPr>
                            <w:r>
                              <w:rPr/>
                              <w:t>​</w:t>
                            </w:r>
                          </w:p>
                          <w:p>
                            <w:pPr>
                              <w:pStyle w:val="TableContents"/>
                              <w:bidi w:val="0"/>
                              <w:spacing w:lineRule="atLeast" w:line="224" w:before="61" w:after="0"/>
                              <w:ind w:left="320" w:right="0" w:hanging="0"/>
                              <w:jc w:val="left"/>
                              <w:rPr/>
                            </w:pPr>
                            <w:r>
                              <w:rPr>
                                <w:spacing w:val="-1"/>
                              </w:rPr>
                              <w:t>Various other portfolio companies of Carlyle in healthcare (since 2017)</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43815" distB="0" distL="228600" distR="0" simplePos="0" locked="0" layoutInCell="1" allowOverlap="1" relativeHeight="237">
                <wp:simplePos x="0" y="0"/>
                <wp:positionH relativeFrom="column">
                  <wp:align>left</wp:align>
                </wp:positionH>
                <wp:positionV relativeFrom="line">
                  <wp:align>top</wp:align>
                </wp:positionV>
                <wp:extent cx="203200" cy="350520"/>
                <wp:effectExtent l="0" t="0" r="0" b="0"/>
                <wp:wrapSquare wrapText="right"/>
                <wp:docPr id="183" name="Frame7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45pt;mso-wrap-distance-bottom:0pt;margin-top:3.4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3815" distB="0" distL="228600" distR="0" simplePos="0" locked="0" layoutInCell="1" allowOverlap="1" relativeHeight="238">
                <wp:simplePos x="0" y="0"/>
                <wp:positionH relativeFrom="column">
                  <wp:align>left</wp:align>
                </wp:positionH>
                <wp:positionV relativeFrom="line">
                  <wp:align>top</wp:align>
                </wp:positionV>
                <wp:extent cx="203200" cy="350520"/>
                <wp:effectExtent l="0" t="0" r="0" b="0"/>
                <wp:wrapSquare wrapText="right"/>
                <wp:docPr id="184" name="Frame7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45pt;mso-wrap-distance-bottom:0pt;margin-top:3.4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3815" distB="0" distL="228600" distR="0" simplePos="0" locked="0" layoutInCell="1" allowOverlap="1" relativeHeight="239">
                <wp:simplePos x="0" y="0"/>
                <wp:positionH relativeFrom="column">
                  <wp:align>left</wp:align>
                </wp:positionH>
                <wp:positionV relativeFrom="line">
                  <wp:align>top</wp:align>
                </wp:positionV>
                <wp:extent cx="203200" cy="350520"/>
                <wp:effectExtent l="0" t="0" r="0" b="0"/>
                <wp:wrapSquare wrapText="right"/>
                <wp:docPr id="185" name="Frame7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45pt;mso-wrap-distance-bottom:0pt;margin-top:3.4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240">
                <wp:simplePos x="0" y="0"/>
                <wp:positionH relativeFrom="column">
                  <wp:align>left</wp:align>
                </wp:positionH>
                <wp:positionV relativeFrom="line">
                  <wp:posOffset>635</wp:posOffset>
                </wp:positionV>
                <wp:extent cx="203200" cy="350520"/>
                <wp:effectExtent l="0" t="0" r="0" b="0"/>
                <wp:wrapSquare wrapText="right"/>
                <wp:docPr id="186" name="Frame7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38735" distB="0" distL="228600" distR="0" simplePos="0" locked="0" layoutInCell="1" allowOverlap="1" relativeHeight="241">
                <wp:simplePos x="0" y="0"/>
                <wp:positionH relativeFrom="column">
                  <wp:align>left</wp:align>
                </wp:positionH>
                <wp:positionV relativeFrom="line">
                  <wp:align>top</wp:align>
                </wp:positionV>
                <wp:extent cx="203200" cy="350520"/>
                <wp:effectExtent l="0" t="0" r="0" b="0"/>
                <wp:wrapSquare wrapText="right"/>
                <wp:docPr id="187" name="Frame8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05pt;mso-wrap-distance-bottom:0pt;margin-top:3.0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38735" distB="0" distL="228600" distR="0" simplePos="0" locked="0" layoutInCell="1" allowOverlap="1" relativeHeight="242">
                <wp:simplePos x="0" y="0"/>
                <wp:positionH relativeFrom="column">
                  <wp:align>left</wp:align>
                </wp:positionH>
                <wp:positionV relativeFrom="line">
                  <wp:align>top</wp:align>
                </wp:positionV>
                <wp:extent cx="203200" cy="350520"/>
                <wp:effectExtent l="0" t="0" r="0" b="0"/>
                <wp:wrapSquare wrapText="right"/>
                <wp:docPr id="188" name="Frame8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05pt;mso-wrap-distance-bottom:0pt;margin-top:3.0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38735" distB="0" distL="228600" distR="0" simplePos="0" locked="0" layoutInCell="1" allowOverlap="1" relativeHeight="243">
                <wp:simplePos x="0" y="0"/>
                <wp:positionH relativeFrom="column">
                  <wp:align>left</wp:align>
                </wp:positionH>
                <wp:positionV relativeFrom="line">
                  <wp:align>top</wp:align>
                </wp:positionV>
                <wp:extent cx="203200" cy="350520"/>
                <wp:effectExtent l="0" t="0" r="0" b="0"/>
                <wp:wrapSquare wrapText="right"/>
                <wp:docPr id="189" name="Frame8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05pt;mso-wrap-distance-bottom:0pt;margin-top:3.0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203200" cy="350520"/>
                <wp:effectExtent l="0" t="0" r="0" b="0"/>
                <wp:wrapSquare wrapText="right"/>
                <wp:docPr id="190" name="Frame8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38735" distB="0" distL="0" distR="0" simplePos="0" locked="0" layoutInCell="1" allowOverlap="1" relativeHeight="245">
                <wp:simplePos x="0" y="0"/>
                <wp:positionH relativeFrom="column">
                  <wp:align>left</wp:align>
                </wp:positionH>
                <wp:positionV relativeFrom="line">
                  <wp:align>top</wp:align>
                </wp:positionV>
                <wp:extent cx="203200" cy="350520"/>
                <wp:effectExtent l="0" t="0" r="0" b="0"/>
                <wp:wrapSquare wrapText="right"/>
                <wp:docPr id="191" name="Frame8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3.05pt;mso-wrap-distance-bottom:0pt;margin-top:3.05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38735" distB="0" distL="0" distR="0" simplePos="0" locked="0" layoutInCell="1" allowOverlap="1" relativeHeight="246">
                <wp:simplePos x="0" y="0"/>
                <wp:positionH relativeFrom="column">
                  <wp:align>left</wp:align>
                </wp:positionH>
                <wp:positionV relativeFrom="line">
                  <wp:align>top</wp:align>
                </wp:positionV>
                <wp:extent cx="203200" cy="350520"/>
                <wp:effectExtent l="0" t="0" r="0" b="0"/>
                <wp:wrapSquare wrapText="right"/>
                <wp:docPr id="192" name="Frame8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3.05pt;mso-wrap-distance-bottom:0pt;margin-top:3.05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142" w:before="272" w:after="5042"/>
        <w:ind w:left="720" w:right="0" w:hanging="0"/>
        <w:jc w:val="left"/>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15</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1">
                <wp:simplePos x="0" y="0"/>
                <wp:positionH relativeFrom="column">
                  <wp:align>left</wp:align>
                </wp:positionH>
                <wp:positionV relativeFrom="line">
                  <wp:posOffset>635</wp:posOffset>
                </wp:positionV>
                <wp:extent cx="1358900" cy="4232275"/>
                <wp:effectExtent l="0" t="0" r="0" b="0"/>
                <wp:wrapSquare wrapText="right"/>
                <wp:docPr id="193" name="Frame86"/>
                <a:graphic xmlns:a="http://schemas.openxmlformats.org/drawingml/2006/main">
                  <a:graphicData uri="http://schemas.microsoft.com/office/word/2010/wordprocessingShape">
                    <wps:wsp>
                      <wps:cNvSpPr txBox="1"/>
                      <wps:spPr>
                        <a:xfrm>
                          <a:off x="0" y="0"/>
                          <a:ext cx="1358900" cy="4232275"/>
                        </a:xfrm>
                        <a:prstGeom prst="rect"/>
                        <a:solidFill>
                          <a:srgbClr val="FFFFFF"/>
                        </a:solidFill>
                      </wps:spPr>
                      <wps:txbx>
                        <w:txbxContent>
                          <w:tbl>
                            <w:tblPr>
                              <w:tblW w:w="9170" w:type="dxa"/>
                              <w:jc w:val="left"/>
                              <w:tblInd w:w="0" w:type="dxa"/>
                              <w:tblLayout w:type="fixed"/>
                              <w:tblCellMar>
                                <w:top w:w="0" w:type="dxa"/>
                                <w:left w:w="0" w:type="dxa"/>
                                <w:bottom w:w="0" w:type="dxa"/>
                                <w:right w:w="0" w:type="dxa"/>
                              </w:tblCellMar>
                            </w:tblPr>
                            <w:tblGrid>
                              <w:gridCol w:w="124"/>
                              <w:gridCol w:w="8892"/>
                              <w:gridCol w:w="154"/>
                            </w:tblGrid>
                            <w:tr>
                              <w:trPr/>
                              <w:tc>
                                <w:tcPr>
                                  <w:tcW w:w="124" w:type="dxa"/>
                                  <w:tcBorders/>
                                  <w:vAlign w:val="center"/>
                                </w:tcPr>
                                <w:p>
                                  <w:pPr>
                                    <w:pStyle w:val="TableContents"/>
                                    <w:bidi w:val="0"/>
                                    <w:spacing w:before="0" w:after="283"/>
                                    <w:jc w:val="left"/>
                                    <w:rPr/>
                                  </w:pPr>
                                  <w:r>
                                    <w:rPr/>
                                    <w:t>​</w:t>
                                  </w:r>
                                </w:p>
                              </w:tc>
                              <w:tc>
                                <w:tcPr>
                                  <w:tcW w:w="8892" w:type="dxa"/>
                                  <w:tcBorders/>
                                  <w:vAlign w:val="center"/>
                                </w:tcPr>
                                <w:p>
                                  <w:pPr>
                                    <w:pStyle w:val="TableContents"/>
                                    <w:bidi w:val="0"/>
                                    <w:spacing w:before="0" w:after="0"/>
                                    <w:jc w:val="left"/>
                                    <w:rPr/>
                                  </w:pPr>
                                  <w:r>
                                    <w:rPr/>
                                    <w:drawing>
                                      <wp:inline distT="0" distB="0" distL="0" distR="0">
                                        <wp:extent cx="1362075" cy="1381125"/>
                                        <wp:effectExtent l="0" t="0" r="0" b="0"/>
                                        <wp:docPr id="19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5" descr=""/>
                                                <pic:cNvPicPr>
                                                  <a:picLocks noChangeAspect="1" noChangeArrowheads="1"/>
                                                </pic:cNvPicPr>
                                              </pic:nvPicPr>
                                              <pic:blipFill>
                                                <a:blip r:embed="rId109"/>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39</w:t>
                                  </w:r>
                                  <w:r>
                                    <w:rPr>
                                      <w:b/>
                                    </w:rPr>
                                    <w:t xml:space="preserve"> </w:t>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Compensation Committee, Nominating and Corporate Governance Committee, and Risk and </w:t>
                                    <w:br/>
                                    <w:t xml:space="preserve">Compliance Committee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33.25pt;mso-wrap-distance-left:36pt;mso-wrap-distance-right:0pt;mso-wrap-distance-top:0pt;mso-wrap-distance-bottom:0pt;margin-top:0pt;mso-position-vertical:top;mso-position-vertical-relative:text;margin-left:36pt;mso-position-horizontal:left;mso-position-horizontal-relative:text">
                <v:textbox>
                  <w:txbxContent>
                    <w:tbl>
                      <w:tblPr>
                        <w:tblW w:w="9170" w:type="dxa"/>
                        <w:jc w:val="left"/>
                        <w:tblInd w:w="0" w:type="dxa"/>
                        <w:tblLayout w:type="fixed"/>
                        <w:tblCellMar>
                          <w:top w:w="0" w:type="dxa"/>
                          <w:left w:w="0" w:type="dxa"/>
                          <w:bottom w:w="0" w:type="dxa"/>
                          <w:right w:w="0" w:type="dxa"/>
                        </w:tblCellMar>
                      </w:tblPr>
                      <w:tblGrid>
                        <w:gridCol w:w="124"/>
                        <w:gridCol w:w="8892"/>
                        <w:gridCol w:w="154"/>
                      </w:tblGrid>
                      <w:tr>
                        <w:trPr/>
                        <w:tc>
                          <w:tcPr>
                            <w:tcW w:w="124" w:type="dxa"/>
                            <w:tcBorders/>
                            <w:vAlign w:val="center"/>
                          </w:tcPr>
                          <w:p>
                            <w:pPr>
                              <w:pStyle w:val="TableContents"/>
                              <w:bidi w:val="0"/>
                              <w:spacing w:before="0" w:after="283"/>
                              <w:jc w:val="left"/>
                              <w:rPr/>
                            </w:pPr>
                            <w:r>
                              <w:rPr/>
                              <w:t>​</w:t>
                            </w:r>
                          </w:p>
                        </w:tc>
                        <w:tc>
                          <w:tcPr>
                            <w:tcW w:w="8892" w:type="dxa"/>
                            <w:tcBorders/>
                            <w:vAlign w:val="center"/>
                          </w:tcPr>
                          <w:p>
                            <w:pPr>
                              <w:pStyle w:val="TableContents"/>
                              <w:bidi w:val="0"/>
                              <w:spacing w:before="0" w:after="0"/>
                              <w:jc w:val="left"/>
                              <w:rPr/>
                            </w:pPr>
                            <w:r>
                              <w:rPr/>
                              <w:drawing>
                                <wp:inline distT="0" distB="0" distL="0" distR="0">
                                  <wp:extent cx="1362075" cy="1381125"/>
                                  <wp:effectExtent l="0" t="0" r="0" b="0"/>
                                  <wp:docPr id="1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95" descr=""/>
                                          <pic:cNvPicPr>
                                            <a:picLocks noChangeAspect="1" noChangeArrowheads="1"/>
                                          </pic:cNvPicPr>
                                        </pic:nvPicPr>
                                        <pic:blipFill>
                                          <a:blip r:embed="rId110"/>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39</w:t>
                            </w:r>
                            <w:r>
                              <w:rPr>
                                <w:b/>
                              </w:rPr>
                              <w:t xml:space="preserve"> </w:t>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Compensation Committee, Nominating and Corporate Governance Committee, and Risk and </w:t>
                              <w:br/>
                              <w:t xml:space="preserve">Compliance Committee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8892"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47">
                <wp:simplePos x="0" y="0"/>
                <wp:positionH relativeFrom="column">
                  <wp:align>left</wp:align>
                </wp:positionH>
                <wp:positionV relativeFrom="line">
                  <wp:posOffset>635</wp:posOffset>
                </wp:positionV>
                <wp:extent cx="5118100" cy="7707630"/>
                <wp:effectExtent l="0" t="0" r="0" b="0"/>
                <wp:wrapSquare wrapText="right"/>
                <wp:docPr id="196" name="Frame87"/>
                <a:graphic xmlns:a="http://schemas.openxmlformats.org/drawingml/2006/main">
                  <a:graphicData uri="http://schemas.microsoft.com/office/word/2010/wordprocessingShape">
                    <wps:wsp>
                      <wps:cNvSpPr txBox="1"/>
                      <wps:spPr>
                        <a:xfrm>
                          <a:off x="0" y="0"/>
                          <a:ext cx="5118100" cy="77076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5431"/>
                              <w:gridCol w:w="109"/>
                              <w:gridCol w:w="109"/>
                              <w:gridCol w:w="4277"/>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3"/>
                                      <w:sz w:val="24"/>
                                    </w:rPr>
                                    <w:t>A</w:t>
                                  </w:r>
                                  <w:r>
                                    <w:rPr>
                                      <w:b/>
                                      <w:caps w:val="false"/>
                                      <w:smallCaps w:val="false"/>
                                      <w:color w:val="0055B7"/>
                                      <w:spacing w:val="-3"/>
                                      <w:sz w:val="24"/>
                                    </w:rPr>
                                    <w:t>NUSHKA</w:t>
                                  </w:r>
                                  <w:r>
                                    <w:rPr>
                                      <w:b/>
                                      <w:color w:val="0055B7"/>
                                      <w:spacing w:val="-3"/>
                                      <w:sz w:val="24"/>
                                    </w:rPr>
                                    <w:t xml:space="preserve"> M. S</w:t>
                                  </w:r>
                                  <w:r>
                                    <w:rPr>
                                      <w:b/>
                                      <w:caps w:val="false"/>
                                      <w:smallCaps w:val="false"/>
                                      <w:color w:val="0055B7"/>
                                      <w:spacing w:val="-3"/>
                                      <w:sz w:val="24"/>
                                    </w:rPr>
                                    <w:t>UNDER</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2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25" w:after="283"/>
                                    <w:jc w:val="left"/>
                                    <w:rPr/>
                                  </w:pPr>
                                  <w:r>
                                    <w:rPr>
                                      <w:spacing w:val="-1"/>
                                    </w:rPr>
                                    <w:t>Ms. Sunder brings to the Board extensive financial, management, and investment expertise from her involvement as Blackstone, including as Senior Managing Director and Head of Healthcare Private Equity North America, as well as her thorough knowledge of our industry.</w:t>
                                  </w:r>
                                  <w:r>
                                    <w:rPr/>
                                    <w:t xml:space="preserve"> </w:t>
                                  </w:r>
                                </w:p>
                                <w:p>
                                  <w:pPr>
                                    <w:pStyle w:val="TableContents"/>
                                    <w:bidi w:val="0"/>
                                    <w:spacing w:lineRule="atLeast" w:line="200" w:before="12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25" w:after="283"/>
                                    <w:jc w:val="left"/>
                                    <w:rPr>
                                      <w:b/>
                                    </w:rPr>
                                  </w:pPr>
                                  <w:r>
                                    <w:rPr>
                                      <w:b/>
                                      <w:spacing w:val="0"/>
                                    </w:rPr>
                                    <w:t>Blackstone</w:t>
                                  </w:r>
                                  <w:r>
                                    <w:rPr>
                                      <w:b w:val="false"/>
                                      <w:spacing w:val="-1"/>
                                    </w:rPr>
                                    <w:t>, an alternative asset manager</w:t>
                                  </w:r>
                                  <w:r>
                                    <w:rPr>
                                      <w:b/>
                                    </w:rPr>
                                    <w:t xml:space="preserve"> </w:t>
                                  </w:r>
                                </w:p>
                                <w:p>
                                  <w:pPr>
                                    <w:pStyle w:val="TableContents"/>
                                    <w:bidi w:val="0"/>
                                    <w:spacing w:lineRule="atLeast" w:line="225" w:before="105" w:after="0"/>
                                    <w:ind w:left="680" w:right="0" w:hanging="0"/>
                                    <w:jc w:val="left"/>
                                    <w:rPr/>
                                  </w:pPr>
                                  <w:r>
                                    <w:rPr>
                                      <w:spacing w:val="-1"/>
                                    </w:rPr>
                                    <w:t>Senior Managing Director and Head of Healthcare Private Equity North America (since 2013)</w:t>
                                  </w:r>
                                  <w:r>
                                    <w:rPr/>
                                    <w:t xml:space="preserve"> </w:t>
                                  </w:r>
                                </w:p>
                                <w:p>
                                  <w:pPr>
                                    <w:pStyle w:val="TableContents"/>
                                    <w:bidi w:val="0"/>
                                    <w:spacing w:before="0" w:after="0"/>
                                    <w:ind w:left="0" w:right="0" w:hanging="0"/>
                                    <w:jc w:val="left"/>
                                    <w:rPr/>
                                  </w:pPr>
                                  <w:r>
                                    <w:rPr/>
                                    <w:t>​</w:t>
                                  </w:r>
                                </w:p>
                                <w:p>
                                  <w:pPr>
                                    <w:pStyle w:val="TableContents"/>
                                    <w:bidi w:val="0"/>
                                    <w:spacing w:lineRule="atLeast" w:line="180" w:before="125" w:after="283"/>
                                    <w:jc w:val="left"/>
                                    <w:rPr>
                                      <w:b/>
                                    </w:rPr>
                                  </w:pPr>
                                  <w:r>
                                    <w:rPr>
                                      <w:b/>
                                      <w:spacing w:val="0"/>
                                    </w:rPr>
                                    <w:t>TPG Capital</w:t>
                                  </w:r>
                                  <w:r>
                                    <w:rPr>
                                      <w:b w:val="false"/>
                                      <w:spacing w:val="-1"/>
                                    </w:rPr>
                                    <w:t>, an alternative asset management firm</w:t>
                                  </w:r>
                                  <w:r>
                                    <w:rPr>
                                      <w:b/>
                                    </w:rPr>
                                    <w:t xml:space="preserve"> </w:t>
                                  </w:r>
                                </w:p>
                                <w:p>
                                  <w:pPr>
                                    <w:pStyle w:val="TableContents"/>
                                    <w:bidi w:val="0"/>
                                    <w:spacing w:lineRule="atLeast" w:line="180" w:before="105" w:after="0"/>
                                    <w:ind w:left="680" w:right="0" w:hanging="0"/>
                                    <w:jc w:val="left"/>
                                    <w:rPr/>
                                  </w:pPr>
                                  <w:r>
                                    <w:rPr>
                                      <w:spacing w:val="-1"/>
                                    </w:rPr>
                                    <w:t>Associate (2009 to 2011)</w:t>
                                  </w:r>
                                  <w:r>
                                    <w:rPr/>
                                    <w:t xml:space="preserve"> </w:t>
                                  </w:r>
                                </w:p>
                                <w:p>
                                  <w:pPr>
                                    <w:pStyle w:val="TableContents"/>
                                    <w:bidi w:val="0"/>
                                    <w:spacing w:before="0" w:after="0"/>
                                    <w:ind w:left="0" w:right="0" w:hanging="0"/>
                                    <w:jc w:val="left"/>
                                    <w:rPr/>
                                  </w:pPr>
                                  <w:r>
                                    <w:rPr/>
                                    <w:t>​</w:t>
                                  </w:r>
                                </w:p>
                                <w:p>
                                  <w:pPr>
                                    <w:pStyle w:val="TableContents"/>
                                    <w:bidi w:val="0"/>
                                    <w:spacing w:lineRule="atLeast" w:line="180" w:before="125" w:after="283"/>
                                    <w:jc w:val="left"/>
                                    <w:rPr>
                                      <w:b/>
                                    </w:rPr>
                                  </w:pPr>
                                  <w:r>
                                    <w:rPr>
                                      <w:b/>
                                      <w:spacing w:val="0"/>
                                    </w:rPr>
                                    <w:t>Goldman Sachs</w:t>
                                  </w:r>
                                  <w:r>
                                    <w:rPr>
                                      <w:b w:val="false"/>
                                      <w:spacing w:val="-1"/>
                                    </w:rPr>
                                    <w:t>, an investment banking, securities, and asset and wealth management firm</w:t>
                                  </w:r>
                                  <w:r>
                                    <w:rPr>
                                      <w:b/>
                                    </w:rPr>
                                    <w:t xml:space="preserve"> </w:t>
                                  </w:r>
                                </w:p>
                                <w:p>
                                  <w:pPr>
                                    <w:pStyle w:val="TableContents"/>
                                    <w:bidi w:val="0"/>
                                    <w:spacing w:lineRule="atLeast" w:line="180" w:before="105" w:after="0"/>
                                    <w:ind w:left="680" w:right="0" w:hanging="0"/>
                                    <w:jc w:val="left"/>
                                    <w:rPr/>
                                  </w:pPr>
                                  <w:r>
                                    <w:rPr>
                                      <w:spacing w:val="-1"/>
                                    </w:rPr>
                                    <w:t>Analyst, Financial Institutions Group (2007 to 2009)</w:t>
                                  </w:r>
                                  <w:r>
                                    <w:rPr/>
                                    <w:t xml:space="preserve"> </w:t>
                                  </w:r>
                                </w:p>
                                <w:p>
                                  <w:pPr>
                                    <w:pStyle w:val="TableContents"/>
                                    <w:bidi w:val="0"/>
                                    <w:spacing w:before="0" w:after="0"/>
                                    <w:ind w:left="0" w:right="0" w:hanging="0"/>
                                    <w:jc w:val="left"/>
                                    <w:rPr/>
                                  </w:pPr>
                                  <w:r>
                                    <w:rPr/>
                                    <w:t>​</w:t>
                                  </w:r>
                                </w:p>
                                <w:p>
                                  <w:pPr>
                                    <w:pStyle w:val="TableContents"/>
                                    <w:bidi w:val="0"/>
                                    <w:spacing w:lineRule="atLeast" w:line="200" w:before="125" w:after="283"/>
                                    <w:jc w:val="left"/>
                                    <w:rPr>
                                      <w:b/>
                                      <w:color w:val="3E8DDD"/>
                                      <w:sz w:val="20"/>
                                    </w:rPr>
                                  </w:pPr>
                                  <w:r>
                                    <w:rPr>
                                      <w:b/>
                                      <w:color w:val="3E8DDD"/>
                                      <w:spacing w:val="0"/>
                                      <w:sz w:val="20"/>
                                    </w:rPr>
                                    <w:t>Other Boards</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31" w:type="dxa"/>
                                  <w:tcBorders/>
                                  <w:vAlign w:val="center"/>
                                </w:tcPr>
                                <w:p>
                                  <w:pPr>
                                    <w:pStyle w:val="TableContents"/>
                                    <w:bidi w:val="0"/>
                                    <w:spacing w:lineRule="atLeast" w:line="225" w:before="0" w:after="0"/>
                                    <w:ind w:left="680" w:right="0" w:hanging="0"/>
                                    <w:jc w:val="left"/>
                                    <w:rPr/>
                                  </w:pPr>
                                  <w:r>
                                    <w:rPr>
                                      <w:b/>
                                      <w:spacing w:val="0"/>
                                    </w:rPr>
                                    <w:t>AGS Health</w:t>
                                  </w:r>
                                  <w:r>
                                    <w:rPr>
                                      <w:spacing w:val="-1"/>
                                    </w:rPr>
                                    <w:t>, a healthcare revenue cycle management firm (since 2025)</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Allied Benefit Systems</w:t>
                                  </w:r>
                                  <w:r>
                                    <w:rPr>
                                      <w:spacing w:val="-1"/>
                                    </w:rPr>
                                    <w:t>, a healthcare solutions company that provides innovative and customized benefit plans for small to large organizations (since 2024)</w:t>
                                  </w:r>
                                  <w:r>
                                    <w:rPr/>
                                    <w:t xml:space="preserve"> </w:t>
                                  </w:r>
                                </w:p>
                                <w:p>
                                  <w:pPr>
                                    <w:pStyle w:val="TableContents"/>
                                    <w:bidi w:val="0"/>
                                    <w:spacing w:before="0" w:after="0"/>
                                    <w:ind w:left="0" w:right="0" w:hanging="0"/>
                                    <w:jc w:val="left"/>
                                    <w:rPr/>
                                  </w:pPr>
                                  <w:r>
                                    <w:rPr/>
                                    <w:t>​</w:t>
                                  </w:r>
                                </w:p>
                                <w:p>
                                  <w:pPr>
                                    <w:pStyle w:val="TableContents"/>
                                    <w:bidi w:val="0"/>
                                    <w:spacing w:lineRule="atLeast" w:line="224" w:before="105" w:after="0"/>
                                    <w:ind w:left="680" w:right="0" w:hanging="0"/>
                                    <w:jc w:val="left"/>
                                    <w:rPr/>
                                  </w:pPr>
                                  <w:r>
                                    <w:rPr>
                                      <w:b/>
                                      <w:spacing w:val="0"/>
                                    </w:rPr>
                                    <w:t>Advarra</w:t>
                                  </w:r>
                                  <w:r>
                                    <w:rPr>
                                      <w:spacing w:val="-1"/>
                                    </w:rPr>
                                    <w:t>, a clinical trials management company (since 2022)</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Optiv Securities</w:t>
                                  </w:r>
                                  <w:r>
                                    <w:rPr>
                                      <w:spacing w:val="-1"/>
                                    </w:rPr>
                                    <w:t>, a provider of end-to-end cybersecurity solutions (2014 to 2026)</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77" w:type="dxa"/>
                                  <w:tcBorders/>
                                  <w:vAlign w:val="center"/>
                                </w:tcPr>
                                <w:p>
                                  <w:pPr>
                                    <w:pStyle w:val="TableContents"/>
                                    <w:bidi w:val="0"/>
                                    <w:spacing w:lineRule="atLeast" w:line="225" w:before="0" w:after="0"/>
                                    <w:ind w:left="320" w:right="0" w:hanging="0"/>
                                    <w:jc w:val="left"/>
                                    <w:rPr/>
                                  </w:pPr>
                                  <w:r>
                                    <w:rPr>
                                      <w:b/>
                                      <w:spacing w:val="0"/>
                                    </w:rPr>
                                    <w:t>HealthEdge Software</w:t>
                                  </w:r>
                                  <w:r>
                                    <w:rPr>
                                      <w:spacing w:val="-1"/>
                                    </w:rPr>
                                    <w:t>, a healthcare technology company (2020 to 2025)</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320" w:right="0" w:hanging="0"/>
                                    <w:jc w:val="left"/>
                                    <w:rPr/>
                                  </w:pPr>
                                  <w:r>
                                    <w:rPr>
                                      <w:b/>
                                      <w:spacing w:val="0"/>
                                    </w:rPr>
                                    <w:t>Blue Yonder</w:t>
                                  </w:r>
                                  <w:r>
                                    <w:rPr>
                                      <w:spacing w:val="-1"/>
                                    </w:rPr>
                                    <w:t>, an artificial intelligence-based supply chain software provider (2016 to 2021)</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320" w:right="0" w:hanging="0"/>
                                    <w:jc w:val="left"/>
                                    <w:rPr/>
                                  </w:pPr>
                                  <w:r>
                                    <w:rPr>
                                      <w:spacing w:val="-1"/>
                                    </w:rPr>
                                    <w:t>Various other portfolio companies of Blackstone in healthcare, technology, and procurement (since 2019)</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pt;height:606.9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5431"/>
                        <w:gridCol w:w="109"/>
                        <w:gridCol w:w="109"/>
                        <w:gridCol w:w="4277"/>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3"/>
                                <w:sz w:val="24"/>
                              </w:rPr>
                              <w:t>A</w:t>
                            </w:r>
                            <w:r>
                              <w:rPr>
                                <w:b/>
                                <w:caps w:val="false"/>
                                <w:smallCaps w:val="false"/>
                                <w:color w:val="0055B7"/>
                                <w:spacing w:val="-3"/>
                                <w:sz w:val="24"/>
                              </w:rPr>
                              <w:t>NUSHKA</w:t>
                            </w:r>
                            <w:r>
                              <w:rPr>
                                <w:b/>
                                <w:color w:val="0055B7"/>
                                <w:spacing w:val="-3"/>
                                <w:sz w:val="24"/>
                              </w:rPr>
                              <w:t xml:space="preserve"> M. S</w:t>
                            </w:r>
                            <w:r>
                              <w:rPr>
                                <w:b/>
                                <w:caps w:val="false"/>
                                <w:smallCaps w:val="false"/>
                                <w:color w:val="0055B7"/>
                                <w:spacing w:val="-3"/>
                                <w:sz w:val="24"/>
                              </w:rPr>
                              <w:t>UNDER</w:t>
                            </w:r>
                            <w:r>
                              <w:rPr>
                                <w:b/>
                                <w:color w:val="0055B7"/>
                                <w:sz w:val="24"/>
                              </w:rPr>
                              <w:t xml:space="preserve"> </w:t>
                            </w:r>
                          </w:p>
                          <w:p>
                            <w:pPr>
                              <w:pStyle w:val="TableContents"/>
                              <w:bidi w:val="0"/>
                              <w:spacing w:lineRule="atLeast" w:line="245" w:before="45" w:after="283"/>
                              <w:jc w:val="left"/>
                              <w:rPr>
                                <w:b/>
                                <w:sz w:val="20"/>
                              </w:rPr>
                            </w:pPr>
                            <w:r>
                              <w:rPr>
                                <w:b/>
                                <w:spacing w:val="0"/>
                                <w:sz w:val="20"/>
                              </w:rPr>
                              <w:t>Independent</w:t>
                            </w:r>
                            <w:r>
                              <w:rPr>
                                <w:b/>
                                <w:sz w:val="20"/>
                              </w:rPr>
                              <w:t xml:space="preserve">​ </w:t>
                            </w:r>
                          </w:p>
                          <w:p>
                            <w:pPr>
                              <w:pStyle w:val="TableContents"/>
                              <w:bidi w:val="0"/>
                              <w:spacing w:lineRule="atLeast" w:line="200" w:before="12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25" w:after="283"/>
                              <w:jc w:val="left"/>
                              <w:rPr/>
                            </w:pPr>
                            <w:r>
                              <w:rPr>
                                <w:spacing w:val="-1"/>
                              </w:rPr>
                              <w:t>Ms. Sunder brings to the Board extensive financial, management, and investment expertise from her involvement as Blackstone, including as Senior Managing Director and Head of Healthcare Private Equity North America, as well as her thorough knowledge of our industry.</w:t>
                            </w:r>
                            <w:r>
                              <w:rPr/>
                              <w:t xml:space="preserve"> </w:t>
                            </w:r>
                          </w:p>
                          <w:p>
                            <w:pPr>
                              <w:pStyle w:val="TableContents"/>
                              <w:bidi w:val="0"/>
                              <w:spacing w:lineRule="atLeast" w:line="200" w:before="12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25" w:after="283"/>
                              <w:jc w:val="left"/>
                              <w:rPr>
                                <w:b/>
                              </w:rPr>
                            </w:pPr>
                            <w:r>
                              <w:rPr>
                                <w:b/>
                                <w:spacing w:val="0"/>
                              </w:rPr>
                              <w:t>Blackstone</w:t>
                            </w:r>
                            <w:r>
                              <w:rPr>
                                <w:b w:val="false"/>
                                <w:spacing w:val="-1"/>
                              </w:rPr>
                              <w:t>, an alternative asset manager</w:t>
                            </w:r>
                            <w:r>
                              <w:rPr>
                                <w:b/>
                              </w:rPr>
                              <w:t xml:space="preserve"> </w:t>
                            </w:r>
                          </w:p>
                          <w:p>
                            <w:pPr>
                              <w:pStyle w:val="TableContents"/>
                              <w:bidi w:val="0"/>
                              <w:spacing w:lineRule="atLeast" w:line="225" w:before="105" w:after="0"/>
                              <w:ind w:left="680" w:right="0" w:hanging="0"/>
                              <w:jc w:val="left"/>
                              <w:rPr/>
                            </w:pPr>
                            <w:r>
                              <w:rPr>
                                <w:spacing w:val="-1"/>
                              </w:rPr>
                              <w:t>Senior Managing Director and Head of Healthcare Private Equity North America (since 2013)</w:t>
                            </w:r>
                            <w:r>
                              <w:rPr/>
                              <w:t xml:space="preserve"> </w:t>
                            </w:r>
                          </w:p>
                          <w:p>
                            <w:pPr>
                              <w:pStyle w:val="TableContents"/>
                              <w:bidi w:val="0"/>
                              <w:spacing w:before="0" w:after="0"/>
                              <w:ind w:left="0" w:right="0" w:hanging="0"/>
                              <w:jc w:val="left"/>
                              <w:rPr/>
                            </w:pPr>
                            <w:r>
                              <w:rPr/>
                              <w:t>​</w:t>
                            </w:r>
                          </w:p>
                          <w:p>
                            <w:pPr>
                              <w:pStyle w:val="TableContents"/>
                              <w:bidi w:val="0"/>
                              <w:spacing w:lineRule="atLeast" w:line="180" w:before="125" w:after="283"/>
                              <w:jc w:val="left"/>
                              <w:rPr>
                                <w:b/>
                              </w:rPr>
                            </w:pPr>
                            <w:r>
                              <w:rPr>
                                <w:b/>
                                <w:spacing w:val="0"/>
                              </w:rPr>
                              <w:t>TPG Capital</w:t>
                            </w:r>
                            <w:r>
                              <w:rPr>
                                <w:b w:val="false"/>
                                <w:spacing w:val="-1"/>
                              </w:rPr>
                              <w:t>, an alternative asset management firm</w:t>
                            </w:r>
                            <w:r>
                              <w:rPr>
                                <w:b/>
                              </w:rPr>
                              <w:t xml:space="preserve"> </w:t>
                            </w:r>
                          </w:p>
                          <w:p>
                            <w:pPr>
                              <w:pStyle w:val="TableContents"/>
                              <w:bidi w:val="0"/>
                              <w:spacing w:lineRule="atLeast" w:line="180" w:before="105" w:after="0"/>
                              <w:ind w:left="680" w:right="0" w:hanging="0"/>
                              <w:jc w:val="left"/>
                              <w:rPr/>
                            </w:pPr>
                            <w:r>
                              <w:rPr>
                                <w:spacing w:val="-1"/>
                              </w:rPr>
                              <w:t>Associate (2009 to 2011)</w:t>
                            </w:r>
                            <w:r>
                              <w:rPr/>
                              <w:t xml:space="preserve"> </w:t>
                            </w:r>
                          </w:p>
                          <w:p>
                            <w:pPr>
                              <w:pStyle w:val="TableContents"/>
                              <w:bidi w:val="0"/>
                              <w:spacing w:before="0" w:after="0"/>
                              <w:ind w:left="0" w:right="0" w:hanging="0"/>
                              <w:jc w:val="left"/>
                              <w:rPr/>
                            </w:pPr>
                            <w:r>
                              <w:rPr/>
                              <w:t>​</w:t>
                            </w:r>
                          </w:p>
                          <w:p>
                            <w:pPr>
                              <w:pStyle w:val="TableContents"/>
                              <w:bidi w:val="0"/>
                              <w:spacing w:lineRule="atLeast" w:line="180" w:before="125" w:after="283"/>
                              <w:jc w:val="left"/>
                              <w:rPr>
                                <w:b/>
                              </w:rPr>
                            </w:pPr>
                            <w:r>
                              <w:rPr>
                                <w:b/>
                                <w:spacing w:val="0"/>
                              </w:rPr>
                              <w:t>Goldman Sachs</w:t>
                            </w:r>
                            <w:r>
                              <w:rPr>
                                <w:b w:val="false"/>
                                <w:spacing w:val="-1"/>
                              </w:rPr>
                              <w:t>, an investment banking, securities, and asset and wealth management firm</w:t>
                            </w:r>
                            <w:r>
                              <w:rPr>
                                <w:b/>
                              </w:rPr>
                              <w:t xml:space="preserve"> </w:t>
                            </w:r>
                          </w:p>
                          <w:p>
                            <w:pPr>
                              <w:pStyle w:val="TableContents"/>
                              <w:bidi w:val="0"/>
                              <w:spacing w:lineRule="atLeast" w:line="180" w:before="105" w:after="0"/>
                              <w:ind w:left="680" w:right="0" w:hanging="0"/>
                              <w:jc w:val="left"/>
                              <w:rPr/>
                            </w:pPr>
                            <w:r>
                              <w:rPr>
                                <w:spacing w:val="-1"/>
                              </w:rPr>
                              <w:t>Analyst, Financial Institutions Group (2007 to 2009)</w:t>
                            </w:r>
                            <w:r>
                              <w:rPr/>
                              <w:t xml:space="preserve"> </w:t>
                            </w:r>
                          </w:p>
                          <w:p>
                            <w:pPr>
                              <w:pStyle w:val="TableContents"/>
                              <w:bidi w:val="0"/>
                              <w:spacing w:before="0" w:after="0"/>
                              <w:ind w:left="0" w:right="0" w:hanging="0"/>
                              <w:jc w:val="left"/>
                              <w:rPr/>
                            </w:pPr>
                            <w:r>
                              <w:rPr/>
                              <w:t>​</w:t>
                            </w:r>
                          </w:p>
                          <w:p>
                            <w:pPr>
                              <w:pStyle w:val="TableContents"/>
                              <w:bidi w:val="0"/>
                              <w:spacing w:lineRule="atLeast" w:line="200" w:before="125" w:after="283"/>
                              <w:jc w:val="left"/>
                              <w:rPr>
                                <w:b/>
                                <w:color w:val="3E8DDD"/>
                                <w:sz w:val="20"/>
                              </w:rPr>
                            </w:pPr>
                            <w:r>
                              <w:rPr>
                                <w:b/>
                                <w:color w:val="3E8DDD"/>
                                <w:spacing w:val="0"/>
                                <w:sz w:val="20"/>
                              </w:rPr>
                              <w:t>Other Boards</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31" w:type="dxa"/>
                            <w:tcBorders/>
                            <w:vAlign w:val="center"/>
                          </w:tcPr>
                          <w:p>
                            <w:pPr>
                              <w:pStyle w:val="TableContents"/>
                              <w:bidi w:val="0"/>
                              <w:spacing w:lineRule="atLeast" w:line="225" w:before="0" w:after="0"/>
                              <w:ind w:left="680" w:right="0" w:hanging="0"/>
                              <w:jc w:val="left"/>
                              <w:rPr/>
                            </w:pPr>
                            <w:r>
                              <w:rPr>
                                <w:b/>
                                <w:spacing w:val="0"/>
                              </w:rPr>
                              <w:t>AGS Health</w:t>
                            </w:r>
                            <w:r>
                              <w:rPr>
                                <w:spacing w:val="-1"/>
                              </w:rPr>
                              <w:t>, a healthcare revenue cycle management firm (since 2025)</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Allied Benefit Systems</w:t>
                            </w:r>
                            <w:r>
                              <w:rPr>
                                <w:spacing w:val="-1"/>
                              </w:rPr>
                              <w:t>, a healthcare solutions company that provides innovative and customized benefit plans for small to large organizations (since 2024)</w:t>
                            </w:r>
                            <w:r>
                              <w:rPr/>
                              <w:t xml:space="preserve"> </w:t>
                            </w:r>
                          </w:p>
                          <w:p>
                            <w:pPr>
                              <w:pStyle w:val="TableContents"/>
                              <w:bidi w:val="0"/>
                              <w:spacing w:before="0" w:after="0"/>
                              <w:ind w:left="0" w:right="0" w:hanging="0"/>
                              <w:jc w:val="left"/>
                              <w:rPr/>
                            </w:pPr>
                            <w:r>
                              <w:rPr/>
                              <w:t>​</w:t>
                            </w:r>
                          </w:p>
                          <w:p>
                            <w:pPr>
                              <w:pStyle w:val="TableContents"/>
                              <w:bidi w:val="0"/>
                              <w:spacing w:lineRule="atLeast" w:line="224" w:before="105" w:after="0"/>
                              <w:ind w:left="680" w:right="0" w:hanging="0"/>
                              <w:jc w:val="left"/>
                              <w:rPr/>
                            </w:pPr>
                            <w:r>
                              <w:rPr>
                                <w:b/>
                                <w:spacing w:val="0"/>
                              </w:rPr>
                              <w:t>Advarra</w:t>
                            </w:r>
                            <w:r>
                              <w:rPr>
                                <w:spacing w:val="-1"/>
                              </w:rPr>
                              <w:t>, a clinical trials management company (since 2022)</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680" w:right="0" w:hanging="0"/>
                              <w:jc w:val="left"/>
                              <w:rPr/>
                            </w:pPr>
                            <w:r>
                              <w:rPr>
                                <w:b/>
                                <w:spacing w:val="0"/>
                              </w:rPr>
                              <w:t>Optiv Securities</w:t>
                            </w:r>
                            <w:r>
                              <w:rPr>
                                <w:spacing w:val="-1"/>
                              </w:rPr>
                              <w:t>, a provider of end-to-end cybersecurity solutions (2014 to 2026)</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77" w:type="dxa"/>
                            <w:tcBorders/>
                            <w:vAlign w:val="center"/>
                          </w:tcPr>
                          <w:p>
                            <w:pPr>
                              <w:pStyle w:val="TableContents"/>
                              <w:bidi w:val="0"/>
                              <w:spacing w:lineRule="atLeast" w:line="225" w:before="0" w:after="0"/>
                              <w:ind w:left="320" w:right="0" w:hanging="0"/>
                              <w:jc w:val="left"/>
                              <w:rPr/>
                            </w:pPr>
                            <w:r>
                              <w:rPr>
                                <w:b/>
                                <w:spacing w:val="0"/>
                              </w:rPr>
                              <w:t>HealthEdge Software</w:t>
                            </w:r>
                            <w:r>
                              <w:rPr>
                                <w:spacing w:val="-1"/>
                              </w:rPr>
                              <w:t>, a healthcare technology company (2020 to 2025)</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320" w:right="0" w:hanging="0"/>
                              <w:jc w:val="left"/>
                              <w:rPr/>
                            </w:pPr>
                            <w:r>
                              <w:rPr>
                                <w:b/>
                                <w:spacing w:val="0"/>
                              </w:rPr>
                              <w:t>Blue Yonder</w:t>
                            </w:r>
                            <w:r>
                              <w:rPr>
                                <w:spacing w:val="-1"/>
                              </w:rPr>
                              <w:t>, an artificial intelligence-based supply chain software provider (2016 to 2021)</w:t>
                            </w:r>
                            <w:r>
                              <w:rPr/>
                              <w:t xml:space="preserve"> </w:t>
                            </w:r>
                          </w:p>
                          <w:p>
                            <w:pPr>
                              <w:pStyle w:val="TableContents"/>
                              <w:bidi w:val="0"/>
                              <w:spacing w:before="0" w:after="0"/>
                              <w:ind w:left="0" w:right="0" w:hanging="0"/>
                              <w:jc w:val="left"/>
                              <w:rPr/>
                            </w:pPr>
                            <w:r>
                              <w:rPr/>
                              <w:t>​</w:t>
                            </w:r>
                          </w:p>
                          <w:p>
                            <w:pPr>
                              <w:pStyle w:val="TableContents"/>
                              <w:bidi w:val="0"/>
                              <w:spacing w:lineRule="atLeast" w:line="225" w:before="105" w:after="0"/>
                              <w:ind w:left="320" w:right="0" w:hanging="0"/>
                              <w:jc w:val="left"/>
                              <w:rPr/>
                            </w:pPr>
                            <w:r>
                              <w:rPr>
                                <w:spacing w:val="-1"/>
                              </w:rPr>
                              <w:t>Various other portfolio companies of Blackstone in healthcare, technology, and procurement (since 2019)</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6675" distB="0" distL="228600" distR="0" simplePos="0" locked="0" layoutInCell="1" allowOverlap="1" relativeHeight="248">
                <wp:simplePos x="0" y="0"/>
                <wp:positionH relativeFrom="column">
                  <wp:align>left</wp:align>
                </wp:positionH>
                <wp:positionV relativeFrom="line">
                  <wp:align>top</wp:align>
                </wp:positionV>
                <wp:extent cx="203200" cy="350520"/>
                <wp:effectExtent l="0" t="0" r="0" b="0"/>
                <wp:wrapSquare wrapText="right"/>
                <wp:docPr id="197" name="Frame8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49">
                <wp:simplePos x="0" y="0"/>
                <wp:positionH relativeFrom="column">
                  <wp:align>left</wp:align>
                </wp:positionH>
                <wp:positionV relativeFrom="line">
                  <wp:align>top</wp:align>
                </wp:positionV>
                <wp:extent cx="203200" cy="350520"/>
                <wp:effectExtent l="0" t="0" r="0" b="0"/>
                <wp:wrapSquare wrapText="right"/>
                <wp:docPr id="198" name="Frame8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50">
                <wp:simplePos x="0" y="0"/>
                <wp:positionH relativeFrom="column">
                  <wp:align>left</wp:align>
                </wp:positionH>
                <wp:positionV relativeFrom="line">
                  <wp:align>top</wp:align>
                </wp:positionV>
                <wp:extent cx="203200" cy="350520"/>
                <wp:effectExtent l="0" t="0" r="0" b="0"/>
                <wp:wrapSquare wrapText="right"/>
                <wp:docPr id="199" name="Frame9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251">
                <wp:simplePos x="0" y="0"/>
                <wp:positionH relativeFrom="column">
                  <wp:align>left</wp:align>
                </wp:positionH>
                <wp:positionV relativeFrom="line">
                  <wp:posOffset>635</wp:posOffset>
                </wp:positionV>
                <wp:extent cx="203200" cy="350520"/>
                <wp:effectExtent l="0" t="0" r="0" b="0"/>
                <wp:wrapSquare wrapText="right"/>
                <wp:docPr id="200" name="Frame9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52">
                <wp:simplePos x="0" y="0"/>
                <wp:positionH relativeFrom="column">
                  <wp:align>left</wp:align>
                </wp:positionH>
                <wp:positionV relativeFrom="line">
                  <wp:align>top</wp:align>
                </wp:positionV>
                <wp:extent cx="203200" cy="350520"/>
                <wp:effectExtent l="0" t="0" r="0" b="0"/>
                <wp:wrapSquare wrapText="right"/>
                <wp:docPr id="201" name="Frame9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53">
                <wp:simplePos x="0" y="0"/>
                <wp:positionH relativeFrom="column">
                  <wp:align>left</wp:align>
                </wp:positionH>
                <wp:positionV relativeFrom="line">
                  <wp:align>top</wp:align>
                </wp:positionV>
                <wp:extent cx="203200" cy="350520"/>
                <wp:effectExtent l="0" t="0" r="0" b="0"/>
                <wp:wrapSquare wrapText="right"/>
                <wp:docPr id="202" name="Frame9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4"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4"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54">
                <wp:simplePos x="0" y="0"/>
                <wp:positionH relativeFrom="column">
                  <wp:align>left</wp:align>
                </wp:positionH>
                <wp:positionV relativeFrom="line">
                  <wp:align>top</wp:align>
                </wp:positionV>
                <wp:extent cx="203200" cy="350520"/>
                <wp:effectExtent l="0" t="0" r="0" b="0"/>
                <wp:wrapSquare wrapText="right"/>
                <wp:docPr id="203" name="Frame9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203200" cy="350520"/>
                <wp:effectExtent l="0" t="0" r="0" b="0"/>
                <wp:wrapSquare wrapText="right"/>
                <wp:docPr id="204" name="Frame9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0" distR="0" simplePos="0" locked="0" layoutInCell="1" allowOverlap="1" relativeHeight="256">
                <wp:simplePos x="0" y="0"/>
                <wp:positionH relativeFrom="column">
                  <wp:align>left</wp:align>
                </wp:positionH>
                <wp:positionV relativeFrom="line">
                  <wp:align>top</wp:align>
                </wp:positionV>
                <wp:extent cx="203200" cy="350520"/>
                <wp:effectExtent l="0" t="0" r="0" b="0"/>
                <wp:wrapSquare wrapText="right"/>
                <wp:docPr id="205" name="Frame9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0" distR="0" simplePos="0" locked="0" layoutInCell="1" allowOverlap="1" relativeHeight="257">
                <wp:simplePos x="0" y="0"/>
                <wp:positionH relativeFrom="column">
                  <wp:align>left</wp:align>
                </wp:positionH>
                <wp:positionV relativeFrom="line">
                  <wp:align>top</wp:align>
                </wp:positionV>
                <wp:extent cx="203200" cy="350520"/>
                <wp:effectExtent l="0" t="0" r="0" b="0"/>
                <wp:wrapSquare wrapText="right"/>
                <wp:docPr id="206" name="Frame9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16</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3">
                <wp:simplePos x="0" y="0"/>
                <wp:positionH relativeFrom="column">
                  <wp:align>left</wp:align>
                </wp:positionH>
                <wp:positionV relativeFrom="line">
                  <wp:posOffset>635</wp:posOffset>
                </wp:positionV>
                <wp:extent cx="1358900" cy="3881755"/>
                <wp:effectExtent l="0" t="0" r="0" b="0"/>
                <wp:wrapSquare wrapText="right"/>
                <wp:docPr id="207" name="Frame98"/>
                <a:graphic xmlns:a="http://schemas.openxmlformats.org/drawingml/2006/main">
                  <a:graphicData uri="http://schemas.microsoft.com/office/word/2010/wordprocessingShape">
                    <wps:wsp>
                      <wps:cNvSpPr txBox="1"/>
                      <wps:spPr>
                        <a:xfrm>
                          <a:off x="0" y="0"/>
                          <a:ext cx="1358900" cy="3881755"/>
                        </a:xfrm>
                        <a:prstGeom prst="rect"/>
                        <a:solidFill>
                          <a:srgbClr val="FFFFFF"/>
                        </a:solidFill>
                      </wps:spPr>
                      <wps:txbx>
                        <w:txbxContent>
                          <w:tbl>
                            <w:tblPr>
                              <w:tblW w:w="5643" w:type="dxa"/>
                              <w:jc w:val="left"/>
                              <w:tblInd w:w="0" w:type="dxa"/>
                              <w:tblLayout w:type="fixed"/>
                              <w:tblCellMar>
                                <w:top w:w="0" w:type="dxa"/>
                                <w:left w:w="0" w:type="dxa"/>
                                <w:bottom w:w="0" w:type="dxa"/>
                                <w:right w:w="0" w:type="dxa"/>
                              </w:tblCellMar>
                            </w:tblPr>
                            <w:tblGrid>
                              <w:gridCol w:w="124"/>
                              <w:gridCol w:w="5365"/>
                              <w:gridCol w:w="154"/>
                            </w:tblGrid>
                            <w:tr>
                              <w:trPr/>
                              <w:tc>
                                <w:tcPr>
                                  <w:tcW w:w="124" w:type="dxa"/>
                                  <w:tcBorders/>
                                  <w:vAlign w:val="center"/>
                                </w:tcPr>
                                <w:p>
                                  <w:pPr>
                                    <w:pStyle w:val="TableContents"/>
                                    <w:bidi w:val="0"/>
                                    <w:spacing w:before="0" w:after="283"/>
                                    <w:jc w:val="left"/>
                                    <w:rPr/>
                                  </w:pPr>
                                  <w:r>
                                    <w:rPr/>
                                    <w:t>​</w:t>
                                  </w:r>
                                </w:p>
                              </w:tc>
                              <w:tc>
                                <w:tcPr>
                                  <w:tcW w:w="5365" w:type="dxa"/>
                                  <w:tcBorders/>
                                  <w:vAlign w:val="center"/>
                                </w:tcPr>
                                <w:p>
                                  <w:pPr>
                                    <w:pStyle w:val="TableContents"/>
                                    <w:bidi w:val="0"/>
                                    <w:spacing w:before="0" w:after="0"/>
                                    <w:jc w:val="left"/>
                                    <w:rPr/>
                                  </w:pPr>
                                  <w:r>
                                    <w:rPr/>
                                    <w:drawing>
                                      <wp:inline distT="0" distB="0" distL="0" distR="0">
                                        <wp:extent cx="1362075" cy="1381125"/>
                                        <wp:effectExtent l="0" t="0" r="0" b="0"/>
                                        <wp:docPr id="20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6" descr=""/>
                                                <pic:cNvPicPr>
                                                  <a:picLocks noChangeAspect="1" noChangeArrowheads="1"/>
                                                </pic:cNvPicPr>
                                              </pic:nvPicPr>
                                              <pic:blipFill>
                                                <a:blip r:embed="rId111"/>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5365"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66</w:t>
                                  </w:r>
                                  <w:r>
                                    <w:rPr>
                                      <w:b/>
                                    </w:rPr>
                                    <w:t xml:space="preserve"> </w:t>
                                    <w:br/>
                                  </w:r>
                                  <w:r>
                                    <w:rPr>
                                      <w:b/>
                                      <w:spacing w:val="0"/>
                                    </w:rPr>
                                    <w:t>Director Since:</w:t>
                                  </w:r>
                                  <w:r>
                                    <w:rPr>
                                      <w:b/>
                                      <w:spacing w:val="-1"/>
                                    </w:rPr>
                                    <w:t xml:space="preserve"> </w:t>
                                  </w:r>
                                  <w:r>
                                    <w:rPr>
                                      <w:b w:val="false"/>
                                      <w:spacing w:val="-1"/>
                                    </w:rPr>
                                    <w:t>2024</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Audit Committee and Risk and Compliance Committee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2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5365"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305.65pt;mso-wrap-distance-left:36pt;mso-wrap-distance-right:0pt;mso-wrap-distance-top:0pt;mso-wrap-distance-bottom:0pt;margin-top:0pt;mso-position-vertical:top;mso-position-vertical-relative:text;margin-left:36pt;mso-position-horizontal:left;mso-position-horizontal-relative:text">
                <v:textbox>
                  <w:txbxContent>
                    <w:tbl>
                      <w:tblPr>
                        <w:tblW w:w="5643" w:type="dxa"/>
                        <w:jc w:val="left"/>
                        <w:tblInd w:w="0" w:type="dxa"/>
                        <w:tblLayout w:type="fixed"/>
                        <w:tblCellMar>
                          <w:top w:w="0" w:type="dxa"/>
                          <w:left w:w="0" w:type="dxa"/>
                          <w:bottom w:w="0" w:type="dxa"/>
                          <w:right w:w="0" w:type="dxa"/>
                        </w:tblCellMar>
                      </w:tblPr>
                      <w:tblGrid>
                        <w:gridCol w:w="124"/>
                        <w:gridCol w:w="5365"/>
                        <w:gridCol w:w="154"/>
                      </w:tblGrid>
                      <w:tr>
                        <w:trPr/>
                        <w:tc>
                          <w:tcPr>
                            <w:tcW w:w="124" w:type="dxa"/>
                            <w:tcBorders/>
                            <w:vAlign w:val="center"/>
                          </w:tcPr>
                          <w:p>
                            <w:pPr>
                              <w:pStyle w:val="TableContents"/>
                              <w:bidi w:val="0"/>
                              <w:spacing w:before="0" w:after="283"/>
                              <w:jc w:val="left"/>
                              <w:rPr/>
                            </w:pPr>
                            <w:r>
                              <w:rPr/>
                              <w:t>​</w:t>
                            </w:r>
                          </w:p>
                        </w:tc>
                        <w:tc>
                          <w:tcPr>
                            <w:tcW w:w="5365" w:type="dxa"/>
                            <w:tcBorders/>
                            <w:vAlign w:val="center"/>
                          </w:tcPr>
                          <w:p>
                            <w:pPr>
                              <w:pStyle w:val="TableContents"/>
                              <w:bidi w:val="0"/>
                              <w:spacing w:before="0" w:after="0"/>
                              <w:jc w:val="left"/>
                              <w:rPr/>
                            </w:pPr>
                            <w:r>
                              <w:rPr/>
                              <w:drawing>
                                <wp:inline distT="0" distB="0" distL="0" distR="0">
                                  <wp:extent cx="1362075" cy="1381125"/>
                                  <wp:effectExtent l="0" t="0" r="0" b="0"/>
                                  <wp:docPr id="20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96" descr=""/>
                                          <pic:cNvPicPr>
                                            <a:picLocks noChangeAspect="1" noChangeArrowheads="1"/>
                                          </pic:cNvPicPr>
                                        </pic:nvPicPr>
                                        <pic:blipFill>
                                          <a:blip r:embed="rId112"/>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5365"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66</w:t>
                            </w:r>
                            <w:r>
                              <w:rPr>
                                <w:b/>
                              </w:rPr>
                              <w:t xml:space="preserve"> </w:t>
                              <w:br/>
                            </w:r>
                            <w:r>
                              <w:rPr>
                                <w:b/>
                                <w:spacing w:val="0"/>
                              </w:rPr>
                              <w:t>Director Since:</w:t>
                            </w:r>
                            <w:r>
                              <w:rPr>
                                <w:b/>
                                <w:spacing w:val="-1"/>
                              </w:rPr>
                              <w:t xml:space="preserve"> </w:t>
                            </w:r>
                            <w:r>
                              <w:rPr>
                                <w:b w:val="false"/>
                                <w:spacing w:val="-1"/>
                              </w:rPr>
                              <w:t>2024</w:t>
                            </w:r>
                            <w:r>
                              <w:rPr>
                                <w:b/>
                              </w:rPr>
                              <w:t xml:space="preserve"> </w:t>
                            </w:r>
                          </w:p>
                          <w:p>
                            <w:pPr>
                              <w:pStyle w:val="TableContents"/>
                              <w:bidi w:val="0"/>
                              <w:spacing w:lineRule="atLeast" w:line="245" w:before="120"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Audit Committee and Risk and Compliance Committee </w:t>
                            </w:r>
                          </w:p>
                          <w:p>
                            <w:pPr>
                              <w:pStyle w:val="TableContents"/>
                              <w:bidi w:val="0"/>
                              <w:spacing w:lineRule="atLeast" w:line="240" w:before="12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45" w:after="283"/>
                              <w:ind w:left="80" w:right="0" w:hanging="0"/>
                              <w:jc w:val="left"/>
                              <w:rPr>
                                <w:spacing w:val="-1"/>
                              </w:rPr>
                            </w:pPr>
                            <w:r>
                              <w:rPr>
                                <w:spacing w:val="-1"/>
                              </w:rPr>
                              <w:t xml:space="preserve">2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5365"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58">
                <wp:simplePos x="0" y="0"/>
                <wp:positionH relativeFrom="column">
                  <wp:align>left</wp:align>
                </wp:positionH>
                <wp:positionV relativeFrom="line">
                  <wp:posOffset>635</wp:posOffset>
                </wp:positionV>
                <wp:extent cx="5118100" cy="7550150"/>
                <wp:effectExtent l="0" t="0" r="0" b="0"/>
                <wp:wrapSquare wrapText="right"/>
                <wp:docPr id="210" name="Frame99"/>
                <a:graphic xmlns:a="http://schemas.openxmlformats.org/drawingml/2006/main">
                  <a:graphicData uri="http://schemas.microsoft.com/office/word/2010/wordprocessingShape">
                    <wps:wsp>
                      <wps:cNvSpPr txBox="1"/>
                      <wps:spPr>
                        <a:xfrm>
                          <a:off x="0" y="0"/>
                          <a:ext cx="5118100" cy="75501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4346"/>
                              <w:gridCol w:w="109"/>
                              <w:gridCol w:w="109"/>
                              <w:gridCol w:w="5362"/>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3"/>
                                      <w:sz w:val="24"/>
                                    </w:rPr>
                                    <w:t>T</w:t>
                                  </w:r>
                                  <w:r>
                                    <w:rPr>
                                      <w:b/>
                                      <w:caps w:val="false"/>
                                      <w:smallCaps w:val="false"/>
                                      <w:color w:val="0055B7"/>
                                      <w:spacing w:val="-3"/>
                                      <w:sz w:val="24"/>
                                    </w:rPr>
                                    <w:t>HOMAS</w:t>
                                  </w:r>
                                  <w:r>
                                    <w:rPr>
                                      <w:b/>
                                      <w:color w:val="0055B7"/>
                                      <w:spacing w:val="-3"/>
                                      <w:sz w:val="24"/>
                                    </w:rPr>
                                    <w:t xml:space="preserve"> W. S</w:t>
                                  </w:r>
                                  <w:r>
                                    <w:rPr>
                                      <w:b/>
                                      <w:caps w:val="false"/>
                                      <w:smallCaps w:val="false"/>
                                      <w:color w:val="0055B7"/>
                                      <w:spacing w:val="-3"/>
                                      <w:sz w:val="24"/>
                                    </w:rPr>
                                    <w:t>WEET</w:t>
                                  </w:r>
                                  <w:r>
                                    <w:rPr>
                                      <w:b/>
                                      <w:color w:val="0055B7"/>
                                      <w:sz w:val="24"/>
                                    </w:rPr>
                                    <w:t xml:space="preserve"> </w:t>
                                  </w:r>
                                </w:p>
                                <w:p>
                                  <w:pPr>
                                    <w:pStyle w:val="TableContents"/>
                                    <w:bidi w:val="0"/>
                                    <w:spacing w:lineRule="atLeast" w:line="240" w:before="45" w:after="283"/>
                                    <w:jc w:val="left"/>
                                    <w:rPr>
                                      <w:b/>
                                      <w:sz w:val="20"/>
                                    </w:rPr>
                                  </w:pPr>
                                  <w:r>
                                    <w:rPr>
                                      <w:b/>
                                      <w:spacing w:val="0"/>
                                      <w:sz w:val="20"/>
                                    </w:rPr>
                                    <w:t xml:space="preserve">Financial Expert </w:t>
                                    <w:b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Sweet brings to the Board significant financial and audit experience, including his time as Chief Financial Officer at Dell Technologies Inc. (“Dell”) and his service on the boards of a diverse group of companies.</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Dell</w:t>
                                  </w:r>
                                  <w:r>
                                    <w:rPr>
                                      <w:b w:val="false"/>
                                      <w:spacing w:val="-1"/>
                                    </w:rPr>
                                    <w:t>, an information technology company</w:t>
                                  </w:r>
                                  <w:r>
                                    <w:rPr>
                                      <w:b/>
                                    </w:rPr>
                                    <w:t xml:space="preserve"> </w:t>
                                  </w:r>
                                </w:p>
                                <w:p>
                                  <w:pPr>
                                    <w:pStyle w:val="TableContents"/>
                                    <w:bidi w:val="0"/>
                                    <w:spacing w:lineRule="atLeast" w:line="180" w:before="105" w:after="0"/>
                                    <w:ind w:left="680" w:right="0" w:hanging="0"/>
                                    <w:jc w:val="left"/>
                                    <w:rPr/>
                                  </w:pPr>
                                  <w:r>
                                    <w:rPr>
                                      <w:spacing w:val="-1"/>
                                    </w:rPr>
                                    <w:t>Chief Financial Officer (2014 to August 2023)</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Leadership positions in finance, sales, and in various corporate businesses (1997 to 2014)</w:t>
                                  </w:r>
                                  <w:r>
                                    <w:rPr/>
                                    <w:t xml:space="preserve"> </w:t>
                                  </w:r>
                                </w:p>
                                <w:p>
                                  <w:pPr>
                                    <w:pStyle w:val="TableContents"/>
                                    <w:bidi w:val="0"/>
                                    <w:spacing w:before="0" w:after="0"/>
                                    <w:ind w:left="0" w:right="0" w:hanging="0"/>
                                    <w:jc w:val="left"/>
                                    <w:rPr/>
                                  </w:pPr>
                                  <w:r>
                                    <w:rPr/>
                                    <w:t>​</w:t>
                                  </w:r>
                                </w:p>
                                <w:p>
                                  <w:pPr>
                                    <w:pStyle w:val="TableContents"/>
                                    <w:bidi w:val="0"/>
                                    <w:spacing w:lineRule="atLeast" w:line="180" w:before="165" w:after="283"/>
                                    <w:jc w:val="left"/>
                                    <w:rPr>
                                      <w:b/>
                                    </w:rPr>
                                  </w:pPr>
                                  <w:r>
                                    <w:rPr>
                                      <w:b/>
                                      <w:spacing w:val="0"/>
                                    </w:rPr>
                                    <w:t>Telos Corporation</w:t>
                                  </w:r>
                                  <w:r>
                                    <w:rPr>
                                      <w:b w:val="false"/>
                                      <w:spacing w:val="-1"/>
                                    </w:rPr>
                                    <w:t>, a computer hardware and services contractor for the Department of Defense</w:t>
                                  </w:r>
                                  <w:r>
                                    <w:rPr>
                                      <w:b/>
                                    </w:rPr>
                                    <w:t xml:space="preserve"> </w:t>
                                  </w:r>
                                </w:p>
                                <w:p>
                                  <w:pPr>
                                    <w:pStyle w:val="TableContents"/>
                                    <w:bidi w:val="0"/>
                                    <w:spacing w:lineRule="atLeast" w:line="180" w:before="105" w:after="0"/>
                                    <w:ind w:left="680" w:right="0" w:hanging="0"/>
                                    <w:jc w:val="left"/>
                                    <w:rPr/>
                                  </w:pPr>
                                  <w:r>
                                    <w:rPr>
                                      <w:spacing w:val="-1"/>
                                    </w:rPr>
                                    <w:t>Vice President of Accounting and Finance (1994 to 1997)</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Price Waterhouse LLP</w:t>
                                  </w:r>
                                  <w:r>
                                    <w:rPr>
                                      <w:spacing w:val="-1"/>
                                    </w:rPr>
                                    <w:t>, a professional services network (merged to become PricewaterhouseCoopers LLP in 1998)</w:t>
                                  </w:r>
                                  <w:r>
                                    <w:rPr/>
                                    <w:t xml:space="preserve"> </w:t>
                                  </w:r>
                                </w:p>
                                <w:p>
                                  <w:pPr>
                                    <w:pStyle w:val="TableContents"/>
                                    <w:bidi w:val="0"/>
                                    <w:spacing w:lineRule="atLeast" w:line="180" w:before="105" w:after="0"/>
                                    <w:ind w:left="680" w:right="0" w:hanging="0"/>
                                    <w:jc w:val="left"/>
                                    <w:rPr/>
                                  </w:pPr>
                                  <w:r>
                                    <w:rPr>
                                      <w:spacing w:val="-1"/>
                                    </w:rPr>
                                    <w:t>Senior Manager, Assurance Practice (1981 to 1994)</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46" w:type="dxa"/>
                                  <w:tcBorders/>
                                  <w:vAlign w:val="center"/>
                                </w:tcPr>
                                <w:p>
                                  <w:pPr>
                                    <w:pStyle w:val="TableContents"/>
                                    <w:bidi w:val="0"/>
                                    <w:spacing w:lineRule="atLeast" w:line="225" w:before="0" w:after="0"/>
                                    <w:ind w:left="680" w:right="0" w:hanging="0"/>
                                    <w:jc w:val="left"/>
                                    <w:rPr/>
                                  </w:pPr>
                                  <w:r>
                                    <w:rPr>
                                      <w:b/>
                                      <w:spacing w:val="-2"/>
                                    </w:rPr>
                                    <w:t>3M</w:t>
                                  </w:r>
                                  <w:r>
                                    <w:rPr>
                                      <w:spacing w:val="-1"/>
                                    </w:rPr>
                                    <w:t>, a conglomerate operating in the fields of industry, worker safety, and consumer goods (since 2023)</w:t>
                                  </w:r>
                                  <w:r>
                                    <w:rPr>
                                      <w:spacing w:val="-1"/>
                                      <w:szCs w:val="11"/>
                                    </w:rPr>
                                    <w:t>﻿♦</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62" w:type="dxa"/>
                                  <w:tcBorders/>
                                  <w:vAlign w:val="center"/>
                                </w:tcPr>
                                <w:p>
                                  <w:pPr>
                                    <w:pStyle w:val="TableContents"/>
                                    <w:bidi w:val="0"/>
                                    <w:spacing w:lineRule="atLeast" w:line="225" w:before="0" w:after="0"/>
                                    <w:ind w:left="320" w:right="0" w:hanging="0"/>
                                    <w:jc w:val="left"/>
                                    <w:rPr/>
                                  </w:pPr>
                                  <w:r>
                                    <w:rPr>
                                      <w:b/>
                                      <w:spacing w:val="0"/>
                                    </w:rPr>
                                    <w:t>Trimble Inc.</w:t>
                                  </w:r>
                                  <w:r>
                                    <w:rPr>
                                      <w:spacing w:val="-1"/>
                                    </w:rPr>
                                    <w:t>, a software, hardware, and services technology company focused on the construction and transportation industries (since 2022)♦</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00" w:before="184" w:after="0"/>
                              <w:ind w:left="220" w:right="0" w:hanging="0"/>
                              <w:jc w:val="left"/>
                              <w:rPr>
                                <w:sz w:val="16"/>
                              </w:rPr>
                            </w:pPr>
                            <w:r>
                              <w:rPr>
                                <w:spacing w:val="-1"/>
                                <w:sz w:val="16"/>
                              </w:rPr>
                              <w:t>current public company board</w:t>
                            </w:r>
                            <w:r>
                              <w:rPr>
                                <w:sz w:val="16"/>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403pt;height:594.5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4346"/>
                        <w:gridCol w:w="109"/>
                        <w:gridCol w:w="109"/>
                        <w:gridCol w:w="5362"/>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3"/>
                                <w:sz w:val="24"/>
                              </w:rPr>
                              <w:t>T</w:t>
                            </w:r>
                            <w:r>
                              <w:rPr>
                                <w:b/>
                                <w:caps w:val="false"/>
                                <w:smallCaps w:val="false"/>
                                <w:color w:val="0055B7"/>
                                <w:spacing w:val="-3"/>
                                <w:sz w:val="24"/>
                              </w:rPr>
                              <w:t>HOMAS</w:t>
                            </w:r>
                            <w:r>
                              <w:rPr>
                                <w:b/>
                                <w:color w:val="0055B7"/>
                                <w:spacing w:val="-3"/>
                                <w:sz w:val="24"/>
                              </w:rPr>
                              <w:t xml:space="preserve"> W. S</w:t>
                            </w:r>
                            <w:r>
                              <w:rPr>
                                <w:b/>
                                <w:caps w:val="false"/>
                                <w:smallCaps w:val="false"/>
                                <w:color w:val="0055B7"/>
                                <w:spacing w:val="-3"/>
                                <w:sz w:val="24"/>
                              </w:rPr>
                              <w:t>WEET</w:t>
                            </w:r>
                            <w:r>
                              <w:rPr>
                                <w:b/>
                                <w:color w:val="0055B7"/>
                                <w:sz w:val="24"/>
                              </w:rPr>
                              <w:t xml:space="preserve"> </w:t>
                            </w:r>
                          </w:p>
                          <w:p>
                            <w:pPr>
                              <w:pStyle w:val="TableContents"/>
                              <w:bidi w:val="0"/>
                              <w:spacing w:lineRule="atLeast" w:line="240" w:before="45" w:after="283"/>
                              <w:jc w:val="left"/>
                              <w:rPr>
                                <w:b/>
                                <w:sz w:val="20"/>
                              </w:rPr>
                            </w:pPr>
                            <w:r>
                              <w:rPr>
                                <w:b/>
                                <w:spacing w:val="0"/>
                                <w:sz w:val="20"/>
                              </w:rPr>
                              <w:t xml:space="preserve">Financial Expert </w:t>
                              <w:br/>
                              <w:t>Independent</w:t>
                            </w:r>
                            <w:r>
                              <w:rPr>
                                <w:b/>
                                <w:sz w:val="20"/>
                              </w:rPr>
                              <w:t xml:space="preserve">​ </w:t>
                            </w:r>
                          </w:p>
                          <w:p>
                            <w:pPr>
                              <w:pStyle w:val="TableContents"/>
                              <w:bidi w:val="0"/>
                              <w:spacing w:lineRule="atLeast" w:line="200" w:before="165"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65" w:after="283"/>
                              <w:jc w:val="left"/>
                              <w:rPr/>
                            </w:pPr>
                            <w:r>
                              <w:rPr>
                                <w:spacing w:val="-1"/>
                              </w:rPr>
                              <w:t>Mr. Sweet brings to the Board significant financial and audit experience, including his time as Chief Financial Officer at Dell Technologies Inc. (“Dell”) and his service on the boards of a diverse group of companies.</w:t>
                            </w:r>
                            <w:r>
                              <w:rPr/>
                              <w:t xml:space="preserve"> </w:t>
                            </w:r>
                          </w:p>
                          <w:p>
                            <w:pPr>
                              <w:pStyle w:val="TableContents"/>
                              <w:bidi w:val="0"/>
                              <w:spacing w:lineRule="atLeast" w:line="200" w:before="165"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65" w:after="283"/>
                              <w:jc w:val="left"/>
                              <w:rPr>
                                <w:b/>
                              </w:rPr>
                            </w:pPr>
                            <w:r>
                              <w:rPr>
                                <w:b/>
                                <w:spacing w:val="0"/>
                              </w:rPr>
                              <w:t>Dell</w:t>
                            </w:r>
                            <w:r>
                              <w:rPr>
                                <w:b w:val="false"/>
                                <w:spacing w:val="-1"/>
                              </w:rPr>
                              <w:t>, an information technology company</w:t>
                            </w:r>
                            <w:r>
                              <w:rPr>
                                <w:b/>
                              </w:rPr>
                              <w:t xml:space="preserve"> </w:t>
                            </w:r>
                          </w:p>
                          <w:p>
                            <w:pPr>
                              <w:pStyle w:val="TableContents"/>
                              <w:bidi w:val="0"/>
                              <w:spacing w:lineRule="atLeast" w:line="180" w:before="105" w:after="0"/>
                              <w:ind w:left="680" w:right="0" w:hanging="0"/>
                              <w:jc w:val="left"/>
                              <w:rPr/>
                            </w:pPr>
                            <w:r>
                              <w:rPr>
                                <w:spacing w:val="-1"/>
                              </w:rPr>
                              <w:t>Chief Financial Officer (2014 to August 2023)</w:t>
                            </w:r>
                            <w:r>
                              <w:rPr/>
                              <w:t xml:space="preserve"> </w:t>
                            </w:r>
                          </w:p>
                          <w:p>
                            <w:pPr>
                              <w:pStyle w:val="TableContents"/>
                              <w:bidi w:val="0"/>
                              <w:spacing w:before="0" w:after="0"/>
                              <w:ind w:left="0" w:right="0" w:hanging="0"/>
                              <w:jc w:val="left"/>
                              <w:rPr/>
                            </w:pPr>
                            <w:r>
                              <w:rPr/>
                              <w:t>​</w:t>
                            </w:r>
                          </w:p>
                          <w:p>
                            <w:pPr>
                              <w:pStyle w:val="TableContents"/>
                              <w:bidi w:val="0"/>
                              <w:spacing w:lineRule="atLeast" w:line="180" w:before="105" w:after="0"/>
                              <w:ind w:left="680" w:right="0" w:hanging="0"/>
                              <w:jc w:val="left"/>
                              <w:rPr/>
                            </w:pPr>
                            <w:r>
                              <w:rPr>
                                <w:spacing w:val="-1"/>
                              </w:rPr>
                              <w:t>Leadership positions in finance, sales, and in various corporate businesses (1997 to 2014)</w:t>
                            </w:r>
                            <w:r>
                              <w:rPr/>
                              <w:t xml:space="preserve"> </w:t>
                            </w:r>
                          </w:p>
                          <w:p>
                            <w:pPr>
                              <w:pStyle w:val="TableContents"/>
                              <w:bidi w:val="0"/>
                              <w:spacing w:before="0" w:after="0"/>
                              <w:ind w:left="0" w:right="0" w:hanging="0"/>
                              <w:jc w:val="left"/>
                              <w:rPr/>
                            </w:pPr>
                            <w:r>
                              <w:rPr/>
                              <w:t>​</w:t>
                            </w:r>
                          </w:p>
                          <w:p>
                            <w:pPr>
                              <w:pStyle w:val="TableContents"/>
                              <w:bidi w:val="0"/>
                              <w:spacing w:lineRule="atLeast" w:line="180" w:before="165" w:after="283"/>
                              <w:jc w:val="left"/>
                              <w:rPr>
                                <w:b/>
                              </w:rPr>
                            </w:pPr>
                            <w:r>
                              <w:rPr>
                                <w:b/>
                                <w:spacing w:val="0"/>
                              </w:rPr>
                              <w:t>Telos Corporation</w:t>
                            </w:r>
                            <w:r>
                              <w:rPr>
                                <w:b w:val="false"/>
                                <w:spacing w:val="-1"/>
                              </w:rPr>
                              <w:t>, a computer hardware and services contractor for the Department of Defense</w:t>
                            </w:r>
                            <w:r>
                              <w:rPr>
                                <w:b/>
                              </w:rPr>
                              <w:t xml:space="preserve"> </w:t>
                            </w:r>
                          </w:p>
                          <w:p>
                            <w:pPr>
                              <w:pStyle w:val="TableContents"/>
                              <w:bidi w:val="0"/>
                              <w:spacing w:lineRule="atLeast" w:line="180" w:before="105" w:after="0"/>
                              <w:ind w:left="680" w:right="0" w:hanging="0"/>
                              <w:jc w:val="left"/>
                              <w:rPr/>
                            </w:pPr>
                            <w:r>
                              <w:rPr>
                                <w:spacing w:val="-1"/>
                              </w:rPr>
                              <w:t>Vice President of Accounting and Finance (1994 to 1997)</w:t>
                            </w:r>
                            <w:r>
                              <w:rPr/>
                              <w:t xml:space="preserve"> </w:t>
                            </w:r>
                          </w:p>
                          <w:p>
                            <w:pPr>
                              <w:pStyle w:val="TableContents"/>
                              <w:bidi w:val="0"/>
                              <w:spacing w:before="0" w:after="0"/>
                              <w:ind w:left="0" w:right="0" w:hanging="0"/>
                              <w:jc w:val="left"/>
                              <w:rPr/>
                            </w:pPr>
                            <w:r>
                              <w:rPr/>
                              <w:t>​</w:t>
                            </w:r>
                          </w:p>
                          <w:p>
                            <w:pPr>
                              <w:pStyle w:val="TableContents"/>
                              <w:bidi w:val="0"/>
                              <w:spacing w:lineRule="atLeast" w:line="225" w:before="165" w:after="283"/>
                              <w:jc w:val="left"/>
                              <w:rPr/>
                            </w:pPr>
                            <w:r>
                              <w:rPr>
                                <w:b/>
                                <w:spacing w:val="0"/>
                              </w:rPr>
                              <w:t>Price Waterhouse LLP</w:t>
                            </w:r>
                            <w:r>
                              <w:rPr>
                                <w:spacing w:val="-1"/>
                              </w:rPr>
                              <w:t>, a professional services network (merged to become PricewaterhouseCoopers LLP in 1998)</w:t>
                            </w:r>
                            <w:r>
                              <w:rPr/>
                              <w:t xml:space="preserve"> </w:t>
                            </w:r>
                          </w:p>
                          <w:p>
                            <w:pPr>
                              <w:pStyle w:val="TableContents"/>
                              <w:bidi w:val="0"/>
                              <w:spacing w:lineRule="atLeast" w:line="180" w:before="105" w:after="0"/>
                              <w:ind w:left="680" w:right="0" w:hanging="0"/>
                              <w:jc w:val="left"/>
                              <w:rPr/>
                            </w:pPr>
                            <w:r>
                              <w:rPr>
                                <w:spacing w:val="-1"/>
                              </w:rPr>
                              <w:t>Senior Manager, Assurance Practice (1981 to 1994)</w:t>
                            </w:r>
                            <w:r>
                              <w:rPr/>
                              <w:t xml:space="preserve"> </w:t>
                            </w:r>
                          </w:p>
                          <w:p>
                            <w:pPr>
                              <w:pStyle w:val="TableContents"/>
                              <w:bidi w:val="0"/>
                              <w:spacing w:before="0" w:after="0"/>
                              <w:ind w:left="0" w:right="0" w:hanging="0"/>
                              <w:jc w:val="left"/>
                              <w:rPr/>
                            </w:pPr>
                            <w:r>
                              <w:rPr/>
                              <w:t>​</w:t>
                            </w:r>
                          </w:p>
                          <w:p>
                            <w:pPr>
                              <w:pStyle w:val="TableContents"/>
                              <w:bidi w:val="0"/>
                              <w:spacing w:lineRule="atLeast" w:line="200" w:before="165" w:after="283"/>
                              <w:jc w:val="left"/>
                              <w:rPr>
                                <w:b/>
                                <w:color w:val="3E8DDD"/>
                                <w:sz w:val="20"/>
                              </w:rPr>
                            </w:pPr>
                            <w:r>
                              <w:rPr>
                                <w:b/>
                                <w:color w:val="3E8DDD"/>
                                <w:spacing w:val="0"/>
                                <w:sz w:val="20"/>
                              </w:rPr>
                              <w:t>Other Boards</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46" w:type="dxa"/>
                            <w:tcBorders/>
                            <w:vAlign w:val="center"/>
                          </w:tcPr>
                          <w:p>
                            <w:pPr>
                              <w:pStyle w:val="TableContents"/>
                              <w:bidi w:val="0"/>
                              <w:spacing w:lineRule="atLeast" w:line="225" w:before="0" w:after="0"/>
                              <w:ind w:left="680" w:right="0" w:hanging="0"/>
                              <w:jc w:val="left"/>
                              <w:rPr/>
                            </w:pPr>
                            <w:r>
                              <w:rPr>
                                <w:b/>
                                <w:spacing w:val="-2"/>
                              </w:rPr>
                              <w:t>3M</w:t>
                            </w:r>
                            <w:r>
                              <w:rPr>
                                <w:spacing w:val="-1"/>
                              </w:rPr>
                              <w:t>, a conglomerate operating in the fields of industry, worker safety, and consumer goods (since 2023)</w:t>
                            </w:r>
                            <w:r>
                              <w:rPr>
                                <w:spacing w:val="-1"/>
                                <w:szCs w:val="11"/>
                              </w:rPr>
                              <w:t>﻿♦</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62" w:type="dxa"/>
                            <w:tcBorders/>
                            <w:vAlign w:val="center"/>
                          </w:tcPr>
                          <w:p>
                            <w:pPr>
                              <w:pStyle w:val="TableContents"/>
                              <w:bidi w:val="0"/>
                              <w:spacing w:lineRule="atLeast" w:line="225" w:before="0" w:after="0"/>
                              <w:ind w:left="320" w:right="0" w:hanging="0"/>
                              <w:jc w:val="left"/>
                              <w:rPr/>
                            </w:pPr>
                            <w:r>
                              <w:rPr>
                                <w:b/>
                                <w:spacing w:val="0"/>
                              </w:rPr>
                              <w:t>Trimble Inc.</w:t>
                            </w:r>
                            <w:r>
                              <w:rPr>
                                <w:spacing w:val="-1"/>
                              </w:rPr>
                              <w:t>, a software, hardware, and services technology company focused on the construction and transportation industries (since 2022)♦</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00" w:before="184" w:after="0"/>
                        <w:ind w:left="220" w:right="0" w:hanging="0"/>
                        <w:jc w:val="left"/>
                        <w:rPr>
                          <w:sz w:val="16"/>
                        </w:rPr>
                      </w:pPr>
                      <w:r>
                        <w:rPr>
                          <w:spacing w:val="-1"/>
                          <w:sz w:val="16"/>
                        </w:rPr>
                        <w:t>current public company board</w:t>
                      </w:r>
                      <w:r>
                        <w:rPr>
                          <w:sz w:val="16"/>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66675" distB="0" distL="228600" distR="0" simplePos="0" locked="0" layoutInCell="1" allowOverlap="1" relativeHeight="259">
                <wp:simplePos x="0" y="0"/>
                <wp:positionH relativeFrom="column">
                  <wp:align>left</wp:align>
                </wp:positionH>
                <wp:positionV relativeFrom="line">
                  <wp:align>top</wp:align>
                </wp:positionV>
                <wp:extent cx="203200" cy="350520"/>
                <wp:effectExtent l="0" t="0" r="0" b="0"/>
                <wp:wrapSquare wrapText="right"/>
                <wp:docPr id="211" name="Frame10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60">
                <wp:simplePos x="0" y="0"/>
                <wp:positionH relativeFrom="column">
                  <wp:align>left</wp:align>
                </wp:positionH>
                <wp:positionV relativeFrom="line">
                  <wp:align>top</wp:align>
                </wp:positionV>
                <wp:extent cx="203200" cy="350520"/>
                <wp:effectExtent l="0" t="0" r="0" b="0"/>
                <wp:wrapSquare wrapText="right"/>
                <wp:docPr id="212" name="Frame10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61">
                <wp:simplePos x="0" y="0"/>
                <wp:positionH relativeFrom="column">
                  <wp:align>left</wp:align>
                </wp:positionH>
                <wp:positionV relativeFrom="line">
                  <wp:align>top</wp:align>
                </wp:positionV>
                <wp:extent cx="203200" cy="350520"/>
                <wp:effectExtent l="0" t="0" r="0" b="0"/>
                <wp:wrapSquare wrapText="right"/>
                <wp:docPr id="213" name="Frame10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6675" distB="0" distL="228600" distR="0" simplePos="0" locked="0" layoutInCell="1" allowOverlap="1" relativeHeight="262">
                <wp:simplePos x="0" y="0"/>
                <wp:positionH relativeFrom="column">
                  <wp:align>left</wp:align>
                </wp:positionH>
                <wp:positionV relativeFrom="line">
                  <wp:align>top</wp:align>
                </wp:positionV>
                <wp:extent cx="203200" cy="350520"/>
                <wp:effectExtent l="0" t="0" r="0" b="0"/>
                <wp:wrapSquare wrapText="right"/>
                <wp:docPr id="214" name="Frame10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5.25pt;mso-wrap-distance-bottom:0pt;margin-top:5.25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263">
                <wp:simplePos x="0" y="0"/>
                <wp:positionH relativeFrom="column">
                  <wp:align>left</wp:align>
                </wp:positionH>
                <wp:positionV relativeFrom="line">
                  <wp:posOffset>635</wp:posOffset>
                </wp:positionV>
                <wp:extent cx="203200" cy="350520"/>
                <wp:effectExtent l="0" t="0" r="0" b="0"/>
                <wp:wrapSquare wrapText="right"/>
                <wp:docPr id="215" name="Frame10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203200" cy="350520"/>
                <wp:effectExtent l="0" t="0" r="0" b="0"/>
                <wp:wrapSquare wrapText="right"/>
                <wp:docPr id="216" name="Frame10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16840" distB="0" distL="0" distR="0" simplePos="0" locked="0" layoutInCell="1" allowOverlap="1" relativeHeight="265">
                <wp:simplePos x="0" y="0"/>
                <wp:positionH relativeFrom="column">
                  <wp:align>left</wp:align>
                </wp:positionH>
                <wp:positionV relativeFrom="line">
                  <wp:align>top</wp:align>
                </wp:positionV>
                <wp:extent cx="139700" cy="350520"/>
                <wp:effectExtent l="0" t="0" r="0" b="0"/>
                <wp:wrapSquare wrapText="right"/>
                <wp:docPr id="217" name="Frame10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before="0" w:after="283"/>
                              <w:jc w:val="left"/>
                              <w:rPr/>
                            </w:pPr>
                            <w:r>
                              <w:rPr>
                                <w:spacing w:val="-1"/>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sz w:val="16"/>
                        </w:rPr>
                        <w:br/>
                      </w:r>
                    </w:p>
                  </w:txbxContent>
                </v:textbox>
                <w10:wrap type="square" side="right"/>
              </v:rect>
            </w:pict>
          </mc:Fallback>
        </mc:AlternateConten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17</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13">
                <wp:simplePos x="0" y="0"/>
                <wp:positionH relativeFrom="column">
                  <wp:align>left</wp:align>
                </wp:positionH>
                <wp:positionV relativeFrom="line">
                  <wp:posOffset>635</wp:posOffset>
                </wp:positionV>
                <wp:extent cx="1358900" cy="3563620"/>
                <wp:effectExtent l="0" t="0" r="0" b="0"/>
                <wp:wrapSquare wrapText="right"/>
                <wp:docPr id="218" name="Frame107"/>
                <a:graphic xmlns:a="http://schemas.openxmlformats.org/drawingml/2006/main">
                  <a:graphicData uri="http://schemas.microsoft.com/office/word/2010/wordprocessingShape">
                    <wps:wsp>
                      <wps:cNvSpPr txBox="1"/>
                      <wps:spPr>
                        <a:xfrm>
                          <a:off x="0" y="0"/>
                          <a:ext cx="1358900" cy="3563620"/>
                        </a:xfrm>
                        <a:prstGeom prst="rect"/>
                        <a:solidFill>
                          <a:srgbClr val="FFFFFF"/>
                        </a:solidFill>
                      </wps:spPr>
                      <wps:txb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21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97" descr=""/>
                                                <pic:cNvPicPr>
                                                  <a:picLocks noChangeAspect="1" noChangeArrowheads="1"/>
                                                </pic:cNvPicPr>
                                              </pic:nvPicPr>
                                              <pic:blipFill>
                                                <a:blip r:embed="rId113"/>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53</w:t>
                                  </w:r>
                                  <w:r>
                                    <w:rPr>
                                      <w:b/>
                                    </w:rPr>
                                    <w:t xml:space="preserve"> </w:t>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75"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0" w:after="0"/>
                                    <w:ind w:left="80" w:right="0" w:hanging="0"/>
                                    <w:jc w:val="left"/>
                                    <w:rPr>
                                      <w:spacing w:val="-1"/>
                                    </w:rPr>
                                  </w:pPr>
                                  <w:r>
                                    <w:rPr>
                                      <w:spacing w:val="-1"/>
                                    </w:rPr>
                                    <w:t xml:space="preserve">None </w:t>
                                  </w:r>
                                </w:p>
                                <w:p>
                                  <w:pPr>
                                    <w:pStyle w:val="TableContents"/>
                                    <w:bidi w:val="0"/>
                                    <w:spacing w:lineRule="atLeast" w:line="240" w:before="8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0" w:after="0"/>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7pt;height:280.6pt;mso-wrap-distance-left:36pt;mso-wrap-distance-right:0pt;mso-wrap-distance-top:0pt;mso-wrap-distance-bottom:0pt;margin-top:0pt;mso-position-vertical:top;mso-position-vertical-relative:text;margin-left:36pt;mso-position-horizontal:left;mso-position-horizontal-relative:text">
                <v:textbox>
                  <w:txbxContent>
                    <w:tbl>
                      <w:tblPr>
                        <w:tblW w:w="3819" w:type="dxa"/>
                        <w:jc w:val="left"/>
                        <w:tblInd w:w="0" w:type="dxa"/>
                        <w:tblLayout w:type="fixed"/>
                        <w:tblCellMar>
                          <w:top w:w="0" w:type="dxa"/>
                          <w:left w:w="0" w:type="dxa"/>
                          <w:bottom w:w="0" w:type="dxa"/>
                          <w:right w:w="0" w:type="dxa"/>
                        </w:tblCellMar>
                      </w:tblPr>
                      <w:tblGrid>
                        <w:gridCol w:w="124"/>
                        <w:gridCol w:w="3541"/>
                        <w:gridCol w:w="154"/>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pPr>
                            <w:r>
                              <w:rPr/>
                              <w:drawing>
                                <wp:inline distT="0" distB="0" distL="0" distR="0">
                                  <wp:extent cx="1362075" cy="1381125"/>
                                  <wp:effectExtent l="0" t="0" r="0" b="0"/>
                                  <wp:docPr id="22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7" descr=""/>
                                          <pic:cNvPicPr>
                                            <a:picLocks noChangeAspect="1" noChangeArrowheads="1"/>
                                          </pic:cNvPicPr>
                                        </pic:nvPicPr>
                                        <pic:blipFill>
                                          <a:blip r:embed="rId114"/>
                                          <a:stretch>
                                            <a:fillRect/>
                                          </a:stretch>
                                        </pic:blipFill>
                                        <pic:spPr bwMode="auto">
                                          <a:xfrm>
                                            <a:off x="0" y="0"/>
                                            <a:ext cx="1362075" cy="1381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ind w:left="80" w:right="0" w:hanging="0"/>
                              <w:jc w:val="left"/>
                              <w:rPr>
                                <w:b/>
                              </w:rPr>
                            </w:pPr>
                            <w:r>
                              <w:rPr>
                                <w:b/>
                                <w:spacing w:val="0"/>
                              </w:rPr>
                              <w:t>Age:</w:t>
                            </w:r>
                            <w:r>
                              <w:rPr>
                                <w:b/>
                                <w:spacing w:val="-1"/>
                              </w:rPr>
                              <w:t xml:space="preserve"> </w:t>
                            </w:r>
                            <w:r>
                              <w:rPr>
                                <w:b w:val="false"/>
                                <w:spacing w:val="-1"/>
                              </w:rPr>
                              <w:t>53</w:t>
                            </w:r>
                            <w:r>
                              <w:rPr>
                                <w:b/>
                              </w:rPr>
                              <w:t xml:space="preserve"> </w:t>
                              <w:br/>
                            </w:r>
                            <w:r>
                              <w:rPr>
                                <w:b/>
                                <w:spacing w:val="0"/>
                              </w:rPr>
                              <w:t>Director Since:</w:t>
                            </w:r>
                            <w:r>
                              <w:rPr>
                                <w:b/>
                                <w:spacing w:val="-1"/>
                              </w:rPr>
                              <w:t xml:space="preserve"> </w:t>
                            </w:r>
                            <w:r>
                              <w:rPr>
                                <w:b w:val="false"/>
                                <w:spacing w:val="-1"/>
                              </w:rPr>
                              <w:t>2021</w:t>
                            </w:r>
                            <w:r>
                              <w:rPr>
                                <w:b/>
                              </w:rPr>
                              <w:t xml:space="preserve"> </w:t>
                            </w:r>
                          </w:p>
                          <w:p>
                            <w:pPr>
                              <w:pStyle w:val="TableContents"/>
                              <w:bidi w:val="0"/>
                              <w:spacing w:lineRule="atLeast" w:line="245" w:before="75" w:after="283"/>
                              <w:ind w:left="80" w:right="0" w:hanging="0"/>
                              <w:jc w:val="left"/>
                              <w:rPr>
                                <w:b/>
                                <w:color w:val="0055B7"/>
                                <w:sz w:val="20"/>
                              </w:rPr>
                            </w:pPr>
                            <w:r>
                              <w:rPr>
                                <w:b/>
                                <w:color w:val="0055B7"/>
                                <w:spacing w:val="0"/>
                                <w:sz w:val="20"/>
                              </w:rPr>
                              <w:t>Committees:</w:t>
                            </w:r>
                            <w:r>
                              <w:rPr>
                                <w:b/>
                                <w:color w:val="0055B7"/>
                                <w:sz w:val="20"/>
                              </w:rPr>
                              <w:t xml:space="preserve"> </w:t>
                            </w:r>
                          </w:p>
                          <w:p>
                            <w:pPr>
                              <w:pStyle w:val="TableContents"/>
                              <w:bidi w:val="0"/>
                              <w:spacing w:lineRule="atLeast" w:line="225" w:before="0" w:after="0"/>
                              <w:ind w:left="80" w:right="0" w:hanging="0"/>
                              <w:jc w:val="left"/>
                              <w:rPr>
                                <w:spacing w:val="-1"/>
                              </w:rPr>
                            </w:pPr>
                            <w:r>
                              <w:rPr>
                                <w:spacing w:val="-1"/>
                              </w:rPr>
                              <w:t xml:space="preserve">None </w:t>
                            </w:r>
                          </w:p>
                          <w:p>
                            <w:pPr>
                              <w:pStyle w:val="TableContents"/>
                              <w:bidi w:val="0"/>
                              <w:spacing w:lineRule="atLeast" w:line="240" w:before="80" w:after="283"/>
                              <w:ind w:left="80" w:right="0" w:hanging="0"/>
                              <w:jc w:val="left"/>
                              <w:rPr>
                                <w:b/>
                                <w:color w:val="0055B7"/>
                                <w:sz w:val="20"/>
                              </w:rPr>
                            </w:pPr>
                            <w:r>
                              <w:rPr>
                                <w:b/>
                                <w:color w:val="0055B7"/>
                                <w:spacing w:val="0"/>
                                <w:sz w:val="20"/>
                              </w:rPr>
                              <w:t>Other Current Public Company Boards:</w:t>
                            </w:r>
                            <w:r>
                              <w:rPr>
                                <w:b/>
                                <w:color w:val="000000"/>
                                <w:sz w:val="20"/>
                              </w:rPr>
                              <w:t>​</w:t>
                            </w:r>
                            <w:r>
                              <w:rPr>
                                <w:b/>
                                <w:color w:val="0055B7"/>
                                <w:sz w:val="20"/>
                              </w:rPr>
                              <w:t xml:space="preserve"> </w:t>
                            </w:r>
                          </w:p>
                          <w:p>
                            <w:pPr>
                              <w:pStyle w:val="TableContents"/>
                              <w:bidi w:val="0"/>
                              <w:spacing w:lineRule="atLeast" w:line="225" w:before="0" w:after="0"/>
                              <w:ind w:left="80" w:right="0" w:hanging="0"/>
                              <w:jc w:val="left"/>
                              <w:rPr>
                                <w:spacing w:val="-1"/>
                              </w:rPr>
                            </w:pPr>
                            <w:r>
                              <w:rPr>
                                <w:spacing w:val="-1"/>
                              </w:rPr>
                              <w:t xml:space="preserve">None </w:t>
                            </w:r>
                          </w:p>
                        </w:tc>
                        <w:tc>
                          <w:tcPr>
                            <w:tcW w:w="154" w:type="dxa"/>
                            <w:tcBorders/>
                            <w:vAlign w:val="center"/>
                          </w:tcPr>
                          <w:p>
                            <w:pPr>
                              <w:pStyle w:val="TableContents"/>
                              <w:bidi w:val="0"/>
                              <w:spacing w:before="0" w:after="283"/>
                              <w:jc w:val="left"/>
                              <w:rPr/>
                            </w:pPr>
                            <w:r>
                              <w:rPr/>
                              <w:t>​</w:t>
                            </w:r>
                          </w:p>
                        </w:tc>
                      </w:tr>
                      <w:tr>
                        <w:trPr/>
                        <w:tc>
                          <w:tcPr>
                            <w:tcW w:w="124" w:type="dxa"/>
                            <w:tcBorders/>
                            <w:shd w:fill="D8E8F8" w:val="clear"/>
                            <w:vAlign w:val="center"/>
                          </w:tcPr>
                          <w:p>
                            <w:pPr>
                              <w:pStyle w:val="TableContents"/>
                              <w:bidi w:val="0"/>
                              <w:spacing w:before="0" w:after="283"/>
                              <w:jc w:val="left"/>
                              <w:rPr/>
                            </w:pPr>
                            <w:r>
                              <w:rPr/>
                              <w:t>​</w:t>
                            </w:r>
                          </w:p>
                        </w:tc>
                        <w:tc>
                          <w:tcPr>
                            <w:tcW w:w="3541" w:type="dxa"/>
                            <w:tcBorders/>
                            <w:shd w:fill="D8E8F8" w:val="clear"/>
                            <w:vAlign w:val="center"/>
                          </w:tcPr>
                          <w:p>
                            <w:pPr>
                              <w:pStyle w:val="TableContents"/>
                              <w:bidi w:val="0"/>
                              <w:spacing w:lineRule="atLeast" w:line="225" w:before="0" w:after="0"/>
                              <w:jc w:val="left"/>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66">
                <wp:simplePos x="0" y="0"/>
                <wp:positionH relativeFrom="column">
                  <wp:align>left</wp:align>
                </wp:positionH>
                <wp:positionV relativeFrom="line">
                  <wp:posOffset>635</wp:posOffset>
                </wp:positionV>
                <wp:extent cx="5118100" cy="8803640"/>
                <wp:effectExtent l="0" t="0" r="0" b="0"/>
                <wp:wrapSquare wrapText="right"/>
                <wp:docPr id="221" name="Frame108"/>
                <a:graphic xmlns:a="http://schemas.openxmlformats.org/drawingml/2006/main">
                  <a:graphicData uri="http://schemas.microsoft.com/office/word/2010/wordprocessingShape">
                    <wps:wsp>
                      <wps:cNvSpPr txBox="1"/>
                      <wps:spPr>
                        <a:xfrm>
                          <a:off x="0" y="0"/>
                          <a:ext cx="5118100" cy="88036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4632"/>
                              <w:gridCol w:w="109"/>
                              <w:gridCol w:w="109"/>
                              <w:gridCol w:w="5076"/>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3"/>
                                      <w:sz w:val="24"/>
                                    </w:rPr>
                                    <w:t>S</w:t>
                                  </w:r>
                                  <w:r>
                                    <w:rPr>
                                      <w:b/>
                                      <w:caps w:val="false"/>
                                      <w:smallCaps w:val="false"/>
                                      <w:color w:val="0055B7"/>
                                      <w:spacing w:val="-3"/>
                                      <w:sz w:val="24"/>
                                    </w:rPr>
                                    <w:t>TEPHEN</w:t>
                                  </w:r>
                                  <w:r>
                                    <w:rPr>
                                      <w:b/>
                                      <w:color w:val="0055B7"/>
                                      <w:spacing w:val="-3"/>
                                      <w:sz w:val="24"/>
                                    </w:rPr>
                                    <w:t xml:space="preserve"> H. W</w:t>
                                  </w:r>
                                  <w:r>
                                    <w:rPr>
                                      <w:b/>
                                      <w:caps w:val="false"/>
                                      <w:smallCaps w:val="false"/>
                                      <w:color w:val="0055B7"/>
                                      <w:spacing w:val="-3"/>
                                      <w:sz w:val="24"/>
                                    </w:rPr>
                                    <w:t>ISE</w:t>
                                  </w:r>
                                  <w:r>
                                    <w:rPr>
                                      <w:b/>
                                      <w:color w:val="0055B7"/>
                                      <w:sz w:val="24"/>
                                    </w:rPr>
                                    <w:t xml:space="preserve"> </w:t>
                                  </w:r>
                                </w:p>
                                <w:p>
                                  <w:pPr>
                                    <w:pStyle w:val="TableContents"/>
                                    <w:bidi w:val="0"/>
                                    <w:spacing w:lineRule="atLeast" w:line="245" w:before="0" w:after="0"/>
                                    <w:jc w:val="left"/>
                                    <w:rPr>
                                      <w:b/>
                                      <w:sz w:val="20"/>
                                    </w:rPr>
                                  </w:pPr>
                                  <w:r>
                                    <w:rPr>
                                      <w:b/>
                                      <w:spacing w:val="0"/>
                                      <w:sz w:val="20"/>
                                    </w:rPr>
                                    <w:t>Independent</w:t>
                                  </w:r>
                                  <w:r>
                                    <w:rPr>
                                      <w:b/>
                                      <w:sz w:val="20"/>
                                    </w:rPr>
                                    <w:t xml:space="preserve">​ </w:t>
                                  </w:r>
                                </w:p>
                                <w:p>
                                  <w:pPr>
                                    <w:pStyle w:val="TableContents"/>
                                    <w:bidi w:val="0"/>
                                    <w:spacing w:lineRule="atLeast" w:line="200" w:before="127"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20" w:after="283"/>
                                    <w:jc w:val="left"/>
                                    <w:rPr/>
                                  </w:pPr>
                                  <w:r>
                                    <w:rPr>
                                      <w:spacing w:val="-1"/>
                                    </w:rPr>
                                    <w:t>Mr. Wise brings to the Board significant financial, management, and investment experience from his involvement at Carlyle, including as Partner and Co-Head of Americas Corporate Private Equity, as well as his thorough knowledge of our industry.</w:t>
                                  </w:r>
                                  <w:r>
                                    <w:rPr/>
                                    <w:t xml:space="preserve"> </w:t>
                                  </w:r>
                                </w:p>
                                <w:p>
                                  <w:pPr>
                                    <w:pStyle w:val="TableContents"/>
                                    <w:bidi w:val="0"/>
                                    <w:spacing w:lineRule="atLeast" w:line="200" w:before="127"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29" w:after="283"/>
                                    <w:jc w:val="left"/>
                                    <w:rPr>
                                      <w:b/>
                                    </w:rPr>
                                  </w:pPr>
                                  <w:r>
                                    <w:rPr>
                                      <w:b/>
                                      <w:spacing w:val="0"/>
                                    </w:rPr>
                                    <w:t>Carlyle</w:t>
                                  </w:r>
                                  <w:r>
                                    <w:rPr>
                                      <w:b w:val="false"/>
                                      <w:spacing w:val="-1"/>
                                    </w:rPr>
                                    <w:t>, an investment firm</w:t>
                                  </w:r>
                                  <w:r>
                                    <w:rPr>
                                      <w:b/>
                                    </w:rPr>
                                    <w:t xml:space="preserve"> </w:t>
                                  </w:r>
                                </w:p>
                                <w:p>
                                  <w:pPr>
                                    <w:pStyle w:val="TableContents"/>
                                    <w:bidi w:val="0"/>
                                    <w:spacing w:lineRule="atLeast" w:line="180" w:before="69" w:after="0"/>
                                    <w:ind w:left="680" w:right="0" w:hanging="0"/>
                                    <w:jc w:val="left"/>
                                    <w:rPr/>
                                  </w:pPr>
                                  <w:r>
                                    <w:rPr>
                                      <w:spacing w:val="-1"/>
                                    </w:rPr>
                                    <w:t>Co-Head of Americas Corporate Private Equity (since June 2024)</w:t>
                                  </w:r>
                                  <w:r>
                                    <w:rPr/>
                                    <w:t xml:space="preserve"> </w:t>
                                  </w:r>
                                </w:p>
                                <w:p>
                                  <w:pPr>
                                    <w:pStyle w:val="TableContents"/>
                                    <w:bidi w:val="0"/>
                                    <w:spacing w:before="0" w:after="0"/>
                                    <w:ind w:left="0" w:right="0" w:hanging="0"/>
                                    <w:jc w:val="left"/>
                                    <w:rPr/>
                                  </w:pPr>
                                  <w:r>
                                    <w:rPr/>
                                    <w:t>​</w:t>
                                  </w:r>
                                </w:p>
                                <w:p>
                                  <w:pPr>
                                    <w:pStyle w:val="TableContents"/>
                                    <w:bidi w:val="0"/>
                                    <w:spacing w:lineRule="atLeast" w:line="180" w:before="69" w:after="0"/>
                                    <w:ind w:left="680" w:right="0" w:hanging="0"/>
                                    <w:jc w:val="left"/>
                                    <w:rPr/>
                                  </w:pPr>
                                  <w:r>
                                    <w:rPr>
                                      <w:spacing w:val="-1"/>
                                    </w:rPr>
                                    <w:t>Partner and Global Head of Healthcare (2006 to June 2024)</w:t>
                                  </w:r>
                                  <w:r>
                                    <w:rPr/>
                                    <w:t xml:space="preserve"> </w:t>
                                  </w:r>
                                </w:p>
                                <w:p>
                                  <w:pPr>
                                    <w:pStyle w:val="TableContents"/>
                                    <w:bidi w:val="0"/>
                                    <w:spacing w:before="0" w:after="0"/>
                                    <w:ind w:left="0" w:right="0" w:hanging="0"/>
                                    <w:jc w:val="left"/>
                                    <w:rPr/>
                                  </w:pPr>
                                  <w:r>
                                    <w:rPr/>
                                    <w:t>​</w:t>
                                  </w:r>
                                </w:p>
                                <w:p>
                                  <w:pPr>
                                    <w:pStyle w:val="TableContents"/>
                                    <w:bidi w:val="0"/>
                                    <w:spacing w:lineRule="atLeast" w:line="180" w:before="129" w:after="283"/>
                                    <w:jc w:val="left"/>
                                    <w:rPr>
                                      <w:b/>
                                    </w:rPr>
                                  </w:pPr>
                                  <w:r>
                                    <w:rPr>
                                      <w:b/>
                                      <w:spacing w:val="0"/>
                                    </w:rPr>
                                    <w:t>JLL Partners</w:t>
                                  </w:r>
                                  <w:r>
                                    <w:rPr>
                                      <w:b w:val="false"/>
                                      <w:spacing w:val="-1"/>
                                    </w:rPr>
                                    <w:t>, a private equity firm</w:t>
                                  </w:r>
                                  <w:r>
                                    <w:rPr>
                                      <w:b/>
                                    </w:rPr>
                                    <w:t xml:space="preserve"> </w:t>
                                  </w:r>
                                </w:p>
                                <w:p>
                                  <w:pPr>
                                    <w:pStyle w:val="TableContents"/>
                                    <w:bidi w:val="0"/>
                                    <w:spacing w:lineRule="atLeast" w:line="180" w:before="69" w:after="0"/>
                                    <w:ind w:left="680" w:right="0" w:hanging="0"/>
                                    <w:jc w:val="left"/>
                                    <w:rPr/>
                                  </w:pPr>
                                  <w:r>
                                    <w:rPr>
                                      <w:spacing w:val="-1"/>
                                    </w:rPr>
                                    <w:t>Vice President (2000 to 2005)</w:t>
                                  </w:r>
                                  <w:r>
                                    <w:rPr/>
                                    <w:t xml:space="preserve"> </w:t>
                                  </w:r>
                                </w:p>
                                <w:p>
                                  <w:pPr>
                                    <w:pStyle w:val="TableContents"/>
                                    <w:bidi w:val="0"/>
                                    <w:spacing w:before="0" w:after="0"/>
                                    <w:ind w:left="0" w:right="0" w:hanging="0"/>
                                    <w:jc w:val="left"/>
                                    <w:rPr/>
                                  </w:pPr>
                                  <w:r>
                                    <w:rPr/>
                                    <w:t>​</w:t>
                                  </w:r>
                                </w:p>
                                <w:p>
                                  <w:pPr>
                                    <w:pStyle w:val="TableContents"/>
                                    <w:bidi w:val="0"/>
                                    <w:spacing w:lineRule="atLeast" w:line="180" w:before="129" w:after="283"/>
                                    <w:jc w:val="left"/>
                                    <w:rPr>
                                      <w:b/>
                                    </w:rPr>
                                  </w:pPr>
                                  <w:r>
                                    <w:rPr>
                                      <w:b/>
                                      <w:spacing w:val="0"/>
                                    </w:rPr>
                                    <w:t>J.W. Childs Associates, Limited Partnership</w:t>
                                  </w:r>
                                  <w:r>
                                    <w:rPr>
                                      <w:b w:val="false"/>
                                      <w:spacing w:val="-1"/>
                                    </w:rPr>
                                    <w:t>, a private equity firm</w:t>
                                  </w:r>
                                  <w:r>
                                    <w:rPr>
                                      <w:b/>
                                    </w:rPr>
                                    <w:t xml:space="preserve"> </w:t>
                                  </w:r>
                                </w:p>
                                <w:p>
                                  <w:pPr>
                                    <w:pStyle w:val="TableContents"/>
                                    <w:bidi w:val="0"/>
                                    <w:spacing w:lineRule="atLeast" w:line="180" w:before="69" w:after="0"/>
                                    <w:ind w:left="680" w:right="0" w:hanging="0"/>
                                    <w:jc w:val="left"/>
                                    <w:rPr/>
                                  </w:pPr>
                                  <w:r>
                                    <w:rPr>
                                      <w:spacing w:val="-1"/>
                                    </w:rPr>
                                    <w:t>Analyst (1995 to 1998)</w:t>
                                  </w:r>
                                  <w:r>
                                    <w:rPr/>
                                    <w:t xml:space="preserve"> </w:t>
                                  </w:r>
                                </w:p>
                                <w:p>
                                  <w:pPr>
                                    <w:pStyle w:val="TableContents"/>
                                    <w:bidi w:val="0"/>
                                    <w:spacing w:before="0" w:after="0"/>
                                    <w:ind w:left="0" w:right="0" w:hanging="0"/>
                                    <w:jc w:val="left"/>
                                    <w:rPr/>
                                  </w:pPr>
                                  <w:r>
                                    <w:rPr/>
                                    <w:t>​</w:t>
                                  </w:r>
                                </w:p>
                                <w:p>
                                  <w:pPr>
                                    <w:pStyle w:val="TableContents"/>
                                    <w:bidi w:val="0"/>
                                    <w:spacing w:lineRule="atLeast" w:line="180" w:before="129" w:after="283"/>
                                    <w:jc w:val="left"/>
                                    <w:rPr>
                                      <w:b/>
                                    </w:rPr>
                                  </w:pPr>
                                  <w:r>
                                    <w:rPr>
                                      <w:b/>
                                      <w:spacing w:val="0"/>
                                    </w:rPr>
                                    <w:t>Credit Suisse</w:t>
                                  </w:r>
                                  <w:r>
                                    <w:rPr>
                                      <w:b w:val="false"/>
                                      <w:spacing w:val="-1"/>
                                    </w:rPr>
                                    <w:t>, an investment bank and financial services firm (acquired by UBS in 2023)</w:t>
                                  </w:r>
                                  <w:r>
                                    <w:rPr>
                                      <w:b/>
                                    </w:rPr>
                                    <w:t xml:space="preserve"> </w:t>
                                  </w:r>
                                </w:p>
                                <w:p>
                                  <w:pPr>
                                    <w:pStyle w:val="TableContents"/>
                                    <w:bidi w:val="0"/>
                                    <w:spacing w:lineRule="atLeast" w:line="180" w:before="69" w:after="0"/>
                                    <w:ind w:left="680" w:right="0" w:hanging="0"/>
                                    <w:jc w:val="left"/>
                                    <w:rPr/>
                                  </w:pPr>
                                  <w:r>
                                    <w:rPr>
                                      <w:spacing w:val="-1"/>
                                    </w:rPr>
                                    <w:t>Member of the Leveraged Finance Group (1994 to 1995)</w:t>
                                  </w:r>
                                  <w:r>
                                    <w:rPr/>
                                    <w:t xml:space="preserve"> </w:t>
                                  </w:r>
                                </w:p>
                                <w:p>
                                  <w:pPr>
                                    <w:pStyle w:val="TableContents"/>
                                    <w:bidi w:val="0"/>
                                    <w:spacing w:before="0" w:after="0"/>
                                    <w:ind w:left="0" w:right="0" w:hanging="0"/>
                                    <w:jc w:val="left"/>
                                    <w:rPr/>
                                  </w:pPr>
                                  <w:r>
                                    <w:rPr/>
                                    <w:t>​</w:t>
                                  </w:r>
                                </w:p>
                                <w:p>
                                  <w:pPr>
                                    <w:pStyle w:val="TableContents"/>
                                    <w:bidi w:val="0"/>
                                    <w:spacing w:lineRule="atLeast" w:line="200" w:before="127" w:after="283"/>
                                    <w:jc w:val="left"/>
                                    <w:rPr>
                                      <w:b/>
                                      <w:color w:val="3E8DDD"/>
                                      <w:sz w:val="20"/>
                                    </w:rPr>
                                  </w:pPr>
                                  <w:r>
                                    <w:rPr>
                                      <w:b/>
                                      <w:color w:val="3E8DDD"/>
                                      <w:spacing w:val="0"/>
                                      <w:sz w:val="20"/>
                                    </w:rPr>
                                    <w:t>Other Boards</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32" w:type="dxa"/>
                                  <w:tcBorders/>
                                  <w:vAlign w:val="center"/>
                                </w:tcPr>
                                <w:p>
                                  <w:pPr>
                                    <w:pStyle w:val="TableContents"/>
                                    <w:bidi w:val="0"/>
                                    <w:spacing w:lineRule="atLeast" w:line="225" w:before="0" w:after="0"/>
                                    <w:ind w:left="680" w:right="0" w:hanging="0"/>
                                    <w:jc w:val="left"/>
                                    <w:rPr/>
                                  </w:pPr>
                                  <w:r>
                                    <w:rPr>
                                      <w:b/>
                                      <w:spacing w:val="0"/>
                                    </w:rPr>
                                    <w:t>Vantive Health LLC</w:t>
                                  </w:r>
                                  <w:r>
                                    <w:rPr>
                                      <w:spacing w:val="-1"/>
                                    </w:rPr>
                                    <w:t>, a vital organ therapy company (since 2025)</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Launch Therapeutics, Inc.</w:t>
                                  </w:r>
                                  <w:r>
                                    <w:rPr>
                                      <w:spacing w:val="-1"/>
                                    </w:rPr>
                                    <w:t>, a late-stage clinical development company (since 2022)</w:t>
                                  </w:r>
                                  <w:r>
                                    <w:rPr/>
                                    <w:t xml:space="preserve"> </w:t>
                                  </w:r>
                                </w:p>
                                <w:p>
                                  <w:pPr>
                                    <w:pStyle w:val="TableContents"/>
                                    <w:bidi w:val="0"/>
                                    <w:spacing w:before="0" w:after="0"/>
                                    <w:ind w:left="0" w:right="0" w:hanging="0"/>
                                    <w:jc w:val="left"/>
                                    <w:rPr/>
                                  </w:pPr>
                                  <w:r>
                                    <w:rPr/>
                                    <w:t>​</w:t>
                                  </w:r>
                                </w:p>
                                <w:p>
                                  <w:pPr>
                                    <w:pStyle w:val="TableContents"/>
                                    <w:bidi w:val="0"/>
                                    <w:spacing w:lineRule="atLeast" w:line="180" w:before="70" w:after="0"/>
                                    <w:ind w:left="680" w:right="0" w:hanging="0"/>
                                    <w:jc w:val="left"/>
                                    <w:rPr/>
                                  </w:pPr>
                                  <w:r>
                                    <w:rPr>
                                      <w:b/>
                                      <w:spacing w:val="0"/>
                                    </w:rPr>
                                    <w:t>QuidelOrtho</w:t>
                                  </w:r>
                                  <w:r>
                                    <w:rPr>
                                      <w:spacing w:val="-1"/>
                                    </w:rPr>
                                    <w:t xml:space="preserve"> (2022 to 2023)</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Ortho Clinical Diagnostics Holdings plc</w:t>
                                  </w:r>
                                  <w:r>
                                    <w:rPr>
                                      <w:spacing w:val="-1"/>
                                    </w:rPr>
                                    <w:t>, a medical diagnostics company acquired by QuidelOrtho in 2022 (2021 to 2022)</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76" w:type="dxa"/>
                                  <w:tcBorders/>
                                  <w:vAlign w:val="center"/>
                                </w:tcPr>
                                <w:p>
                                  <w:pPr>
                                    <w:pStyle w:val="TableContents"/>
                                    <w:bidi w:val="0"/>
                                    <w:spacing w:lineRule="atLeast" w:line="225" w:before="0" w:after="0"/>
                                    <w:ind w:left="320" w:right="0" w:hanging="0"/>
                                    <w:jc w:val="left"/>
                                    <w:rPr/>
                                  </w:pPr>
                                  <w:r>
                                    <w:rPr>
                                      <w:b/>
                                      <w:spacing w:val="0"/>
                                    </w:rPr>
                                    <w:t>Resonetics, LLC</w:t>
                                  </w:r>
                                  <w:r>
                                    <w:rPr>
                                      <w:spacing w:val="-1"/>
                                    </w:rPr>
                                    <w:t>, a micro-manufacturing technology services provider for medical device and diagnostic companies (since 2021)</w:t>
                                  </w:r>
                                  <w:r>
                                    <w:rPr/>
                                    <w:t xml:space="preserve"> </w:t>
                                  </w:r>
                                </w:p>
                                <w:p>
                                  <w:pPr>
                                    <w:pStyle w:val="TableContents"/>
                                    <w:bidi w:val="0"/>
                                    <w:spacing w:before="0" w:after="0"/>
                                    <w:ind w:left="0" w:right="0" w:hanging="0"/>
                                    <w:jc w:val="left"/>
                                    <w:rPr/>
                                  </w:pPr>
                                  <w:r>
                                    <w:rPr/>
                                    <w:t>​</w:t>
                                  </w:r>
                                </w:p>
                                <w:p>
                                  <w:pPr>
                                    <w:pStyle w:val="TableContents"/>
                                    <w:bidi w:val="0"/>
                                    <w:spacing w:lineRule="atLeast" w:line="225" w:before="60" w:after="0"/>
                                    <w:ind w:left="320" w:right="0" w:hanging="0"/>
                                    <w:jc w:val="left"/>
                                    <w:rPr/>
                                  </w:pPr>
                                  <w:r>
                                    <w:rPr>
                                      <w:b/>
                                      <w:spacing w:val="0"/>
                                    </w:rPr>
                                    <w:t>Sedgwick Inc.</w:t>
                                  </w:r>
                                  <w:r>
                                    <w:rPr>
                                      <w:spacing w:val="-1"/>
                                    </w:rPr>
                                    <w:t>, a multiline claims management firm (since 2018)</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pt;height:693.2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4632"/>
                        <w:gridCol w:w="109"/>
                        <w:gridCol w:w="109"/>
                        <w:gridCol w:w="5076"/>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left"/>
                              <w:rPr>
                                <w:b/>
                                <w:color w:val="0055B7"/>
                                <w:sz w:val="24"/>
                              </w:rPr>
                            </w:pPr>
                            <w:r>
                              <w:rPr>
                                <w:b/>
                                <w:color w:val="0055B7"/>
                                <w:spacing w:val="-3"/>
                                <w:sz w:val="24"/>
                              </w:rPr>
                              <w:t>S</w:t>
                            </w:r>
                            <w:r>
                              <w:rPr>
                                <w:b/>
                                <w:caps w:val="false"/>
                                <w:smallCaps w:val="false"/>
                                <w:color w:val="0055B7"/>
                                <w:spacing w:val="-3"/>
                                <w:sz w:val="24"/>
                              </w:rPr>
                              <w:t>TEPHEN</w:t>
                            </w:r>
                            <w:r>
                              <w:rPr>
                                <w:b/>
                                <w:color w:val="0055B7"/>
                                <w:spacing w:val="-3"/>
                                <w:sz w:val="24"/>
                              </w:rPr>
                              <w:t xml:space="preserve"> H. W</w:t>
                            </w:r>
                            <w:r>
                              <w:rPr>
                                <w:b/>
                                <w:caps w:val="false"/>
                                <w:smallCaps w:val="false"/>
                                <w:color w:val="0055B7"/>
                                <w:spacing w:val="-3"/>
                                <w:sz w:val="24"/>
                              </w:rPr>
                              <w:t>ISE</w:t>
                            </w:r>
                            <w:r>
                              <w:rPr>
                                <w:b/>
                                <w:color w:val="0055B7"/>
                                <w:sz w:val="24"/>
                              </w:rPr>
                              <w:t xml:space="preserve"> </w:t>
                            </w:r>
                          </w:p>
                          <w:p>
                            <w:pPr>
                              <w:pStyle w:val="TableContents"/>
                              <w:bidi w:val="0"/>
                              <w:spacing w:lineRule="atLeast" w:line="245" w:before="0" w:after="0"/>
                              <w:jc w:val="left"/>
                              <w:rPr>
                                <w:b/>
                                <w:sz w:val="20"/>
                              </w:rPr>
                            </w:pPr>
                            <w:r>
                              <w:rPr>
                                <w:b/>
                                <w:spacing w:val="0"/>
                                <w:sz w:val="20"/>
                              </w:rPr>
                              <w:t>Independent</w:t>
                            </w:r>
                            <w:r>
                              <w:rPr>
                                <w:b/>
                                <w:sz w:val="20"/>
                              </w:rPr>
                              <w:t xml:space="preserve">​ </w:t>
                            </w:r>
                          </w:p>
                          <w:p>
                            <w:pPr>
                              <w:pStyle w:val="TableContents"/>
                              <w:bidi w:val="0"/>
                              <w:spacing w:lineRule="atLeast" w:line="200" w:before="127" w:after="283"/>
                              <w:jc w:val="left"/>
                              <w:rPr>
                                <w:b/>
                                <w:color w:val="3E8DDD"/>
                                <w:sz w:val="20"/>
                              </w:rPr>
                            </w:pPr>
                            <w:r>
                              <w:rPr>
                                <w:b/>
                                <w:color w:val="3E8DDD"/>
                                <w:spacing w:val="0"/>
                                <w:sz w:val="20"/>
                              </w:rPr>
                              <w:t>Key Qualifications</w:t>
                            </w:r>
                            <w:r>
                              <w:rPr>
                                <w:b/>
                                <w:color w:val="3E8DDD"/>
                                <w:sz w:val="20"/>
                              </w:rPr>
                              <w:t xml:space="preserve"> </w:t>
                            </w:r>
                          </w:p>
                          <w:p>
                            <w:pPr>
                              <w:pStyle w:val="TableContents"/>
                              <w:bidi w:val="0"/>
                              <w:spacing w:lineRule="atLeast" w:line="225" w:before="120" w:after="283"/>
                              <w:jc w:val="left"/>
                              <w:rPr/>
                            </w:pPr>
                            <w:r>
                              <w:rPr>
                                <w:spacing w:val="-1"/>
                              </w:rPr>
                              <w:t>Mr. Wise brings to the Board significant financial, management, and investment experience from his involvement at Carlyle, including as Partner and Co-Head of Americas Corporate Private Equity, as well as his thorough knowledge of our industry.</w:t>
                            </w:r>
                            <w:r>
                              <w:rPr/>
                              <w:t xml:space="preserve"> </w:t>
                            </w:r>
                          </w:p>
                          <w:p>
                            <w:pPr>
                              <w:pStyle w:val="TableContents"/>
                              <w:bidi w:val="0"/>
                              <w:spacing w:lineRule="atLeast" w:line="200" w:before="127" w:after="283"/>
                              <w:jc w:val="left"/>
                              <w:rPr>
                                <w:b/>
                                <w:color w:val="3E8DDD"/>
                                <w:sz w:val="20"/>
                              </w:rPr>
                            </w:pPr>
                            <w:r>
                              <w:rPr>
                                <w:b/>
                                <w:color w:val="3E8DDD"/>
                                <w:spacing w:val="0"/>
                                <w:sz w:val="20"/>
                              </w:rPr>
                              <w:t>Career Highlights</w:t>
                            </w:r>
                            <w:r>
                              <w:rPr>
                                <w:b/>
                                <w:color w:val="3E8DDD"/>
                                <w:sz w:val="20"/>
                              </w:rPr>
                              <w:t xml:space="preserve"> </w:t>
                            </w:r>
                          </w:p>
                          <w:p>
                            <w:pPr>
                              <w:pStyle w:val="TableContents"/>
                              <w:bidi w:val="0"/>
                              <w:spacing w:lineRule="atLeast" w:line="180" w:before="129" w:after="283"/>
                              <w:jc w:val="left"/>
                              <w:rPr>
                                <w:b/>
                              </w:rPr>
                            </w:pPr>
                            <w:r>
                              <w:rPr>
                                <w:b/>
                                <w:spacing w:val="0"/>
                              </w:rPr>
                              <w:t>Carlyle</w:t>
                            </w:r>
                            <w:r>
                              <w:rPr>
                                <w:b w:val="false"/>
                                <w:spacing w:val="-1"/>
                              </w:rPr>
                              <w:t>, an investment firm</w:t>
                            </w:r>
                            <w:r>
                              <w:rPr>
                                <w:b/>
                              </w:rPr>
                              <w:t xml:space="preserve"> </w:t>
                            </w:r>
                          </w:p>
                          <w:p>
                            <w:pPr>
                              <w:pStyle w:val="TableContents"/>
                              <w:bidi w:val="0"/>
                              <w:spacing w:lineRule="atLeast" w:line="180" w:before="69" w:after="0"/>
                              <w:ind w:left="680" w:right="0" w:hanging="0"/>
                              <w:jc w:val="left"/>
                              <w:rPr/>
                            </w:pPr>
                            <w:r>
                              <w:rPr>
                                <w:spacing w:val="-1"/>
                              </w:rPr>
                              <w:t>Co-Head of Americas Corporate Private Equity (since June 2024)</w:t>
                            </w:r>
                            <w:r>
                              <w:rPr/>
                              <w:t xml:space="preserve"> </w:t>
                            </w:r>
                          </w:p>
                          <w:p>
                            <w:pPr>
                              <w:pStyle w:val="TableContents"/>
                              <w:bidi w:val="0"/>
                              <w:spacing w:before="0" w:after="0"/>
                              <w:ind w:left="0" w:right="0" w:hanging="0"/>
                              <w:jc w:val="left"/>
                              <w:rPr/>
                            </w:pPr>
                            <w:r>
                              <w:rPr/>
                              <w:t>​</w:t>
                            </w:r>
                          </w:p>
                          <w:p>
                            <w:pPr>
                              <w:pStyle w:val="TableContents"/>
                              <w:bidi w:val="0"/>
                              <w:spacing w:lineRule="atLeast" w:line="180" w:before="69" w:after="0"/>
                              <w:ind w:left="680" w:right="0" w:hanging="0"/>
                              <w:jc w:val="left"/>
                              <w:rPr/>
                            </w:pPr>
                            <w:r>
                              <w:rPr>
                                <w:spacing w:val="-1"/>
                              </w:rPr>
                              <w:t>Partner and Global Head of Healthcare (2006 to June 2024)</w:t>
                            </w:r>
                            <w:r>
                              <w:rPr/>
                              <w:t xml:space="preserve"> </w:t>
                            </w:r>
                          </w:p>
                          <w:p>
                            <w:pPr>
                              <w:pStyle w:val="TableContents"/>
                              <w:bidi w:val="0"/>
                              <w:spacing w:before="0" w:after="0"/>
                              <w:ind w:left="0" w:right="0" w:hanging="0"/>
                              <w:jc w:val="left"/>
                              <w:rPr/>
                            </w:pPr>
                            <w:r>
                              <w:rPr/>
                              <w:t>​</w:t>
                            </w:r>
                          </w:p>
                          <w:p>
                            <w:pPr>
                              <w:pStyle w:val="TableContents"/>
                              <w:bidi w:val="0"/>
                              <w:spacing w:lineRule="atLeast" w:line="180" w:before="129" w:after="283"/>
                              <w:jc w:val="left"/>
                              <w:rPr>
                                <w:b/>
                              </w:rPr>
                            </w:pPr>
                            <w:r>
                              <w:rPr>
                                <w:b/>
                                <w:spacing w:val="0"/>
                              </w:rPr>
                              <w:t>JLL Partners</w:t>
                            </w:r>
                            <w:r>
                              <w:rPr>
                                <w:b w:val="false"/>
                                <w:spacing w:val="-1"/>
                              </w:rPr>
                              <w:t>, a private equity firm</w:t>
                            </w:r>
                            <w:r>
                              <w:rPr>
                                <w:b/>
                              </w:rPr>
                              <w:t xml:space="preserve"> </w:t>
                            </w:r>
                          </w:p>
                          <w:p>
                            <w:pPr>
                              <w:pStyle w:val="TableContents"/>
                              <w:bidi w:val="0"/>
                              <w:spacing w:lineRule="atLeast" w:line="180" w:before="69" w:after="0"/>
                              <w:ind w:left="680" w:right="0" w:hanging="0"/>
                              <w:jc w:val="left"/>
                              <w:rPr/>
                            </w:pPr>
                            <w:r>
                              <w:rPr>
                                <w:spacing w:val="-1"/>
                              </w:rPr>
                              <w:t>Vice President (2000 to 2005)</w:t>
                            </w:r>
                            <w:r>
                              <w:rPr/>
                              <w:t xml:space="preserve"> </w:t>
                            </w:r>
                          </w:p>
                          <w:p>
                            <w:pPr>
                              <w:pStyle w:val="TableContents"/>
                              <w:bidi w:val="0"/>
                              <w:spacing w:before="0" w:after="0"/>
                              <w:ind w:left="0" w:right="0" w:hanging="0"/>
                              <w:jc w:val="left"/>
                              <w:rPr/>
                            </w:pPr>
                            <w:r>
                              <w:rPr/>
                              <w:t>​</w:t>
                            </w:r>
                          </w:p>
                          <w:p>
                            <w:pPr>
                              <w:pStyle w:val="TableContents"/>
                              <w:bidi w:val="0"/>
                              <w:spacing w:lineRule="atLeast" w:line="180" w:before="129" w:after="283"/>
                              <w:jc w:val="left"/>
                              <w:rPr>
                                <w:b/>
                              </w:rPr>
                            </w:pPr>
                            <w:r>
                              <w:rPr>
                                <w:b/>
                                <w:spacing w:val="0"/>
                              </w:rPr>
                              <w:t>J.W. Childs Associates, Limited Partnership</w:t>
                            </w:r>
                            <w:r>
                              <w:rPr>
                                <w:b w:val="false"/>
                                <w:spacing w:val="-1"/>
                              </w:rPr>
                              <w:t>, a private equity firm</w:t>
                            </w:r>
                            <w:r>
                              <w:rPr>
                                <w:b/>
                              </w:rPr>
                              <w:t xml:space="preserve"> </w:t>
                            </w:r>
                          </w:p>
                          <w:p>
                            <w:pPr>
                              <w:pStyle w:val="TableContents"/>
                              <w:bidi w:val="0"/>
                              <w:spacing w:lineRule="atLeast" w:line="180" w:before="69" w:after="0"/>
                              <w:ind w:left="680" w:right="0" w:hanging="0"/>
                              <w:jc w:val="left"/>
                              <w:rPr/>
                            </w:pPr>
                            <w:r>
                              <w:rPr>
                                <w:spacing w:val="-1"/>
                              </w:rPr>
                              <w:t>Analyst (1995 to 1998)</w:t>
                            </w:r>
                            <w:r>
                              <w:rPr/>
                              <w:t xml:space="preserve"> </w:t>
                            </w:r>
                          </w:p>
                          <w:p>
                            <w:pPr>
                              <w:pStyle w:val="TableContents"/>
                              <w:bidi w:val="0"/>
                              <w:spacing w:before="0" w:after="0"/>
                              <w:ind w:left="0" w:right="0" w:hanging="0"/>
                              <w:jc w:val="left"/>
                              <w:rPr/>
                            </w:pPr>
                            <w:r>
                              <w:rPr/>
                              <w:t>​</w:t>
                            </w:r>
                          </w:p>
                          <w:p>
                            <w:pPr>
                              <w:pStyle w:val="TableContents"/>
                              <w:bidi w:val="0"/>
                              <w:spacing w:lineRule="atLeast" w:line="180" w:before="129" w:after="283"/>
                              <w:jc w:val="left"/>
                              <w:rPr>
                                <w:b/>
                              </w:rPr>
                            </w:pPr>
                            <w:r>
                              <w:rPr>
                                <w:b/>
                                <w:spacing w:val="0"/>
                              </w:rPr>
                              <w:t>Credit Suisse</w:t>
                            </w:r>
                            <w:r>
                              <w:rPr>
                                <w:b w:val="false"/>
                                <w:spacing w:val="-1"/>
                              </w:rPr>
                              <w:t>, an investment bank and financial services firm (acquired by UBS in 2023)</w:t>
                            </w:r>
                            <w:r>
                              <w:rPr>
                                <w:b/>
                              </w:rPr>
                              <w:t xml:space="preserve"> </w:t>
                            </w:r>
                          </w:p>
                          <w:p>
                            <w:pPr>
                              <w:pStyle w:val="TableContents"/>
                              <w:bidi w:val="0"/>
                              <w:spacing w:lineRule="atLeast" w:line="180" w:before="69" w:after="0"/>
                              <w:ind w:left="680" w:right="0" w:hanging="0"/>
                              <w:jc w:val="left"/>
                              <w:rPr/>
                            </w:pPr>
                            <w:r>
                              <w:rPr>
                                <w:spacing w:val="-1"/>
                              </w:rPr>
                              <w:t>Member of the Leveraged Finance Group (1994 to 1995)</w:t>
                            </w:r>
                            <w:r>
                              <w:rPr/>
                              <w:t xml:space="preserve"> </w:t>
                            </w:r>
                          </w:p>
                          <w:p>
                            <w:pPr>
                              <w:pStyle w:val="TableContents"/>
                              <w:bidi w:val="0"/>
                              <w:spacing w:before="0" w:after="0"/>
                              <w:ind w:left="0" w:right="0" w:hanging="0"/>
                              <w:jc w:val="left"/>
                              <w:rPr/>
                            </w:pPr>
                            <w:r>
                              <w:rPr/>
                              <w:t>​</w:t>
                            </w:r>
                          </w:p>
                          <w:p>
                            <w:pPr>
                              <w:pStyle w:val="TableContents"/>
                              <w:bidi w:val="0"/>
                              <w:spacing w:lineRule="atLeast" w:line="200" w:before="127" w:after="283"/>
                              <w:jc w:val="left"/>
                              <w:rPr>
                                <w:b/>
                                <w:color w:val="3E8DDD"/>
                                <w:sz w:val="20"/>
                              </w:rPr>
                            </w:pPr>
                            <w:r>
                              <w:rPr>
                                <w:b/>
                                <w:color w:val="3E8DDD"/>
                                <w:spacing w:val="0"/>
                                <w:sz w:val="20"/>
                              </w:rPr>
                              <w:t>Other Boards</w:t>
                            </w:r>
                            <w:r>
                              <w:rPr>
                                <w:b/>
                                <w:color w:val="3E8DDD"/>
                                <w:sz w:val="20"/>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32" w:type="dxa"/>
                            <w:tcBorders/>
                            <w:vAlign w:val="center"/>
                          </w:tcPr>
                          <w:p>
                            <w:pPr>
                              <w:pStyle w:val="TableContents"/>
                              <w:bidi w:val="0"/>
                              <w:spacing w:lineRule="atLeast" w:line="225" w:before="0" w:after="0"/>
                              <w:ind w:left="680" w:right="0" w:hanging="0"/>
                              <w:jc w:val="left"/>
                              <w:rPr/>
                            </w:pPr>
                            <w:r>
                              <w:rPr>
                                <w:b/>
                                <w:spacing w:val="0"/>
                              </w:rPr>
                              <w:t>Vantive Health LLC</w:t>
                            </w:r>
                            <w:r>
                              <w:rPr>
                                <w:spacing w:val="-1"/>
                              </w:rPr>
                              <w:t>, a vital organ therapy company (since 2025)</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Launch Therapeutics, Inc.</w:t>
                            </w:r>
                            <w:r>
                              <w:rPr>
                                <w:spacing w:val="-1"/>
                              </w:rPr>
                              <w:t>, a late-stage clinical development company (since 2022)</w:t>
                            </w:r>
                            <w:r>
                              <w:rPr/>
                              <w:t xml:space="preserve"> </w:t>
                            </w:r>
                          </w:p>
                          <w:p>
                            <w:pPr>
                              <w:pStyle w:val="TableContents"/>
                              <w:bidi w:val="0"/>
                              <w:spacing w:before="0" w:after="0"/>
                              <w:ind w:left="0" w:right="0" w:hanging="0"/>
                              <w:jc w:val="left"/>
                              <w:rPr/>
                            </w:pPr>
                            <w:r>
                              <w:rPr/>
                              <w:t>​</w:t>
                            </w:r>
                          </w:p>
                          <w:p>
                            <w:pPr>
                              <w:pStyle w:val="TableContents"/>
                              <w:bidi w:val="0"/>
                              <w:spacing w:lineRule="atLeast" w:line="180" w:before="70" w:after="0"/>
                              <w:ind w:left="680" w:right="0" w:hanging="0"/>
                              <w:jc w:val="left"/>
                              <w:rPr/>
                            </w:pPr>
                            <w:r>
                              <w:rPr>
                                <w:b/>
                                <w:spacing w:val="0"/>
                              </w:rPr>
                              <w:t>QuidelOrtho</w:t>
                            </w:r>
                            <w:r>
                              <w:rPr>
                                <w:spacing w:val="-1"/>
                              </w:rPr>
                              <w:t xml:space="preserve"> (2022 to 2023)</w:t>
                            </w:r>
                            <w:r>
                              <w:rPr/>
                              <w:t xml:space="preserve"> </w:t>
                            </w:r>
                          </w:p>
                          <w:p>
                            <w:pPr>
                              <w:pStyle w:val="TableContents"/>
                              <w:bidi w:val="0"/>
                              <w:spacing w:before="0" w:after="0"/>
                              <w:ind w:left="0" w:right="0" w:hanging="0"/>
                              <w:jc w:val="left"/>
                              <w:rPr/>
                            </w:pPr>
                            <w:r>
                              <w:rPr/>
                              <w:t>​</w:t>
                            </w:r>
                          </w:p>
                          <w:p>
                            <w:pPr>
                              <w:pStyle w:val="TableContents"/>
                              <w:bidi w:val="0"/>
                              <w:spacing w:lineRule="atLeast" w:line="225" w:before="61" w:after="0"/>
                              <w:ind w:left="680" w:right="0" w:hanging="0"/>
                              <w:jc w:val="left"/>
                              <w:rPr/>
                            </w:pPr>
                            <w:r>
                              <w:rPr>
                                <w:b/>
                                <w:spacing w:val="0"/>
                              </w:rPr>
                              <w:t>Ortho Clinical Diagnostics Holdings plc</w:t>
                            </w:r>
                            <w:r>
                              <w:rPr>
                                <w:spacing w:val="-1"/>
                              </w:rPr>
                              <w:t>, a medical diagnostics company acquired by QuidelOrtho in 2022 (2021 to 2022)</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76" w:type="dxa"/>
                            <w:tcBorders/>
                            <w:vAlign w:val="center"/>
                          </w:tcPr>
                          <w:p>
                            <w:pPr>
                              <w:pStyle w:val="TableContents"/>
                              <w:bidi w:val="0"/>
                              <w:spacing w:lineRule="atLeast" w:line="225" w:before="0" w:after="0"/>
                              <w:ind w:left="320" w:right="0" w:hanging="0"/>
                              <w:jc w:val="left"/>
                              <w:rPr/>
                            </w:pPr>
                            <w:r>
                              <w:rPr>
                                <w:b/>
                                <w:spacing w:val="0"/>
                              </w:rPr>
                              <w:t>Resonetics, LLC</w:t>
                            </w:r>
                            <w:r>
                              <w:rPr>
                                <w:spacing w:val="-1"/>
                              </w:rPr>
                              <w:t>, a micro-manufacturing technology services provider for medical device and diagnostic companies (since 2021)</w:t>
                            </w:r>
                            <w:r>
                              <w:rPr/>
                              <w:t xml:space="preserve"> </w:t>
                            </w:r>
                          </w:p>
                          <w:p>
                            <w:pPr>
                              <w:pStyle w:val="TableContents"/>
                              <w:bidi w:val="0"/>
                              <w:spacing w:before="0" w:after="0"/>
                              <w:ind w:left="0" w:right="0" w:hanging="0"/>
                              <w:jc w:val="left"/>
                              <w:rPr/>
                            </w:pPr>
                            <w:r>
                              <w:rPr/>
                              <w:t>​</w:t>
                            </w:r>
                          </w:p>
                          <w:p>
                            <w:pPr>
                              <w:pStyle w:val="TableContents"/>
                              <w:bidi w:val="0"/>
                              <w:spacing w:lineRule="atLeast" w:line="225" w:before="60" w:after="0"/>
                              <w:ind w:left="320" w:right="0" w:hanging="0"/>
                              <w:jc w:val="left"/>
                              <w:rPr/>
                            </w:pPr>
                            <w:r>
                              <w:rPr>
                                <w:b/>
                                <w:spacing w:val="0"/>
                              </w:rPr>
                              <w:t>Sedgwick Inc.</w:t>
                            </w:r>
                            <w:r>
                              <w:rPr>
                                <w:spacing w:val="-1"/>
                              </w:rPr>
                              <w:t>, a multiline claims management firm (since 2018)</w:t>
                            </w:r>
                            <w:r>
                              <w:rPr/>
                              <w:t xml:space="preserve"> </w: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43815" distB="0" distL="228600" distR="0" simplePos="0" locked="0" layoutInCell="1" allowOverlap="1" relativeHeight="267">
                <wp:simplePos x="0" y="0"/>
                <wp:positionH relativeFrom="column">
                  <wp:align>left</wp:align>
                </wp:positionH>
                <wp:positionV relativeFrom="line">
                  <wp:align>top</wp:align>
                </wp:positionV>
                <wp:extent cx="203200" cy="350520"/>
                <wp:effectExtent l="0" t="0" r="0" b="0"/>
                <wp:wrapSquare wrapText="right"/>
                <wp:docPr id="222" name="Frame10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45pt;mso-wrap-distance-bottom:0pt;margin-top:3.4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3815" distB="0" distL="228600" distR="0" simplePos="0" locked="0" layoutInCell="1" allowOverlap="1" relativeHeight="268">
                <wp:simplePos x="0" y="0"/>
                <wp:positionH relativeFrom="column">
                  <wp:align>left</wp:align>
                </wp:positionH>
                <wp:positionV relativeFrom="line">
                  <wp:align>top</wp:align>
                </wp:positionV>
                <wp:extent cx="203200" cy="350520"/>
                <wp:effectExtent l="0" t="0" r="0" b="0"/>
                <wp:wrapSquare wrapText="right"/>
                <wp:docPr id="223" name="Frame11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45pt;mso-wrap-distance-bottom:0pt;margin-top:3.4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3815" distB="0" distL="228600" distR="0" simplePos="0" locked="0" layoutInCell="1" allowOverlap="1" relativeHeight="269">
                <wp:simplePos x="0" y="0"/>
                <wp:positionH relativeFrom="column">
                  <wp:align>left</wp:align>
                </wp:positionH>
                <wp:positionV relativeFrom="line">
                  <wp:align>top</wp:align>
                </wp:positionV>
                <wp:extent cx="203200" cy="350520"/>
                <wp:effectExtent l="0" t="0" r="0" b="0"/>
                <wp:wrapSquare wrapText="right"/>
                <wp:docPr id="224" name="Frame11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45pt;mso-wrap-distance-bottom:0pt;margin-top:3.4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3815" distB="0" distL="228600" distR="0" simplePos="0" locked="0" layoutInCell="1" allowOverlap="1" relativeHeight="270">
                <wp:simplePos x="0" y="0"/>
                <wp:positionH relativeFrom="column">
                  <wp:align>left</wp:align>
                </wp:positionH>
                <wp:positionV relativeFrom="line">
                  <wp:align>top</wp:align>
                </wp:positionV>
                <wp:extent cx="203200" cy="350520"/>
                <wp:effectExtent l="0" t="0" r="0" b="0"/>
                <wp:wrapSquare wrapText="right"/>
                <wp:docPr id="225" name="Frame11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45pt;mso-wrap-distance-bottom:0pt;margin-top:3.4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3815" distB="0" distL="228600" distR="0" simplePos="0" locked="0" layoutInCell="1" allowOverlap="1" relativeHeight="271">
                <wp:simplePos x="0" y="0"/>
                <wp:positionH relativeFrom="column">
                  <wp:align>left</wp:align>
                </wp:positionH>
                <wp:positionV relativeFrom="line">
                  <wp:align>top</wp:align>
                </wp:positionV>
                <wp:extent cx="203200" cy="350520"/>
                <wp:effectExtent l="0" t="0" r="0" b="0"/>
                <wp:wrapSquare wrapText="right"/>
                <wp:docPr id="226" name="Frame11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45pt;mso-wrap-distance-bottom:0pt;margin-top:3.4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28600" distR="0" simplePos="0" locked="0" layoutInCell="1" allowOverlap="1" relativeHeight="272">
                <wp:simplePos x="0" y="0"/>
                <wp:positionH relativeFrom="column">
                  <wp:align>left</wp:align>
                </wp:positionH>
                <wp:positionV relativeFrom="line">
                  <wp:posOffset>635</wp:posOffset>
                </wp:positionV>
                <wp:extent cx="203200" cy="350520"/>
                <wp:effectExtent l="0" t="0" r="0" b="0"/>
                <wp:wrapSquare wrapText="right"/>
                <wp:docPr id="227" name="Frame11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38735" distB="0" distL="228600" distR="0" simplePos="0" locked="0" layoutInCell="1" allowOverlap="1" relativeHeight="273">
                <wp:simplePos x="0" y="0"/>
                <wp:positionH relativeFrom="column">
                  <wp:align>left</wp:align>
                </wp:positionH>
                <wp:positionV relativeFrom="line">
                  <wp:align>top</wp:align>
                </wp:positionV>
                <wp:extent cx="203200" cy="350520"/>
                <wp:effectExtent l="0" t="0" r="0" b="0"/>
                <wp:wrapSquare wrapText="right"/>
                <wp:docPr id="228" name="Frame11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05pt;mso-wrap-distance-bottom:0pt;margin-top:3.0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4450" distB="0" distL="228600" distR="0" simplePos="0" locked="0" layoutInCell="1" allowOverlap="1" relativeHeight="274">
                <wp:simplePos x="0" y="0"/>
                <wp:positionH relativeFrom="column">
                  <wp:align>left</wp:align>
                </wp:positionH>
                <wp:positionV relativeFrom="line">
                  <wp:align>top</wp:align>
                </wp:positionV>
                <wp:extent cx="203200" cy="350520"/>
                <wp:effectExtent l="0" t="0" r="0" b="0"/>
                <wp:wrapSquare wrapText="right"/>
                <wp:docPr id="229" name="Frame11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5pt;mso-wrap-distance-bottom:0pt;margin-top:3.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38735" distB="0" distL="228600" distR="0" simplePos="0" locked="0" layoutInCell="1" allowOverlap="1" relativeHeight="275">
                <wp:simplePos x="0" y="0"/>
                <wp:positionH relativeFrom="column">
                  <wp:align>left</wp:align>
                </wp:positionH>
                <wp:positionV relativeFrom="line">
                  <wp:align>top</wp:align>
                </wp:positionV>
                <wp:extent cx="203200" cy="350520"/>
                <wp:effectExtent l="0" t="0" r="0" b="0"/>
                <wp:wrapSquare wrapText="right"/>
                <wp:docPr id="230" name="Frame11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18pt;mso-wrap-distance-right:0pt;mso-wrap-distance-top:3.05pt;mso-wrap-distance-bottom:0pt;margin-top:3.05pt;mso-position-vertical:top;mso-position-vertical-relative:text;margin-left:18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203200" cy="350520"/>
                <wp:effectExtent l="0" t="0" r="0" b="0"/>
                <wp:wrapSquare wrapText="right"/>
                <wp:docPr id="231" name="Frame11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277">
                <wp:simplePos x="0" y="0"/>
                <wp:positionH relativeFrom="column">
                  <wp:align>left</wp:align>
                </wp:positionH>
                <wp:positionV relativeFrom="line">
                  <wp:align>top</wp:align>
                </wp:positionV>
                <wp:extent cx="203200" cy="350520"/>
                <wp:effectExtent l="0" t="0" r="0" b="0"/>
                <wp:wrapSquare wrapText="right"/>
                <wp:docPr id="232" name="Frame11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18</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BDQ"/>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382"/>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B</w:t>
      </w:r>
      <w:r>
        <w:rPr>
          <w:rFonts w:ascii="Arial;Helvetica;sans-serif" w:hAnsi="Arial;Helvetica;sans-serif"/>
          <w:b/>
          <w:i w:val="false"/>
          <w:caps w:val="false"/>
          <w:smallCaps w:val="false"/>
          <w:color w:val="003CA6"/>
          <w:spacing w:val="-4"/>
          <w:sz w:val="28"/>
        </w:rPr>
        <w:t xml:space="preserve">OARD </w:t>
      </w:r>
      <w:r>
        <w:rPr>
          <w:rFonts w:ascii="Arial;Helvetica;sans-serif" w:hAnsi="Arial;Helvetica;sans-serif"/>
          <w:b/>
          <w:i w:val="false"/>
          <w:caps w:val="false"/>
          <w:smallCaps w:val="false"/>
          <w:color w:val="003CA6"/>
          <w:spacing w:val="-4"/>
          <w:sz w:val="28"/>
        </w:rPr>
        <w:t>Q</w:t>
      </w:r>
      <w:r>
        <w:rPr>
          <w:rFonts w:ascii="Arial;Helvetica;sans-serif" w:hAnsi="Arial;Helvetica;sans-serif"/>
          <w:b/>
          <w:i w:val="false"/>
          <w:caps w:val="false"/>
          <w:smallCaps w:val="false"/>
          <w:color w:val="003CA6"/>
          <w:spacing w:val="-4"/>
          <w:sz w:val="28"/>
        </w:rPr>
        <w:t>UALIFICATIONS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Board Membership Criteria</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well-composed Board is central to effective oversight and the execution of the Company’s long-term strategy. The Governance Committee, together with the Board, focuses on maintaining a Board that is majority independent and collectively brings sound judgment, integrity, relevant experience, and an appropriate mix of skills and qualifications to represent the interests of our stockholders and support the Company’s long-term success. In identifying and recommending directors for election, the Governance Committee and the Board consider a range of factors they view as essential for Board strength and effectiveness, including the criteria described below.</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1429"/>
        <w:gridCol w:w="109"/>
        <w:gridCol w:w="109"/>
        <w:gridCol w:w="7559"/>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429" w:type="dxa"/>
            <w:tcBorders>
              <w:bottom w:val="single" w:sz="6" w:space="0" w:color="000000"/>
            </w:tcBorders>
            <w:vAlign w:val="center"/>
          </w:tcPr>
          <w:p>
            <w:pPr>
              <w:pStyle w:val="TableContents"/>
              <w:bidi w:val="0"/>
              <w:spacing w:before="0" w:after="0"/>
              <w:jc w:val="left"/>
              <w:rPr>
                <w:b/>
                <w:color w:val="3E8DDD"/>
                <w:sz w:val="20"/>
              </w:rPr>
            </w:pPr>
            <w:r>
              <w:rPr>
                <w:b/>
                <w:color w:val="3E8DDD"/>
                <w:spacing w:val="0"/>
                <w:sz w:val="20"/>
              </w:rPr>
              <w:t>Skills and Experience</w:t>
            </w:r>
            <w:r>
              <w:rPr>
                <w:b/>
                <w:color w:val="000000"/>
                <w:sz w:val="20"/>
              </w:rPr>
              <w:t>​</w:t>
            </w:r>
            <w:r>
              <w:rPr>
                <w:b/>
                <w:color w:val="3E8DDD"/>
                <w:sz w:val="20"/>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559" w:type="dxa"/>
            <w:tcBorders>
              <w:bottom w:val="single" w:sz="6" w:space="0" w:color="000000"/>
            </w:tcBorders>
            <w:vAlign w:val="center"/>
          </w:tcPr>
          <w:p>
            <w:pPr>
              <w:pStyle w:val="TableContents"/>
              <w:bidi w:val="0"/>
              <w:spacing w:lineRule="atLeast" w:line="225" w:before="0" w:after="0"/>
              <w:jc w:val="left"/>
              <w:rPr>
                <w:spacing w:val="-1"/>
              </w:rPr>
            </w:pPr>
            <w:r>
              <w:rPr>
                <w:spacing w:val="-1"/>
              </w:rPr>
              <w:t xml:space="preserve">The Board seeks directors with the ability to contribute meaningfully to Board oversight, meet the Board’s needs as a whole, and best perpetuate Medline’s success. The Board considers, among other things, nominees’ understanding of our business and industry, as well as their judgment, professional experience, expertise, and educational backgrounds to collectively strengthen the Board’s capability and support the Company’s sustained growth and performance.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29" w:type="dxa"/>
            <w:tcBorders>
              <w:bottom w:val="single" w:sz="6" w:space="0" w:color="000000"/>
            </w:tcBorders>
            <w:vAlign w:val="center"/>
          </w:tcPr>
          <w:p>
            <w:pPr>
              <w:pStyle w:val="TableContents"/>
              <w:bidi w:val="0"/>
              <w:spacing w:before="0" w:after="0"/>
              <w:jc w:val="left"/>
              <w:rPr>
                <w:b/>
                <w:color w:val="3E8DDD"/>
                <w:sz w:val="20"/>
              </w:rPr>
            </w:pPr>
            <w:r>
              <w:rPr>
                <w:b/>
                <w:color w:val="3E8DDD"/>
                <w:spacing w:val="0"/>
                <w:sz w:val="20"/>
              </w:rPr>
              <w:t>Mix of Views and Expertise</w:t>
            </w:r>
            <w:r>
              <w:rPr>
                <w:b/>
                <w:color w:val="000000"/>
                <w:sz w:val="20"/>
              </w:rPr>
              <w:t>​</w:t>
            </w:r>
            <w:r>
              <w:rPr>
                <w:b/>
                <w:color w:val="3E8DDD"/>
                <w:sz w:val="20"/>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559" w:type="dxa"/>
            <w:tcBorders>
              <w:bottom w:val="single" w:sz="6" w:space="0" w:color="000000"/>
            </w:tcBorders>
            <w:vAlign w:val="center"/>
          </w:tcPr>
          <w:p>
            <w:pPr>
              <w:pStyle w:val="TableContents"/>
              <w:bidi w:val="0"/>
              <w:spacing w:lineRule="atLeast" w:line="225" w:before="0" w:after="0"/>
              <w:jc w:val="left"/>
              <w:rPr>
                <w:spacing w:val="-1"/>
              </w:rPr>
            </w:pPr>
            <w:r>
              <w:rPr>
                <w:spacing w:val="-1"/>
              </w:rPr>
              <w:t xml:space="preserve">The Board considers factors that promote a diversity of viewpoints and expertise. Director nominees are evaluated in the context of the Board as a whole, with the objective of recommending a slate of directors whose combined perspectives support thoughtful deliberation and effective decision-making of the Board.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29" w:type="dxa"/>
            <w:tcBorders>
              <w:bottom w:val="single" w:sz="6" w:space="0" w:color="000000"/>
            </w:tcBorders>
            <w:vAlign w:val="center"/>
          </w:tcPr>
          <w:p>
            <w:pPr>
              <w:pStyle w:val="TableContents"/>
              <w:bidi w:val="0"/>
              <w:spacing w:before="0" w:after="0"/>
              <w:jc w:val="left"/>
              <w:rPr>
                <w:b/>
                <w:color w:val="3E8DDD"/>
                <w:sz w:val="20"/>
              </w:rPr>
            </w:pPr>
            <w:r>
              <w:rPr>
                <w:b/>
                <w:color w:val="3E8DDD"/>
                <w:spacing w:val="0"/>
                <w:sz w:val="20"/>
              </w:rPr>
              <w:t>Commitment</w:t>
            </w:r>
            <w:r>
              <w:rPr>
                <w:b/>
                <w:color w:val="000000"/>
                <w:sz w:val="20"/>
              </w:rPr>
              <w:t>​</w:t>
            </w:r>
            <w:r>
              <w:rPr>
                <w:b/>
                <w:color w:val="3E8DDD"/>
                <w:sz w:val="20"/>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559" w:type="dxa"/>
            <w:tcBorders>
              <w:bottom w:val="single" w:sz="6" w:space="0" w:color="000000"/>
            </w:tcBorders>
            <w:vAlign w:val="center"/>
          </w:tcPr>
          <w:p>
            <w:pPr>
              <w:pStyle w:val="TableContents"/>
              <w:bidi w:val="0"/>
              <w:spacing w:lineRule="atLeast" w:line="225" w:before="0" w:after="0"/>
              <w:jc w:val="left"/>
              <w:rPr>
                <w:spacing w:val="-1"/>
              </w:rPr>
            </w:pPr>
            <w:r>
              <w:rPr>
                <w:spacing w:val="-1"/>
              </w:rPr>
              <w:t xml:space="preserve">The Board considers whether director nominees have sufficient time and capacity to fulfill their Board and Committee responsibilities in light of the individual’s other commitments. The Board also applies guidelines regarding other board service, including limitations designed to ensure that directors’ outside commitments do not interfere with their service to the Company.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29" w:type="dxa"/>
            <w:tcBorders>
              <w:bottom w:val="single" w:sz="6" w:space="0" w:color="000000"/>
            </w:tcBorders>
            <w:vAlign w:val="center"/>
          </w:tcPr>
          <w:p>
            <w:pPr>
              <w:pStyle w:val="TableContents"/>
              <w:bidi w:val="0"/>
              <w:spacing w:before="0" w:after="0"/>
              <w:jc w:val="left"/>
              <w:rPr>
                <w:b/>
                <w:color w:val="3E8DDD"/>
                <w:sz w:val="20"/>
              </w:rPr>
            </w:pPr>
            <w:r>
              <w:rPr>
                <w:b/>
                <w:color w:val="3E8DDD"/>
                <w:spacing w:val="0"/>
                <w:sz w:val="20"/>
              </w:rPr>
              <w:t>Independence</w:t>
            </w:r>
            <w:r>
              <w:rPr>
                <w:b/>
                <w:color w:val="000000"/>
                <w:sz w:val="20"/>
              </w:rPr>
              <w:t>​</w:t>
            </w:r>
            <w:r>
              <w:rPr>
                <w:b/>
                <w:color w:val="3E8DDD"/>
                <w:sz w:val="20"/>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559" w:type="dxa"/>
            <w:tcBorders>
              <w:bottom w:val="single" w:sz="6" w:space="0" w:color="000000"/>
            </w:tcBorders>
            <w:vAlign w:val="center"/>
          </w:tcPr>
          <w:p>
            <w:pPr>
              <w:pStyle w:val="TableContents"/>
              <w:bidi w:val="0"/>
              <w:spacing w:lineRule="atLeast" w:line="225" w:before="0" w:after="0"/>
              <w:jc w:val="left"/>
              <w:rPr/>
            </w:pPr>
            <w:r>
              <w:rPr>
                <w:spacing w:val="-1"/>
              </w:rPr>
              <w:t>The Board considers whether a nominee meets various applicable independence requirements. Directors are expected to comply with the Company’s Code of Conduct and Ethics and Conflicts of Interest Policy, including with respect to service on other boards or committees.</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29" w:type="dxa"/>
            <w:tcBorders>
              <w:bottom w:val="single" w:sz="6" w:space="0" w:color="000000"/>
            </w:tcBorders>
            <w:tcMar>
              <w:bottom w:w="76" w:type="dxa"/>
            </w:tcMar>
            <w:vAlign w:val="center"/>
          </w:tcPr>
          <w:p>
            <w:pPr>
              <w:pStyle w:val="TableContents"/>
              <w:bidi w:val="0"/>
              <w:spacing w:before="0" w:after="0"/>
              <w:jc w:val="left"/>
              <w:rPr>
                <w:b/>
                <w:color w:val="3E8DDD"/>
                <w:sz w:val="20"/>
              </w:rPr>
            </w:pPr>
            <w:r>
              <w:rPr>
                <w:b/>
                <w:color w:val="3E8DDD"/>
                <w:spacing w:val="0"/>
                <w:sz w:val="20"/>
              </w:rPr>
              <w:t>Tenure and Refreshment</w:t>
            </w:r>
            <w:r>
              <w:rPr>
                <w:b/>
                <w:color w:val="3E8DDD"/>
                <w:sz w:val="20"/>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559" w:type="dxa"/>
            <w:tcBorders>
              <w:bottom w:val="single" w:sz="6" w:space="0" w:color="000000"/>
            </w:tcBorders>
            <w:tcMar>
              <w:bottom w:w="76" w:type="dxa"/>
            </w:tcMar>
            <w:vAlign w:val="center"/>
          </w:tcPr>
          <w:p>
            <w:pPr>
              <w:pStyle w:val="TableContents"/>
              <w:bidi w:val="0"/>
              <w:spacing w:lineRule="atLeast" w:line="225" w:before="0" w:after="0"/>
              <w:jc w:val="left"/>
              <w:rPr/>
            </w:pPr>
            <w:r>
              <w:rPr>
                <w:spacing w:val="-1"/>
              </w:rPr>
              <w:t>The Governance Committee and the Board consider the mix of experience on the Board that balances continuity and a strong understanding of our business and strategy with new perspectives and expertise that challenge us and drive our continual growth.</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80" w:before="350" w:after="28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Director Independence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Corporate Governance Guidelines require that a majority of our directors meet the Nasdaq independence requirements. No director qualifies as independent unless the Board affirmatively determines, after reviewing all relevant information, that the director has no direct or indirect material relationship with Medline that would interfere with their exercise of independent judgment in carrying out their responsibilities as a director. The Board has determined that, under Nasdaq rules, the following director nominees are independent:</w:t>
      </w:r>
      <w:r>
        <w:rPr>
          <w:rFonts w:ascii="Arial;Helvetica;sans-serif" w:hAnsi="Arial;Helvetica;sans-serif"/>
          <w:b w:val="false"/>
          <w:i w:val="false"/>
          <w:caps w:val="false"/>
          <w:smallCaps w:val="false"/>
          <w:color w:val="000000"/>
          <w:spacing w:val="4"/>
          <w:sz w:val="18"/>
        </w:rPr>
        <w:t xml:space="preserve"> </w:t>
      </w:r>
    </w:p>
    <w:tbl>
      <w:tblPr>
        <w:tblW w:w="7238" w:type="dxa"/>
        <w:jc w:val="left"/>
        <w:tblInd w:w="720" w:type="dxa"/>
        <w:tblLayout w:type="fixed"/>
        <w:tblCellMar>
          <w:top w:w="0" w:type="dxa"/>
          <w:left w:w="0" w:type="dxa"/>
          <w:bottom w:w="0" w:type="dxa"/>
          <w:right w:w="0" w:type="dxa"/>
        </w:tblCellMar>
      </w:tblPr>
      <w:tblGrid>
        <w:gridCol w:w="124"/>
        <w:gridCol w:w="5006"/>
        <w:gridCol w:w="109"/>
        <w:gridCol w:w="109"/>
        <w:gridCol w:w="109"/>
        <w:gridCol w:w="1627"/>
        <w:gridCol w:w="154"/>
      </w:tblGrid>
      <w:tr>
        <w:trPr/>
        <w:tc>
          <w:tcPr>
            <w:tcW w:w="124" w:type="dxa"/>
            <w:tcBorders/>
            <w:vAlign w:val="center"/>
          </w:tcPr>
          <w:p>
            <w:pPr>
              <w:pStyle w:val="TableContents"/>
              <w:bidi w:val="0"/>
              <w:spacing w:before="0" w:after="283"/>
              <w:jc w:val="left"/>
              <w:rPr/>
            </w:pPr>
            <w:r>
              <w:rPr/>
              <w:t>​</w:t>
            </w:r>
          </w:p>
        </w:tc>
        <w:tc>
          <w:tcPr>
            <w:tcW w:w="5006"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86100" cy="1562100"/>
                  <wp:effectExtent l="0" t="0" r="0" b="0"/>
                  <wp:docPr id="23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98" descr=""/>
                          <pic:cNvPicPr>
                            <a:picLocks noChangeAspect="1" noChangeArrowheads="1"/>
                          </pic:cNvPicPr>
                        </pic:nvPicPr>
                        <pic:blipFill>
                          <a:blip r:embed="rId115"/>
                          <a:stretch>
                            <a:fillRect/>
                          </a:stretch>
                        </pic:blipFill>
                        <pic:spPr bwMode="auto">
                          <a:xfrm>
                            <a:off x="0" y="0"/>
                            <a:ext cx="3086100" cy="1562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7" w:type="dxa"/>
            <w:tcBorders/>
            <w:vAlign w:val="center"/>
          </w:tcPr>
          <w:p>
            <w:pPr>
              <w:pStyle w:val="TableContents"/>
              <w:bidi w:val="0"/>
              <w:spacing w:lineRule="atLeast" w:line="180" w:before="0" w:after="0"/>
              <w:ind w:left="180" w:right="0" w:hanging="0"/>
              <w:jc w:val="left"/>
              <w:rPr>
                <w:spacing w:val="-1"/>
              </w:rPr>
            </w:pPr>
            <w:r>
              <w:rPr>
                <w:spacing w:val="-1"/>
              </w:rPr>
              <w:t xml:space="preserve">Mr. Baratta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114300" cy="350520"/>
                      <wp:effectExtent l="0" t="0" r="0" b="0"/>
                      <wp:wrapSquare wrapText="right"/>
                      <wp:docPr id="234" name="Frame12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5" w:after="0"/>
              <w:ind w:left="180" w:right="0" w:hanging="0"/>
              <w:jc w:val="left"/>
              <w:rPr>
                <w:spacing w:val="-1"/>
              </w:rPr>
            </w:pPr>
            <w:r>
              <w:rPr>
                <w:spacing w:val="-1"/>
              </w:rPr>
              <w:t xml:space="preserve">Mr. Best </w:t>
            </w:r>
            <w:r>
              <mc:AlternateContent>
                <mc:Choice Requires="wps">
                  <w:drawing>
                    <wp:anchor behindDoc="0" distT="79375" distB="0" distL="0" distR="0" simplePos="0" locked="0" layoutInCell="1" allowOverlap="1" relativeHeight="279">
                      <wp:simplePos x="0" y="0"/>
                      <wp:positionH relativeFrom="column">
                        <wp:align>left</wp:align>
                      </wp:positionH>
                      <wp:positionV relativeFrom="line">
                        <wp:align>top</wp:align>
                      </wp:positionV>
                      <wp:extent cx="114300" cy="350520"/>
                      <wp:effectExtent l="0" t="0" r="0" b="0"/>
                      <wp:wrapSquare wrapText="right"/>
                      <wp:docPr id="235" name="Frame12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25pt;mso-wrap-distance-bottom:0pt;margin-top:6.2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5" w:after="0"/>
              <w:ind w:left="180" w:right="0" w:hanging="0"/>
              <w:jc w:val="left"/>
              <w:rPr/>
            </w:pPr>
            <w:r>
              <w:rPr>
                <w:spacing w:val="-1"/>
              </w:rPr>
              <w:t>Mr. Bluedorn</w:t>
            </w:r>
            <w:r>
              <w:rPr/>
              <w:t xml:space="preserve"> </w:t>
            </w:r>
            <w:r>
              <mc:AlternateContent>
                <mc:Choice Requires="wps">
                  <w:drawing>
                    <wp:anchor behindDoc="0" distT="79375" distB="0" distL="0" distR="0" simplePos="0" locked="0" layoutInCell="1" allowOverlap="1" relativeHeight="280">
                      <wp:simplePos x="0" y="0"/>
                      <wp:positionH relativeFrom="column">
                        <wp:align>left</wp:align>
                      </wp:positionH>
                      <wp:positionV relativeFrom="line">
                        <wp:align>top</wp:align>
                      </wp:positionV>
                      <wp:extent cx="114300" cy="350520"/>
                      <wp:effectExtent l="0" t="0" r="0" b="0"/>
                      <wp:wrapSquare wrapText="right"/>
                      <wp:docPr id="236" name="Frame12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25pt;mso-wrap-distance-bottom:0pt;margin-top:6.2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5" w:after="0"/>
              <w:ind w:left="180" w:right="0" w:hanging="0"/>
              <w:jc w:val="left"/>
              <w:rPr>
                <w:spacing w:val="-1"/>
              </w:rPr>
            </w:pPr>
            <w:r>
              <w:rPr>
                <w:spacing w:val="-1"/>
              </w:rPr>
              <w:t xml:space="preserve">Mr. Galanti </w:t>
            </w:r>
            <w:r>
              <mc:AlternateContent>
                <mc:Choice Requires="wps">
                  <w:drawing>
                    <wp:anchor behindDoc="0" distT="79375" distB="0" distL="0" distR="0" simplePos="0" locked="0" layoutInCell="1" allowOverlap="1" relativeHeight="281">
                      <wp:simplePos x="0" y="0"/>
                      <wp:positionH relativeFrom="column">
                        <wp:align>left</wp:align>
                      </wp:positionH>
                      <wp:positionV relativeFrom="line">
                        <wp:align>top</wp:align>
                      </wp:positionV>
                      <wp:extent cx="114300" cy="350520"/>
                      <wp:effectExtent l="0" t="0" r="0" b="0"/>
                      <wp:wrapSquare wrapText="right"/>
                      <wp:docPr id="237" name="Frame12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25pt;mso-wrap-distance-bottom:0pt;margin-top:6.2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5" w:after="0"/>
              <w:ind w:left="180" w:right="0" w:hanging="0"/>
              <w:jc w:val="left"/>
              <w:rPr/>
            </w:pPr>
            <w:r>
              <w:rPr>
                <w:spacing w:val="-1"/>
              </w:rPr>
              <w:t>Mr. Healy</w:t>
            </w:r>
            <w:r>
              <w:rPr/>
              <w:t xml:space="preserve"> </w:t>
            </w:r>
            <w:r>
              <mc:AlternateContent>
                <mc:Choice Requires="wps">
                  <w:drawing>
                    <wp:anchor behindDoc="0" distT="79375" distB="0" distL="0" distR="0" simplePos="0" locked="0" layoutInCell="1" allowOverlap="1" relativeHeight="282">
                      <wp:simplePos x="0" y="0"/>
                      <wp:positionH relativeFrom="column">
                        <wp:align>left</wp:align>
                      </wp:positionH>
                      <wp:positionV relativeFrom="line">
                        <wp:align>top</wp:align>
                      </wp:positionV>
                      <wp:extent cx="114300" cy="350520"/>
                      <wp:effectExtent l="0" t="0" r="0" b="0"/>
                      <wp:wrapSquare wrapText="right"/>
                      <wp:docPr id="238" name="Frame12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25pt;mso-wrap-distance-bottom:0pt;margin-top:6.2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5" w:after="0"/>
              <w:ind w:left="180" w:right="0" w:hanging="0"/>
              <w:jc w:val="left"/>
              <w:rPr>
                <w:spacing w:val="-1"/>
              </w:rPr>
            </w:pPr>
            <w:r>
              <w:rPr>
                <w:spacing w:val="-1"/>
              </w:rPr>
              <w:t xml:space="preserve">Mr. Schmidt </w:t>
            </w:r>
            <w:r>
              <mc:AlternateContent>
                <mc:Choice Requires="wps">
                  <w:drawing>
                    <wp:anchor behindDoc="0" distT="79375" distB="0" distL="0" distR="0" simplePos="0" locked="0" layoutInCell="1" allowOverlap="1" relativeHeight="283">
                      <wp:simplePos x="0" y="0"/>
                      <wp:positionH relativeFrom="column">
                        <wp:align>left</wp:align>
                      </wp:positionH>
                      <wp:positionV relativeFrom="line">
                        <wp:align>top</wp:align>
                      </wp:positionV>
                      <wp:extent cx="114300" cy="350520"/>
                      <wp:effectExtent l="0" t="0" r="0" b="0"/>
                      <wp:wrapSquare wrapText="right"/>
                      <wp:docPr id="239" name="Frame12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25pt;mso-wrap-distance-bottom:0pt;margin-top:6.2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5" w:after="0"/>
              <w:ind w:left="180" w:right="0" w:hanging="0"/>
              <w:jc w:val="left"/>
              <w:rPr/>
            </w:pPr>
            <w:r>
              <w:rPr>
                <w:spacing w:val="-1"/>
              </w:rPr>
              <w:t>Ms. Sunder</w:t>
            </w:r>
            <w:r>
              <w:rPr/>
              <w:t xml:space="preserve"> </w:t>
            </w:r>
            <w:r>
              <mc:AlternateContent>
                <mc:Choice Requires="wps">
                  <w:drawing>
                    <wp:anchor behindDoc="0" distT="79375" distB="0" distL="0" distR="0" simplePos="0" locked="0" layoutInCell="1" allowOverlap="1" relativeHeight="284">
                      <wp:simplePos x="0" y="0"/>
                      <wp:positionH relativeFrom="column">
                        <wp:align>left</wp:align>
                      </wp:positionH>
                      <wp:positionV relativeFrom="line">
                        <wp:align>top</wp:align>
                      </wp:positionV>
                      <wp:extent cx="114300" cy="350520"/>
                      <wp:effectExtent l="0" t="0" r="0" b="0"/>
                      <wp:wrapSquare wrapText="right"/>
                      <wp:docPr id="240" name="Frame12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25pt;mso-wrap-distance-bottom:0pt;margin-top:6.2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5" w:after="0"/>
              <w:ind w:left="180" w:right="0" w:hanging="0"/>
              <w:jc w:val="left"/>
              <w:rPr>
                <w:spacing w:val="-1"/>
              </w:rPr>
            </w:pPr>
            <w:r>
              <w:rPr>
                <w:spacing w:val="-1"/>
              </w:rPr>
              <w:t xml:space="preserve">Mr. Sweet </w:t>
            </w:r>
            <w:r>
              <mc:AlternateContent>
                <mc:Choice Requires="wps">
                  <w:drawing>
                    <wp:anchor behindDoc="0" distT="79375" distB="0" distL="0" distR="0" simplePos="0" locked="0" layoutInCell="1" allowOverlap="1" relativeHeight="285">
                      <wp:simplePos x="0" y="0"/>
                      <wp:positionH relativeFrom="column">
                        <wp:align>left</wp:align>
                      </wp:positionH>
                      <wp:positionV relativeFrom="line">
                        <wp:align>top</wp:align>
                      </wp:positionV>
                      <wp:extent cx="114300" cy="350520"/>
                      <wp:effectExtent l="0" t="0" r="0" b="0"/>
                      <wp:wrapSquare wrapText="right"/>
                      <wp:docPr id="241" name="Frame12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25pt;mso-wrap-distance-bottom:0pt;margin-top:6.2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5" w:after="0"/>
              <w:ind w:left="180" w:right="0" w:hanging="0"/>
              <w:jc w:val="left"/>
              <w:rPr/>
            </w:pPr>
            <w:r>
              <w:rPr>
                <w:spacing w:val="-1"/>
              </w:rPr>
              <w:t>Mr. Wise</w:t>
            </w:r>
            <w:r>
              <w:rPr/>
              <w:t xml:space="preserve"> </w:t>
            </w:r>
            <w:r>
              <mc:AlternateContent>
                <mc:Choice Requires="wps">
                  <w:drawing>
                    <wp:anchor behindDoc="0" distT="79375" distB="0" distL="0" distR="0" simplePos="0" locked="0" layoutInCell="1" allowOverlap="1" relativeHeight="286">
                      <wp:simplePos x="0" y="0"/>
                      <wp:positionH relativeFrom="column">
                        <wp:align>left</wp:align>
                      </wp:positionH>
                      <wp:positionV relativeFrom="line">
                        <wp:align>top</wp:align>
                      </wp:positionV>
                      <wp:extent cx="114300" cy="350520"/>
                      <wp:effectExtent l="0" t="0" r="0" b="0"/>
                      <wp:wrapSquare wrapText="right"/>
                      <wp:docPr id="242" name="Frame12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25pt;mso-wrap-distance-bottom:0pt;margin-top:6.2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19</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UR</w:t>
      </w:r>
      <w:r>
        <w:rPr>
          <w:rFonts w:ascii="Arial;Helvetica;sans-serif" w:hAnsi="Arial;Helvetica;sans-serif"/>
          <w:b w:val="false"/>
          <w:i w:val="false"/>
          <w:caps w:val="false"/>
          <w:smallCaps w:val="false"/>
          <w:color w:val="C3C5C8"/>
          <w:spacing w:val="-1"/>
          <w:sz w:val="15"/>
        </w:rPr>
        <w:t xml:space="preserve"> B</w:t>
      </w:r>
      <w:r>
        <w:rPr>
          <w:rFonts w:ascii="Arial;Helvetica;sans-serif" w:hAnsi="Arial;Helvetica;sans-serif"/>
          <w:b w:val="false"/>
          <w:i w:val="false"/>
          <w:caps w:val="false"/>
          <w:smallCaps w:val="false"/>
          <w:color w:val="C3C5C8"/>
          <w:spacing w:val="-1"/>
          <w:sz w:val="15"/>
        </w:rPr>
        <w:t>OARD</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5340"/>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conducting its evaluations of Mr. Baratta and Ms. Sunder, the Board considered each individual’s relationship with Blackstone and its affiliates, which held approximately 14.2% of the total outstanding shares of our Class A and Class B common stock as of April 13, 2026. In conducting its evaluations of Mr. Schmidt and Mr. Wise, the Board considered each individual’s relationship with Carlyle and its affiliates, which held approximately 14.2% of the total outstanding shares of our Class A and Class B common stock as of April 13, 2026. In conducting its evaluations of Mr. Best and Mr. Healy, the Board considered each individual’s relationship with H&amp;F and its affiliates, which held approximately 14.2% of the total outstanding shares of our Class A and Class B common stock as of April 13, 2026. The Board found that such affiliations and directorships were in compliance with our Conflicts of Interest Policy and did not interfere with the exercise of each such director’s independent judgment in carrying out his or her responsibilities as a director.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Director Nominations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Governance Committee, with the full Board, is responsible for establishing Board membership criteria and evaluating the qualifications of director nominees.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Governance Committee identifies qualified candidates and considers nominee suggestions from directors, stockholders, management, and other sources. The Governance Committee may engage third-party search firms, as it deems appropriate, to assist in identifying, evaluating, and conducting due diligence on potential director candidates.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 addition, in connection with our initial public offering (the “IPO”), we entered into separate director nomination agreements (collectively, the “Director Nomination Agreements”) with Blackstone, Carlyle, H&amp;F, and certain holders of equity interests of Medline Holdings, LP (the predecessor of Medline Inc., “Medline Holdings”) immediately prior to the Reorganization Transactions (as described under </w:t>
      </w:r>
      <w:r>
        <w:rPr>
          <w:rFonts w:ascii="Arial;Helvetica;sans-serif" w:hAnsi="Arial;Helvetica;sans-serif"/>
          <w:b w:val="false"/>
          <w:i/>
          <w:caps w:val="false"/>
          <w:smallCaps w:val="false"/>
          <w:color w:val="000000"/>
          <w:sz w:val="18"/>
        </w:rPr>
        <w:t>Governance — Other Governance Policies and Practices — Certain Relationships and Related Person Transactions — Exchange Agreement</w:t>
      </w:r>
      <w:r>
        <w:rPr>
          <w:rFonts w:ascii="Arial;Helvetica;sans-serif" w:hAnsi="Arial;Helvetica;sans-serif"/>
          <w:b w:val="false"/>
          <w:i w:val="false"/>
          <w:caps w:val="false"/>
          <w:smallCaps w:val="false"/>
          <w:color w:val="000000"/>
          <w:spacing w:val="-1"/>
          <w:sz w:val="18"/>
        </w:rPr>
        <w:t xml:space="preserve">) that are affiliated with members of the Mills family (the “Mills Family”). These agreements grant such stockholders the right to designate an agreed number of individuals to our Board, subject to the maintenance of certain ownership levels. Pursuant to such agreements, Mr. Baratta and Ms. Sunder were designated by Blackstone, Mr. Schmidt and Mr. Wise were designated by Carlyle, Mr. Best and Mr. Healy were designated by H&amp;F, and Mr. C. Mills and Mr. A. Mills were designated by the Mills Family. See </w:t>
      </w:r>
      <w:r>
        <w:rPr>
          <w:rFonts w:ascii="Arial;Helvetica;sans-serif" w:hAnsi="Arial;Helvetica;sans-serif"/>
          <w:b w:val="false"/>
          <w:i/>
          <w:caps w:val="false"/>
          <w:smallCaps w:val="false"/>
          <w:color w:val="000000"/>
          <w:sz w:val="18"/>
        </w:rPr>
        <w:t>Certain Relationships and Related Person Transactions — Director Nomination Agreements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Governance Committee will consider any candidate properly presented to the Board by a stockholder in accordance with the procedures set forth in our Bylaws. Stockholder-recommended candidates are evaluated using the same criteria as candidates identified through other sources. After the Board’s consideration, our Corporate Secretary will notify that stockholder whether or not the Board has decided to appoint or nominate the candidate. For a description of how stockholders may nominate a candidate for the Governance Committee’s consideration for election to the Board at an annual meeting, see </w:t>
      </w:r>
      <w:r>
        <w:rPr>
          <w:rFonts w:ascii="Arial;Helvetica;sans-serif" w:hAnsi="Arial;Helvetica;sans-serif"/>
          <w:b w:val="false"/>
          <w:i/>
          <w:caps w:val="false"/>
          <w:smallCaps w:val="false"/>
          <w:color w:val="000000"/>
          <w:sz w:val="18"/>
        </w:rPr>
        <w:t>Other Information — Stockholder Proposals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20</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BLSL"/>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5560"/>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Governance</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22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Medline’s corporate governance framework is designed to support Board and management accountability and effective oversight as a public company. The Board and its Committees operate under defined charters and Corporate Governance Guidelines that allocate responsibilities for oversight, director independence, and Board composition, and are intended to promote efficient use of corporate resources, foster trust in Medline, and support long-term stockholder interests.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Board Leadership Structure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governance framework provides the Board with flexibility to determine the appropriate leadership structure of the Board. The Board periodically reviews its leadership structure in light of the Company’s circumstances, including the needs of the business, our industry and operating environment, and the best interests of the Company and our stockholders. After careful consideration, the Board has determined that, at this time, having separate Chief Executive Officer (“CEO”) and Chair roles best supports effective oversight and decision-making, particularly as the Company continues its transition to operating as a public company following the IPO.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recognizes that no single leadership structure is appropriate for every company at all times and expects to continue to evaluate its leadership structure over time as the Company’s circumstances evolve and as the Board considers feedback from stockholders and other stakeholders.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general responsibility of the Chair is to provide leadership to the Board, including setting culture, building consensus, serving as an effective bridge between the Board and management, and working closely and transparently with the independent directors. The Chair also provides input to the Compensation Committee related to the evaluation of CEO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Mr. C. Mills has served as the Chair of the Board since 2018 and as a member of the Board since 1985. He served as Medline’s CEO from 1997 to 2023. In appointing him as Chair, the Board considered Mr. C. Mills’s extensive industry knowledge, management expertise, and business experience, particularly from his former role as Medline’s CEO; his ability to facilitate effective communication between the Board and management; and his ability to work collaboratively and transparently with our independent directors. As CEO, Mr. Boyle is responsible for developing and overseeing the implementation of our business strategy as well as leading and managing the day-to-day operations of the Company. The Board believes that our current structure enables Mr. Boyle, in his role as CEO, to focus his attention on our business strategy and operations. The Board will continue to evaluate its leadership structure on an ongoing basis and may make changes as appropriate for the Company and its future needs.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COTB"/>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2807"/>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Committees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has four standing Committees: the Audit Committee, the Compensation Committee, the Governance Committee, and the Risk and Compliance Committee of the Board (the “Risk Committee”). Each of the Audit Committee, Compensation Committee, and Governance Committee consists solely of independent directors. The Risk Committee consists of a majority of independent directors. In addition, members of the Audit Committee and Compensation Committee satisfy the heightened independence standards applicable to service on those Committees under Nasdaq and SEC rules. Each Committee operates pursuant to a written charter that describes its responsibilities. The Chair of each Committee reports to the Board regarding matters considered and actions taken by the Committee. Each Committee charter is reviewed at least annually, and any proposed amendments are submitted to the Board for approval. The Committees have authority under their respective charters to engage independent counsel and other advisors, as appropriate, and to approve the fees and other terms of such engagements.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Governance Committee makes recommendations to the Board regarding the composition of each Committee of the Board. Based on the Governance Committee’s recommendations, the Board appoints Committee members and designates each Committee Chair.</w:t>
      </w:r>
      <w:r>
        <w:rPr>
          <w:rFonts w:ascii="Arial;Helvetica;sans-serif" w:hAnsi="Arial;Helvetica;sans-serif"/>
          <w:b w:val="false"/>
          <w:i w:val="false"/>
          <w:caps w:val="false"/>
          <w:smallCaps w:val="false"/>
          <w:color w:val="000000"/>
          <w:spacing w:val="4"/>
          <w:sz w:val="18"/>
        </w:rPr>
        <w:t xml:space="preserve"> </w:t>
      </w:r>
    </w:p>
    <w:tbl>
      <w:tblPr>
        <w:tblW w:w="9059" w:type="dxa"/>
        <w:jc w:val="left"/>
        <w:tblInd w:w="720" w:type="dxa"/>
        <w:tblLayout w:type="fixed"/>
        <w:tblCellMar>
          <w:top w:w="0" w:type="dxa"/>
          <w:left w:w="0" w:type="dxa"/>
          <w:bottom w:w="0" w:type="dxa"/>
          <w:right w:w="0" w:type="dxa"/>
        </w:tblCellMar>
      </w:tblPr>
      <w:tblGrid>
        <w:gridCol w:w="124"/>
        <w:gridCol w:w="2011"/>
        <w:gridCol w:w="109"/>
        <w:gridCol w:w="109"/>
        <w:gridCol w:w="2086"/>
        <w:gridCol w:w="109"/>
        <w:gridCol w:w="109"/>
        <w:gridCol w:w="2116"/>
        <w:gridCol w:w="109"/>
        <w:gridCol w:w="109"/>
        <w:gridCol w:w="1914"/>
        <w:gridCol w:w="154"/>
      </w:tblGrid>
      <w:tr>
        <w:trPr/>
        <w:tc>
          <w:tcPr>
            <w:tcW w:w="124" w:type="dxa"/>
            <w:tcBorders/>
            <w:vAlign w:val="center"/>
          </w:tcPr>
          <w:p>
            <w:pPr>
              <w:pStyle w:val="TableContents"/>
              <w:bidi w:val="0"/>
              <w:spacing w:before="0" w:after="283"/>
              <w:jc w:val="left"/>
              <w:rPr/>
            </w:pPr>
            <w:r>
              <w:rPr/>
              <w:t>​</w:t>
            </w:r>
          </w:p>
        </w:tc>
        <w:tc>
          <w:tcPr>
            <w:tcW w:w="8781" w:type="dxa"/>
            <w:gridSpan w:val="10"/>
            <w:tcBorders/>
            <w:vAlign w:val="center"/>
          </w:tcPr>
          <w:p>
            <w:pPr>
              <w:pStyle w:val="TableContents"/>
              <w:bidi w:val="0"/>
              <w:spacing w:before="0" w:after="283"/>
              <w:jc w:val="left"/>
              <w:rPr/>
            </w:pPr>
            <w:r>
              <w:rPr/>
              <w:drawing>
                <wp:inline distT="0" distB="0" distL="0" distR="0">
                  <wp:extent cx="228600" cy="228600"/>
                  <wp:effectExtent l="0" t="0" r="0" b="0"/>
                  <wp:docPr id="24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99" descr=""/>
                          <pic:cNvPicPr>
                            <a:picLocks noChangeAspect="1" noChangeArrowheads="1"/>
                          </pic:cNvPicPr>
                        </pic:nvPicPr>
                        <pic:blipFill>
                          <a:blip r:embed="rId116"/>
                          <a:stretch>
                            <a:fillRect/>
                          </a:stretch>
                        </pic:blipFill>
                        <pic:spPr bwMode="auto">
                          <a:xfrm>
                            <a:off x="0" y="0"/>
                            <a:ext cx="228600" cy="228600"/>
                          </a:xfrm>
                          <a:prstGeom prst="rect">
                            <a:avLst/>
                          </a:prstGeom>
                        </pic:spPr>
                      </pic:pic>
                    </a:graphicData>
                  </a:graphic>
                </wp:inline>
              </w:drawing>
            </w:r>
            <w:r>
              <w:rPr>
                <w:spacing w:val="-1"/>
              </w:rPr>
              <w:t>   </w:t>
            </w:r>
            <w:r>
              <w:rPr>
                <w:b/>
                <w:color w:val="0070CD"/>
                <w:spacing w:val="-1"/>
                <w:sz w:val="24"/>
              </w:rPr>
              <w:t>Audit Committee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1" w:type="dxa"/>
            <w:tcBorders/>
            <w:vAlign w:val="center"/>
          </w:tcPr>
          <w:p>
            <w:pPr>
              <w:pStyle w:val="TableContents"/>
              <w:bidi w:val="0"/>
              <w:spacing w:before="0" w:after="0"/>
              <w:jc w:val="center"/>
              <w:rPr/>
            </w:pPr>
            <w:r>
              <w:rPr/>
              <w:drawing>
                <wp:inline distT="0" distB="0" distL="0" distR="0">
                  <wp:extent cx="895350" cy="904875"/>
                  <wp:effectExtent l="0" t="0" r="0" b="0"/>
                  <wp:docPr id="24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0" descr=""/>
                          <pic:cNvPicPr>
                            <a:picLocks noChangeAspect="1" noChangeArrowheads="1"/>
                          </pic:cNvPicPr>
                        </pic:nvPicPr>
                        <pic:blipFill>
                          <a:blip r:embed="rId117"/>
                          <a:stretch>
                            <a:fillRect/>
                          </a:stretch>
                        </pic:blipFill>
                        <pic:spPr bwMode="auto">
                          <a:xfrm>
                            <a:off x="0" y="0"/>
                            <a:ext cx="895350" cy="904875"/>
                          </a:xfrm>
                          <a:prstGeom prst="rect">
                            <a:avLst/>
                          </a:prstGeom>
                        </pic:spPr>
                      </pic:pic>
                    </a:graphicData>
                  </a:graphic>
                </wp:inline>
              </w:drawing>
            </w:r>
            <w:r>
              <w:rPr/>
              <w:t xml:space="preserve"> </w:t>
            </w:r>
          </w:p>
          <w:p>
            <w:pPr>
              <w:pStyle w:val="TableContents"/>
              <w:bidi w:val="0"/>
              <w:spacing w:lineRule="atLeast" w:line="225" w:before="159" w:after="283"/>
              <w:jc w:val="center"/>
              <w:rPr>
                <w:b/>
              </w:rPr>
            </w:pPr>
            <w:r>
              <w:rPr>
                <w:b/>
                <w:spacing w:val="0"/>
              </w:rPr>
              <w:t>Thomas W. Sweet</w:t>
            </w:r>
            <w:r>
              <w:rPr>
                <w:b/>
              </w:rPr>
              <w:t xml:space="preserve"> </w:t>
              <w:br/>
            </w:r>
            <w:r>
              <w:rPr>
                <w:b/>
                <w:color w:val="0070CD"/>
                <w:spacing w:val="0"/>
              </w:rPr>
              <w:t>Chair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0"/>
              <w:jc w:val="center"/>
              <w:rPr/>
            </w:pPr>
            <w:r>
              <w:rPr/>
              <w:drawing>
                <wp:inline distT="0" distB="0" distL="0" distR="0">
                  <wp:extent cx="895350" cy="904875"/>
                  <wp:effectExtent l="0" t="0" r="0" b="0"/>
                  <wp:docPr id="24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01" descr=""/>
                          <pic:cNvPicPr>
                            <a:picLocks noChangeAspect="1" noChangeArrowheads="1"/>
                          </pic:cNvPicPr>
                        </pic:nvPicPr>
                        <pic:blipFill>
                          <a:blip r:embed="rId118"/>
                          <a:stretch>
                            <a:fillRect/>
                          </a:stretch>
                        </pic:blipFill>
                        <pic:spPr bwMode="auto">
                          <a:xfrm>
                            <a:off x="0" y="0"/>
                            <a:ext cx="895350" cy="904875"/>
                          </a:xfrm>
                          <a:prstGeom prst="rect">
                            <a:avLst/>
                          </a:prstGeom>
                        </pic:spPr>
                      </pic:pic>
                    </a:graphicData>
                  </a:graphic>
                </wp:inline>
              </w:drawing>
            </w:r>
            <w:r>
              <w:rPr/>
              <w:t xml:space="preserve"> </w:t>
            </w:r>
          </w:p>
          <w:p>
            <w:pPr>
              <w:pStyle w:val="TableContents"/>
              <w:bidi w:val="0"/>
              <w:spacing w:lineRule="atLeast" w:line="225" w:before="159" w:after="283"/>
              <w:jc w:val="center"/>
              <w:rPr>
                <w:b/>
              </w:rPr>
            </w:pPr>
            <w:r>
              <w:rPr>
                <w:b/>
                <w:spacing w:val="0"/>
              </w:rPr>
              <w:t>Todd M. Bluedorn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0"/>
              <w:jc w:val="center"/>
              <w:rPr/>
            </w:pPr>
            <w:r>
              <w:rPr/>
              <w:drawing>
                <wp:inline distT="0" distB="0" distL="0" distR="0">
                  <wp:extent cx="895350" cy="904875"/>
                  <wp:effectExtent l="0" t="0" r="0" b="0"/>
                  <wp:docPr id="24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02" descr=""/>
                          <pic:cNvPicPr>
                            <a:picLocks noChangeAspect="1" noChangeArrowheads="1"/>
                          </pic:cNvPicPr>
                        </pic:nvPicPr>
                        <pic:blipFill>
                          <a:blip r:embed="rId119"/>
                          <a:stretch>
                            <a:fillRect/>
                          </a:stretch>
                        </pic:blipFill>
                        <pic:spPr bwMode="auto">
                          <a:xfrm>
                            <a:off x="0" y="0"/>
                            <a:ext cx="895350" cy="904875"/>
                          </a:xfrm>
                          <a:prstGeom prst="rect">
                            <a:avLst/>
                          </a:prstGeom>
                        </pic:spPr>
                      </pic:pic>
                    </a:graphicData>
                  </a:graphic>
                </wp:inline>
              </w:drawing>
            </w:r>
            <w:r>
              <w:rPr/>
              <w:t xml:space="preserve"> </w:t>
            </w:r>
          </w:p>
          <w:p>
            <w:pPr>
              <w:pStyle w:val="TableContents"/>
              <w:bidi w:val="0"/>
              <w:spacing w:lineRule="atLeast" w:line="225" w:before="159" w:after="283"/>
              <w:jc w:val="center"/>
              <w:rPr>
                <w:b/>
              </w:rPr>
            </w:pPr>
            <w:r>
              <w:rPr>
                <w:b/>
                <w:spacing w:val="0"/>
              </w:rPr>
              <w:t>Richard A. Galanti</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14" w:type="dxa"/>
            <w:tcBorders/>
            <w:vAlign w:val="center"/>
          </w:tcPr>
          <w:p>
            <w:pPr>
              <w:pStyle w:val="TableContents"/>
              <w:bidi w:val="0"/>
              <w:spacing w:lineRule="atLeast" w:line="325" w:before="0" w:after="0"/>
              <w:jc w:val="center"/>
              <w:rPr>
                <w:b/>
                <w:color w:val="0055B7"/>
                <w:sz w:val="28"/>
              </w:rPr>
            </w:pPr>
            <w:r>
              <w:rPr>
                <w:b/>
                <w:color w:val="0055B7"/>
                <w:spacing w:val="-4"/>
                <w:sz w:val="28"/>
              </w:rPr>
              <w:t>100%</w:t>
            </w:r>
            <w:r>
              <w:rPr>
                <w:b/>
                <w:color w:val="0055B7"/>
                <w:sz w:val="28"/>
              </w:rPr>
              <w:t xml:space="preserve"> </w:t>
            </w:r>
          </w:p>
          <w:p>
            <w:pPr>
              <w:pStyle w:val="TableContents"/>
              <w:bidi w:val="0"/>
              <w:spacing w:lineRule="atLeast" w:line="285" w:before="45" w:after="283"/>
              <w:jc w:val="center"/>
              <w:rPr>
                <w:sz w:val="24"/>
              </w:rPr>
            </w:pPr>
            <w:r>
              <w:rPr>
                <w:spacing w:val="-2"/>
                <w:sz w:val="24"/>
              </w:rPr>
              <w:t>Independent</w:t>
            </w:r>
            <w:r>
              <w:rPr>
                <w:sz w:val="24"/>
              </w:rPr>
              <w:t xml:space="preserve"> </w:t>
            </w:r>
          </w:p>
          <w:p>
            <w:pPr>
              <w:pStyle w:val="TableContents"/>
              <w:bidi w:val="0"/>
              <w:spacing w:lineRule="atLeast" w:line="325" w:before="240" w:after="283"/>
              <w:jc w:val="center"/>
              <w:rPr>
                <w:b/>
                <w:color w:val="0055B7"/>
                <w:sz w:val="28"/>
              </w:rPr>
            </w:pPr>
            <w:r>
              <w:rPr>
                <w:b/>
                <w:color w:val="0055B7"/>
                <w:spacing w:val="-4"/>
                <w:sz w:val="28"/>
              </w:rPr>
              <w:t>6</w:t>
            </w:r>
            <w:r>
              <w:rPr>
                <w:b/>
                <w:color w:val="000000"/>
                <w:sz w:val="28"/>
              </w:rPr>
              <w:t>​</w:t>
            </w:r>
            <w:r>
              <w:rPr>
                <w:b/>
                <w:color w:val="0055B7"/>
                <w:sz w:val="28"/>
              </w:rPr>
              <w:t xml:space="preserve"> </w:t>
            </w:r>
          </w:p>
          <w:p>
            <w:pPr>
              <w:pStyle w:val="TableContents"/>
              <w:bidi w:val="0"/>
              <w:spacing w:lineRule="atLeast" w:line="285" w:before="45" w:after="283"/>
              <w:jc w:val="center"/>
              <w:rPr>
                <w:sz w:val="24"/>
              </w:rPr>
            </w:pPr>
            <w:r>
              <w:rPr>
                <w:spacing w:val="-2"/>
                <w:sz w:val="24"/>
              </w:rPr>
              <w:t>Meetings in 2025*</w:t>
            </w:r>
            <w:r>
              <w:rPr>
                <w:sz w:val="24"/>
              </w:rPr>
              <w:t xml:space="preserve"> </w:t>
            </w:r>
          </w:p>
          <w:p>
            <w:pPr>
              <w:pStyle w:val="TableContents"/>
              <w:bidi w:val="0"/>
              <w:spacing w:lineRule="atLeast" w:line="225" w:before="45" w:after="283"/>
              <w:jc w:val="center"/>
              <w:rPr/>
            </w:pPr>
            <w:r>
              <w:rPr>
                <w:spacing w:val="-1"/>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35" w:after="283"/>
        <w:ind w:left="72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Includes meetings of the pre-IPO Board of Managers of Medline Holdings GP, LLC.</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Key Responsibilities</w:t>
      </w:r>
      <w:r>
        <w:rPr>
          <w:rFonts w:ascii="Arial;Helvetica;sans-serif" w:hAnsi="Arial;Helvetica;sans-serif"/>
          <w:b/>
          <w:i w:val="false"/>
          <w:caps w:val="false"/>
          <w:smallCaps w:val="false"/>
          <w:color w:val="0070CD"/>
          <w:sz w:val="20"/>
        </w:rPr>
        <w:t xml:space="preserve"> </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Appoints and oversees our independent auditor, including approving audit and permitted non-audit services;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87">
                <wp:simplePos x="0" y="0"/>
                <wp:positionH relativeFrom="column">
                  <wp:align>left</wp:align>
                </wp:positionH>
                <wp:positionV relativeFrom="line">
                  <wp:align>top</wp:align>
                </wp:positionV>
                <wp:extent cx="139700" cy="350520"/>
                <wp:effectExtent l="0" t="0" r="0" b="0"/>
                <wp:wrapSquare wrapText="right"/>
                <wp:docPr id="247" name="Frame12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Oversees the integrity of the Company’s financial statements and financial reporting processes, including reviewing quarterly and annual financial statements with management and the independent auditor;</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88">
                <wp:simplePos x="0" y="0"/>
                <wp:positionH relativeFrom="column">
                  <wp:align>left</wp:align>
                </wp:positionH>
                <wp:positionV relativeFrom="line">
                  <wp:align>top</wp:align>
                </wp:positionV>
                <wp:extent cx="139700" cy="350520"/>
                <wp:effectExtent l="0" t="0" r="0" b="0"/>
                <wp:wrapSquare wrapText="right"/>
                <wp:docPr id="248" name="Frame130"/>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Oversees the Company’s internal control over financial reporting, compliance with legal and regulatory requirements, and the performance of the internal audit function; and</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89">
                <wp:simplePos x="0" y="0"/>
                <wp:positionH relativeFrom="column">
                  <wp:align>left</wp:align>
                </wp:positionH>
                <wp:positionV relativeFrom="line">
                  <wp:align>top</wp:align>
                </wp:positionV>
                <wp:extent cx="139700" cy="350520"/>
                <wp:effectExtent l="0" t="0" r="0" b="0"/>
                <wp:wrapSquare wrapText="right"/>
                <wp:docPr id="249" name="Frame13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33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Establishes and oversees procedures for accounting and auditing complaints and prepares the Audit Committee report for inclusion in the annual proxy statement.</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0">
                <wp:simplePos x="0" y="0"/>
                <wp:positionH relativeFrom="column">
                  <wp:align>left</wp:align>
                </wp:positionH>
                <wp:positionV relativeFrom="line">
                  <wp:align>top</wp:align>
                </wp:positionV>
                <wp:extent cx="139700" cy="350520"/>
                <wp:effectExtent l="0" t="0" r="0" b="0"/>
                <wp:wrapSquare wrapText="right"/>
                <wp:docPr id="250" name="Frame13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Qualifications</w:t>
      </w:r>
      <w:r>
        <w:rPr>
          <w:rFonts w:ascii="Arial;Helvetica;sans-serif" w:hAnsi="Arial;Helvetica;sans-serif"/>
          <w:b/>
          <w:i w:val="false"/>
          <w:caps w:val="false"/>
          <w:smallCaps w:val="false"/>
          <w:color w:val="0070CD"/>
          <w:sz w:val="20"/>
        </w:rPr>
        <w:t xml:space="preserve"> </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All members meet the “financial sophistication” standards of the Nasdaq rules.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1">
                <wp:simplePos x="0" y="0"/>
                <wp:positionH relativeFrom="column">
                  <wp:align>left</wp:align>
                </wp:positionH>
                <wp:positionV relativeFrom="line">
                  <wp:align>top</wp:align>
                </wp:positionV>
                <wp:extent cx="139700" cy="350520"/>
                <wp:effectExtent l="0" t="0" r="0" b="0"/>
                <wp:wrapSquare wrapText="right"/>
                <wp:docPr id="251" name="Frame13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has determined that Mr. Sweet and Mr. Galanti each qualify as an “audit committee financial expert” within the meaning of SEC rules.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2">
                <wp:simplePos x="0" y="0"/>
                <wp:positionH relativeFrom="column">
                  <wp:align>left</wp:align>
                </wp:positionH>
                <wp:positionV relativeFrom="line">
                  <wp:align>top</wp:align>
                </wp:positionV>
                <wp:extent cx="139700" cy="350520"/>
                <wp:effectExtent l="0" t="0" r="0" b="0"/>
                <wp:wrapSquare wrapText="right"/>
                <wp:docPr id="252" name="Frame13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 Audit Committee member received any payments from us in 2025 other than compensation for service as a director.</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3">
                <wp:simplePos x="0" y="0"/>
                <wp:positionH relativeFrom="column">
                  <wp:align>left</wp:align>
                </wp:positionH>
                <wp:positionV relativeFrom="line">
                  <wp:align>top</wp:align>
                </wp:positionV>
                <wp:extent cx="139700" cy="350520"/>
                <wp:effectExtent l="0" t="0" r="0" b="0"/>
                <wp:wrapSquare wrapText="right"/>
                <wp:docPr id="253" name="Frame13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tbl>
      <w:tblPr>
        <w:tblW w:w="8424" w:type="dxa"/>
        <w:jc w:val="left"/>
        <w:tblInd w:w="720" w:type="dxa"/>
        <w:tblLayout w:type="fixed"/>
        <w:tblCellMar>
          <w:top w:w="0" w:type="dxa"/>
          <w:left w:w="0" w:type="dxa"/>
          <w:bottom w:w="0" w:type="dxa"/>
          <w:right w:w="0" w:type="dxa"/>
        </w:tblCellMar>
      </w:tblPr>
      <w:tblGrid>
        <w:gridCol w:w="124"/>
        <w:gridCol w:w="2086"/>
        <w:gridCol w:w="109"/>
        <w:gridCol w:w="109"/>
        <w:gridCol w:w="1556"/>
        <w:gridCol w:w="109"/>
        <w:gridCol w:w="109"/>
        <w:gridCol w:w="1936"/>
        <w:gridCol w:w="109"/>
        <w:gridCol w:w="109"/>
        <w:gridCol w:w="1914"/>
        <w:gridCol w:w="154"/>
      </w:tblGrid>
      <w:tr>
        <w:trPr/>
        <w:tc>
          <w:tcPr>
            <w:tcW w:w="124" w:type="dxa"/>
            <w:tcBorders/>
            <w:vAlign w:val="center"/>
          </w:tcPr>
          <w:p>
            <w:pPr>
              <w:pStyle w:val="TableContents"/>
              <w:bidi w:val="0"/>
              <w:spacing w:before="0" w:after="283"/>
              <w:jc w:val="left"/>
              <w:rPr/>
            </w:pPr>
            <w:r>
              <w:rPr/>
              <w:t>​</w:t>
            </w:r>
          </w:p>
        </w:tc>
        <w:tc>
          <w:tcPr>
            <w:tcW w:w="8146" w:type="dxa"/>
            <w:gridSpan w:val="10"/>
            <w:tcBorders/>
            <w:vAlign w:val="center"/>
          </w:tcPr>
          <w:p>
            <w:pPr>
              <w:pStyle w:val="TableContents"/>
              <w:bidi w:val="0"/>
              <w:spacing w:before="0" w:after="283"/>
              <w:jc w:val="left"/>
              <w:rPr/>
            </w:pPr>
            <w:r>
              <w:rPr/>
              <w:drawing>
                <wp:inline distT="0" distB="0" distL="0" distR="0">
                  <wp:extent cx="276225" cy="254000"/>
                  <wp:effectExtent l="0" t="0" r="0" b="0"/>
                  <wp:docPr id="25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03" descr=""/>
                          <pic:cNvPicPr>
                            <a:picLocks noChangeAspect="1" noChangeArrowheads="1"/>
                          </pic:cNvPicPr>
                        </pic:nvPicPr>
                        <pic:blipFill>
                          <a:blip r:embed="rId120"/>
                          <a:stretch>
                            <a:fillRect/>
                          </a:stretch>
                        </pic:blipFill>
                        <pic:spPr bwMode="auto">
                          <a:xfrm>
                            <a:off x="0" y="0"/>
                            <a:ext cx="276225" cy="254000"/>
                          </a:xfrm>
                          <a:prstGeom prst="rect">
                            <a:avLst/>
                          </a:prstGeom>
                        </pic:spPr>
                      </pic:pic>
                    </a:graphicData>
                  </a:graphic>
                </wp:inline>
              </w:drawing>
            </w:r>
            <w:r>
              <w:rPr>
                <w:spacing w:val="-1"/>
              </w:rPr>
              <w:t>   </w:t>
            </w:r>
            <w:r>
              <w:rPr>
                <w:b/>
                <w:color w:val="0070CD"/>
                <w:spacing w:val="-1"/>
                <w:sz w:val="24"/>
              </w:rPr>
              <w:t>Compensation Committee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lineRule="atLeast" w:line="325" w:before="0" w:after="0"/>
              <w:jc w:val="center"/>
              <w:rPr/>
            </w:pPr>
            <w:r>
              <w:rPr/>
              <w:drawing>
                <wp:inline distT="0" distB="0" distL="0" distR="0">
                  <wp:extent cx="895350" cy="904875"/>
                  <wp:effectExtent l="0" t="0" r="0" b="0"/>
                  <wp:docPr id="25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04" descr=""/>
                          <pic:cNvPicPr>
                            <a:picLocks noChangeAspect="1" noChangeArrowheads="1"/>
                          </pic:cNvPicPr>
                        </pic:nvPicPr>
                        <pic:blipFill>
                          <a:blip r:embed="rId121"/>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6" w:type="dxa"/>
            <w:tcBorders/>
            <w:vAlign w:val="center"/>
          </w:tcPr>
          <w:p>
            <w:pPr>
              <w:pStyle w:val="TableContents"/>
              <w:bidi w:val="0"/>
              <w:spacing w:lineRule="atLeast" w:line="325" w:before="0" w:after="0"/>
              <w:jc w:val="center"/>
              <w:rPr/>
            </w:pPr>
            <w:r>
              <w:rPr/>
              <w:drawing>
                <wp:inline distT="0" distB="0" distL="0" distR="0">
                  <wp:extent cx="895350" cy="904875"/>
                  <wp:effectExtent l="0" t="0" r="0" b="0"/>
                  <wp:docPr id="25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05" descr=""/>
                          <pic:cNvPicPr>
                            <a:picLocks noChangeAspect="1" noChangeArrowheads="1"/>
                          </pic:cNvPicPr>
                        </pic:nvPicPr>
                        <pic:blipFill>
                          <a:blip r:embed="rId122"/>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6" w:type="dxa"/>
            <w:tcBorders/>
            <w:vAlign w:val="center"/>
          </w:tcPr>
          <w:p>
            <w:pPr>
              <w:pStyle w:val="TableContents"/>
              <w:bidi w:val="0"/>
              <w:spacing w:lineRule="atLeast" w:line="325" w:before="0" w:after="0"/>
              <w:jc w:val="center"/>
              <w:rPr/>
            </w:pPr>
            <w:r>
              <w:rPr/>
              <w:drawing>
                <wp:inline distT="0" distB="0" distL="0" distR="0">
                  <wp:extent cx="895350" cy="904875"/>
                  <wp:effectExtent l="0" t="0" r="0" b="0"/>
                  <wp:docPr id="25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06" descr=""/>
                          <pic:cNvPicPr>
                            <a:picLocks noChangeAspect="1" noChangeArrowheads="1"/>
                          </pic:cNvPicPr>
                        </pic:nvPicPr>
                        <pic:blipFill>
                          <a:blip r:embed="rId123"/>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914" w:type="dxa"/>
            <w:vMerge w:val="restart"/>
            <w:tcBorders/>
            <w:vAlign w:val="center"/>
          </w:tcPr>
          <w:p>
            <w:pPr>
              <w:pStyle w:val="TableContents"/>
              <w:bidi w:val="0"/>
              <w:spacing w:lineRule="atLeast" w:line="325" w:before="0" w:after="283"/>
              <w:jc w:val="center"/>
              <w:rPr>
                <w:b/>
                <w:color w:val="0055B7"/>
              </w:rPr>
            </w:pPr>
            <w:r>
              <w:rPr>
                <w:b/>
                <w:color w:val="0055B7"/>
                <w:spacing w:val="-4"/>
              </w:rPr>
              <w:t>100%</w:t>
            </w:r>
            <w:r>
              <w:rPr>
                <w:b/>
                <w:color w:val="0055B7"/>
              </w:rPr>
              <w:t xml:space="preserve"> </w:t>
            </w:r>
          </w:p>
          <w:p>
            <w:pPr>
              <w:pStyle w:val="TableContents"/>
              <w:bidi w:val="0"/>
              <w:spacing w:lineRule="atLeast" w:line="285" w:before="45" w:after="283"/>
              <w:jc w:val="center"/>
              <w:rPr>
                <w:sz w:val="24"/>
              </w:rPr>
            </w:pPr>
            <w:r>
              <w:rPr>
                <w:spacing w:val="-2"/>
                <w:sz w:val="24"/>
              </w:rPr>
              <w:t>Independent</w:t>
            </w:r>
            <w:r>
              <w:rPr>
                <w:sz w:val="24"/>
              </w:rPr>
              <w:t xml:space="preserve"> </w:t>
            </w:r>
          </w:p>
          <w:p>
            <w:pPr>
              <w:pStyle w:val="TableContents"/>
              <w:bidi w:val="0"/>
              <w:spacing w:lineRule="atLeast" w:line="325" w:before="160" w:after="283"/>
              <w:jc w:val="center"/>
              <w:rPr>
                <w:b/>
                <w:color w:val="0055B7"/>
              </w:rPr>
            </w:pPr>
            <w:r>
              <w:rPr>
                <w:b/>
                <w:color w:val="0055B7"/>
                <w:spacing w:val="-4"/>
              </w:rPr>
              <w:t>6</w:t>
            </w:r>
            <w:r>
              <w:rPr>
                <w:b/>
                <w:color w:val="000000"/>
              </w:rPr>
              <w:t>​</w:t>
            </w:r>
            <w:r>
              <w:rPr>
                <w:b/>
                <w:color w:val="0055B7"/>
              </w:rPr>
              <w:t xml:space="preserve"> </w:t>
            </w:r>
          </w:p>
          <w:p>
            <w:pPr>
              <w:pStyle w:val="TableContents"/>
              <w:bidi w:val="0"/>
              <w:spacing w:lineRule="atLeast" w:line="285" w:before="45" w:after="283"/>
              <w:jc w:val="center"/>
              <w:rPr>
                <w:sz w:val="24"/>
              </w:rPr>
            </w:pPr>
            <w:r>
              <w:rPr>
                <w:spacing w:val="-2"/>
                <w:sz w:val="24"/>
              </w:rPr>
              <w:t>Meetings in 2025*</w:t>
            </w:r>
            <w:r>
              <w:rPr>
                <w:sz w:val="24"/>
              </w:rPr>
              <w:t xml:space="preserve">​ </w:t>
            </w:r>
          </w:p>
        </w:tc>
        <w:tc>
          <w:tcPr>
            <w:tcW w:w="154"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0"/>
              <w:jc w:val="center"/>
              <w:rPr/>
            </w:pPr>
            <w:r>
              <w:rPr>
                <w:spacing w:val="0"/>
              </w:rPr>
              <w:t xml:space="preserve">Anushka M. Sunder </w:t>
            </w:r>
            <w:r>
              <w:rPr/>
              <w:br/>
            </w:r>
            <w:r>
              <w:rPr>
                <w:color w:val="0070CD"/>
                <w:spacing w:val="0"/>
              </w:rPr>
              <w:t>Chair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6" w:type="dxa"/>
            <w:tcBorders/>
            <w:vAlign w:val="center"/>
          </w:tcPr>
          <w:p>
            <w:pPr>
              <w:pStyle w:val="TableContents"/>
              <w:bidi w:val="0"/>
              <w:spacing w:before="0" w:after="0"/>
              <w:jc w:val="center"/>
              <w:rPr/>
            </w:pPr>
            <w:r>
              <w:rPr>
                <w:spacing w:val="0"/>
              </w:rPr>
              <w:t>Jacob D. Best</w:t>
            </w:r>
            <w:r>
              <w:rPr/>
              <w:t xml:space="preserve"> </w:t>
              <w:br/>
            </w:r>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6" w:type="dxa"/>
            <w:tcBorders/>
            <w:vAlign w:val="center"/>
          </w:tcPr>
          <w:p>
            <w:pPr>
              <w:pStyle w:val="TableContents"/>
              <w:bidi w:val="0"/>
              <w:spacing w:before="0" w:after="0"/>
              <w:jc w:val="center"/>
              <w:rPr/>
            </w:pPr>
            <w:r>
              <w:rPr>
                <w:spacing w:val="0"/>
              </w:rPr>
              <w:t>Robert R. Schmidt</w:t>
            </w:r>
            <w:r>
              <w:rPr/>
              <w:t xml:space="preserve"> </w:t>
              <w:br/>
            </w:r>
            <w:r>
              <w:rPr>
                <w:spacing w:val="-1"/>
              </w:rPr>
              <w:t> </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914"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bl>
    <w:p>
      <w:pPr>
        <w:pStyle w:val="TextBody"/>
        <w:bidi w:val="0"/>
        <w:spacing w:lineRule="atLeast" w:line="200" w:before="35" w:after="283"/>
        <w:ind w:left="72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Includes meetings of the pre-IPO Board of Managers of Medline Holdings GP, LLC.</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Key Responsibilities</w:t>
      </w:r>
      <w:r>
        <w:rPr>
          <w:rFonts w:ascii="Arial;Helvetica;sans-serif" w:hAnsi="Arial;Helvetica;sans-serif"/>
          <w:b/>
          <w:i w:val="false"/>
          <w:caps w:val="false"/>
          <w:smallCaps w:val="false"/>
          <w:color w:val="0070CD"/>
          <w:sz w:val="20"/>
        </w:rPr>
        <w:t xml:space="preserve"> </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Reviews and approves CEO compensation, including setting and evaluating CEO performance goals, and determining or recommending CEO compensation based on performance (as directed by the Board);</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4">
                <wp:simplePos x="0" y="0"/>
                <wp:positionH relativeFrom="column">
                  <wp:align>left</wp:align>
                </wp:positionH>
                <wp:positionV relativeFrom="line">
                  <wp:align>top</wp:align>
                </wp:positionV>
                <wp:extent cx="139700" cy="350520"/>
                <wp:effectExtent l="0" t="0" r="0" b="0"/>
                <wp:wrapSquare wrapText="right"/>
                <wp:docPr id="258" name="Frame13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Reviews, determines, and approves compensation for other executive officers, including annual base salary, annual incentive compensation, equity awards, and other long-term incentive awards;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5">
                <wp:simplePos x="0" y="0"/>
                <wp:positionH relativeFrom="column">
                  <wp:align>left</wp:align>
                </wp:positionH>
                <wp:positionV relativeFrom="line">
                  <wp:align>top</wp:align>
                </wp:positionV>
                <wp:extent cx="139700" cy="350520"/>
                <wp:effectExtent l="0" t="0" r="0" b="0"/>
                <wp:wrapSquare wrapText="right"/>
                <wp:docPr id="259" name="Frame13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Reviews and recommends to the Board director compensation and oversees the Company’s equity compensation plans; and</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6">
                <wp:simplePos x="0" y="0"/>
                <wp:positionH relativeFrom="column">
                  <wp:align>left</wp:align>
                </wp:positionH>
                <wp:positionV relativeFrom="line">
                  <wp:align>top</wp:align>
                </wp:positionV>
                <wp:extent cx="139700" cy="350520"/>
                <wp:effectExtent l="0" t="0" r="0" b="0"/>
                <wp:wrapSquare wrapText="right"/>
                <wp:docPr id="260" name="Frame13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Reviews the annual Compensation Discussion and Analysis disclosure required by SEC rules and prepares the Compensation Committee report for inclusion in the annual proxy statement.</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7">
                <wp:simplePos x="0" y="0"/>
                <wp:positionH relativeFrom="column">
                  <wp:align>left</wp:align>
                </wp:positionH>
                <wp:positionV relativeFrom="line">
                  <wp:align>top</wp:align>
                </wp:positionV>
                <wp:extent cx="139700" cy="350520"/>
                <wp:effectExtent l="0" t="0" r="0" b="0"/>
                <wp:wrapSquare wrapText="right"/>
                <wp:docPr id="261" name="Frame13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Delegation</w:t>
      </w:r>
      <w:r>
        <w:rPr>
          <w:rFonts w:ascii="Arial;Helvetica;sans-serif" w:hAnsi="Arial;Helvetica;sans-serif"/>
          <w:b/>
          <w:i w:val="false"/>
          <w:caps w:val="false"/>
          <w:smallCaps w:val="false"/>
          <w:color w:val="0070CD"/>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its charter, the Compensation Committee may delegate authority to the Committee Chair, one or more other Committee members, or a subcommittee of Committee members, except where such delegation would be prohibited by applicable law, regulation, or Nasdaq rules.</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Interlocks</w:t>
      </w:r>
      <w:r>
        <w:rPr>
          <w:rFonts w:ascii="Arial;Helvetica;sans-serif" w:hAnsi="Arial;Helvetica;sans-serif"/>
          <w:b/>
          <w:i w:val="false"/>
          <w:caps w:val="false"/>
          <w:smallCaps w:val="false"/>
          <w:color w:val="0070CD"/>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Board has determined that other than Mr. James Abrams (our former Chief Operating Officer), Mr. Boyle (our current CEO), Mr. A. Mills (our former President), and Mr. C. Mills (our former CEO), no member of our Board was at any time during our 2025 fiscal year, or at any other time, one of our officers or employees. None of our executive officers currently serves, or has served during our 2025 fiscal year, as a member of the Board or Compensation Committee (or other Committee performing equivalent functions) of any entity that has one or more of its executive officers serving on our Board or Compensation Committee. We are a party to certain transactions with affiliates of Blackstone, Carlyle, H&amp;F, the Mills Family, Hux Investment Pte. Ltd. (“Hux”), and Platinum Falcon B 2018 RSC Limited (“Platinum Falcon” and together with Hux, the “Other Pre-IPO Investors”). See </w:t>
      </w:r>
      <w:r>
        <w:rPr>
          <w:rFonts w:ascii="Arial;Helvetica;sans-serif" w:hAnsi="Arial;Helvetica;sans-serif"/>
          <w:b w:val="false"/>
          <w:i/>
          <w:caps w:val="false"/>
          <w:smallCaps w:val="false"/>
          <w:color w:val="000000"/>
          <w:sz w:val="18"/>
        </w:rPr>
        <w:t>Certain Relationships and Related Person Transactions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tbl>
      <w:tblPr>
        <w:tblW w:w="7826" w:type="dxa"/>
        <w:jc w:val="left"/>
        <w:tblInd w:w="720" w:type="dxa"/>
        <w:tblLayout w:type="fixed"/>
        <w:tblCellMar>
          <w:top w:w="0" w:type="dxa"/>
          <w:left w:w="0" w:type="dxa"/>
          <w:bottom w:w="0" w:type="dxa"/>
          <w:right w:w="0" w:type="dxa"/>
        </w:tblCellMar>
      </w:tblPr>
      <w:tblGrid>
        <w:gridCol w:w="124"/>
        <w:gridCol w:w="1936"/>
        <w:gridCol w:w="109"/>
        <w:gridCol w:w="109"/>
        <w:gridCol w:w="1556"/>
        <w:gridCol w:w="109"/>
        <w:gridCol w:w="109"/>
        <w:gridCol w:w="2086"/>
        <w:gridCol w:w="109"/>
        <w:gridCol w:w="109"/>
        <w:gridCol w:w="1316"/>
        <w:gridCol w:w="154"/>
      </w:tblGrid>
      <w:tr>
        <w:trPr/>
        <w:tc>
          <w:tcPr>
            <w:tcW w:w="124" w:type="dxa"/>
            <w:tcBorders/>
            <w:vAlign w:val="center"/>
          </w:tcPr>
          <w:p>
            <w:pPr>
              <w:pStyle w:val="TableContents"/>
              <w:bidi w:val="0"/>
              <w:spacing w:before="0" w:after="283"/>
              <w:jc w:val="left"/>
              <w:rPr/>
            </w:pPr>
            <w:r>
              <w:rPr/>
              <w:t>​</w:t>
            </w:r>
          </w:p>
        </w:tc>
        <w:tc>
          <w:tcPr>
            <w:tcW w:w="7548" w:type="dxa"/>
            <w:gridSpan w:val="10"/>
            <w:tcBorders/>
            <w:vAlign w:val="center"/>
          </w:tcPr>
          <w:p>
            <w:pPr>
              <w:pStyle w:val="TableContents"/>
              <w:bidi w:val="0"/>
              <w:spacing w:before="0" w:after="283"/>
              <w:jc w:val="left"/>
              <w:rPr/>
            </w:pPr>
            <w:r>
              <w:rPr/>
              <w:drawing>
                <wp:inline distT="0" distB="0" distL="0" distR="0">
                  <wp:extent cx="295275" cy="291465"/>
                  <wp:effectExtent l="0" t="0" r="0" b="0"/>
                  <wp:docPr id="26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07" descr=""/>
                          <pic:cNvPicPr>
                            <a:picLocks noChangeAspect="1" noChangeArrowheads="1"/>
                          </pic:cNvPicPr>
                        </pic:nvPicPr>
                        <pic:blipFill>
                          <a:blip r:embed="rId124"/>
                          <a:stretch>
                            <a:fillRect/>
                          </a:stretch>
                        </pic:blipFill>
                        <pic:spPr bwMode="auto">
                          <a:xfrm>
                            <a:off x="0" y="0"/>
                            <a:ext cx="295275" cy="291465"/>
                          </a:xfrm>
                          <a:prstGeom prst="rect">
                            <a:avLst/>
                          </a:prstGeom>
                        </pic:spPr>
                      </pic:pic>
                    </a:graphicData>
                  </a:graphic>
                </wp:inline>
              </w:drawing>
            </w:r>
            <w:r>
              <w:rPr>
                <w:spacing w:val="-1"/>
              </w:rPr>
              <w:t>   </w:t>
            </w:r>
            <w:r>
              <w:rPr>
                <w:color w:val="0070CD"/>
                <w:spacing w:val="-1"/>
              </w:rPr>
              <w:t xml:space="preserve"> </w:t>
            </w:r>
            <w:r>
              <w:rPr>
                <w:b/>
                <w:color w:val="0070CD"/>
                <w:spacing w:val="-1"/>
                <w:sz w:val="24"/>
              </w:rPr>
              <w:t>Nominating And Corporate Governance Committee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36" w:type="dxa"/>
            <w:tcBorders/>
            <w:vAlign w:val="center"/>
          </w:tcPr>
          <w:p>
            <w:pPr>
              <w:pStyle w:val="TableContents"/>
              <w:bidi w:val="0"/>
              <w:spacing w:before="0" w:after="0"/>
              <w:jc w:val="center"/>
              <w:rPr/>
            </w:pPr>
            <w:r>
              <w:rPr/>
              <w:drawing>
                <wp:inline distT="0" distB="0" distL="0" distR="0">
                  <wp:extent cx="895350" cy="904875"/>
                  <wp:effectExtent l="0" t="0" r="0" b="0"/>
                  <wp:docPr id="26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08" descr=""/>
                          <pic:cNvPicPr>
                            <a:picLocks noChangeAspect="1" noChangeArrowheads="1"/>
                          </pic:cNvPicPr>
                        </pic:nvPicPr>
                        <pic:blipFill>
                          <a:blip r:embed="rId125"/>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6" w:type="dxa"/>
            <w:tcBorders/>
            <w:vAlign w:val="center"/>
          </w:tcPr>
          <w:p>
            <w:pPr>
              <w:pStyle w:val="TableContents"/>
              <w:bidi w:val="0"/>
              <w:spacing w:before="0" w:after="0"/>
              <w:jc w:val="center"/>
              <w:rPr/>
            </w:pPr>
            <w:r>
              <w:rPr/>
              <w:drawing>
                <wp:inline distT="0" distB="0" distL="0" distR="0">
                  <wp:extent cx="895350" cy="904875"/>
                  <wp:effectExtent l="0" t="0" r="0" b="0"/>
                  <wp:docPr id="26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09" descr=""/>
                          <pic:cNvPicPr>
                            <a:picLocks noChangeAspect="1" noChangeArrowheads="1"/>
                          </pic:cNvPicPr>
                        </pic:nvPicPr>
                        <pic:blipFill>
                          <a:blip r:embed="rId126"/>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0"/>
              <w:jc w:val="center"/>
              <w:rPr/>
            </w:pPr>
            <w:r>
              <w:rPr/>
              <w:drawing>
                <wp:inline distT="0" distB="0" distL="0" distR="0">
                  <wp:extent cx="895350" cy="904875"/>
                  <wp:effectExtent l="0" t="0" r="0" b="0"/>
                  <wp:docPr id="26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10" descr=""/>
                          <pic:cNvPicPr>
                            <a:picLocks noChangeAspect="1" noChangeArrowheads="1"/>
                          </pic:cNvPicPr>
                        </pic:nvPicPr>
                        <pic:blipFill>
                          <a:blip r:embed="rId127"/>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lineRule="atLeast" w:line="325" w:before="0" w:after="283"/>
              <w:jc w:val="center"/>
              <w:rPr>
                <w:b/>
                <w:color w:val="0055B7"/>
                <w:sz w:val="28"/>
              </w:rPr>
            </w:pPr>
            <w:r>
              <w:rPr>
                <w:b/>
                <w:color w:val="0055B7"/>
                <w:spacing w:val="-4"/>
                <w:sz w:val="28"/>
              </w:rPr>
              <w:t>100%</w:t>
            </w:r>
            <w:r>
              <w:rPr>
                <w:b/>
                <w:color w:val="0055B7"/>
                <w:sz w:val="28"/>
              </w:rPr>
              <w:t xml:space="preserve"> </w:t>
            </w:r>
          </w:p>
          <w:p>
            <w:pPr>
              <w:pStyle w:val="TableContents"/>
              <w:bidi w:val="0"/>
              <w:spacing w:lineRule="atLeast" w:line="285" w:before="45" w:after="283"/>
              <w:jc w:val="center"/>
              <w:rPr>
                <w:sz w:val="24"/>
              </w:rPr>
            </w:pPr>
            <w:r>
              <w:rPr>
                <w:spacing w:val="-2"/>
                <w:sz w:val="24"/>
              </w:rPr>
              <w:t>Independent</w:t>
            </w:r>
            <w:r>
              <w:rPr>
                <w:sz w:val="2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36" w:type="dxa"/>
            <w:tcBorders/>
            <w:vAlign w:val="center"/>
          </w:tcPr>
          <w:p>
            <w:pPr>
              <w:pStyle w:val="TableContents"/>
              <w:bidi w:val="0"/>
              <w:spacing w:before="0" w:after="0"/>
              <w:jc w:val="center"/>
              <w:rPr/>
            </w:pPr>
            <w:r>
              <w:rPr>
                <w:spacing w:val="0"/>
              </w:rPr>
              <w:t>Robert R. Schmidt</w:t>
            </w:r>
            <w:r>
              <w:rPr/>
              <w:t xml:space="preserve"> </w:t>
              <w:br/>
            </w:r>
            <w:r>
              <w:rPr>
                <w:color w:val="0070CD"/>
                <w:spacing w:val="0"/>
              </w:rPr>
              <w:t>Chair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6" w:type="dxa"/>
            <w:tcBorders/>
            <w:vAlign w:val="center"/>
          </w:tcPr>
          <w:p>
            <w:pPr>
              <w:pStyle w:val="TableContents"/>
              <w:bidi w:val="0"/>
              <w:spacing w:before="0" w:after="0"/>
              <w:jc w:val="center"/>
              <w:rPr/>
            </w:pPr>
            <w:r>
              <w:rPr>
                <w:spacing w:val="0"/>
              </w:rPr>
              <w:t>Jacob D. Best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0"/>
              <w:jc w:val="center"/>
              <w:rPr/>
            </w:pPr>
            <w:r>
              <w:rPr>
                <w:spacing w:val="0"/>
              </w:rPr>
              <w:t>Anushka M. Sunder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35" w:after="283"/>
        <w:ind w:left="720" w:right="0" w:hanging="0"/>
        <w:jc w:val="left"/>
        <w:rPr>
          <w:rFonts w:ascii="Arial;Helvetica;sans-serif" w:hAnsi="Arial;Helvetica;sans-serif"/>
          <w:b w:val="false"/>
          <w:i/>
          <w:caps w:val="false"/>
          <w:smallCaps w:val="false"/>
          <w:color w:val="000000"/>
          <w:sz w:val="16"/>
        </w:rPr>
      </w:pPr>
      <w:r>
        <w:rPr>
          <w:rFonts w:ascii="Arial;Helvetica;sans-serif" w:hAnsi="Arial;Helvetica;sans-serif"/>
          <w:b w:val="false"/>
          <w:i/>
          <w:caps w:val="false"/>
          <w:smallCaps w:val="false"/>
          <w:color w:val="000000"/>
          <w:sz w:val="16"/>
        </w:rPr>
        <w:t>The Governance Committee was established in connection with the Company’s IPO consummated in December 2025. The Committee did not have any meetings in 2025.</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Key Responsibilities</w:t>
      </w:r>
      <w:r>
        <w:rPr>
          <w:rFonts w:ascii="Arial;Helvetica;sans-serif" w:hAnsi="Arial;Helvetica;sans-serif"/>
          <w:b/>
          <w:i w:val="false"/>
          <w:caps w:val="false"/>
          <w:smallCaps w:val="false"/>
          <w:color w:val="0070CD"/>
          <w:sz w:val="20"/>
        </w:rPr>
        <w:t xml:space="preserve"> </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Assists the Board in identifying and evaluating director candidates and recommends nominees to the Board for election or appointment;</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8">
                <wp:simplePos x="0" y="0"/>
                <wp:positionH relativeFrom="column">
                  <wp:align>left</wp:align>
                </wp:positionH>
                <wp:positionV relativeFrom="line">
                  <wp:align>top</wp:align>
                </wp:positionV>
                <wp:extent cx="139700" cy="350520"/>
                <wp:effectExtent l="0" t="0" r="0" b="0"/>
                <wp:wrapSquare wrapText="right"/>
                <wp:docPr id="266" name="Frame140"/>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Develops, recommends to the Board, and oversees an annual self-evaluation process for the Board and its Committees;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299">
                <wp:simplePos x="0" y="0"/>
                <wp:positionH relativeFrom="column">
                  <wp:align>left</wp:align>
                </wp:positionH>
                <wp:positionV relativeFrom="line">
                  <wp:align>top</wp:align>
                </wp:positionV>
                <wp:extent cx="139700" cy="350520"/>
                <wp:effectExtent l="0" t="0" r="0" b="0"/>
                <wp:wrapSquare wrapText="right"/>
                <wp:docPr id="267" name="Frame14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Advises the Board on corporate governance matters, including developing and recommending Corporate Governance Guidelines and other governance policies, and reviewing the Company’s governance framework; and</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300">
                <wp:simplePos x="0" y="0"/>
                <wp:positionH relativeFrom="column">
                  <wp:align>left</wp:align>
                </wp:positionH>
                <wp:positionV relativeFrom="line">
                  <wp:align>top</wp:align>
                </wp:positionV>
                <wp:extent cx="139700" cy="350520"/>
                <wp:effectExtent l="0" t="0" r="0" b="0"/>
                <wp:wrapSquare wrapText="right"/>
                <wp:docPr id="268" name="Frame14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Recommends directors of the Board to serve as members and chairpersons of each Committee of the Board and addresses related Committee qualification matters as required by applicable rules.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301">
                <wp:simplePos x="0" y="0"/>
                <wp:positionH relativeFrom="column">
                  <wp:align>left</wp:align>
                </wp:positionH>
                <wp:positionV relativeFrom="line">
                  <wp:align>top</wp:align>
                </wp:positionV>
                <wp:extent cx="139700" cy="350520"/>
                <wp:effectExtent l="0" t="0" r="0" b="0"/>
                <wp:wrapSquare wrapText="right"/>
                <wp:docPr id="269" name="Frame14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tbl>
      <w:tblPr>
        <w:tblW w:w="10909" w:type="dxa"/>
        <w:jc w:val="left"/>
        <w:tblInd w:w="720" w:type="dxa"/>
        <w:tblLayout w:type="fixed"/>
        <w:tblCellMar>
          <w:top w:w="0" w:type="dxa"/>
          <w:left w:w="0" w:type="dxa"/>
          <w:bottom w:w="0" w:type="dxa"/>
          <w:right w:w="0" w:type="dxa"/>
        </w:tblCellMar>
      </w:tblPr>
      <w:tblGrid>
        <w:gridCol w:w="124"/>
        <w:gridCol w:w="1496"/>
        <w:gridCol w:w="109"/>
        <w:gridCol w:w="109"/>
        <w:gridCol w:w="1496"/>
        <w:gridCol w:w="109"/>
        <w:gridCol w:w="109"/>
        <w:gridCol w:w="1496"/>
        <w:gridCol w:w="109"/>
        <w:gridCol w:w="109"/>
        <w:gridCol w:w="1496"/>
        <w:gridCol w:w="109"/>
        <w:gridCol w:w="109"/>
        <w:gridCol w:w="1496"/>
        <w:gridCol w:w="109"/>
        <w:gridCol w:w="109"/>
        <w:gridCol w:w="173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304" w:type="dxa"/>
            <w:gridSpan w:val="16"/>
            <w:tcBorders/>
            <w:vAlign w:val="center"/>
          </w:tcPr>
          <w:p>
            <w:pPr>
              <w:pStyle w:val="TableContents"/>
              <w:bidi w:val="0"/>
              <w:spacing w:before="0" w:after="283"/>
              <w:jc w:val="left"/>
              <w:rPr/>
            </w:pPr>
            <w:r>
              <w:rPr/>
              <w:drawing>
                <wp:inline distT="0" distB="0" distL="0" distR="0">
                  <wp:extent cx="200025" cy="260350"/>
                  <wp:effectExtent l="0" t="0" r="0" b="0"/>
                  <wp:docPr id="27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11" descr=""/>
                          <pic:cNvPicPr>
                            <a:picLocks noChangeAspect="1" noChangeArrowheads="1"/>
                          </pic:cNvPicPr>
                        </pic:nvPicPr>
                        <pic:blipFill>
                          <a:blip r:embed="rId128"/>
                          <a:stretch>
                            <a:fillRect/>
                          </a:stretch>
                        </pic:blipFill>
                        <pic:spPr bwMode="auto">
                          <a:xfrm>
                            <a:off x="0" y="0"/>
                            <a:ext cx="200025" cy="260350"/>
                          </a:xfrm>
                          <a:prstGeom prst="rect">
                            <a:avLst/>
                          </a:prstGeom>
                        </pic:spPr>
                      </pic:pic>
                    </a:graphicData>
                  </a:graphic>
                </wp:inline>
              </w:drawing>
            </w:r>
            <w:r>
              <w:rPr>
                <w:spacing w:val="-1"/>
              </w:rPr>
              <w:t>   </w:t>
            </w:r>
            <w:r>
              <w:rPr>
                <w:b/>
                <w:color w:val="0070CD"/>
                <w:spacing w:val="-1"/>
                <w:sz w:val="24"/>
              </w:rPr>
              <w:t>Risk and Compliance Committee</w:t>
            </w:r>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lineRule="atLeast" w:line="325" w:before="0" w:after="0"/>
              <w:jc w:val="center"/>
              <w:rPr/>
            </w:pPr>
            <w:r>
              <w:rPr/>
              <w:drawing>
                <wp:inline distT="0" distB="0" distL="0" distR="0">
                  <wp:extent cx="895350" cy="904875"/>
                  <wp:effectExtent l="0" t="0" r="0" b="0"/>
                  <wp:docPr id="27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12" descr=""/>
                          <pic:cNvPicPr>
                            <a:picLocks noChangeAspect="1" noChangeArrowheads="1"/>
                          </pic:cNvPicPr>
                        </pic:nvPicPr>
                        <pic:blipFill>
                          <a:blip r:embed="rId129"/>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lineRule="atLeast" w:line="325" w:before="0" w:after="0"/>
              <w:jc w:val="center"/>
              <w:rPr/>
            </w:pPr>
            <w:r>
              <w:rPr/>
              <w:drawing>
                <wp:inline distT="0" distB="0" distL="0" distR="0">
                  <wp:extent cx="895350" cy="904875"/>
                  <wp:effectExtent l="0" t="0" r="0" b="0"/>
                  <wp:docPr id="27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13" descr=""/>
                          <pic:cNvPicPr>
                            <a:picLocks noChangeAspect="1" noChangeArrowheads="1"/>
                          </pic:cNvPicPr>
                        </pic:nvPicPr>
                        <pic:blipFill>
                          <a:blip r:embed="rId130"/>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lineRule="atLeast" w:line="325" w:before="0" w:after="0"/>
              <w:jc w:val="center"/>
              <w:rPr/>
            </w:pPr>
            <w:r>
              <w:rPr/>
              <w:drawing>
                <wp:inline distT="0" distB="0" distL="0" distR="0">
                  <wp:extent cx="895350" cy="904875"/>
                  <wp:effectExtent l="0" t="0" r="0" b="0"/>
                  <wp:docPr id="27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14" descr=""/>
                          <pic:cNvPicPr>
                            <a:picLocks noChangeAspect="1" noChangeArrowheads="1"/>
                          </pic:cNvPicPr>
                        </pic:nvPicPr>
                        <pic:blipFill>
                          <a:blip r:embed="rId131"/>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lineRule="atLeast" w:line="325" w:before="0" w:after="0"/>
              <w:jc w:val="center"/>
              <w:rPr/>
            </w:pPr>
            <w:r>
              <w:rPr/>
              <w:drawing>
                <wp:inline distT="0" distB="0" distL="0" distR="0">
                  <wp:extent cx="895350" cy="904875"/>
                  <wp:effectExtent l="0" t="0" r="0" b="0"/>
                  <wp:docPr id="27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15" descr=""/>
                          <pic:cNvPicPr>
                            <a:picLocks noChangeAspect="1" noChangeArrowheads="1"/>
                          </pic:cNvPicPr>
                        </pic:nvPicPr>
                        <pic:blipFill>
                          <a:blip r:embed="rId132"/>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lineRule="atLeast" w:line="325" w:before="0" w:after="0"/>
              <w:jc w:val="center"/>
              <w:rPr/>
            </w:pPr>
            <w:r>
              <w:rPr/>
              <w:drawing>
                <wp:inline distT="0" distB="0" distL="0" distR="0">
                  <wp:extent cx="895350" cy="904875"/>
                  <wp:effectExtent l="0" t="0" r="0" b="0"/>
                  <wp:docPr id="27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16" descr=""/>
                          <pic:cNvPicPr>
                            <a:picLocks noChangeAspect="1" noChangeArrowheads="1"/>
                          </pic:cNvPicPr>
                        </pic:nvPicPr>
                        <pic:blipFill>
                          <a:blip r:embed="rId133"/>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734" w:type="dxa"/>
            <w:vMerge w:val="restart"/>
            <w:tcBorders/>
            <w:vAlign w:val="center"/>
          </w:tcPr>
          <w:p>
            <w:pPr>
              <w:pStyle w:val="TableContents"/>
              <w:bidi w:val="0"/>
              <w:spacing w:lineRule="atLeast" w:line="325" w:before="0" w:after="283"/>
              <w:jc w:val="center"/>
              <w:rPr>
                <w:b/>
                <w:color w:val="0055B7"/>
                <w:sz w:val="28"/>
              </w:rPr>
            </w:pPr>
            <w:r>
              <w:rPr>
                <w:b/>
                <w:color w:val="0055B7"/>
                <w:spacing w:val="-4"/>
                <w:sz w:val="28"/>
              </w:rPr>
              <w:t>80%</w:t>
            </w:r>
            <w:r>
              <w:rPr>
                <w:b/>
                <w:color w:val="0055B7"/>
                <w:sz w:val="28"/>
              </w:rPr>
              <w:t xml:space="preserve"> </w:t>
            </w:r>
          </w:p>
          <w:p>
            <w:pPr>
              <w:pStyle w:val="TableContents"/>
              <w:bidi w:val="0"/>
              <w:spacing w:lineRule="atLeast" w:line="285" w:before="45" w:after="283"/>
              <w:jc w:val="center"/>
              <w:rPr>
                <w:sz w:val="24"/>
              </w:rPr>
            </w:pPr>
            <w:r>
              <w:rPr>
                <w:spacing w:val="-2"/>
                <w:sz w:val="24"/>
              </w:rPr>
              <w:t>Independent</w:t>
            </w:r>
            <w:r>
              <w:rPr>
                <w:sz w:val="24"/>
              </w:rPr>
              <w:t xml:space="preserve"> </w:t>
            </w:r>
          </w:p>
          <w:p>
            <w:pPr>
              <w:pStyle w:val="TableContents"/>
              <w:bidi w:val="0"/>
              <w:spacing w:lineRule="atLeast" w:line="325" w:before="160" w:after="283"/>
              <w:ind w:left="840" w:right="0" w:hanging="0"/>
              <w:jc w:val="left"/>
              <w:rPr>
                <w:b/>
                <w:color w:val="0055B7"/>
                <w:sz w:val="28"/>
              </w:rPr>
            </w:pPr>
            <w:r>
              <w:rPr>
                <w:b/>
                <w:color w:val="0055B7"/>
                <w:spacing w:val="-4"/>
                <w:sz w:val="28"/>
              </w:rPr>
              <w:t>4</w:t>
            </w:r>
            <w:r>
              <w:rPr>
                <w:b/>
                <w:color w:val="0055B7"/>
                <w:sz w:val="28"/>
              </w:rPr>
              <w:t xml:space="preserve"> </w:t>
            </w:r>
          </w:p>
          <w:p>
            <w:pPr>
              <w:pStyle w:val="TableContents"/>
              <w:bidi w:val="0"/>
              <w:spacing w:lineRule="atLeast" w:line="285" w:before="45" w:after="283"/>
              <w:jc w:val="center"/>
              <w:rPr>
                <w:sz w:val="24"/>
              </w:rPr>
            </w:pPr>
            <w:r>
              <w:rPr>
                <w:spacing w:val="-2"/>
                <w:sz w:val="24"/>
              </w:rPr>
              <w:t>Meetings in 2025*</w:t>
            </w:r>
            <w:r>
              <w:rPr>
                <w:sz w:val="24"/>
              </w:rPr>
              <w:t xml:space="preserve">​ </w:t>
            </w:r>
          </w:p>
        </w:tc>
        <w:tc>
          <w:tcPr>
            <w:tcW w:w="109" w:type="dxa"/>
            <w:vMerge w:val="restart"/>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before="0" w:after="0"/>
              <w:jc w:val="center"/>
              <w:rPr/>
            </w:pPr>
            <w:r>
              <w:rPr>
                <w:spacing w:val="0"/>
              </w:rPr>
              <w:t>Jacob D. Best</w:t>
            </w:r>
            <w:r>
              <w:rPr/>
              <w:t xml:space="preserve"> </w:t>
              <w:br/>
            </w:r>
            <w:r>
              <w:rPr>
                <w:color w:val="0070CD"/>
                <w:spacing w:val="0"/>
              </w:rPr>
              <w:t>Chair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before="0" w:after="0"/>
              <w:jc w:val="center"/>
              <w:rPr/>
            </w:pPr>
            <w:r>
              <w:rPr>
                <w:spacing w:val="0"/>
              </w:rPr>
              <w:t>Charles N. Mills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before="0" w:after="0"/>
              <w:jc w:val="center"/>
              <w:rPr/>
            </w:pPr>
            <w:r>
              <w:rPr>
                <w:spacing w:val="0"/>
              </w:rPr>
              <w:t>Robert R. Schmidt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before="0" w:after="0"/>
              <w:jc w:val="center"/>
              <w:rPr/>
            </w:pPr>
            <w:r>
              <w:rPr>
                <w:spacing w:val="0"/>
              </w:rPr>
              <w:t>Anushka M. Sunder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before="0" w:after="0"/>
              <w:jc w:val="center"/>
              <w:rPr/>
            </w:pPr>
            <w:r>
              <w:rPr>
                <w:spacing w:val="0"/>
              </w:rPr>
              <w:t>Thomas W. Sweet</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73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35" w:after="283"/>
        <w:ind w:left="72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Includes meetings of the pre-IPO Board of Managers of Medline Holdings GP, LLC.</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Key Responsibilities</w:t>
      </w:r>
      <w:r>
        <w:rPr>
          <w:rFonts w:ascii="Arial;Helvetica;sans-serif" w:hAnsi="Arial;Helvetica;sans-serif"/>
          <w:b/>
          <w:i w:val="false"/>
          <w:caps w:val="false"/>
          <w:smallCaps w:val="false"/>
          <w:color w:val="0070CD"/>
          <w:sz w:val="20"/>
        </w:rPr>
        <w:t xml:space="preserve"> </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Oversees management’s identification and evaluation of key legal and regulatory compliance risks and the Company’s ethics and compliance program, plans, and policies designed to address such risks;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302">
                <wp:simplePos x="0" y="0"/>
                <wp:positionH relativeFrom="column">
                  <wp:align>left</wp:align>
                </wp:positionH>
                <wp:positionV relativeFrom="line">
                  <wp:align>top</wp:align>
                </wp:positionV>
                <wp:extent cx="139700" cy="350520"/>
                <wp:effectExtent l="0" t="0" r="0" b="0"/>
                <wp:wrapSquare wrapText="right"/>
                <wp:docPr id="276" name="Frame14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Reviews with management the Company’s risk assessment and risk management guidelines and practices, including monitoring and mitigation of key existing and emerging enterprise risks;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303">
                <wp:simplePos x="0" y="0"/>
                <wp:positionH relativeFrom="column">
                  <wp:align>left</wp:align>
                </wp:positionH>
                <wp:positionV relativeFrom="line">
                  <wp:align>top</wp:align>
                </wp:positionV>
                <wp:extent cx="139700" cy="350520"/>
                <wp:effectExtent l="0" t="0" r="0" b="0"/>
                <wp:wrapSquare wrapText="right"/>
                <wp:docPr id="277" name="Frame14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Oversees specified risk areas, including cybersecurity and information technology risks and the Company’s sustainability strategy, risks, goals, policies, practices, and disclosures; and</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304">
                <wp:simplePos x="0" y="0"/>
                <wp:positionH relativeFrom="column">
                  <wp:align>left</wp:align>
                </wp:positionH>
                <wp:positionV relativeFrom="line">
                  <wp:align>top</wp:align>
                </wp:positionV>
                <wp:extent cx="139700" cy="350520"/>
                <wp:effectExtent l="0" t="0" r="0" b="0"/>
                <wp:wrapSquare wrapText="right"/>
                <wp:docPr id="278" name="Frame14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Coordinates and provides input regarding the allocation of risk oversight responsibilities among the Board and its Committees, and reviews significant legal and regulatory matters and related risk disclosures.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305">
                <wp:simplePos x="0" y="0"/>
                <wp:positionH relativeFrom="column">
                  <wp:align>left</wp:align>
                </wp:positionH>
                <wp:positionV relativeFrom="line">
                  <wp:align>top</wp:align>
                </wp:positionV>
                <wp:extent cx="139700" cy="350520"/>
                <wp:effectExtent l="0" t="0" r="0" b="0"/>
                <wp:wrapSquare wrapText="right"/>
                <wp:docPr id="279" name="Frame14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Ethics And Compliance Helpline</w:t>
      </w:r>
      <w:r>
        <w:rPr>
          <w:rFonts w:ascii="Arial;Helvetica;sans-serif" w:hAnsi="Arial;Helvetica;sans-serif"/>
          <w:b/>
          <w:i w:val="false"/>
          <w:caps w:val="false"/>
          <w:smallCaps w:val="false"/>
          <w:color w:val="0070CD"/>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in coordination with the Risk Committee, establishes and oversees procedures for the receipt, retention, and treatment of complaints regarding accounting, internal accounting controls, or auditing matters. The Audit Committee also oversees procedures for the confidential, anonymous submission by Medline employees of concerns regarding these matters, including mechanisms that allow employees to communicate directly with the Audit Committee or its designee. To report a concern online or to obtain a local phone number to report by phone, including anonymously, visit medline.ethicspoint.com.</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25</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EL"/>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283"/>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Director Engagement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Meeting Attendance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Board and Committee Meeting Attendance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All directors are expected to make every effort to attend all meetings of the Board and meetings of the Committees of which they are members. During 2025, the Board held 4 meetings and the Committees of the Board held a total of 16 meetings. No incumbent director attended fewer than 75% of the aggregate of the total number of meetings of the Board and the Committees on which, and during the period that, they served.</w:t>
      </w:r>
      <w:r>
        <w:rPr>
          <w:rFonts w:ascii="Arial;Helvetica;sans-serif" w:hAnsi="Arial;Helvetica;sans-serif"/>
          <w:b w:val="false"/>
          <w:i w:val="false"/>
          <w:caps w:val="false"/>
          <w:smallCaps w:val="false"/>
          <w:color w:val="000000"/>
          <w:spacing w:val="4"/>
          <w:sz w:val="18"/>
        </w:rPr>
        <w:t xml:space="preserve"> </w:t>
      </w:r>
    </w:p>
    <w:tbl>
      <w:tblPr>
        <w:tblW w:w="7401" w:type="dxa"/>
        <w:jc w:val="left"/>
        <w:tblInd w:w="720" w:type="dxa"/>
        <w:tblLayout w:type="fixed"/>
        <w:tblCellMar>
          <w:top w:w="0" w:type="dxa"/>
          <w:left w:w="0" w:type="dxa"/>
          <w:bottom w:w="28" w:type="dxa"/>
          <w:right w:w="0" w:type="dxa"/>
        </w:tblCellMar>
      </w:tblPr>
      <w:tblGrid>
        <w:gridCol w:w="124"/>
        <w:gridCol w:w="637"/>
        <w:gridCol w:w="109"/>
        <w:gridCol w:w="109"/>
        <w:gridCol w:w="1561"/>
        <w:gridCol w:w="109"/>
        <w:gridCol w:w="109"/>
        <w:gridCol w:w="1561"/>
        <w:gridCol w:w="109"/>
        <w:gridCol w:w="109"/>
        <w:gridCol w:w="1246"/>
        <w:gridCol w:w="109"/>
        <w:gridCol w:w="109"/>
        <w:gridCol w:w="124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37" w:type="dxa"/>
            <w:tcBorders>
              <w:bottom w:val="single" w:sz="2" w:space="0" w:color="FFFFFF"/>
            </w:tcBorders>
            <w:vAlign w:val="center"/>
          </w:tcPr>
          <w:p>
            <w:pPr>
              <w:pStyle w:val="TableContents"/>
              <w:bidi w:val="0"/>
              <w:spacing w:before="0" w:after="0"/>
              <w:jc w:val="center"/>
              <w:rPr>
                <w:color w:val="0055B7"/>
                <w:sz w:val="24"/>
              </w:rPr>
            </w:pPr>
            <w:r>
              <w:rPr>
                <w:color w:val="0055B7"/>
                <w:spacing w:val="-3"/>
                <w:sz w:val="24"/>
              </w:rPr>
              <w:t>2025</w:t>
            </w:r>
            <w:r>
              <w:rPr>
                <w:color w:val="000000"/>
                <w:sz w:val="24"/>
              </w:rPr>
              <w:t>​</w:t>
            </w:r>
            <w:r>
              <w:rPr>
                <w:color w:val="0055B7"/>
                <w:sz w:val="2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61" w:type="dxa"/>
            <w:tcBorders>
              <w:bottom w:val="single" w:sz="2" w:space="0" w:color="000000"/>
            </w:tcBorders>
            <w:vAlign w:val="center"/>
          </w:tcPr>
          <w:p>
            <w:pPr>
              <w:pStyle w:val="TableContents"/>
              <w:bidi w:val="0"/>
              <w:spacing w:lineRule="atLeast" w:line="225" w:before="0" w:after="0"/>
              <w:jc w:val="center"/>
              <w:rPr/>
            </w:pPr>
            <w:r>
              <w:rPr>
                <w:spacing w:val="0"/>
              </w:rPr>
              <w:t xml:space="preserve">Board </w:t>
              <w:br/>
              <w:t>Meetings Held</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61" w:type="dxa"/>
            <w:tcBorders>
              <w:bottom w:val="single" w:sz="2" w:space="0" w:color="000000"/>
            </w:tcBorders>
            <w:vAlign w:val="center"/>
          </w:tcPr>
          <w:p>
            <w:pPr>
              <w:pStyle w:val="TableContents"/>
              <w:bidi w:val="0"/>
              <w:spacing w:lineRule="atLeast" w:line="225" w:before="0" w:after="0"/>
              <w:jc w:val="center"/>
              <w:rPr/>
            </w:pPr>
            <w:r>
              <w:rPr>
                <w:spacing w:val="0"/>
              </w:rPr>
              <w:t xml:space="preserve">Committees </w:t>
              <w:br/>
              <w:t>Meetings Held</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6" w:type="dxa"/>
            <w:tcBorders>
              <w:bottom w:val="single" w:sz="2" w:space="0" w:color="000000"/>
            </w:tcBorders>
            <w:vAlign w:val="center"/>
          </w:tcPr>
          <w:p>
            <w:pPr>
              <w:pStyle w:val="TableContents"/>
              <w:bidi w:val="0"/>
              <w:spacing w:lineRule="atLeast" w:line="225" w:before="0" w:after="0"/>
              <w:jc w:val="center"/>
              <w:rPr/>
            </w:pPr>
            <w:r>
              <w:rPr>
                <w:spacing w:val="0"/>
              </w:rPr>
              <w:t xml:space="preserve">Board </w:t>
              <w:br/>
              <w:t>Attendance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6" w:type="dxa"/>
            <w:tcBorders>
              <w:bottom w:val="single" w:sz="2" w:space="0" w:color="000000"/>
            </w:tcBorders>
            <w:vAlign w:val="center"/>
          </w:tcPr>
          <w:p>
            <w:pPr>
              <w:pStyle w:val="TableContents"/>
              <w:bidi w:val="0"/>
              <w:spacing w:lineRule="atLeast" w:line="225" w:before="0" w:after="0"/>
              <w:jc w:val="center"/>
              <w:rPr/>
            </w:pPr>
            <w:r>
              <w:rPr>
                <w:spacing w:val="0"/>
              </w:rPr>
              <w:t xml:space="preserve">Committee </w:t>
              <w:br/>
              <w:t>Attendance</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1" w:type="dxa"/>
            <w:tcBorders/>
            <w:tcMar>
              <w:bottom w:w="0" w:type="dxa"/>
            </w:tcMar>
            <w:vAlign w:val="center"/>
          </w:tcPr>
          <w:p>
            <w:pPr>
              <w:pStyle w:val="TableContents"/>
              <w:bidi w:val="0"/>
              <w:spacing w:lineRule="atLeast" w:line="325" w:before="0" w:after="0"/>
              <w:jc w:val="center"/>
              <w:rPr>
                <w:b/>
                <w:sz w:val="28"/>
              </w:rPr>
            </w:pPr>
            <w:r>
              <w:rPr>
                <w:b/>
                <w:spacing w:val="-4"/>
                <w:sz w:val="28"/>
              </w:rPr>
              <w:t>4</w:t>
            </w:r>
            <w:r>
              <w:rPr>
                <w:b/>
                <w:sz w:val="28"/>
              </w:rPr>
              <w:t xml:space="preserve">​ </w:t>
            </w:r>
          </w:p>
          <w:p>
            <w:pPr>
              <w:pStyle w:val="TableContents"/>
              <w:bidi w:val="0"/>
              <w:spacing w:before="45" w:after="283"/>
              <w:jc w:val="center"/>
              <w:rPr/>
            </w:pPr>
            <w:r>
              <w:rPr/>
              <w:drawing>
                <wp:inline distT="0" distB="0" distL="0" distR="0">
                  <wp:extent cx="342900" cy="266700"/>
                  <wp:effectExtent l="0" t="0" r="0" b="0"/>
                  <wp:docPr id="28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7" descr=""/>
                          <pic:cNvPicPr>
                            <a:picLocks noChangeAspect="1" noChangeArrowheads="1"/>
                          </pic:cNvPicPr>
                        </pic:nvPicPr>
                        <pic:blipFill>
                          <a:blip r:embed="rId134"/>
                          <a:stretch>
                            <a:fillRect/>
                          </a:stretch>
                        </pic:blipFill>
                        <pic:spPr bwMode="auto">
                          <a:xfrm>
                            <a:off x="0" y="0"/>
                            <a:ext cx="342900" cy="2667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1" w:type="dxa"/>
            <w:tcBorders/>
            <w:tcMar>
              <w:bottom w:w="0" w:type="dxa"/>
            </w:tcMar>
            <w:vAlign w:val="center"/>
          </w:tcPr>
          <w:p>
            <w:pPr>
              <w:pStyle w:val="TableContents"/>
              <w:bidi w:val="0"/>
              <w:spacing w:lineRule="atLeast" w:line="325" w:before="0" w:after="0"/>
              <w:jc w:val="center"/>
              <w:rPr>
                <w:b/>
                <w:sz w:val="28"/>
              </w:rPr>
            </w:pPr>
            <w:r>
              <w:rPr>
                <w:b/>
                <w:spacing w:val="-4"/>
                <w:sz w:val="28"/>
              </w:rPr>
              <w:t>16</w:t>
            </w:r>
            <w:r>
              <w:rPr>
                <w:b/>
                <w:sz w:val="28"/>
              </w:rPr>
              <w:t xml:space="preserve">​ </w:t>
            </w:r>
          </w:p>
          <w:p>
            <w:pPr>
              <w:pStyle w:val="TableContents"/>
              <w:bidi w:val="0"/>
              <w:spacing w:before="45" w:after="283"/>
              <w:jc w:val="center"/>
              <w:rPr/>
            </w:pPr>
            <w:r>
              <w:rPr/>
              <w:drawing>
                <wp:inline distT="0" distB="0" distL="0" distR="0">
                  <wp:extent cx="342900" cy="266700"/>
                  <wp:effectExtent l="0" t="0" r="0" b="0"/>
                  <wp:docPr id="28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18" descr=""/>
                          <pic:cNvPicPr>
                            <a:picLocks noChangeAspect="1" noChangeArrowheads="1"/>
                          </pic:cNvPicPr>
                        </pic:nvPicPr>
                        <pic:blipFill>
                          <a:blip r:embed="rId135"/>
                          <a:stretch>
                            <a:fillRect/>
                          </a:stretch>
                        </pic:blipFill>
                        <pic:spPr bwMode="auto">
                          <a:xfrm>
                            <a:off x="0" y="0"/>
                            <a:ext cx="342900" cy="2667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lineRule="atLeast" w:line="325" w:before="0" w:after="0"/>
              <w:jc w:val="center"/>
              <w:rPr>
                <w:b/>
                <w:sz w:val="28"/>
              </w:rPr>
            </w:pPr>
            <w:r>
              <w:rPr>
                <w:b/>
                <w:spacing w:val="-4"/>
                <w:sz w:val="28"/>
              </w:rPr>
              <w:t>&gt;75%</w:t>
            </w:r>
            <w:r>
              <w:rPr>
                <w:b/>
                <w:sz w:val="28"/>
              </w:rPr>
              <w:t xml:space="preserve">​ </w:t>
            </w:r>
          </w:p>
          <w:p>
            <w:pPr>
              <w:pStyle w:val="TableContents"/>
              <w:bidi w:val="0"/>
              <w:spacing w:before="45" w:after="283"/>
              <w:jc w:val="center"/>
              <w:rPr/>
            </w:pPr>
            <w:r>
              <w:rPr/>
              <w:drawing>
                <wp:inline distT="0" distB="0" distL="0" distR="0">
                  <wp:extent cx="238125" cy="238125"/>
                  <wp:effectExtent l="0" t="0" r="0" b="0"/>
                  <wp:docPr id="28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19" descr=""/>
                          <pic:cNvPicPr>
                            <a:picLocks noChangeAspect="1" noChangeArrowheads="1"/>
                          </pic:cNvPicPr>
                        </pic:nvPicPr>
                        <pic:blipFill>
                          <a:blip r:embed="rId136"/>
                          <a:stretch>
                            <a:fillRect/>
                          </a:stretch>
                        </pic:blipFill>
                        <pic:spPr bwMode="auto">
                          <a:xfrm>
                            <a:off x="0" y="0"/>
                            <a:ext cx="238125" cy="2381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lineRule="atLeast" w:line="325" w:before="0" w:after="0"/>
              <w:jc w:val="center"/>
              <w:rPr>
                <w:b/>
                <w:sz w:val="28"/>
              </w:rPr>
            </w:pPr>
            <w:r>
              <w:rPr>
                <w:b/>
                <w:spacing w:val="-4"/>
                <w:sz w:val="28"/>
              </w:rPr>
              <w:t>&gt;75%</w:t>
            </w:r>
            <w:r>
              <w:rPr>
                <w:b/>
                <w:color w:val="000000"/>
                <w:sz w:val="28"/>
              </w:rPr>
              <w:t>​</w:t>
            </w:r>
            <w:r>
              <w:rPr>
                <w:b/>
                <w:sz w:val="28"/>
              </w:rPr>
              <w:t xml:space="preserve"> </w:t>
            </w:r>
          </w:p>
          <w:p>
            <w:pPr>
              <w:pStyle w:val="TableContents"/>
              <w:bidi w:val="0"/>
              <w:spacing w:before="45" w:after="283"/>
              <w:jc w:val="center"/>
              <w:rPr/>
            </w:pPr>
            <w:r>
              <w:rPr/>
              <w:drawing>
                <wp:inline distT="0" distB="0" distL="0" distR="0">
                  <wp:extent cx="238125" cy="238125"/>
                  <wp:effectExtent l="0" t="0" r="0" b="0"/>
                  <wp:docPr id="28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20" descr=""/>
                          <pic:cNvPicPr>
                            <a:picLocks noChangeAspect="1" noChangeArrowheads="1"/>
                          </pic:cNvPicPr>
                        </pic:nvPicPr>
                        <pic:blipFill>
                          <a:blip r:embed="rId137"/>
                          <a:stretch>
                            <a:fillRect/>
                          </a:stretch>
                        </pic:blipFill>
                        <pic:spPr bwMode="auto">
                          <a:xfrm>
                            <a:off x="0" y="0"/>
                            <a:ext cx="238125" cy="238125"/>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20" w:before="195"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completed our IPO on December 18, 2025. Meetings held prior to our IPO were held by the Board of Managers and the Committees of the Board of Managers, as applicable, of Medline Holdings GP, LLC, the general partner of Medline Holdings, our predecessor. Meetings held after the IPO were held by our Board and the Committees of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Key members of management regularly attend and participate in Board and Committee meetings. Regular attendees include our CEO, CFO, Chief Legal Officer, and other members of the Executive Leadership Team. Other senior leaders attend as meeting topics warrant.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Annual Meeting Attendance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Directors are encouraged, but are not required, to attend our Annual Meeting of Stockholders. The Company did not hold an annual meeting of stockholders in fiscal 2025 since none of our stock was publicly traded prior to December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Director Time Commitments Policy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that directors’ service on the boards of other public companies provides directors with valuable experience and knowledge in governance, oversight, and leadership. The Board also recognizes that public company board service requires significant time and engagement. It is important to Medline that directors are able to commit sufficient time and attention to responsibilities on the Medline Board. The Board’s policy, which is included in our Corporate Governance Guidelines: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6562"/>
        <w:gridCol w:w="109"/>
        <w:gridCol w:w="109"/>
        <w:gridCol w:w="2426"/>
        <w:gridCol w:w="155"/>
      </w:tblGrid>
      <w:tr>
        <w:trPr/>
        <w:tc>
          <w:tcPr>
            <w:tcW w:w="124" w:type="dxa"/>
            <w:tcBorders/>
            <w:vAlign w:val="center"/>
          </w:tcPr>
          <w:p>
            <w:pPr>
              <w:pStyle w:val="TableContents"/>
              <w:bidi w:val="0"/>
              <w:spacing w:before="0" w:after="283"/>
              <w:jc w:val="left"/>
              <w:rPr/>
            </w:pPr>
            <w:r>
              <w:rPr/>
              <w:t>​</w:t>
            </w:r>
          </w:p>
        </w:tc>
        <w:tc>
          <w:tcPr>
            <w:tcW w:w="6562" w:type="dxa"/>
            <w:tcBorders/>
            <w:vAlign w:val="center"/>
          </w:tcPr>
          <w:p>
            <w:pPr>
              <w:pStyle w:val="TableContents"/>
              <w:bidi w:val="0"/>
              <w:spacing w:lineRule="atLeast" w:line="225" w:before="0" w:after="0"/>
              <w:ind w:left="180" w:right="0" w:hanging="0"/>
              <w:jc w:val="left"/>
              <w:rPr/>
            </w:pPr>
            <w:r>
              <w:rPr>
                <w:spacing w:val="-1"/>
              </w:rPr>
              <w:t>Limits directors’ service on the boards of other public companies to three or, for directors who are chief executive officers of public companies, one (each in addition to Medline), unless approved by the Board</w:t>
            </w:r>
            <w:r>
              <w:rPr/>
              <w:t xml:space="preserve"> </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114300" cy="350520"/>
                      <wp:effectExtent l="0" t="0" r="0" b="0"/>
                      <wp:wrapSquare wrapText="right"/>
                      <wp:docPr id="284" name="Frame1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5" w:before="165" w:after="0"/>
              <w:ind w:left="180" w:right="0" w:hanging="0"/>
              <w:jc w:val="left"/>
              <w:rPr/>
            </w:pPr>
            <w:r>
              <w:rPr>
                <w:spacing w:val="-1"/>
              </w:rPr>
              <w:t>Requires that the Board determine whether simultaneous service on more than two other public company audit committees (in addition to Medline) impairs a director’s ability to serve effectively on our Audit Committee</w:t>
            </w:r>
            <w:r>
              <w:rPr/>
              <w:t xml:space="preserve"> </w:t>
            </w:r>
            <w:r>
              <mc:AlternateContent>
                <mc:Choice Requires="wps">
                  <w:drawing>
                    <wp:anchor behindDoc="0" distT="104775" distB="0" distL="0" distR="0" simplePos="0" locked="0" layoutInCell="1" allowOverlap="1" relativeHeight="307">
                      <wp:simplePos x="0" y="0"/>
                      <wp:positionH relativeFrom="column">
                        <wp:align>left</wp:align>
                      </wp:positionH>
                      <wp:positionV relativeFrom="line">
                        <wp:align>top</wp:align>
                      </wp:positionV>
                      <wp:extent cx="114300" cy="350520"/>
                      <wp:effectExtent l="0" t="0" r="0" b="0"/>
                      <wp:wrapSquare wrapText="right"/>
                      <wp:docPr id="285" name="Frame14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25pt;mso-wrap-distance-bottom:0pt;margin-top:8.25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5" w:before="165" w:after="0"/>
              <w:ind w:left="180" w:right="0" w:hanging="0"/>
              <w:jc w:val="left"/>
              <w:rPr/>
            </w:pPr>
            <w:r>
              <w:rPr>
                <w:spacing w:val="-1"/>
              </w:rPr>
              <w:t>Establishes an expectation that directors consult with the Board Chair, the Chair of the Governance Committee, and the Corporate Secretary before accepting an offer to serve on another public company board or as a member of the audit committee of another public company</w:t>
            </w:r>
            <w:r>
              <w:rPr/>
              <w:t xml:space="preserve"> </w:t>
            </w:r>
            <w:r>
              <mc:AlternateContent>
                <mc:Choice Requires="wps">
                  <w:drawing>
                    <wp:anchor behindDoc="0" distT="104775" distB="0" distL="0" distR="0" simplePos="0" locked="0" layoutInCell="1" allowOverlap="1" relativeHeight="308">
                      <wp:simplePos x="0" y="0"/>
                      <wp:positionH relativeFrom="column">
                        <wp:align>left</wp:align>
                      </wp:positionH>
                      <wp:positionV relativeFrom="line">
                        <wp:align>top</wp:align>
                      </wp:positionV>
                      <wp:extent cx="114300" cy="350520"/>
                      <wp:effectExtent l="0" t="0" r="0" b="0"/>
                      <wp:wrapSquare wrapText="right"/>
                      <wp:docPr id="286" name="Frame1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25pt;mso-wrap-distance-bottom:0pt;margin-top:8.25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5" w:before="165" w:after="0"/>
              <w:ind w:left="180" w:right="0" w:hanging="0"/>
              <w:jc w:val="left"/>
              <w:rPr/>
            </w:pPr>
            <w:r>
              <w:rPr>
                <w:spacing w:val="-1"/>
              </w:rPr>
              <w:t>Requires the Governance Committee and Board to take into account the nature and extent of a director’s other commitments when determining whether it is appropriate to nominate that director for re-election</w:t>
            </w:r>
            <w:r>
              <w:rPr/>
              <w:t xml:space="preserve"> </w:t>
            </w:r>
            <w:r>
              <mc:AlternateContent>
                <mc:Choice Requires="wps">
                  <w:drawing>
                    <wp:anchor behindDoc="0" distT="104775" distB="0" distL="0" distR="0" simplePos="0" locked="0" layoutInCell="1" allowOverlap="1" relativeHeight="309">
                      <wp:simplePos x="0" y="0"/>
                      <wp:positionH relativeFrom="column">
                        <wp:align>left</wp:align>
                      </wp:positionH>
                      <wp:positionV relativeFrom="line">
                        <wp:align>top</wp:align>
                      </wp:positionV>
                      <wp:extent cx="114300" cy="350520"/>
                      <wp:effectExtent l="0" t="0" r="0" b="0"/>
                      <wp:wrapSquare wrapText="right"/>
                      <wp:docPr id="287" name="Frame1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25pt;mso-wrap-distance-bottom:0pt;margin-top:8.25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5" w:before="165" w:after="0"/>
              <w:ind w:left="180" w:right="0" w:hanging="0"/>
              <w:jc w:val="left"/>
              <w:rPr>
                <w:spacing w:val="-1"/>
              </w:rPr>
            </w:pPr>
            <w:r>
              <w:rPr>
                <w:spacing w:val="-1"/>
              </w:rPr>
              <w:t xml:space="preserve">Requires directors’ service on the boards and committees of other organizations to be consistent with our Conflicts of Interest Policy </w:t>
            </w:r>
            <w:r>
              <mc:AlternateContent>
                <mc:Choice Requires="wps">
                  <w:drawing>
                    <wp:anchor behindDoc="0" distT="104775" distB="0" distL="0" distR="0" simplePos="0" locked="0" layoutInCell="1" allowOverlap="1" relativeHeight="310">
                      <wp:simplePos x="0" y="0"/>
                      <wp:positionH relativeFrom="column">
                        <wp:align>left</wp:align>
                      </wp:positionH>
                      <wp:positionV relativeFrom="line">
                        <wp:align>top</wp:align>
                      </wp:positionV>
                      <wp:extent cx="114300" cy="350520"/>
                      <wp:effectExtent l="0" t="0" r="0" b="0"/>
                      <wp:wrapSquare wrapText="right"/>
                      <wp:docPr id="288" name="Frame1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25pt;mso-wrap-distance-bottom:0pt;margin-top:8.25pt;mso-position-vertical:top;mso-position-vertical-relative:text;margin-left:0pt;mso-position-horizontal:left;mso-position-horizontal-relative:text">
                      <v:textbox>
                        <w:txbxContent>
                          <w:p>
                            <w:pPr>
                              <w:pStyle w:val="TextBody"/>
                              <w:bidi w:val="0"/>
                              <w:spacing w:lineRule="atLeast" w:line="22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26" w:type="dxa"/>
            <w:tcBorders/>
            <w:vAlign w:val="center"/>
          </w:tcPr>
          <w:p>
            <w:pPr>
              <w:pStyle w:val="TableContents"/>
              <w:bidi w:val="0"/>
              <w:spacing w:before="0" w:after="0"/>
              <w:jc w:val="left"/>
              <w:rPr>
                <w:b/>
                <w:color w:val="0055B7"/>
              </w:rPr>
            </w:pPr>
            <w:r>
              <w:rPr>
                <w:b/>
                <w:color w:val="0055B7"/>
                <w:spacing w:val="-2"/>
              </w:rPr>
              <w:t>DIRECTOR</w:t>
            </w:r>
            <w:r>
              <w:rPr>
                <w:b/>
                <w:color w:val="0055B7"/>
              </w:rPr>
              <w:t xml:space="preserve"> </w:t>
            </w:r>
          </w:p>
          <w:p>
            <w:pPr>
              <w:pStyle w:val="TableContents"/>
              <w:bidi w:val="0"/>
              <w:spacing w:lineRule="atLeast" w:line="180" w:before="45" w:after="283"/>
              <w:jc w:val="left"/>
              <w:rPr/>
            </w:pPr>
            <w:r>
              <w:rPr>
                <w:spacing w:val="-1"/>
              </w:rPr>
              <w:t xml:space="preserve">maximum of </w:t>
            </w:r>
            <w:r>
              <w:rPr>
                <w:b/>
                <w:color w:val="3E8DDD"/>
                <w:spacing w:val="-4"/>
                <w:sz w:val="28"/>
              </w:rPr>
              <w:t>3</w:t>
            </w:r>
            <w:r>
              <w:rPr>
                <w:spacing w:val="-1"/>
              </w:rPr>
              <w:t xml:space="preserve"> other </w:t>
            </w:r>
            <w:r>
              <w:rPr/>
              <w:br/>
            </w:r>
            <w:r>
              <w:rPr>
                <w:spacing w:val="-1"/>
              </w:rPr>
              <w:t xml:space="preserve">public company boards </w:t>
            </w:r>
          </w:p>
          <w:p>
            <w:pPr>
              <w:pStyle w:val="TableContents"/>
              <w:bidi w:val="0"/>
              <w:spacing w:before="600" w:after="283"/>
              <w:jc w:val="left"/>
              <w:rPr>
                <w:b/>
                <w:color w:val="0055B7"/>
              </w:rPr>
            </w:pPr>
            <w:r>
              <w:rPr>
                <w:b/>
                <w:color w:val="0055B7"/>
                <w:spacing w:val="-2"/>
              </w:rPr>
              <w:t>PUBLIC COMPANY CEO</w:t>
            </w:r>
            <w:r>
              <w:rPr>
                <w:b/>
                <w:color w:val="0055B7"/>
              </w:rPr>
              <w:t xml:space="preserve"> </w:t>
            </w:r>
          </w:p>
          <w:p>
            <w:pPr>
              <w:pStyle w:val="TableContents"/>
              <w:bidi w:val="0"/>
              <w:spacing w:lineRule="atLeast" w:line="180" w:before="45" w:after="283"/>
              <w:jc w:val="left"/>
              <w:rPr/>
            </w:pPr>
            <w:r>
              <w:rPr>
                <w:spacing w:val="-1"/>
              </w:rPr>
              <w:t xml:space="preserve">Maximum of </w:t>
            </w:r>
            <w:r>
              <w:rPr>
                <w:b/>
                <w:color w:val="3E8DDD"/>
                <w:spacing w:val="-4"/>
                <w:sz w:val="28"/>
              </w:rPr>
              <w:t>1</w:t>
            </w:r>
            <w:r>
              <w:rPr>
                <w:spacing w:val="-1"/>
              </w:rPr>
              <w:t xml:space="preserve"> other public company board </w:t>
            </w:r>
          </w:p>
          <w:p>
            <w:pPr>
              <w:pStyle w:val="TableContents"/>
              <w:bidi w:val="0"/>
              <w:spacing w:before="600" w:after="283"/>
              <w:jc w:val="left"/>
              <w:rPr>
                <w:b/>
                <w:color w:val="0055B7"/>
              </w:rPr>
            </w:pPr>
            <w:r>
              <w:rPr>
                <w:b/>
                <w:color w:val="0055B7"/>
                <w:spacing w:val="-2"/>
              </w:rPr>
              <w:t>AUDIT COMMITTEE</w:t>
            </w:r>
            <w:r>
              <w:rPr>
                <w:b/>
                <w:color w:val="0055B7"/>
              </w:rPr>
              <w:t xml:space="preserve"> </w:t>
            </w:r>
          </w:p>
          <w:p>
            <w:pPr>
              <w:pStyle w:val="TableContents"/>
              <w:bidi w:val="0"/>
              <w:spacing w:lineRule="atLeast" w:line="180" w:before="45" w:after="283"/>
              <w:jc w:val="left"/>
              <w:rPr/>
            </w:pPr>
            <w:r>
              <w:rPr>
                <w:spacing w:val="-1"/>
              </w:rPr>
              <w:t xml:space="preserve">Maximum of </w:t>
            </w:r>
            <w:r>
              <w:rPr>
                <w:b/>
                <w:color w:val="3E8DDD"/>
                <w:spacing w:val="-4"/>
                <w:sz w:val="28"/>
              </w:rPr>
              <w:t>2</w:t>
            </w:r>
            <w:r>
              <w:rPr>
                <w:spacing w:val="-1"/>
              </w:rPr>
              <w:t xml:space="preserve"> other public company audit committees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95" w:after="283"/>
        <w:ind w:left="7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As of April 13, 2026, all directors and director nominees are in compliance with this policy. The Governance Committee reviews our director time commitments policy as part of its annual review of our Corporate Governance Guidelines. We also review the policies of our institutional investors on an ongoing basis and discuss such policies during our investor engagement calls.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26</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BOR"/>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7200"/>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Director Orientation And Education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New directors participate in an orientation designed to familiarize them with Medline’s business, strategy, and policies, and facilitate direct engagement with senior leaders in the business. Orientation is provided as soon as reasonably practicable after a director’s initial election and typically includes briefings on the Company’s operations and strategic plans, financial reporting, key risks, company culture, and other topics relevant to Board oversight.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Throughout the year, management and outside experts regularly provide presentations to the Board and Committees on our strategic plans, business and financial performance, legal and regulatory matters, compliance programs, developments and events that impact our strategy and business, and other topics of interest to directors. Directors may attend meetings of Committees of which they are not a member. Directors also have unrestricted access to management and are encouraged to meet with management to enhance their understanding of our strategy and business.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Board’s Oversight Role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Strategy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Board’s role is to represent the interests of stockholders and foster the Company’s long-term success. In carrying out that role, the Board establishes corporate governance policies, sets strategic directions, and oversees the management of the Company and its business. The Board advises on and, when appropriate, approves extraordinary actions that would result in significant changes to the Company, including the acquisition or disposition of a significant business or entry into a major new line of business. Our Board devotes time as necessary and appropriate to reviewing Medline’s strategic plans and monitors progress through regular engagement with management. In 2025, in connection with the Company’s IPO consummated in December 2025 and transition to operating as a public company, the Board reviewed the Company’s near-term operating plan and longer-term priorities, including initiatives focused on strengthening systems and controls to support public-company reporting and compliance, and received updates from management on progress in these areas.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27</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28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Risk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Role of the Board and Committees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Oversight of risk is an integral part of our Board’s responsibilities and is addressed through a combination of full Board engagement and Committee-level oversight.</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4667"/>
        <w:gridCol w:w="109"/>
        <w:gridCol w:w="109"/>
        <w:gridCol w:w="4321"/>
        <w:gridCol w:w="155"/>
      </w:tblGrid>
      <w:tr>
        <w:trPr/>
        <w:tc>
          <w:tcPr>
            <w:tcW w:w="124" w:type="dxa"/>
            <w:tcBorders/>
            <w:vAlign w:val="center"/>
          </w:tcPr>
          <w:p>
            <w:pPr>
              <w:pStyle w:val="TableContents"/>
              <w:bidi w:val="0"/>
              <w:spacing w:before="0" w:after="283"/>
              <w:jc w:val="left"/>
              <w:rPr/>
            </w:pPr>
            <w:r>
              <w:rPr/>
              <w:t>​</w:t>
            </w:r>
          </w:p>
        </w:tc>
        <w:tc>
          <w:tcPr>
            <w:tcW w:w="9206" w:type="dxa"/>
            <w:gridSpan w:val="4"/>
            <w:tcBorders/>
            <w:vAlign w:val="center"/>
          </w:tcPr>
          <w:p>
            <w:pPr>
              <w:pStyle w:val="TableContents"/>
              <w:bidi w:val="0"/>
              <w:spacing w:before="0" w:after="0"/>
              <w:jc w:val="center"/>
              <w:rPr/>
            </w:pPr>
            <w:r>
              <w:rPr>
                <w:spacing w:val="0"/>
              </w:rPr>
              <w:t>Full Board</w:t>
            </w:r>
            <w:r>
              <w:rPr>
                <w:color w:val="000000"/>
              </w:rPr>
              <w: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6" w:type="dxa"/>
            <w:gridSpan w:val="4"/>
            <w:tcBorders/>
            <w:vAlign w:val="center"/>
          </w:tcPr>
          <w:p>
            <w:pPr>
              <w:pStyle w:val="TableContents"/>
              <w:bidi w:val="0"/>
              <w:spacing w:lineRule="atLeast" w:line="195" w:before="0" w:after="0"/>
              <w:jc w:val="left"/>
              <w:rPr>
                <w:spacing w:val="-1"/>
              </w:rPr>
            </w:pPr>
            <w:r>
              <w:rPr>
                <w:spacing w:val="-1"/>
              </w:rPr>
              <w:t xml:space="preserve">The Board has ultimate responsibility for risk oversight and, as appropriate, delegates focused oversight of specific risk areas to the relevant Committees of the Board. The Board executes its responsibility for oversight of the Company’s overall risk profile and key enterprise risks informed by regular management updates and Committee reporting. The Board reviews strategic and operational developments that may present material risks or opportunities and monitors management’s progress on key initiatives. Committees of the Board regularly report to the Board following Committee meetings to provide visibility into key risks and management’s mitigation efforts and support coordinated oversight across financial, compliance, operational, cybersecurity, and other risk areas.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67" w:type="dxa"/>
            <w:tcBorders/>
            <w:vAlign w:val="center"/>
          </w:tcPr>
          <w:p>
            <w:pPr>
              <w:pStyle w:val="TableContents"/>
              <w:bidi w:val="0"/>
              <w:spacing w:before="0" w:after="0"/>
              <w:jc w:val="center"/>
              <w:rPr/>
            </w:pPr>
            <w:r>
              <w:rPr>
                <w:spacing w:val="0"/>
              </w:rPr>
              <w:t>Risk Committee</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before="0" w:after="0"/>
              <w:jc w:val="center"/>
              <w:rPr/>
            </w:pPr>
            <w:r>
              <w:rPr>
                <w:spacing w:val="0"/>
              </w:rPr>
              <w:t>Audit Committee</w:t>
            </w:r>
            <w:r>
              <w:rPr>
                <w:color w:val="000000"/>
              </w:rPr>
              <w: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67" w:type="dxa"/>
            <w:tcBorders/>
            <w:vAlign w:val="center"/>
          </w:tcPr>
          <w:p>
            <w:pPr>
              <w:pStyle w:val="TableContents"/>
              <w:bidi w:val="0"/>
              <w:spacing w:lineRule="atLeast" w:line="195" w:before="0" w:after="0"/>
              <w:jc w:val="left"/>
              <w:rPr>
                <w:spacing w:val="-1"/>
              </w:rPr>
            </w:pPr>
            <w:r>
              <w:rPr>
                <w:spacing w:val="-1"/>
              </w:rPr>
              <w:t xml:space="preserve">The Risk Committee assists the Board in overseeing management’s identification and evaluation of key legal and regulatory compliance risks, the Company’s enterprise risk management (“ERM”) framework, the Company’s ethics and compliance program, and the allocation of risk oversight responsibilities among Committees of the Board. In executing these responsibilities, the Risk Committee coordinates across the Committees of the Board, including communicating with the Audit Committee at least annually and as appropriate regarding certain categories of complaints received by the Company, risk assessment and risk management oversight. The Risk Committee reviews with management the Company’s risk assessment and risk management guidelines and practices, and discusses management’s approaches to identifying, assessing, monitoring, and mitigating key existing and emerging risks. The Risk Committee is also responsible for overseeing certain risk areas that warrant sustained focus, including the Company’s cybersecurity and information technology risks, as well as sustainability strategy, risks, goals, policies, practices, and disclosures.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lineRule="atLeast" w:line="195" w:before="0" w:after="0"/>
              <w:jc w:val="left"/>
              <w:rPr>
                <w:spacing w:val="-1"/>
              </w:rPr>
            </w:pPr>
            <w:r>
              <w:rPr>
                <w:spacing w:val="-1"/>
              </w:rPr>
              <w:t xml:space="preserve">The Audit Committee oversees the Company’s accounting and financial reporting processes and audits of its financial statements. The Audit Committee assists the Board in overseeing, among other matters, the integrity of the Company’s financial statements and internal control over financial reporting and discusses financial disclosures, strategies, and risk topics presented in connection with its oversight responsibilities. The Audit Committee also provides oversight of the independent auditor relationship and audit process, including the appointment, performance, and independence of the Company’s independent auditor, and monitors internal audit-related matters. The Risk Committee communicates with the Audit Committee at least annually, and as appropriate, to support the Audit Committee’s responsibilities with respect to its oversight of risk assessment and risk management within the Audit Committee’s areas of responsibility.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67" w:type="dxa"/>
            <w:tcBorders/>
            <w:vAlign w:val="center"/>
          </w:tcPr>
          <w:p>
            <w:pPr>
              <w:pStyle w:val="TableContents"/>
              <w:bidi w:val="0"/>
              <w:spacing w:before="0" w:after="0"/>
              <w:jc w:val="center"/>
              <w:rPr/>
            </w:pPr>
            <w:r>
              <w:rPr>
                <w:spacing w:val="0"/>
              </w:rPr>
              <w:t>Compensation Committee</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before="0" w:after="0"/>
              <w:jc w:val="center"/>
              <w:rPr/>
            </w:pPr>
            <w:r>
              <w:rPr>
                <w:spacing w:val="0"/>
              </w:rPr>
              <w:t>Governance Committee</w:t>
            </w:r>
            <w:r>
              <w:rPr>
                <w:color w:val="000000"/>
              </w:rPr>
              <w: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67" w:type="dxa"/>
            <w:tcBorders/>
            <w:vAlign w:val="center"/>
          </w:tcPr>
          <w:p>
            <w:pPr>
              <w:pStyle w:val="TableContents"/>
              <w:bidi w:val="0"/>
              <w:spacing w:lineRule="atLeast" w:line="195" w:before="0" w:after="0"/>
              <w:jc w:val="left"/>
              <w:rPr>
                <w:spacing w:val="-1"/>
              </w:rPr>
            </w:pPr>
            <w:r>
              <w:rPr>
                <w:spacing w:val="-1"/>
              </w:rPr>
              <w:t xml:space="preserve">The Compensation Committee oversees our compensation programs and related compensation governance, including compensation design and equity compensation plans; our executive compensation, including executive equity awards; and our director compensation program. The Compensation Committee also oversees the assessment and management of risks related to our compensation policies, programs, and practices (or executive and non-executive officers, including risks associated with succession planning.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lineRule="atLeast" w:line="195" w:before="0" w:after="0"/>
              <w:jc w:val="left"/>
              <w:rPr>
                <w:spacing w:val="-1"/>
              </w:rPr>
            </w:pPr>
            <w:r>
              <w:rPr>
                <w:spacing w:val="-1"/>
              </w:rPr>
              <w:t xml:space="preserve">The Governance Committee oversees our corporate governance practices and maintains the Company’s Corporate Governance Guidelines. The Governance Committee also oversees Board composition, succession planning and refreshment, and Committee structure recommendations.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6" w:type="dxa"/>
            <w:gridSpan w:val="4"/>
            <w:tcBorders/>
            <w:vAlign w:val="center"/>
          </w:tcPr>
          <w:p>
            <w:pPr>
              <w:pStyle w:val="TableContents"/>
              <w:bidi w:val="0"/>
              <w:spacing w:before="0" w:after="0"/>
              <w:jc w:val="center"/>
              <w:rPr/>
            </w:pPr>
            <w:r>
              <w:rPr>
                <w:spacing w:val="0"/>
              </w:rPr>
              <w:t>Management</w:t>
            </w:r>
            <w:r>
              <w:rPr>
                <w:color w:val="000000"/>
              </w:rPr>
              <w: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6" w:type="dxa"/>
            <w:gridSpan w:val="4"/>
            <w:tcBorders/>
            <w:vAlign w:val="center"/>
          </w:tcPr>
          <w:p>
            <w:pPr>
              <w:pStyle w:val="TableContents"/>
              <w:bidi w:val="0"/>
              <w:spacing w:before="0" w:after="283"/>
              <w:jc w:val="left"/>
              <w:rPr/>
            </w:pPr>
            <w:r>
              <w:rPr>
                <w:spacing w:val="-1"/>
              </w:rPr>
              <w:t>Management is responsible for day-to-day risk management, including the design and operation of risk controls, policies, and processes intended to identify, assess, monitor, and mitigate enterprise risk. Management provides periodic updates to the Board and Committees on key risks, developments, and mitigation actions, and responds to follow-up questions and requests for additional analysis.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358"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Through our ERM program, we: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identify key risks impacting our business, including cyber and technology, legal and compliance, strategic, operational, and financial risks,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39700" distR="0" simplePos="0" locked="0" layoutInCell="1" allowOverlap="1" relativeHeight="311">
                <wp:simplePos x="0" y="0"/>
                <wp:positionH relativeFrom="column">
                  <wp:align>left</wp:align>
                </wp:positionH>
                <wp:positionV relativeFrom="line">
                  <wp:align>top</wp:align>
                </wp:positionV>
                <wp:extent cx="139700" cy="350520"/>
                <wp:effectExtent l="0" t="0" r="0" b="0"/>
                <wp:wrapSquare wrapText="right"/>
                <wp:docPr id="289" name="Frame15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8pt;mso-wrap-distance-bottom:0pt;margin-top: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assess and prioritize risks, considering various factors, including potential impact, likelihood of occurrence, and effectiveness of our current mitigation strategies,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312">
                <wp:simplePos x="0" y="0"/>
                <wp:positionH relativeFrom="column">
                  <wp:align>left</wp:align>
                </wp:positionH>
                <wp:positionV relativeFrom="line">
                  <wp:align>top</wp:align>
                </wp:positionV>
                <wp:extent cx="139700" cy="350520"/>
                <wp:effectExtent l="0" t="0" r="0" b="0"/>
                <wp:wrapSquare wrapText="right"/>
                <wp:docPr id="290" name="Frame15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develop plans to monitor, manage, and mitigate top enterprise risks. </w:t>
      </w:r>
      <w:r>
        <mc:AlternateContent>
          <mc:Choice Requires="wps">
            <w:drawing>
              <wp:anchor behindDoc="0" distT="50800" distB="0" distL="139700" distR="0" simplePos="0" locked="0" layoutInCell="1" allowOverlap="1" relativeHeight="313">
                <wp:simplePos x="0" y="0"/>
                <wp:positionH relativeFrom="column">
                  <wp:align>left</wp:align>
                </wp:positionH>
                <wp:positionV relativeFrom="line">
                  <wp:align>top</wp:align>
                </wp:positionV>
                <wp:extent cx="139700" cy="350520"/>
                <wp:effectExtent l="0" t="0" r="0" b="0"/>
                <wp:wrapSquare wrapText="right"/>
                <wp:docPr id="291" name="Frame15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28</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10" w:before="4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Governance, Risk, and Compliance Committee (the “GRC Committee”) structure is the primary management-level governance and oversight mechanism for our ERM. Our GRC Committee structure provides a forum for transparency, reporting, and decision-making on the most significant governance, risk, and compliance issues facing Medline. This structure supports the ERM program’s primary risk management, monitoring, and reporting function from the operational level to the executive management level and, ultimately, to the Risk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Code of Conduct and Ethics applies across the enterprise and is designed to promote a culture where our employees feel comfortable raising concerns. We maintain a global speak-up line consisting of multiple channels for reporting concerns, including mechanisms that enable anonymous reporting where allowed, and prohibit retaliation against individuals who raise concerns in good faith.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More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For more information about the risks facing the Company, see the factors described in </w:t>
      </w:r>
      <w:r>
        <w:rPr>
          <w:rFonts w:ascii="Arial;Helvetica;sans-serif" w:hAnsi="Arial;Helvetica;sans-serif"/>
          <w:b w:val="false"/>
          <w:i/>
          <w:caps w:val="false"/>
          <w:smallCaps w:val="false"/>
          <w:color w:val="000000"/>
          <w:sz w:val="18"/>
        </w:rPr>
        <w:t>Part I, Item 1A — Risk Factors</w:t>
      </w:r>
      <w:r>
        <w:rPr>
          <w:rFonts w:ascii="Arial;Helvetica;sans-serif" w:hAnsi="Arial;Helvetica;sans-serif"/>
          <w:b w:val="false"/>
          <w:i w:val="false"/>
          <w:caps w:val="false"/>
          <w:smallCaps w:val="false"/>
          <w:color w:val="000000"/>
          <w:spacing w:val="-1"/>
          <w:sz w:val="18"/>
        </w:rPr>
        <w:t xml:space="preserve"> in our 2025 Annual Report and those set forth in our other filings with the SEC. The risks described in the 2025 Annual Report and subsequent filings with the SEC are not the only risks facing us. Additional risks and uncertainties not currently known or that may currently be deemed to be immaterial based on the information known to us may also materially adversely affect our business, financial condition, or results of operations.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Compensation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Compensation Committee oversees the Company’s compensation and benefits plans, policies, and programs for officers and other employees, as well as our directors, and also oversees the assessment and management of risks related to the Company’s compensation policies, programs, and practices, including in connection with succession planning. The Compensation Committee considers whether the structure and design of incentive arrangements are aligned with the Company’s corporate objectives and may rely on analysis from management and, as appropriate, an independent compensation consultant engaged by the Compensation Committee or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the Compensation Committee reviews the structure and design of the Company’s compensation programs, including executive compensation, with assessment from management and analysis from an independent consultant. Through this process, the Compensation Committee seeks to align the Company’s executive compensation programs with a pay-for-performance culture and the Company’s strategic priorities, while discouraging executives from taking excessive or unnecessary risks that could adversely impact Medline’s reputation or success.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Cybersecurity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Risk Committee assists the Board in oversight of the Company’s cybersecurity and information technology risks, and regularly reviews the Company’s cybersecurity risk management framework, including the programs and processes used to prevent, detect, and respond to cybersecurity incidents and to identify emerging risks. The Company maintains a dedicated cybersecurity function led by the Global Chief Information Security Officer, who, together with the Chief Information Officer, routinely provides updates to the Risk Committee and the Board regarding the Company’s cybersecurity risk environment and mitigation efforts, including the effectiveness of key risk management practices and resources devoted to cybersecurity risk management programs. The Company also maintains incident response and business continuity protocols, with escalation procedures under which cybersecurity incidents meeting specified thresholds are reported, as appropriate, to senior management and to the Risk Committee and the Board, with follow-up updates provided until the matter is addressed.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Human Capital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is engaged in oversight of leadership development and succession planning for senior management, with primary responsibility for human capital matters delegated to the Compensation Committee. The Compensation Committee oversees compensation and benefits programs for the Company’s officers, compensation and executive succession planning for the Company’s officers, and the Company’s key strategies and policies related to human capital management. In that role, the Compensation Committee oversees and reviews executive succession plans, evaluates and makes recommendations to the Board regarding potential CEO candidates, and reviews candidates for other senior executive roles. The Compensation Committee also oversees the Company’s human capital strategies, policies, and outcomes tied to the long-term health of the Company’s business, including talent development and retention. As part of its oversight, the Compensation Committee also discusses with management and reports to the Board on significant human capital matters and actions within its scope of responsibilities.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Sustainability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Board oversees the integration of sustainability principles and practices throughout our business, with delegation to the Risk Committee for the oversight of our sustainability risks, goals, policies, practices, and disclosures. The Risk Committee receives regular updates on priority sustainability matters from our Vice President of Sustainability, including policy and program development, sustainability risk, and progress toward our sustainability goals. The Board receives regular updates on the sustainability efforts embedded in our business, operations, and supply chain from our Chief Operating Officer, Chief Product Officer, and other executive and senior leaders, including related to our innovation strategy, raw materials and supply chain management, and risk mitigation efforts.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29</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GP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283"/>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Other Governance Policies And Practices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Governance Documents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Corporate Governance Guidelines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is committed to corporate governance practices designed to support effective oversight and promote the long-term interests of our stockholders. Our Corporate Governance Guidelines serve as a practical roadmap for how the Board is organized and how it carries out its oversight responsibilities to support consistent, disciplined governance practices as a public company. Our Corporate Governance Guidelines address, among other things, the Board’s role and responsibilities, Board composition and structure, director qualification and directorship considerations, and the expectations and practices that guide how the Board operates. The Governance Committee periodically reviews the Corporate Governance Guidelines and recommends any updates to the Board for consideration so that these guidelines continue to reflect the Company’s governance framework and evolving requirements and best practices.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Code of Conduct and Ethics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have adopted a Code of Conduct and Ethics that applies to all of our officers, directors, and employees, including our principal executive officer, principal financial officer, principal accounting officer, and controller, or persons performing similar functions. Our Code of Conduct and Ethics is intended to promote ethical conduct and compliance with applicable laws, rules, and regulations, and it is posted on our website. Our Code of Conduct and Ethics is also a “code of ethics” as defined in Item 406(b) of Regulation S-K. We intend to disclose on our website any amendment to, or waiver of, any provision of the Code of Conduct and Ethics applicable to our directors or executive officers to the extent such disclosure is required under applicable SEC rules or other legal requirements.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Related Party Transactions Policy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our IPO, our Board adopted a written policy for the review, approval, and ratification of certain transactions with “related persons” in accordance with Item 404 of Regulation S-K (the “Related Party Transactions Policy”). Our Related Party Transactions Policy requires “related persons” ​(as defined in paragraph (a) of Item 404 of Regulation S-K), which generally includes our directors, director nominees, executive officers, beneficial owners of more than 5% of a class of our stock, and their immediate family members, to promptly disclose potential “related party transactions” ​(defined as any transaction, arrangement, relationship, or series of similar transactions, that is anticipated would be reportable under Item 404(a) of Regulation S-K in which the Company is or will be a participant and the amount involved exceeds or is expected to exceed $120,000 and in which any “related person” has or will have a direct or indirect material interest) to the Company. Upon identification of “related persons” and potential “related party transactions,” the policy also provides that any such transaction must be reviewed and approved or ratified by the Audit Committee. In determining whether to approve or ratify a related person transaction, the Audit Committee considers the relevant facts and circumstances, including whether the transaction is on terms no less favorable than those generally available to an unaffiliated third party under the same or similar circumstances and the extent of the related person’s interest in the transaction. Directors with an interest in a “related person transaction” are expected to recuse themselves from any discussion or approval of that transaction. The Board has also delegated limited authority to the Chair of the Audit Committee to pre-approve certain “related party transactions,” with a summary of any such pre-approvals presented to the Audit Committee for review.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Corporate Governance Materials Available on Our Website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Our Corporate Governance Guidelines, Committee charters, and Code of Conduct and Ethics are available on our website at </w:t>
      </w:r>
      <w:r>
        <w:rPr>
          <w:rFonts w:ascii="Arial;Helvetica;sans-serif" w:hAnsi="Arial;Helvetica;sans-serif"/>
          <w:b/>
          <w:i w:val="false"/>
          <w:caps w:val="false"/>
          <w:smallCaps w:val="false"/>
          <w:color w:val="0055B7"/>
          <w:spacing w:val="0"/>
          <w:sz w:val="18"/>
        </w:rPr>
        <w:t>ir.medline.com</w:t>
      </w:r>
      <w:r>
        <w:rPr>
          <w:rFonts w:ascii="Arial;Helvetica;sans-serif" w:hAnsi="Arial;Helvetica;sans-serif"/>
          <w:b w:val="false"/>
          <w:i w:val="false"/>
          <w:caps w:val="false"/>
          <w:smallCaps w:val="false"/>
          <w:color w:val="000000"/>
          <w:spacing w:val="-1"/>
          <w:sz w:val="18"/>
        </w:rPr>
        <w:t>. To access these materials, click on the “Governance” tab. The information contained on, or accessible through, our website is not, and will not be deemed to be, a part of this Proxy Statement, and is not incorporated by reference into this Proxy Statement or any of our other filings with the SEC. In addition, we will promptly deliver free of charge, upon request, a copy of our Corporate Governance Guidelines, Committee charters, or Code of Conduct and Ethics to any stockholder requesting a copy.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I</w:t>
      </w:r>
      <w:r>
        <w:rPr>
          <w:rFonts w:ascii="Arial;Helvetica;sans-serif" w:hAnsi="Arial;Helvetica;sans-serif"/>
          <w:b/>
          <w:i w:val="false"/>
          <w:caps w:val="false"/>
          <w:smallCaps w:val="false"/>
          <w:color w:val="0055B7"/>
          <w:spacing w:val="-3"/>
          <w:sz w:val="24"/>
        </w:rPr>
        <w:t>NSIDER</w:t>
      </w:r>
      <w:r>
        <w:rPr>
          <w:rFonts w:ascii="Arial;Helvetica;sans-serif" w:hAnsi="Arial;Helvetica;sans-serif"/>
          <w:b/>
          <w:i w:val="false"/>
          <w:caps w:val="false"/>
          <w:smallCaps w:val="false"/>
          <w:color w:val="0055B7"/>
          <w:spacing w:val="-3"/>
          <w:sz w:val="24"/>
        </w:rPr>
        <w:t xml:space="preserve"> T</w:t>
      </w:r>
      <w:r>
        <w:rPr>
          <w:rFonts w:ascii="Arial;Helvetica;sans-serif" w:hAnsi="Arial;Helvetica;sans-serif"/>
          <w:b/>
          <w:i w:val="false"/>
          <w:caps w:val="false"/>
          <w:smallCaps w:val="false"/>
          <w:color w:val="0055B7"/>
          <w:spacing w:val="-3"/>
          <w:sz w:val="24"/>
        </w:rPr>
        <w:t>RADING</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OLICY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adopted an Insider Trading Policy that governs transactions (such as purchase, sale, and other disposition) in the Company’s securities by our directors, executive officers, employees, and other covered persons, as well as transactions by the Company itself. The policy is intended to promote the Company’s compliance with applicable insider trading laws, SEC rules, and Nasdaq listing standards. The policy includes restrictions on both the timing of trades and the types of transactions that may be effected in the Company’s securities by employees (including executive officers) and directors. Among other restrictions, the policy generally prohibits speculative or high-risk transactions involving the Company’s securities, including hedging or monetization transactions, transactions in Company-based derivative securities (such as puts and calls), short sales, and pledging or holding Company securities in a margin account or as collateral for a loan. The policy also imposes blackout periods and, for designated individuals, trade preclearance requirements administered by the Corporate Secretary. A copy of our Insider Trading Policy is filed as Exhibit 19.1 to our 2025 Annual Report.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C</w:t>
      </w:r>
      <w:r>
        <w:rPr>
          <w:rFonts w:ascii="Arial;Helvetica;sans-serif" w:hAnsi="Arial;Helvetica;sans-serif"/>
          <w:b/>
          <w:i w:val="false"/>
          <w:caps w:val="false"/>
          <w:smallCaps w:val="false"/>
          <w:color w:val="0055B7"/>
          <w:spacing w:val="-3"/>
          <w:sz w:val="24"/>
        </w:rPr>
        <w:t>ERTAIN</w:t>
      </w:r>
      <w:r>
        <w:rPr>
          <w:rFonts w:ascii="Arial;Helvetica;sans-serif" w:hAnsi="Arial;Helvetica;sans-serif"/>
          <w:b/>
          <w:i w:val="false"/>
          <w:caps w:val="false"/>
          <w:smallCaps w:val="false"/>
          <w:color w:val="0055B7"/>
          <w:spacing w:val="-3"/>
          <w:sz w:val="24"/>
        </w:rPr>
        <w:t xml:space="preserve"> R</w:t>
      </w:r>
      <w:r>
        <w:rPr>
          <w:rFonts w:ascii="Arial;Helvetica;sans-serif" w:hAnsi="Arial;Helvetica;sans-serif"/>
          <w:b/>
          <w:i w:val="false"/>
          <w:caps w:val="false"/>
          <w:smallCaps w:val="false"/>
          <w:color w:val="0055B7"/>
          <w:spacing w:val="-3"/>
          <w:sz w:val="24"/>
        </w:rPr>
        <w:t>ELATIONSHIPS AND</w:t>
      </w:r>
      <w:r>
        <w:rPr>
          <w:rFonts w:ascii="Arial;Helvetica;sans-serif" w:hAnsi="Arial;Helvetica;sans-serif"/>
          <w:b/>
          <w:i w:val="false"/>
          <w:caps w:val="false"/>
          <w:smallCaps w:val="false"/>
          <w:color w:val="0055B7"/>
          <w:spacing w:val="-3"/>
          <w:sz w:val="24"/>
        </w:rPr>
        <w:t xml:space="preserve"> R</w:t>
      </w:r>
      <w:r>
        <w:rPr>
          <w:rFonts w:ascii="Arial;Helvetica;sans-serif" w:hAnsi="Arial;Helvetica;sans-serif"/>
          <w:b/>
          <w:i w:val="false"/>
          <w:caps w:val="false"/>
          <w:smallCaps w:val="false"/>
          <w:color w:val="0055B7"/>
          <w:spacing w:val="-3"/>
          <w:sz w:val="24"/>
        </w:rPr>
        <w:t>ELATED</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ERSON</w:t>
      </w:r>
      <w:r>
        <w:rPr>
          <w:rFonts w:ascii="Arial;Helvetica;sans-serif" w:hAnsi="Arial;Helvetica;sans-serif"/>
          <w:b/>
          <w:i w:val="false"/>
          <w:caps w:val="false"/>
          <w:smallCaps w:val="false"/>
          <w:color w:val="0055B7"/>
          <w:spacing w:val="-3"/>
          <w:sz w:val="24"/>
        </w:rPr>
        <w:t xml:space="preserve"> T</w:t>
      </w:r>
      <w:r>
        <w:rPr>
          <w:rFonts w:ascii="Arial;Helvetica;sans-serif" w:hAnsi="Arial;Helvetica;sans-serif"/>
          <w:b/>
          <w:i w:val="false"/>
          <w:caps w:val="false"/>
          <w:smallCaps w:val="false"/>
          <w:color w:val="0055B7"/>
          <w:spacing w:val="-3"/>
          <w:sz w:val="24"/>
        </w:rPr>
        <w:t>RANSACTIONS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 addition to the director and executive officer compensation arrangements discussed in </w:t>
      </w:r>
      <w:r>
        <w:rPr>
          <w:rFonts w:ascii="Arial;Helvetica;sans-serif" w:hAnsi="Arial;Helvetica;sans-serif"/>
          <w:b w:val="false"/>
          <w:i/>
          <w:caps w:val="false"/>
          <w:smallCaps w:val="false"/>
          <w:color w:val="000000"/>
          <w:sz w:val="18"/>
        </w:rPr>
        <w:t>Executive Compensation — Compensation Discussion and Analysis</w:t>
      </w:r>
      <w:r>
        <w:rPr>
          <w:rFonts w:ascii="Arial;Helvetica;sans-serif" w:hAnsi="Arial;Helvetica;sans-serif"/>
          <w:b w:val="false"/>
          <w:i w:val="false"/>
          <w:caps w:val="false"/>
          <w:smallCaps w:val="false"/>
          <w:color w:val="000000"/>
          <w:spacing w:val="-1"/>
          <w:sz w:val="18"/>
        </w:rPr>
        <w:t xml:space="preserve">, </w:t>
      </w:r>
      <w:r>
        <w:rPr>
          <w:rFonts w:ascii="Arial;Helvetica;sans-serif" w:hAnsi="Arial;Helvetica;sans-serif"/>
          <w:b w:val="false"/>
          <w:i/>
          <w:caps w:val="false"/>
          <w:smallCaps w:val="false"/>
          <w:color w:val="000000"/>
          <w:sz w:val="18"/>
        </w:rPr>
        <w:t>Executive Compensation — Executive Compensation Tables</w:t>
      </w:r>
      <w:r>
        <w:rPr>
          <w:rFonts w:ascii="Arial;Helvetica;sans-serif" w:hAnsi="Arial;Helvetica;sans-serif"/>
          <w:b w:val="false"/>
          <w:i w:val="false"/>
          <w:caps w:val="false"/>
          <w:smallCaps w:val="false"/>
          <w:color w:val="000000"/>
          <w:spacing w:val="-1"/>
          <w:sz w:val="18"/>
        </w:rPr>
        <w:t xml:space="preserve">, and </w:t>
      </w:r>
      <w:r>
        <w:rPr>
          <w:rFonts w:ascii="Arial;Helvetica;sans-serif" w:hAnsi="Arial;Helvetica;sans-serif"/>
          <w:b w:val="false"/>
          <w:i/>
          <w:caps w:val="false"/>
          <w:smallCaps w:val="false"/>
          <w:color w:val="000000"/>
          <w:sz w:val="18"/>
        </w:rPr>
        <w:t xml:space="preserve">Director Compensation — Director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30</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10" w:before="4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Compensation Program</w:t>
      </w:r>
      <w:r>
        <w:rPr>
          <w:rFonts w:ascii="Arial;Helvetica;sans-serif" w:hAnsi="Arial;Helvetica;sans-serif"/>
          <w:b w:val="false"/>
          <w:i w:val="false"/>
          <w:caps w:val="false"/>
          <w:smallCaps w:val="false"/>
          <w:color w:val="000000"/>
          <w:spacing w:val="-1"/>
          <w:sz w:val="18"/>
        </w:rPr>
        <w:t>, since January 1, 2024, we have engaged in the following transactions in which the amount involved exceeded $120,000 and in which any director or director nominee, executive officer or holder of more than 5% of our voting securities, whom we refer to as our principal stockholders, or affiliates or immediate family members of our directors or director nominees, executive officers and principal stockholders, had or will have a material interest. We believe that all of these transactions were on terms as favorable as could have been obtained from unrelated third parties.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Director Nomination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 connection with the IPO, we entered into separate Director Nomination Agreements with each of Blackstone, Carlyle, and H&amp;F (collectively, our “Sponsors”) and the Mills Family (together with our Sponsors, our “Principal Stockholders”) with whom we are party to separate Director Nomination Agreements (a “Designating Stockholder”) that, among other things, permit such Designating Stockholder to designate an agreed number of individuals as directors (such directors, the “Designated Directors” and each, a “Designated Director”), for so long as such Designating Stockholder continues to beneficially own at least 5% of the outstanding shares of Class A common stock, assuming exchange of all Common Units (as defined in Appendix B). Each Designating Stockholder has the right to designate a number of directors to our board of directors (rounded up to the nearest whole number) equal to the product of (i) the number of directors on the Board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Notwithstanding the foregoing, Designated Directors designated by the Mills Family may not exceed 20% of our total number of directors. If the number of Designated Directors permitted to be designated by the Mills Family is reduced as a result of such 20% cap, it may designate non-voting observers in lieu thereof. Accordingly, the specific number of directors and/or non-voting observers that each Designating Stockholder is entitled to designate depends on such Designating Stockholder’s beneficial ownership as well as the size of our board of directors. Although a Designating Stockholder may be permitted to designate a certain number of individuals pursuant to the foregoing provisions, there is no requirement that such Designating Stockholder designate all (or any) such individuals. Medline Inc. was advised by the Designating Stockholders that, at the time of the IPO, Blackstone, Carlyle, H&amp;F, and the Mills Family each designated two directors. See </w:t>
      </w:r>
      <w:r>
        <w:rPr>
          <w:rFonts w:ascii="Arial;Helvetica;sans-serif" w:hAnsi="Arial;Helvetica;sans-serif"/>
          <w:b w:val="false"/>
          <w:i/>
          <w:caps w:val="false"/>
          <w:smallCaps w:val="false"/>
          <w:color w:val="000000"/>
          <w:sz w:val="18"/>
        </w:rPr>
        <w:t>Our Board — Board Qualifications — Director Nominations</w:t>
      </w:r>
      <w:r>
        <w:rPr>
          <w:rFonts w:ascii="Arial;Helvetica;sans-serif" w:hAnsi="Arial;Helvetica;sans-serif"/>
          <w:b w:val="false"/>
          <w:i w:val="false"/>
          <w:caps w:val="false"/>
          <w:smallCaps w:val="false"/>
          <w:color w:val="000000"/>
          <w:spacing w:val="-1"/>
          <w:sz w:val="18"/>
        </w:rPr>
        <w:t xml:space="preserve"> for information regarding which of the directors of Medline Inc. were designated by the relevant Designating Stockholder.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of our Designating Stockholders (other than the Mills Family) agreed,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so long as the Director Nomination Agreements remain in effect, Designated Directors may be removed only with the consent of the Designating Stockholder that designated such Designated Director.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the Director Nomination Agreements, in certain circumstances, permit our Designating Stockholders and their affiliates to assign their rights and obligations under the agreements, in whole or in part.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the Director Nomination Agreements provide our Designating Stockholders with information rights.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Information and Access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our IPO, we entered into an information and access agreement (the “Information and Access Agreement”) with Hux that, among other things, permits Hux to designate one non-voting observer to our board of directors for so long as Hux continues to beneficially own at least 5% of the outstanding shares of Class A common stock, assuming exchange of all Common Units. In addition, the Information and Access Agreement, in certain circumstances, permits Hux and its affiliates to assign their rights and obligations under the agreement, in whole or in part. Moreover, the Information and Access Agreement provides Hux and its affiliates with information rights.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Exchange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the certain reorganization transactions (“Reorganization Transactions”) and IPO, we entered into an exchange agreement (the “Exchange Agreement”) with both the Continuing Common Unitholders and the Continuing Incentive Unitholders (collectively, the “Continuing Unitholders”) pursuant to which each holder of Common Units (including 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upon which an equivalent number of shares of Class B common stock held by each such Continuing Unitholder will be automatically transferred to us and cancelled and retired upon any such exchange. As a holder exchanges Common Units for shares of Class A common stock, the number of Common Units held by Medline Inc. correspondingly increases as it acquires the exchanged Common Units. Holders of outstanding Common Units do not have the right to require a redemption of the Common Units.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40" w:before="400" w:after="283"/>
        <w:ind w:left="720" w:right="0" w:hanging="0"/>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Registration Rights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the IPO, we entered into a registration rights agreement (the “Registration Rights Agreement”) with our Principal Stockholders, Hux, and Platinum Falcon, which provides for customary “demand” registrations and “piggyback” registration rights. The Registration Rights Agreement also provides that we will pay certain expenses relating to such registrations and indemnify the registration rights holders against (or make contributions in respect of) certain liabilities which may arise under the Securities Act.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Tax Receivable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the Reorganization Transactions, Medline Inc. entered into a tax receivable agreement (the “Tax Receivable Agreement”) with certain of our pre-IPO owners (as defined in Appendix B) that provides for the payment by Medline Inc. to such pre-IPO owners or permitted transferees thereof of 90% of certain tax benefits, if any, that Medline Inc. actually realizes, or is deemed to realize (calculated using certain assumptions),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(iii) Medline Inc.’s utilization of certain tax attributes (including any existing tax basis) of certain entities that are taxable as corporations for U.S. federal income tax purposes through which the pre-IPO owners held their interests in Medline Holdings prior to the IPO, which Medline Inc. acquired in connection with our IPO,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Medline Inc.’s allocable share of existing tax basis acquired in the IPO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expect that as a result of the size of Medline Inc.’s allocable share of existing tax basis acquired in the IPO,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the IPO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500 basis points. The payments under the Tax Receivable Agreement are not conditioned upon continued ownership of us by the pre-IPO owners or permitted transferees thereof.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Decisions made by our pre-IPO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the IPO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Medline Inc.’s cash tax benefits.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March 2026, certain entities affiliated with the Mills Family entered into an assignment and assumption agreement with Blackstone, Carlyle, H&amp;F, Hux, and Platinum Falcon, pursuant to which such parties transferred and assigned their rights under the Tax Receivable Agreement to the entities affiliated with the Mills Family for approximately $1.4 billion.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Medline Holdings Amended and Restated Limited Partnership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a result of the Reorganization Transactions and IPO, Medline Inc. directly or indirectly holds Common Units in Medline Holdings and is the sole general partner of Medline Holdings. Accordingly, Medline Inc. operates and controls all of the business and affairs of Medline Holdings, and, through Medline Holdings and its operating entity subsidiaries, conducts our business.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the Amended and Restated Limited Partnership Agreement of Medline Holdings,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provides for cash distributions (“tax distributions”) to the holders of the Common Units and the Incentive Units (collectively,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among the Common Units.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30" w:before="400" w:after="283"/>
        <w:ind w:left="7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generally are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is not exchangeable unless and until such Incentive Unit vests.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amended and restated limited partnership agreement of Medline Holdings also provides that substantially all expenses incurred by or attributable to Medline Inc. (such as expenses incurred in connection with the IPO), but not including obligations incurred under the Tax Receivable Agreement by Medline Inc., income tax expenses of Medline Inc. and payments on indebtedness incurred by Medline Inc., will be borne by Medline Holdings.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Services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the acquisition on October 21, 2021 by Blackstone, Carlyle, and H&amp;F of a majority interest in Medline Holdings and certain transactions related thereto (the “Sponsor Acquisition”), Medline Holdings entered into services agreements (the “Services Agreements”) with each of Blackstone Management Partners L.L.C. and Blackstone Capital Partners 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made payments pursuant to the Services Agreements to BX Management totaling $360,000, $711,000, and $887,000 in fiscal years 2023, 2024, and 2025, respectively. We made payments pursuant to the Services Agreements to Carlyle Management totaling $244,000 and $60,000 in fiscal years 2023 and 2025, respectively. We made payments pursuant to the Services Agreements to H&amp;F Management totaling $120,000 and $555,000 in fiscal years 2024 and 2025, respectively. We have not made any payments to Mills Family Holdco pursuant to the Services Agreements.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Other Transactions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 February 2023, Andrew J. Mills, a member of our board of directors, received an allocation of term loans under our Senior Secured Credit Facilities, of which $17.8 million and $17.6 million principal remained outstanding as of December 31, 2024 and 2025, respectively. Borrowings under the Senior Secured Credit Facilities bear interest at a floating rate as further described under </w:t>
      </w:r>
      <w:r>
        <w:rPr>
          <w:rFonts w:ascii="Arial;Helvetica;sans-serif" w:hAnsi="Arial;Helvetica;sans-serif"/>
          <w:b w:val="false"/>
          <w:i/>
          <w:caps w:val="false"/>
          <w:smallCaps w:val="false"/>
          <w:color w:val="000000"/>
          <w:sz w:val="18"/>
        </w:rPr>
        <w:t>Part I, Item 7 — Management’s Discussion and Analysis of Financial Condition and Results of Operations — Liquidity and Capital Resources — Indebtedness — Term Loan Facilities</w:t>
      </w:r>
      <w:r>
        <w:rPr>
          <w:rFonts w:ascii="Arial;Helvetica;sans-serif" w:hAnsi="Arial;Helvetica;sans-serif"/>
          <w:b w:val="false"/>
          <w:i/>
          <w:caps w:val="false"/>
          <w:smallCaps w:val="false"/>
          <w:color w:val="000000"/>
          <w:spacing w:val="-1"/>
          <w:sz w:val="18"/>
        </w:rPr>
        <w:t xml:space="preserve"> </w:t>
      </w:r>
      <w:r>
        <w:rPr>
          <w:rFonts w:ascii="Arial;Helvetica;sans-serif" w:hAnsi="Arial;Helvetica;sans-serif"/>
          <w:b w:val="false"/>
          <w:i w:val="false"/>
          <w:caps w:val="false"/>
          <w:smallCaps w:val="false"/>
          <w:color w:val="000000"/>
          <w:spacing w:val="-1"/>
          <w:sz w:val="18"/>
        </w:rPr>
        <w:t xml:space="preserve">of our 2025 Annual Report. For fiscal years 2023, 2024, and 2025, the Company paid Mr. A. Mills $0.2 million, $1.9 million, and $0.2 million in principal and $1.6 million, $1.6 million, and $1.5 million in interest, respectively, under the Senior Secured Credit Facilities. For additional details on the terms of the Senior Secured Credit Facilities, see </w:t>
      </w:r>
      <w:r>
        <w:rPr>
          <w:rFonts w:ascii="Arial;Helvetica;sans-serif" w:hAnsi="Arial;Helvetica;sans-serif"/>
          <w:b w:val="false"/>
          <w:i/>
          <w:caps w:val="false"/>
          <w:smallCaps w:val="false"/>
          <w:color w:val="000000"/>
          <w:sz w:val="18"/>
        </w:rPr>
        <w:t>Part I, Item 7 — Management’s Discussion and Analysis of Financial Condition and Results of Operations — Liquidity and Capital Resources — Indebtedness — Revolving Credit Facilities</w:t>
      </w:r>
      <w:r>
        <w:rPr>
          <w:rFonts w:ascii="Arial;Helvetica;sans-serif" w:hAnsi="Arial;Helvetica;sans-serif"/>
          <w:b w:val="false"/>
          <w:i/>
          <w:caps w:val="false"/>
          <w:smallCaps w:val="false"/>
          <w:color w:val="000000"/>
          <w:spacing w:val="-1"/>
          <w:sz w:val="18"/>
        </w:rPr>
        <w:t xml:space="preserve"> </w:t>
      </w:r>
      <w:r>
        <w:rPr>
          <w:rFonts w:ascii="Arial;Helvetica;sans-serif" w:hAnsi="Arial;Helvetica;sans-serif"/>
          <w:b w:val="false"/>
          <w:i w:val="false"/>
          <w:caps w:val="false"/>
          <w:smallCaps w:val="false"/>
          <w:color w:val="000000"/>
          <w:spacing w:val="-1"/>
          <w:sz w:val="18"/>
        </w:rPr>
        <w:t>of our 2025 Annual Report.</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Participation in IPO</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On December 18, 2025, we completed the IPO of 248,439,654 shares of Class A common stock (including shares issued pursuant to the exercise in full of the underwriters’ option to purchase additional shares) for cash consideration of $29.00 per share (net of underwriting discounts). We used the proceeds (net of underwriting discounts) from the issuance of 179,000,000 shares ($5.078 billion) in the IPO to purchase an equivalent number of newly issued Common Units from Medline Holdings, which Medline Holdings has in turn used $731 million to repay in full all outstanding indebtedness under our New Euro Term Loan Facility, $3.292 billion to repay a portion of the outstanding indebtedness under our 2028 Refinancing Term Loan Facility, and we will use the remainder for general corporate purposes and to bear all of the expenses of the IPO. We used the proceeds (net of underwriting discounts) from the issuance of 37,034,482 shares ($1.051 billion) and the issuance of 32,405,172 shares ($919 million) pursuant to the exercise in full by the underwriters of their option to purchase additional shares in the IPO to purchase or redeem an equivalent aggregate number of shares of Class A common stock and Common Units from certain affiliates of Blackstone, Carlyle, and H&amp;F.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Members of the Mills Family purchased an aggregate of 12,918,962 shares of our Class A common stock in the IPO at the IPO price of $29.00 per share and on the same terms as the other purchasers in the IPO.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40" w:before="400" w:after="283"/>
        <w:ind w:left="720" w:right="0" w:hanging="0"/>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Underwriting of IPO</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Blackstone Securities Partners L.P., an affiliate of Blackstone, and TCG Capital Markets L.L.C., an affiliate of Carlyle, each a beneficial owner of more than 5% of our common stock, underwrote 4,553,194 and 4,553,194 shares, respectively, of the 248,439,654 shares of Class A common stock offered to the market in the IPO, with underwriting discounts and commissions of $0.63173 per share paid by us.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Participation in Secondary Offering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On March 10, 2026, we completed an underwritten public offering of an aggregate of 86,250,000 shares of Class A common stock (including 11,250,000 shares of Class A common stock issued pursuant to the exercise in full of the underwriters’ option to purchase additional shares) sold by a wholly owned subsidiary of Abu Dhabi Investment Authority (“ADIA”) and certain affiliates of our Sponsors (collectively, the “Selling Stockholders”) at a public offering price of $41.00 per share, for aggregate gross proceeds of approximately $3.5 billion to the Selling Stockholders (the “March 2026 Resale Offering”). This transaction resulted in the issuance of 33,963,901 shares of Class A common stock in connection with the exchange of Common Units by the Selling Stockholders for the three months ended March 28, 2026. We did not sell any shares in the March 2026 Resale Offering and did not receive any of the proceeds from the sale of the shares of Class A common stock in the March 2026 Resale Offering. We paid approximately $4 million in offering expenses associated with the sale of the shares by the Selling Stockholders, net of the underwriting discounts and commissions.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Underwriting of Secondary Offering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Blackstone Securities Partners L.P., an affiliate of Blackstone, and TCG Capital Markets L.L.C., an affiliate of Carlyle, each a beneficial owner of more than 5% of our common stock, underwrote 4,743,750 and 4,743,750 shares, respectively, of the 86,250,000 shares of Class A common stock offered to the market in the March 2026 Resale Offering, with underwriting discounts and commissions of $0.492 per share paid by the Selling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Indemnification of Directors and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entered into an indemnification agreement with each of our directors and executive officers. The indemnification agreements, together with our amended and restated bylaws, provide that we will indemnify our directors and officers to the fullest extent permitted by the DGCL, subject to limited exceptions. The indemnification agreements, together with our amended and restated bylaws,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Family and Other Relationships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Charles N. Mills, a member of our board of directors, served as our CEO from 1997 to October 2023 and is the cousin of Andrew J. Mills. During fiscal 2023, Mr. C. Mills received total compensation of $1,137,984, including salary, bonus, and 401(k) contributions.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Andrew J. Mills, a member of our board of directors, served as our President from 1997 to October 2023 and is the cousin of Charles N. Mills and the brother-in-law of James D. Abrams (our former Chief Operating Officer and director). During fiscal 2023, Mr. A. Mills received total compensation of $394,036, including salary, bonus, and 401(k) contributions.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James D. Abrams served as a member of our board of directors from 2010 to 2025 and as our Chief Operating Officer from 1997 to October 2023 and is the brother of William J. Abrams, son of Robert Abrams and the brother-in-law of Andrew J. Mills. During fiscal 2023, Mr. J. Abrams received total compensation of $487,717, including salary, bonus, and 401(k) contributions.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William J. Abrams is the brother of James D. Abrams. Mr. W. Abrams joined Medline in 2009 and has served as our Executive Vice President, Supply Chain Solutions since 2023. During fiscal 2023, fiscal 2024, and fiscal 2025, Mr. W. Abrams received total compensation of $1,377,619, $1,913,951, and $1,687,051, respectively, including salary, bonus, equity awards, long term incentives, and 401(k) contributions. Mr. W. Abrams previously held units in the Company’s Managing Partner Program (the “MPU Program”). The MPU Program was a cash-based incentive plan designed to replicate the economics of owning Company common stock. The Managing Partner Units (“MPUs”) issued pursuant to the MPU Program entitled the MPU Unit holders the opportunity to earn both (i) a share of the Company’s “Adjusted Earnings before Taxes” ​(the Company’s audited consolidated earnings before taxes as determined in accordance with GAAP, as adjusted for certain items) (“Profit Sharing Distributions”) and (ii) special payments tied to certain liquidity events. In addition to regular Profit Sharing Distributions, executives who held MPUs and remained employed until a liquidity event were eligible to receive the “Liquidity Event MPU Amount,” which is an amount per MPU equal to the price per share of Company common stock paid to holders thereof in connection with the liquidity event, less the book value per share of the Company at the time of the liquidity event. The Sponsor Acquisition qualified as a liquidity event under the MPU Program and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35</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Governance</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7300"/>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entitled MPU Unit holders, including Mr. W. Abrams, to the Liquidity Event MPU Amount to be paid in equal one-third installments, with the first installment paid on the date of the Sponsor Acquisition and the remaining installments on the first and second anniversary of the Sponsor Acquisition, subject to the executive’s compliance with certain restrictive covenants and, with respect to 50% of such distributions, the executive’s continued employment on the distribution dates. The Company’s obligations under the MPU Program were satisfied as of October 21, 2023, and no further grants or distributions under the MPU Program will be made in the future. In fiscal 2023, Mr. W. Abrams received distributions on his MPU Units of $11,938,474.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Justin Mills is the son of Andrew J. Mills. Mr. J. Mills is currently employed by the Company as a sales representative in Acute Care. During fiscal 2024 and fiscal 2025, Mr. J. Mills received total compensation of $222,784 and $129,487, respectively, including base salary, commission, and other benefits.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Robert Abrams is the father of James D. Abrams and William J. Abrams and is currently employed as the Company’s Corporate Purchasing Director. During fiscal 2023, fiscal 2024 and fiscal 2025, Mr. R. Abrams received total compensation of $137,981, $127,917, and $160,868, respectively, comprised of his base salary.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C</w:t>
      </w:r>
      <w:r>
        <w:rPr>
          <w:rFonts w:ascii="Arial;Helvetica;sans-serif" w:hAnsi="Arial;Helvetica;sans-serif"/>
          <w:b/>
          <w:i w:val="false"/>
          <w:caps w:val="false"/>
          <w:smallCaps w:val="false"/>
          <w:color w:val="0055B7"/>
          <w:spacing w:val="-3"/>
          <w:sz w:val="24"/>
        </w:rPr>
        <w:t>OMMUNICATIONS</w:t>
      </w:r>
      <w:r>
        <w:rPr>
          <w:rFonts w:ascii="Arial;Helvetica;sans-serif" w:hAnsi="Arial;Helvetica;sans-serif"/>
          <w:b/>
          <w:i w:val="false"/>
          <w:caps w:val="false"/>
          <w:smallCaps w:val="false"/>
          <w:color w:val="0055B7"/>
          <w:spacing w:val="-1"/>
          <w:sz w:val="24"/>
        </w:rPr>
        <w:t xml:space="preserve"> With the B</w:t>
      </w:r>
      <w:r>
        <w:rPr>
          <w:rFonts w:ascii="Arial;Helvetica;sans-serif" w:hAnsi="Arial;Helvetica;sans-serif"/>
          <w:b/>
          <w:i w:val="false"/>
          <w:caps w:val="false"/>
          <w:smallCaps w:val="false"/>
          <w:color w:val="0055B7"/>
          <w:spacing w:val="-3"/>
          <w:sz w:val="24"/>
        </w:rPr>
        <w:t>OARD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Information for stockholders and other interested parties who wish to communicate with the Chair of the Board, the full Board, or our independent directors, individually or as a group, is described in our Corporate Governance Guidelines, which are available on our website at </w:t>
      </w:r>
      <w:r>
        <w:rPr>
          <w:rFonts w:ascii="Arial;Helvetica;sans-serif" w:hAnsi="Arial;Helvetica;sans-serif"/>
          <w:b/>
          <w:i w:val="false"/>
          <w:caps w:val="false"/>
          <w:smallCaps w:val="false"/>
          <w:color w:val="000000"/>
          <w:spacing w:val="0"/>
          <w:sz w:val="18"/>
        </w:rPr>
        <w:t>ir.medline.com</w:t>
      </w:r>
      <w:r>
        <w:rPr>
          <w:rFonts w:ascii="Arial;Helvetica;sans-serif" w:hAnsi="Arial;Helvetica;sans-serif"/>
          <w:b w:val="false"/>
          <w:i w:val="false"/>
          <w:caps w:val="false"/>
          <w:smallCaps w:val="false"/>
          <w:color w:val="000000"/>
          <w:spacing w:val="-1"/>
          <w:sz w:val="18"/>
        </w:rPr>
        <w:t xml:space="preserve"> under the “Governance” tab. Communications should be directed to our Corporate Secretary, who serves as the initial point of contact and routes correspondence as appropriate. Communications that relate to matters within the Board’s oversight responsibilities are forwarded to the independent directors. Communications that relate to matters within a Committee’s scope of responsibilities are forwarded to the Chair of the appropriate Committee. Communications that relate to ordinary-course business matters, including routine inquiries, suggestions, or customer matters, are forwarded to the appropriate executive or employee of the Company. The Corporate Secretary does not forward solicitations, “junk” mail, or communications that are abusive, frivolous, or otherwise inappropriate.</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36</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DCPL"/>
      <w:bookmarkEnd w:id="18"/>
      <w:r>
        <w:rPr>
          <w:rFonts w:ascii="calibri;arial;sans-serif" w:hAnsi="calibri;arial;sans-serif"/>
          <w:b w:val="false"/>
          <w:i w:val="false"/>
          <w:caps w:val="false"/>
          <w:smallCaps w:val="false"/>
          <w:color w:val="000000"/>
          <w:sz w:val="16"/>
        </w:rPr>
        <w:t>​</w:t>
      </w:r>
      <w:bookmarkStart w:id="19" w:name="tDSOG"/>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D</w:t>
      </w:r>
      <w:r>
        <w:rPr>
          <w:rFonts w:ascii="Arial;Helvetica;sans-serif" w:hAnsi="Arial;Helvetica;sans-serif"/>
          <w:b w:val="false"/>
          <w:i w:val="false"/>
          <w:caps w:val="false"/>
          <w:smallCaps w:val="false"/>
          <w:color w:val="C3C5C8"/>
          <w:spacing w:val="-1"/>
          <w:sz w:val="15"/>
        </w:rPr>
        <w:t>IRECTOR</w:t>
      </w:r>
      <w:r>
        <w:rPr>
          <w:rFonts w:ascii="Arial;Helvetica;sans-serif" w:hAnsi="Arial;Helvetica;sans-serif"/>
          <w:b w:val="false"/>
          <w:i w:val="false"/>
          <w:caps w:val="false"/>
          <w:smallCaps w:val="false"/>
          <w:color w:val="C3C5C8"/>
          <w:spacing w:val="-1"/>
          <w:sz w:val="15"/>
        </w:rPr>
        <w:t xml:space="preserve"> C</w:t>
      </w:r>
      <w:r>
        <w:rPr>
          <w:rFonts w:ascii="Arial;Helvetica;sans-serif" w:hAnsi="Arial;Helvetica;sans-serif"/>
          <w:b w:val="false"/>
          <w:i w:val="false"/>
          <w:caps w:val="false"/>
          <w:smallCaps w:val="false"/>
          <w:color w:val="C3C5C8"/>
          <w:spacing w:val="-1"/>
          <w:sz w:val="15"/>
        </w:rPr>
        <w:t>OMPENSATION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283"/>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6"/>
          <w:sz w:val="44"/>
        </w:rPr>
        <w:t>D</w:t>
      </w:r>
      <w:r>
        <w:rPr>
          <w:rFonts w:ascii="Arial;Helvetica;sans-serif" w:hAnsi="Arial;Helvetica;sans-serif"/>
          <w:b/>
          <w:i w:val="false"/>
          <w:caps w:val="false"/>
          <w:smallCaps w:val="false"/>
          <w:color w:val="003CA6"/>
          <w:spacing w:val="-6"/>
          <w:sz w:val="44"/>
        </w:rPr>
        <w:t>IRECTOR</w:t>
      </w:r>
      <w:r>
        <w:rPr>
          <w:rFonts w:ascii="Arial;Helvetica;sans-serif" w:hAnsi="Arial;Helvetica;sans-serif"/>
          <w:b/>
          <w:i w:val="false"/>
          <w:caps w:val="false"/>
          <w:smallCaps w:val="false"/>
          <w:color w:val="003CA6"/>
          <w:spacing w:val="-6"/>
          <w:sz w:val="44"/>
        </w:rPr>
        <w:t xml:space="preserve"> C</w:t>
      </w:r>
      <w:r>
        <w:rPr>
          <w:rFonts w:ascii="Arial;Helvetica;sans-serif" w:hAnsi="Arial;Helvetica;sans-serif"/>
          <w:b/>
          <w:i w:val="false"/>
          <w:caps w:val="false"/>
          <w:smallCaps w:val="false"/>
          <w:color w:val="003CA6"/>
          <w:spacing w:val="-6"/>
          <w:sz w:val="44"/>
        </w:rPr>
        <w:t>OMPENSATION</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D</w:t>
      </w:r>
      <w:r>
        <w:rPr>
          <w:rFonts w:ascii="Arial;Helvetica;sans-serif" w:hAnsi="Arial;Helvetica;sans-serif"/>
          <w:b/>
          <w:i w:val="false"/>
          <w:caps w:val="false"/>
          <w:smallCaps w:val="false"/>
          <w:color w:val="003CA6"/>
          <w:spacing w:val="-4"/>
          <w:sz w:val="28"/>
        </w:rPr>
        <w:t>IRECTOR</w:t>
      </w:r>
      <w:r>
        <w:rPr>
          <w:rFonts w:ascii="Arial;Helvetica;sans-serif" w:hAnsi="Arial;Helvetica;sans-serif"/>
          <w:b/>
          <w:i w:val="false"/>
          <w:caps w:val="false"/>
          <w:smallCaps w:val="false"/>
          <w:color w:val="003CA6"/>
          <w:spacing w:val="-4"/>
          <w:sz w:val="28"/>
        </w:rPr>
        <w:t xml:space="preserve"> C</w:t>
      </w:r>
      <w:r>
        <w:rPr>
          <w:rFonts w:ascii="Arial;Helvetica;sans-serif" w:hAnsi="Arial;Helvetica;sans-serif"/>
          <w:b/>
          <w:i w:val="false"/>
          <w:caps w:val="false"/>
          <w:smallCaps w:val="false"/>
          <w:color w:val="003CA6"/>
          <w:spacing w:val="-4"/>
          <w:sz w:val="28"/>
        </w:rPr>
        <w:t>OMPENSATION</w:t>
      </w:r>
      <w:r>
        <w:rPr>
          <w:rFonts w:ascii="Arial;Helvetica;sans-serif" w:hAnsi="Arial;Helvetica;sans-serif"/>
          <w:b/>
          <w:i w:val="false"/>
          <w:caps w:val="false"/>
          <w:smallCaps w:val="false"/>
          <w:color w:val="003CA6"/>
          <w:spacing w:val="-4"/>
          <w:sz w:val="28"/>
        </w:rPr>
        <w:t xml:space="preserve"> P</w:t>
      </w:r>
      <w:r>
        <w:rPr>
          <w:rFonts w:ascii="Arial;Helvetica;sans-serif" w:hAnsi="Arial;Helvetica;sans-serif"/>
          <w:b/>
          <w:i w:val="false"/>
          <w:caps w:val="false"/>
          <w:smallCaps w:val="false"/>
          <w:color w:val="003CA6"/>
          <w:spacing w:val="-4"/>
          <w:sz w:val="28"/>
        </w:rPr>
        <w:t>ROGRAM</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 Messrs. Bluedorn, Galanti and Sweet, are currently entitled to compensation consisting 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Annual cash retainer of $125,000 per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314">
                <wp:simplePos x="0" y="0"/>
                <wp:positionH relativeFrom="column">
                  <wp:align>left</wp:align>
                </wp:positionH>
                <wp:positionV relativeFrom="line">
                  <wp:align>top</wp:align>
                </wp:positionV>
                <wp:extent cx="139700" cy="350520"/>
                <wp:effectExtent l="0" t="0" r="0" b="0"/>
                <wp:wrapSquare wrapText="right"/>
                <wp:docPr id="292" name="Frame15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Committee chair cash retainers of $25,000 (Audit) and $20,000 (Compensation, Nominating and Governance, and Risk);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315">
                <wp:simplePos x="0" y="0"/>
                <wp:positionH relativeFrom="column">
                  <wp:align>left</wp:align>
                </wp:positionH>
                <wp:positionV relativeFrom="line">
                  <wp:align>top</wp:align>
                </wp:positionV>
                <wp:extent cx="139700" cy="350520"/>
                <wp:effectExtent l="0" t="0" r="0" b="0"/>
                <wp:wrapSquare wrapText="right"/>
                <wp:docPr id="293" name="Frame15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Initial equity award of RSUs with a grant date fair value of $300,000, that cliff vest on March 27, 2027 (for Mr. Sweet) and March 30, 2027 (for Messrs. Bluedorn and Galanti);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316">
                <wp:simplePos x="0" y="0"/>
                <wp:positionH relativeFrom="column">
                  <wp:align>left</wp:align>
                </wp:positionH>
                <wp:positionV relativeFrom="line">
                  <wp:align>top</wp:align>
                </wp:positionV>
                <wp:extent cx="139700" cy="350520"/>
                <wp:effectExtent l="0" t="0" r="0" b="0"/>
                <wp:wrapSquare wrapText="right"/>
                <wp:docPr id="294" name="Frame15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Beginning in 2026, an annual equity award of RSUs with a grant date fair value of $200,000, vesting on the first anniversary of grant.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317">
                <wp:simplePos x="0" y="0"/>
                <wp:positionH relativeFrom="column">
                  <wp:align>left</wp:align>
                </wp:positionH>
                <wp:positionV relativeFrom="line">
                  <wp:align>top</wp:align>
                </wp:positionV>
                <wp:extent cx="139700" cy="350520"/>
                <wp:effectExtent l="0" t="0" r="0" b="0"/>
                <wp:wrapSquare wrapText="right"/>
                <wp:docPr id="295" name="Frame15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form and amount of compensation for our non-employee directors was established based on recommendations from management’s compensation consultant, Korn Ferry, based on benchmarking against the peer group used for 2025 Named Executive Officer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During 2025, James Abrams (our former Chief Operating Officer), Charles Mills (our former CEO), and Andrew Mills (our former President) served as members of our board of directors. They did not receive any compensation or benefits for their service in 2025. Mr. Abrams resigned as a member of the board of directors in connection with our IPO.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provides summary information concerning compensation paid or accrued by us to or on behalf of Messrs. Sweet, Galanti, and Bluedorn for services rendered to us as directors during the last fiscal year.</w:t>
      </w:r>
      <w:r>
        <w:rPr>
          <w:rFonts w:ascii="Arial;Helvetica;sans-serif" w:hAnsi="Arial;Helvetica;sans-serif"/>
          <w:b w:val="false"/>
          <w:i w:val="false"/>
          <w:caps w:val="false"/>
          <w:smallCaps w:val="false"/>
          <w:color w:val="000000"/>
          <w:spacing w:val="4"/>
          <w:sz w:val="18"/>
        </w:rPr>
        <w:t xml:space="preserve"> </w:t>
      </w:r>
    </w:p>
    <w:tbl>
      <w:tblPr>
        <w:tblW w:w="7181" w:type="dxa"/>
        <w:jc w:val="left"/>
        <w:tblInd w:w="720" w:type="dxa"/>
        <w:tblLayout w:type="fixed"/>
        <w:tblCellMar>
          <w:top w:w="0" w:type="dxa"/>
          <w:left w:w="0" w:type="dxa"/>
          <w:bottom w:w="43" w:type="dxa"/>
          <w:right w:w="0" w:type="dxa"/>
        </w:tblCellMar>
      </w:tblPr>
      <w:tblGrid>
        <w:gridCol w:w="2026"/>
        <w:gridCol w:w="109"/>
        <w:gridCol w:w="109"/>
        <w:gridCol w:w="145"/>
        <w:gridCol w:w="145"/>
        <w:gridCol w:w="1184"/>
        <w:gridCol w:w="145"/>
        <w:gridCol w:w="109"/>
        <w:gridCol w:w="109"/>
        <w:gridCol w:w="136"/>
        <w:gridCol w:w="136"/>
        <w:gridCol w:w="1107"/>
        <w:gridCol w:w="136"/>
        <w:gridCol w:w="109"/>
        <w:gridCol w:w="109"/>
        <w:gridCol w:w="109"/>
        <w:gridCol w:w="109"/>
        <w:gridCol w:w="886"/>
        <w:gridCol w:w="109"/>
        <w:gridCol w:w="154"/>
      </w:tblGrid>
      <w:tr>
        <w:trPr/>
        <w:tc>
          <w:tcPr>
            <w:tcW w:w="2026" w:type="dxa"/>
            <w:tcBorders>
              <w:bottom w:val="single" w:sz="2" w:space="0" w:color="000000"/>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19" w:type="dxa"/>
            <w:gridSpan w:val="4"/>
            <w:tcBorders>
              <w:bottom w:val="single" w:sz="2" w:space="0" w:color="000000"/>
            </w:tcBorders>
            <w:vAlign w:val="center"/>
          </w:tcPr>
          <w:p>
            <w:pPr>
              <w:pStyle w:val="TableContents"/>
              <w:bidi w:val="0"/>
              <w:spacing w:before="0" w:after="0"/>
              <w:jc w:val="center"/>
              <w:rPr/>
            </w:pPr>
            <w:r>
              <w:rPr>
                <w:spacing w:val="0"/>
              </w:rPr>
              <w:t xml:space="preserve">Fees Earned </w:t>
              <w:br/>
              <w:t>or Paid in Cash</w:t>
            </w:r>
            <w:r>
              <w:rPr/>
              <w:t xml:space="preserve"> </w:t>
              <w:br/>
            </w: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15" w:type="dxa"/>
            <w:gridSpan w:val="4"/>
            <w:tcBorders>
              <w:bottom w:val="single" w:sz="2" w:space="0" w:color="000000"/>
            </w:tcBorders>
            <w:vAlign w:val="center"/>
          </w:tcPr>
          <w:p>
            <w:pPr>
              <w:pStyle w:val="TableContents"/>
              <w:bidi w:val="0"/>
              <w:spacing w:before="0" w:after="0"/>
              <w:jc w:val="center"/>
              <w:rPr/>
            </w:pPr>
            <w:r>
              <w:rPr>
                <w:spacing w:val="0"/>
              </w:rPr>
              <w:t>Stock Awards</w:t>
            </w:r>
            <w:r>
              <w:rPr/>
              <w:t xml:space="preserve"> </w:t>
              <w:br/>
            </w: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026" w:type="dxa"/>
            <w:tcBorders>
              <w:bottom w:val="single" w:sz="6" w:space="0" w:color="000000"/>
            </w:tcBorders>
            <w:tcMar>
              <w:bottom w:w="45" w:type="dxa"/>
            </w:tcMar>
            <w:vAlign w:val="center"/>
          </w:tcPr>
          <w:p>
            <w:pPr>
              <w:pStyle w:val="TableContents"/>
              <w:bidi w:val="0"/>
              <w:spacing w:before="0" w:after="0"/>
              <w:jc w:val="left"/>
              <w:rPr>
                <w:b/>
                <w:spacing w:val="0"/>
              </w:rPr>
            </w:pPr>
            <w:r>
              <w:rPr>
                <w:b/>
                <w:spacing w:val="0"/>
              </w:rPr>
              <w:t xml:space="preserve">Thomas W. Sweet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1184" w:type="dxa"/>
            <w:tcBorders>
              <w:bottom w:val="single" w:sz="6" w:space="0" w:color="000000"/>
            </w:tcBorders>
            <w:tcMar>
              <w:bottom w:w="45" w:type="dxa"/>
            </w:tcMar>
            <w:vAlign w:val="center"/>
          </w:tcPr>
          <w:p>
            <w:pPr>
              <w:pStyle w:val="TableContents"/>
              <w:bidi w:val="0"/>
              <w:spacing w:before="0" w:after="283"/>
              <w:jc w:val="right"/>
              <w:rPr/>
            </w:pPr>
            <w:r>
              <w:rPr/>
              <w:t>150,000</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45" w:type="dxa"/>
            </w:tcMar>
            <w:vAlign w:val="center"/>
          </w:tcPr>
          <w:p>
            <w:pPr>
              <w:pStyle w:val="TableContents"/>
              <w:bidi w:val="0"/>
              <w:spacing w:before="0" w:after="283"/>
              <w:jc w:val="right"/>
              <w:rPr/>
            </w:pPr>
            <w:r>
              <w:rPr/>
              <w:t>​</w:t>
            </w:r>
          </w:p>
        </w:tc>
        <w:tc>
          <w:tcPr>
            <w:tcW w:w="1107" w:type="dxa"/>
            <w:tcBorders>
              <w:bottom w:val="single" w:sz="6" w:space="0" w:color="000000"/>
            </w:tcBorders>
            <w:tcMar>
              <w:bottom w:w="45" w:type="dxa"/>
            </w:tcMar>
            <w:vAlign w:val="center"/>
          </w:tcPr>
          <w:p>
            <w:pPr>
              <w:pStyle w:val="TableContents"/>
              <w:bidi w:val="0"/>
              <w:spacing w:before="0" w:after="283"/>
              <w:jc w:val="right"/>
              <w:rPr/>
            </w:pPr>
            <w:r>
              <w:rPr/>
              <w:t>0</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886" w:type="dxa"/>
            <w:tcBorders>
              <w:bottom w:val="single" w:sz="6" w:space="0" w:color="000000"/>
            </w:tcBorders>
            <w:tcMar>
              <w:bottom w:w="45" w:type="dxa"/>
            </w:tcMar>
            <w:vAlign w:val="center"/>
          </w:tcPr>
          <w:p>
            <w:pPr>
              <w:pStyle w:val="TableContents"/>
              <w:bidi w:val="0"/>
              <w:spacing w:before="0" w:after="283"/>
              <w:jc w:val="right"/>
              <w:rPr/>
            </w:pPr>
            <w:r>
              <w:rPr/>
              <w:t>150,000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26" w:type="dxa"/>
            <w:tcBorders>
              <w:bottom w:val="single" w:sz="6" w:space="0" w:color="000000"/>
            </w:tcBorders>
            <w:shd w:fill="E6EEF8" w:val="clear"/>
            <w:tcMar>
              <w:bottom w:w="45" w:type="dxa"/>
            </w:tcMar>
            <w:vAlign w:val="center"/>
          </w:tcPr>
          <w:p>
            <w:pPr>
              <w:pStyle w:val="TableContents"/>
              <w:bidi w:val="0"/>
              <w:spacing w:before="0" w:after="0"/>
              <w:jc w:val="left"/>
              <w:rPr>
                <w:b/>
                <w:spacing w:val="0"/>
              </w:rPr>
            </w:pPr>
            <w:r>
              <w:rPr>
                <w:b/>
                <w:spacing w:val="0"/>
              </w:rPr>
              <w:t xml:space="preserve">Richard Galanti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184" w:type="dxa"/>
            <w:tcBorders>
              <w:bottom w:val="single" w:sz="6" w:space="0" w:color="000000"/>
            </w:tcBorders>
            <w:shd w:fill="E6EEF8" w:val="clear"/>
            <w:tcMar>
              <w:bottom w:w="45" w:type="dxa"/>
            </w:tcMar>
            <w:vAlign w:val="center"/>
          </w:tcPr>
          <w:p>
            <w:pPr>
              <w:pStyle w:val="TableContents"/>
              <w:bidi w:val="0"/>
              <w:spacing w:before="0" w:after="283"/>
              <w:jc w:val="right"/>
              <w:rPr/>
            </w:pPr>
            <w:r>
              <w:rPr/>
              <w:t>75,787</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107" w:type="dxa"/>
            <w:tcBorders>
              <w:bottom w:val="single" w:sz="6" w:space="0" w:color="000000"/>
            </w:tcBorders>
            <w:shd w:fill="E6EEF8" w:val="clear"/>
            <w:tcMar>
              <w:bottom w:w="45" w:type="dxa"/>
            </w:tcMar>
            <w:vAlign w:val="center"/>
          </w:tcPr>
          <w:p>
            <w:pPr>
              <w:pStyle w:val="TableContents"/>
              <w:bidi w:val="0"/>
              <w:spacing w:before="0" w:after="283"/>
              <w:jc w:val="right"/>
              <w:rPr/>
            </w:pPr>
            <w:r>
              <w:rPr/>
              <w:t>300,000</w:t>
            </w:r>
          </w:p>
        </w:tc>
        <w:tc>
          <w:tcPr>
            <w:tcW w:w="136"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86" w:type="dxa"/>
            <w:tcBorders>
              <w:bottom w:val="single" w:sz="6" w:space="0" w:color="000000"/>
            </w:tcBorders>
            <w:shd w:fill="E6EEF8" w:val="clear"/>
            <w:tcMar>
              <w:bottom w:w="45" w:type="dxa"/>
            </w:tcMar>
            <w:vAlign w:val="center"/>
          </w:tcPr>
          <w:p>
            <w:pPr>
              <w:pStyle w:val="TableContents"/>
              <w:bidi w:val="0"/>
              <w:spacing w:before="0" w:after="283"/>
              <w:jc w:val="right"/>
              <w:rPr/>
            </w:pPr>
            <w:r>
              <w:rPr/>
              <w:t>375,787</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26" w:type="dxa"/>
            <w:tcBorders>
              <w:bottom w:val="single" w:sz="6" w:space="0" w:color="000000"/>
            </w:tcBorders>
            <w:tcMar>
              <w:bottom w:w="30" w:type="dxa"/>
            </w:tcMar>
            <w:vAlign w:val="center"/>
          </w:tcPr>
          <w:p>
            <w:pPr>
              <w:pStyle w:val="TableContents"/>
              <w:bidi w:val="0"/>
              <w:spacing w:before="0" w:after="0"/>
              <w:jc w:val="left"/>
              <w:rPr>
                <w:b/>
                <w:spacing w:val="0"/>
              </w:rPr>
            </w:pPr>
            <w:r>
              <w:rPr>
                <w:b/>
                <w:spacing w:val="0"/>
              </w:rPr>
              <w:t xml:space="preserve">Todd Bluedorn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30" w:type="dxa"/>
            </w:tcMar>
            <w:vAlign w:val="center"/>
          </w:tcPr>
          <w:p>
            <w:pPr>
              <w:pStyle w:val="TableContents"/>
              <w:bidi w:val="0"/>
              <w:spacing w:before="0" w:after="283"/>
              <w:jc w:val="right"/>
              <w:rPr/>
            </w:pPr>
            <w:r>
              <w:rPr/>
              <w:t>​</w:t>
            </w:r>
          </w:p>
        </w:tc>
        <w:tc>
          <w:tcPr>
            <w:tcW w:w="1184" w:type="dxa"/>
            <w:tcBorders>
              <w:bottom w:val="single" w:sz="6" w:space="0" w:color="000000"/>
            </w:tcBorders>
            <w:tcMar>
              <w:bottom w:w="30" w:type="dxa"/>
            </w:tcMar>
            <w:vAlign w:val="center"/>
          </w:tcPr>
          <w:p>
            <w:pPr>
              <w:pStyle w:val="TableContents"/>
              <w:bidi w:val="0"/>
              <w:spacing w:before="0" w:after="283"/>
              <w:jc w:val="right"/>
              <w:rPr/>
            </w:pPr>
            <w:r>
              <w:rPr/>
              <w:t>4,921</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30" w:type="dxa"/>
            </w:tcMar>
            <w:vAlign w:val="center"/>
          </w:tcPr>
          <w:p>
            <w:pPr>
              <w:pStyle w:val="TableContents"/>
              <w:bidi w:val="0"/>
              <w:spacing w:before="0" w:after="283"/>
              <w:jc w:val="right"/>
              <w:rPr/>
            </w:pPr>
            <w:r>
              <w:rPr/>
              <w:t>​</w:t>
            </w:r>
          </w:p>
        </w:tc>
        <w:tc>
          <w:tcPr>
            <w:tcW w:w="1107" w:type="dxa"/>
            <w:tcBorders>
              <w:bottom w:val="single" w:sz="6" w:space="0" w:color="000000"/>
            </w:tcBorders>
            <w:tcMar>
              <w:bottom w:w="30" w:type="dxa"/>
            </w:tcMar>
            <w:vAlign w:val="center"/>
          </w:tcPr>
          <w:p>
            <w:pPr>
              <w:pStyle w:val="TableContents"/>
              <w:bidi w:val="0"/>
              <w:spacing w:before="0" w:after="283"/>
              <w:jc w:val="right"/>
              <w:rPr/>
            </w:pPr>
            <w:r>
              <w:rPr/>
              <w:t>300,000</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30" w:type="dxa"/>
            </w:tcMar>
            <w:vAlign w:val="center"/>
          </w:tcPr>
          <w:p>
            <w:pPr>
              <w:pStyle w:val="TableContents"/>
              <w:bidi w:val="0"/>
              <w:spacing w:before="0" w:after="283"/>
              <w:jc w:val="right"/>
              <w:rPr/>
            </w:pPr>
            <w:r>
              <w:rPr/>
              <w:t>​</w:t>
            </w:r>
          </w:p>
        </w:tc>
        <w:tc>
          <w:tcPr>
            <w:tcW w:w="886" w:type="dxa"/>
            <w:tcBorders>
              <w:bottom w:val="single" w:sz="6" w:space="0" w:color="000000"/>
            </w:tcBorders>
            <w:tcMar>
              <w:bottom w:w="30" w:type="dxa"/>
            </w:tcMar>
            <w:vAlign w:val="center"/>
          </w:tcPr>
          <w:p>
            <w:pPr>
              <w:pStyle w:val="TableContents"/>
              <w:bidi w:val="0"/>
              <w:spacing w:before="0" w:after="283"/>
              <w:jc w:val="right"/>
              <w:rPr/>
            </w:pPr>
            <w:r>
              <w:rPr/>
              <w:t>304,921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This amount represents the aggregate grant date fair value of (i) RSUs for Common Units of the Medline Management Aggregator LLC (the “Aggregator”) (which were converted into RSUs covering shares of Medline Inc. common stock in connection with Medline’s IPO) granted to Mr. Galanti on September 5, 2025 in connection with the commencement of his service and (ii) RSUs granted to Mr. Bluedorn on December 16, 2025 in connection with the commencement of his service. The grant date fair value was calculated in accordance with ASC Topic 718. As of December 31, 2025, all of the RSUs held by each of Mr. Sweet (12,413), Mr. Galanti (11,005), and Mr. Bluedorn (10,345) were unvested. Mr. Sweet was granted RSUs for Common Units in the Aggregator in connection with his commencement of services on September 27, 2024, which were converted into RSUs covering shares of Medline Inc. common stock in connection with Medline’s IPO.</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318">
                <wp:simplePos x="0" y="0"/>
                <wp:positionH relativeFrom="column">
                  <wp:align>left</wp:align>
                </wp:positionH>
                <wp:positionV relativeFrom="line">
                  <wp:align>top</wp:align>
                </wp:positionV>
                <wp:extent cx="228600" cy="254000"/>
                <wp:effectExtent l="0" t="0" r="0" b="0"/>
                <wp:wrapSquare wrapText="right"/>
                <wp:docPr id="296" name="Frame160"/>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D</w:t>
      </w:r>
      <w:r>
        <w:rPr>
          <w:rFonts w:ascii="Arial;Helvetica;sans-serif" w:hAnsi="Arial;Helvetica;sans-serif"/>
          <w:b/>
          <w:i w:val="false"/>
          <w:caps w:val="false"/>
          <w:smallCaps w:val="false"/>
          <w:color w:val="003CA6"/>
          <w:spacing w:val="-4"/>
          <w:sz w:val="28"/>
        </w:rPr>
        <w:t>IRECTOR</w:t>
      </w:r>
      <w:r>
        <w:rPr>
          <w:rFonts w:ascii="Arial;Helvetica;sans-serif" w:hAnsi="Arial;Helvetica;sans-serif"/>
          <w:b/>
          <w:i w:val="false"/>
          <w:caps w:val="false"/>
          <w:smallCaps w:val="false"/>
          <w:color w:val="003CA6"/>
          <w:spacing w:val="-4"/>
          <w:sz w:val="28"/>
        </w:rPr>
        <w:t xml:space="preserve"> S</w:t>
      </w:r>
      <w:r>
        <w:rPr>
          <w:rFonts w:ascii="Arial;Helvetica;sans-serif" w:hAnsi="Arial;Helvetica;sans-serif"/>
          <w:b/>
          <w:i w:val="false"/>
          <w:caps w:val="false"/>
          <w:smallCaps w:val="false"/>
          <w:color w:val="003CA6"/>
          <w:spacing w:val="-4"/>
          <w:sz w:val="28"/>
        </w:rPr>
        <w:t>TOCK</w:t>
      </w:r>
      <w:r>
        <w:rPr>
          <w:rFonts w:ascii="Arial;Helvetica;sans-serif" w:hAnsi="Arial;Helvetica;sans-serif"/>
          <w:b/>
          <w:i w:val="false"/>
          <w:caps w:val="false"/>
          <w:smallCaps w:val="false"/>
          <w:color w:val="003CA6"/>
          <w:spacing w:val="-4"/>
          <w:sz w:val="28"/>
        </w:rPr>
        <w:t xml:space="preserve"> O</w:t>
      </w:r>
      <w:r>
        <w:rPr>
          <w:rFonts w:ascii="Arial;Helvetica;sans-serif" w:hAnsi="Arial;Helvetica;sans-serif"/>
          <w:b/>
          <w:i w:val="false"/>
          <w:caps w:val="false"/>
          <w:smallCaps w:val="false"/>
          <w:color w:val="003CA6"/>
          <w:spacing w:val="-4"/>
          <w:sz w:val="28"/>
        </w:rPr>
        <w:t>WNERSHIP</w:t>
      </w:r>
      <w:r>
        <w:rPr>
          <w:rFonts w:ascii="Arial;Helvetica;sans-serif" w:hAnsi="Arial;Helvetica;sans-serif"/>
          <w:b/>
          <w:i w:val="false"/>
          <w:caps w:val="false"/>
          <w:smallCaps w:val="false"/>
          <w:color w:val="003CA6"/>
          <w:spacing w:val="-4"/>
          <w:sz w:val="28"/>
        </w:rPr>
        <w:t xml:space="preserve"> G</w:t>
      </w:r>
      <w:r>
        <w:rPr>
          <w:rFonts w:ascii="Arial;Helvetica;sans-serif" w:hAnsi="Arial;Helvetica;sans-serif"/>
          <w:b/>
          <w:i w:val="false"/>
          <w:caps w:val="false"/>
          <w:smallCaps w:val="false"/>
          <w:color w:val="003CA6"/>
          <w:spacing w:val="-4"/>
          <w:sz w:val="28"/>
        </w:rPr>
        <w:t>UIDELINES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Our stock ownership guidelines, effective December 16, 2025, require non-employee directors receiving service-related compensation to maintain a number of shares of our common stock in an amount equal to a specified multiple. Pursuant to the Director Nomination Agreements entered into with certain Sponsors, non-employee directors who have been appointed by our Sponsors (the “Sponsor Directors”) are not subject to our stock ownership guidelines. For additional information, see </w:t>
      </w:r>
      <w:r>
        <w:rPr>
          <w:rFonts w:ascii="Arial;Helvetica;sans-serif" w:hAnsi="Arial;Helvetica;sans-serif"/>
          <w:b w:val="false"/>
          <w:i/>
          <w:caps w:val="false"/>
          <w:smallCaps w:val="false"/>
          <w:color w:val="000000"/>
          <w:sz w:val="18"/>
        </w:rPr>
        <w:t>Our Board — Board Qualifications — Director Nominations</w:t>
      </w:r>
      <w:r>
        <w:rPr>
          <w:rFonts w:ascii="Arial;Helvetica;sans-serif" w:hAnsi="Arial;Helvetica;sans-serif"/>
          <w:b w:val="false"/>
          <w:i w:val="false"/>
          <w:caps w:val="false"/>
          <w:smallCaps w:val="false"/>
          <w:color w:val="000000"/>
          <w:spacing w:val="-1"/>
          <w:sz w:val="18"/>
        </w:rPr>
        <w:t>. All of our current non-employee directors who are subject to our stock ownership guidelines are in compliance with the ownership guidelines.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848"/>
        <w:gridCol w:w="109"/>
        <w:gridCol w:w="109"/>
        <w:gridCol w:w="3876"/>
        <w:gridCol w:w="109"/>
        <w:gridCol w:w="109"/>
        <w:gridCol w:w="3046"/>
        <w:gridCol w:w="155"/>
      </w:tblGrid>
      <w:tr>
        <w:trPr/>
        <w:tc>
          <w:tcPr>
            <w:tcW w:w="124" w:type="dxa"/>
            <w:tcBorders/>
            <w:vAlign w:val="center"/>
          </w:tcPr>
          <w:p>
            <w:pPr>
              <w:pStyle w:val="TableContents"/>
              <w:bidi w:val="0"/>
              <w:spacing w:before="0" w:after="283"/>
              <w:jc w:val="left"/>
              <w:rPr/>
            </w:pPr>
            <w:r>
              <w:rPr/>
              <w:t>​</w:t>
            </w:r>
          </w:p>
        </w:tc>
        <w:tc>
          <w:tcPr>
            <w:tcW w:w="1848" w:type="dxa"/>
            <w:tcBorders/>
            <w:vAlign w:val="center"/>
          </w:tcPr>
          <w:p>
            <w:pPr>
              <w:pStyle w:val="TableContents"/>
              <w:bidi w:val="0"/>
              <w:spacing w:before="0" w:after="0"/>
              <w:jc w:val="center"/>
              <w:rPr/>
            </w:pPr>
            <w:r>
              <w:rPr/>
              <w:drawing>
                <wp:inline distT="0" distB="0" distL="0" distR="0">
                  <wp:extent cx="352425" cy="352425"/>
                  <wp:effectExtent l="0" t="0" r="0" b="0"/>
                  <wp:docPr id="29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21" descr=""/>
                          <pic:cNvPicPr>
                            <a:picLocks noChangeAspect="1" noChangeArrowheads="1"/>
                          </pic:cNvPicPr>
                        </pic:nvPicPr>
                        <pic:blipFill>
                          <a:blip r:embed="rId138"/>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76" w:type="dxa"/>
            <w:tcBorders/>
            <w:vAlign w:val="center"/>
          </w:tcPr>
          <w:p>
            <w:pPr>
              <w:pStyle w:val="TableContents"/>
              <w:bidi w:val="0"/>
              <w:spacing w:before="0" w:after="0"/>
              <w:jc w:val="center"/>
              <w:rPr/>
            </w:pPr>
            <w:r>
              <w:rPr/>
              <w:drawing>
                <wp:inline distT="0" distB="0" distL="0" distR="0">
                  <wp:extent cx="352425" cy="352425"/>
                  <wp:effectExtent l="0" t="0" r="0" b="0"/>
                  <wp:docPr id="29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22" descr=""/>
                          <pic:cNvPicPr>
                            <a:picLocks noChangeAspect="1" noChangeArrowheads="1"/>
                          </pic:cNvPicPr>
                        </pic:nvPicPr>
                        <pic:blipFill>
                          <a:blip r:embed="rId139"/>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6" w:type="dxa"/>
            <w:tcBorders/>
            <w:vAlign w:val="center"/>
          </w:tcPr>
          <w:p>
            <w:pPr>
              <w:pStyle w:val="TableContents"/>
              <w:bidi w:val="0"/>
              <w:spacing w:before="0" w:after="0"/>
              <w:jc w:val="center"/>
              <w:rPr/>
            </w:pPr>
            <w:r>
              <w:rPr/>
              <w:drawing>
                <wp:inline distT="0" distB="0" distL="0" distR="0">
                  <wp:extent cx="266700" cy="352425"/>
                  <wp:effectExtent l="0" t="0" r="0" b="0"/>
                  <wp:docPr id="29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23" descr=""/>
                          <pic:cNvPicPr>
                            <a:picLocks noChangeAspect="1" noChangeArrowheads="1"/>
                          </pic:cNvPicPr>
                        </pic:nvPicPr>
                        <pic:blipFill>
                          <a:blip r:embed="rId140"/>
                          <a:stretch>
                            <a:fillRect/>
                          </a:stretch>
                        </pic:blipFill>
                        <pic:spPr bwMode="auto">
                          <a:xfrm>
                            <a:off x="0" y="0"/>
                            <a:ext cx="266700" cy="3524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48" w:type="dxa"/>
            <w:tcBorders/>
            <w:vAlign w:val="center"/>
          </w:tcPr>
          <w:p>
            <w:pPr>
              <w:pStyle w:val="TableContents"/>
              <w:bidi w:val="0"/>
              <w:spacing w:before="0" w:after="0"/>
              <w:jc w:val="center"/>
              <w:rPr/>
            </w:pPr>
            <w:r>
              <w:rPr>
                <w:spacing w:val="-2"/>
              </w:rPr>
              <w:t>POSITION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76" w:type="dxa"/>
            <w:tcBorders/>
            <w:vAlign w:val="center"/>
          </w:tcPr>
          <w:p>
            <w:pPr>
              <w:pStyle w:val="TableContents"/>
              <w:bidi w:val="0"/>
              <w:spacing w:before="0" w:after="0"/>
              <w:jc w:val="center"/>
              <w:rPr/>
            </w:pPr>
            <w:r>
              <w:rPr>
                <w:spacing w:val="-2"/>
              </w:rPr>
              <w:t>STOCK OWNERSHIP REQUIREMENT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6" w:type="dxa"/>
            <w:tcBorders/>
            <w:vAlign w:val="center"/>
          </w:tcPr>
          <w:p>
            <w:pPr>
              <w:pStyle w:val="TableContents"/>
              <w:bidi w:val="0"/>
              <w:spacing w:before="0" w:after="0"/>
              <w:jc w:val="center"/>
              <w:rPr/>
            </w:pPr>
            <w:r>
              <w:rPr>
                <w:spacing w:val="-2"/>
              </w:rPr>
              <w:t>COMPLIANCE PERIOD</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48" w:type="dxa"/>
            <w:tcBorders>
              <w:bottom w:val="single" w:sz="6" w:space="0" w:color="000000"/>
            </w:tcBorders>
            <w:tcMar>
              <w:bottom w:w="190" w:type="dxa"/>
            </w:tcMar>
            <w:vAlign w:val="center"/>
          </w:tcPr>
          <w:p>
            <w:pPr>
              <w:pStyle w:val="TableContents"/>
              <w:bidi w:val="0"/>
              <w:spacing w:before="0" w:after="0"/>
              <w:jc w:val="center"/>
              <w:rPr>
                <w:color w:val="000000"/>
                <w:spacing w:val="-1"/>
                <w:sz w:val="16"/>
              </w:rPr>
            </w:pPr>
            <w:r>
              <w:rPr>
                <w:color w:val="000000"/>
                <w:spacing w:val="-1"/>
                <w:sz w:val="16"/>
              </w:rPr>
              <w:t xml:space="preserve">Non-Employee Directors*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876" w:type="dxa"/>
            <w:tcBorders>
              <w:bottom w:val="single" w:sz="6" w:space="0" w:color="000000"/>
            </w:tcBorders>
            <w:tcMar>
              <w:bottom w:w="190" w:type="dxa"/>
            </w:tcMar>
            <w:vAlign w:val="center"/>
          </w:tcPr>
          <w:p>
            <w:pPr>
              <w:pStyle w:val="TableContents"/>
              <w:bidi w:val="0"/>
              <w:spacing w:before="0" w:after="0"/>
              <w:jc w:val="center"/>
              <w:rPr/>
            </w:pPr>
            <w:r>
              <w:rPr>
                <w:spacing w:val="-2"/>
              </w:rPr>
              <w:t>■ ■ ■ ■ ■</w:t>
            </w:r>
            <w:r>
              <w:rPr/>
              <w:t>​</w:t>
            </w:r>
            <w:r>
              <w:rPr>
                <w:spacing w:val="-1"/>
              </w:rPr>
              <w:t xml:space="preserve"> </w:t>
            </w:r>
            <w:r>
              <w:rPr>
                <w:b/>
                <w:spacing w:val="0"/>
                <w:sz w:val="16"/>
              </w:rPr>
              <w:t>5x ANNUAL CASH RETAINER</w:t>
            </w:r>
            <w:r>
              <w:rPr>
                <w:color w:val="000000"/>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046" w:type="dxa"/>
            <w:tcBorders>
              <w:bottom w:val="single" w:sz="6" w:space="0" w:color="000000"/>
            </w:tcBorders>
            <w:tcMar>
              <w:bottom w:w="190" w:type="dxa"/>
            </w:tcMar>
            <w:vAlign w:val="center"/>
          </w:tcPr>
          <w:p>
            <w:pPr>
              <w:pStyle w:val="TableContents"/>
              <w:bidi w:val="0"/>
              <w:spacing w:lineRule="atLeast" w:line="200" w:before="0" w:after="0"/>
              <w:jc w:val="center"/>
              <w:rPr>
                <w:color w:val="000000"/>
                <w:sz w:val="16"/>
              </w:rPr>
            </w:pPr>
            <w:r>
              <w:rPr>
                <w:color w:val="000000"/>
                <w:spacing w:val="-1"/>
                <w:sz w:val="16"/>
              </w:rPr>
              <w:t xml:space="preserve">5 years from the later of </w:t>
              <w:br/>
              <w:t xml:space="preserve">(i) effectiveness of our guidelines and </w:t>
              <w:br/>
              <w:t>(ii) their appointment or election to the Board</w:t>
            </w:r>
            <w:r>
              <w:rPr>
                <w:color w:val="000000"/>
                <w:sz w:val="16"/>
              </w:rPr>
              <w:t xml:space="preserve">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08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Other than directors appointed by our Sponsors, whose ownership is governed by the Director Nomination Agreements. </w:t>
      </w:r>
      <w:r>
        <mc:AlternateContent>
          <mc:Choice Requires="wps">
            <w:drawing>
              <wp:anchor behindDoc="0" distT="44450" distB="0" distL="0" distR="0" simplePos="0" locked="0" layoutInCell="1" allowOverlap="1" relativeHeight="319">
                <wp:simplePos x="0" y="0"/>
                <wp:positionH relativeFrom="column">
                  <wp:align>left</wp:align>
                </wp:positionH>
                <wp:positionV relativeFrom="line">
                  <wp:align>top</wp:align>
                </wp:positionV>
                <wp:extent cx="228600" cy="254000"/>
                <wp:effectExtent l="0" t="0" r="0" b="0"/>
                <wp:wrapSquare wrapText="right"/>
                <wp:docPr id="300" name="Frame161"/>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37</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D</w:t>
      </w:r>
      <w:r>
        <w:rPr>
          <w:rFonts w:ascii="Arial;Helvetica;sans-serif" w:hAnsi="Arial;Helvetica;sans-serif"/>
          <w:b w:val="false"/>
          <w:i w:val="false"/>
          <w:caps w:val="false"/>
          <w:smallCaps w:val="false"/>
          <w:color w:val="C3C5C8"/>
          <w:spacing w:val="-1"/>
          <w:sz w:val="15"/>
        </w:rPr>
        <w:t>IRECTOR</w:t>
      </w:r>
      <w:r>
        <w:rPr>
          <w:rFonts w:ascii="Arial;Helvetica;sans-serif" w:hAnsi="Arial;Helvetica;sans-serif"/>
          <w:b w:val="false"/>
          <w:i w:val="false"/>
          <w:caps w:val="false"/>
          <w:smallCaps w:val="false"/>
          <w:color w:val="C3C5C8"/>
          <w:spacing w:val="-1"/>
          <w:sz w:val="15"/>
        </w:rPr>
        <w:t xml:space="preserve"> C</w:t>
      </w:r>
      <w:r>
        <w:rPr>
          <w:rFonts w:ascii="Arial;Helvetica;sans-serif" w:hAnsi="Arial;Helvetica;sans-serif"/>
          <w:b w:val="false"/>
          <w:i w:val="false"/>
          <w:caps w:val="false"/>
          <w:smallCaps w:val="false"/>
          <w:color w:val="C3C5C8"/>
          <w:spacing w:val="-1"/>
          <w:sz w:val="15"/>
        </w:rPr>
        <w:t>OMPENSATION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11320"/>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forms of stock count toward the ownership requirement: shares of common stock owned individually or jointly with their spouse and/or children; shares of common stock held in a trust for the benefit of them or their immediate family members; and unvested RSUs.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As our current CEO, Mr. Boyle, is also subject to stock ownership guidelines applicable for our officers and is currently in compliance with such ownership guidelines. For additional information, see </w:t>
      </w:r>
      <w:r>
        <w:rPr>
          <w:rFonts w:ascii="Arial;Helvetica;sans-serif" w:hAnsi="Arial;Helvetica;sans-serif"/>
          <w:b w:val="false"/>
          <w:i/>
          <w:caps w:val="false"/>
          <w:smallCaps w:val="false"/>
          <w:color w:val="000000"/>
          <w:sz w:val="18"/>
        </w:rPr>
        <w:t>Executive Compensation — Compensation Discussion and Analysis — Other Compensation Policies and Practices — Officer Stock Ownership Guidelines.</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38</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SOOC"/>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Beneficial Ownership of Stock</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4380"/>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Beneficial Ownership of Stock</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Security Ownership of Certain Beneficial Owners and Management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sets forth information regarding the beneficial ownership of shares of our Class A common stock and our Class B common stock as of April 13, 2026 by (1) each person known to us to beneficially own more than 5% of any class of the outstanding voting securities of Medline Inc., (2) each of our directors and named executive officers, and (3) all of our directors and executive officers as a group. The percentage of beneficial ownership of shares of our Class A common stock and our Class B common stock set forth below is based on 845,611,435 shares of our Class A common stock and 468,081,977 shares of our Class B common stock issued and outstanding as of April 13,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Beneficial ownership is determined in accordance with the rules of the SEC. These rules generally attribute beneficial ownership of securities to persons who possess sole or shared voting power or investment power with respect to those securities. In addition, these rules require that we include shares of Class A common stock and/or Class B common stock, as applicable, issuable pursuant to the exchange of Common Units, conversion of vested Incentive Units, or otherwise, that are either immediately exchangeable or convertible within 60 days of April 13, 2026. These securities are deemed to be outstanding and beneficially owned by the person holding those Common Units or Incentive Units, as applicable,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securities shown as beneficially owned by them, subject to applicable community property laws.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Except as otherwise noted below, the address for persons listed in the table is c/o Medline Inc., 3 Lakes Drive, Northfield, Illinois 60093.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 connection with the IPO, we issued to each Continuing Common Unitholder (as defined in Appendix B) one share of Class B common stock for each Common Unit such Continuing Common Unitholder beneficially owned immediately prior to the consummation of the Reorganization Transactions.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w:t>
      </w:r>
      <w:r>
        <w:rPr>
          <w:rFonts w:ascii="Arial;Helvetica;sans-serif" w:hAnsi="Arial;Helvetica;sans-serif"/>
          <w:b w:val="false"/>
          <w:i/>
          <w:caps w:val="false"/>
          <w:smallCaps w:val="false"/>
          <w:color w:val="000000"/>
          <w:sz w:val="18"/>
        </w:rPr>
        <w:t>Certain Relationships and Related Person Transactions — Exchange Agreement</w:t>
      </w:r>
      <w:r>
        <w:rPr>
          <w:rFonts w:ascii="Arial;Helvetica;sans-serif" w:hAnsi="Arial;Helvetica;sans-serif"/>
          <w:b w:val="false"/>
          <w:i w:val="false"/>
          <w:caps w:val="false"/>
          <w:smallCaps w:val="false"/>
          <w:color w:val="000000"/>
          <w:spacing w:val="-1"/>
          <w:sz w:val="18"/>
        </w:rPr>
        <w:t>. As a result, the number of shares of our Class B common stock listed in the table below correlates to the number of Common Units each Continuing Unitholder beneficially owns. The Continuing Common Unitholders hold all of the outstanding shares of our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39</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Beneficial Ownership of Stock</w:t>
      </w:r>
      <w:r>
        <w:rPr>
          <w:rFonts w:ascii="Arial;Helvetica;sans-serif" w:hAnsi="Arial;Helvetica;sans-serif"/>
          <w:b w:val="false"/>
          <w:i w:val="false"/>
          <w:caps w:val="false"/>
          <w:smallCaps w:val="false"/>
          <w:color w:val="C3C5C8"/>
          <w:sz w:val="15"/>
        </w:rPr>
        <w:t xml:space="preserve"> </w:t>
      </w:r>
    </w:p>
    <w:tbl>
      <w:tblPr>
        <w:tblW w:w="9485" w:type="dxa"/>
        <w:jc w:val="left"/>
        <w:tblInd w:w="720" w:type="dxa"/>
        <w:tblLayout w:type="fixed"/>
        <w:tblCellMar>
          <w:top w:w="0" w:type="dxa"/>
          <w:left w:w="0" w:type="dxa"/>
          <w:bottom w:w="43" w:type="dxa"/>
          <w:right w:w="0" w:type="dxa"/>
        </w:tblCellMar>
      </w:tblPr>
      <w:tblGrid>
        <w:gridCol w:w="1584"/>
        <w:gridCol w:w="109"/>
        <w:gridCol w:w="109"/>
        <w:gridCol w:w="109"/>
        <w:gridCol w:w="109"/>
        <w:gridCol w:w="1308"/>
        <w:gridCol w:w="109"/>
        <w:gridCol w:w="109"/>
        <w:gridCol w:w="109"/>
        <w:gridCol w:w="145"/>
        <w:gridCol w:w="145"/>
        <w:gridCol w:w="704"/>
        <w:gridCol w:w="148"/>
        <w:gridCol w:w="109"/>
        <w:gridCol w:w="109"/>
        <w:gridCol w:w="109"/>
        <w:gridCol w:w="109"/>
        <w:gridCol w:w="1308"/>
        <w:gridCol w:w="109"/>
        <w:gridCol w:w="109"/>
        <w:gridCol w:w="109"/>
        <w:gridCol w:w="145"/>
        <w:gridCol w:w="145"/>
        <w:gridCol w:w="704"/>
        <w:gridCol w:w="148"/>
        <w:gridCol w:w="109"/>
        <w:gridCol w:w="109"/>
        <w:gridCol w:w="140"/>
        <w:gridCol w:w="140"/>
        <w:gridCol w:w="677"/>
        <w:gridCol w:w="141"/>
        <w:gridCol w:w="159"/>
      </w:tblGrid>
      <w:tr>
        <w:trPr/>
        <w:tc>
          <w:tcPr>
            <w:tcW w:w="1584" w:type="dxa"/>
            <w:vMerge w:val="restart"/>
            <w:tcBorders>
              <w:bottom w:val="single" w:sz="2" w:space="0" w:color="000000"/>
            </w:tcBorders>
            <w:vAlign w:val="center"/>
          </w:tcPr>
          <w:p>
            <w:pPr>
              <w:pStyle w:val="TableContents"/>
              <w:bidi w:val="0"/>
              <w:spacing w:lineRule="atLeast" w:line="180" w:before="0" w:after="0"/>
              <w:jc w:val="left"/>
              <w:rPr>
                <w:spacing w:val="0"/>
              </w:rPr>
            </w:pPr>
            <w:r>
              <w:rPr>
                <w:spacing w:val="0"/>
              </w:rPr>
              <w:t xml:space="preserve">Name of Beneficial Owner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95" w:type="dxa"/>
            <w:gridSpan w:val="10"/>
            <w:tcBorders>
              <w:bottom w:val="single" w:sz="2" w:space="0" w:color="000000"/>
            </w:tcBorders>
            <w:vAlign w:val="center"/>
          </w:tcPr>
          <w:p>
            <w:pPr>
              <w:pStyle w:val="TableContents"/>
              <w:bidi w:val="0"/>
              <w:spacing w:lineRule="atLeast" w:line="142" w:before="0" w:after="0"/>
              <w:jc w:val="center"/>
              <w:rPr/>
            </w:pPr>
            <w:r>
              <w:rPr>
                <w:spacing w:val="0"/>
              </w:rPr>
              <w:t xml:space="preserve">Class A Common Stock </w:t>
              <w:br/>
              <w:t>Beneficially Owned</w:t>
            </w:r>
            <w:r>
              <w:rPr>
                <w:spacing w:val="-2"/>
                <w:sz w:val="10"/>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95" w:type="dxa"/>
            <w:gridSpan w:val="10"/>
            <w:tcBorders>
              <w:bottom w:val="single" w:sz="2" w:space="0" w:color="000000"/>
            </w:tcBorders>
            <w:vAlign w:val="center"/>
          </w:tcPr>
          <w:p>
            <w:pPr>
              <w:pStyle w:val="TableContents"/>
              <w:bidi w:val="0"/>
              <w:spacing w:lineRule="atLeast" w:line="142" w:before="0" w:after="0"/>
              <w:jc w:val="center"/>
              <w:rPr/>
            </w:pPr>
            <w:r>
              <w:rPr>
                <w:spacing w:val="0"/>
              </w:rPr>
              <w:t xml:space="preserve">Class B Common Stock </w:t>
              <w:br/>
              <w:t>Beneficially Owned</w:t>
            </w:r>
            <w:r>
              <w:rPr>
                <w:spacing w:val="-2"/>
                <w:sz w:val="10"/>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0"/>
              </w:rPr>
              <w:t xml:space="preserve">Combined </w:t>
              <w:br/>
              <w:t xml:space="preserve">Voting </w:t>
              <w:br/>
              <w:t>Power</w:t>
            </w:r>
            <w:r>
              <w:rPr>
                <w:spacing w:val="-2"/>
                <w:sz w:val="10"/>
              </w:rPr>
              <w:t>(2)</w:t>
            </w:r>
            <w:r>
              <w:rPr/>
              <w:t xml:space="preserve"> </w:t>
            </w:r>
          </w:p>
        </w:tc>
        <w:tc>
          <w:tcPr>
            <w:tcW w:w="15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584"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5"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Number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2"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Percentage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5"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Number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2"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Percentage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8" w:type="dxa"/>
            <w:gridSpan w:val="4"/>
            <w:vMerge w:val="continue"/>
            <w:tcBorders>
              <w:bottom w:val="single" w:sz="2" w:space="0" w:color="000000"/>
            </w:tcBorders>
            <w:vAlign w:val="center"/>
          </w:tcPr>
          <w:p>
            <w:pPr>
              <w:pStyle w:val="Normal"/>
              <w:bidi w:val="0"/>
              <w:jc w:val="left"/>
              <w:rPr/>
            </w:pPr>
            <w:r>
              <w:rPr/>
            </w:r>
          </w:p>
        </w:tc>
        <w:tc>
          <w:tcPr>
            <w:tcW w:w="159" w:type="dxa"/>
            <w:vMerge w:val="continue"/>
            <w:tcBorders>
              <w:bottom w:val="single" w:sz="2" w:space="0" w:color="000000"/>
            </w:tcBorders>
            <w:tcMar>
              <w:bottom w:w="28" w:type="dxa"/>
            </w:tcMar>
            <w:vAlign w:val="center"/>
          </w:tcPr>
          <w:p>
            <w:pPr>
              <w:pStyle w:val="Normal"/>
              <w:bidi w:val="0"/>
              <w:jc w:val="left"/>
              <w:rPr/>
            </w:pPr>
            <w:r>
              <w:rPr/>
            </w:r>
          </w:p>
        </w:tc>
      </w:tr>
      <w:tr>
        <w:trPr/>
        <w:tc>
          <w:tcPr>
            <w:tcW w:w="1584" w:type="dxa"/>
            <w:tcBorders>
              <w:bottom w:val="single" w:sz="6" w:space="0" w:color="000000"/>
            </w:tcBorders>
            <w:tcMar>
              <w:bottom w:w="28" w:type="dxa"/>
            </w:tcMar>
            <w:vAlign w:val="center"/>
          </w:tcPr>
          <w:p>
            <w:pPr>
              <w:pStyle w:val="TableContents"/>
              <w:bidi w:val="0"/>
              <w:spacing w:lineRule="atLeast" w:line="200" w:before="0" w:after="0"/>
              <w:jc w:val="left"/>
              <w:rPr/>
            </w:pPr>
            <w:r>
              <w:rPr>
                <w:spacing w:val="0"/>
              </w:rPr>
              <w:t>Principal Stockholders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1308"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right"/>
              <w:rPr/>
            </w:pPr>
            <w:r>
              <w:rPr/>
              <w:t>​</w:t>
            </w:r>
          </w:p>
        </w:tc>
        <w:tc>
          <w:tcPr>
            <w:tcW w:w="704" w:type="dxa"/>
            <w:tcBorders>
              <w:bottom w:val="single" w:sz="6" w:space="0" w:color="000000"/>
            </w:tcBorders>
            <w:tcMar>
              <w:bottom w:w="28"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1308"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right"/>
              <w:rPr/>
            </w:pPr>
            <w:r>
              <w:rPr/>
              <w:t>​</w:t>
            </w:r>
          </w:p>
        </w:tc>
        <w:tc>
          <w:tcPr>
            <w:tcW w:w="704" w:type="dxa"/>
            <w:tcBorders>
              <w:bottom w:val="single" w:sz="6" w:space="0" w:color="000000"/>
            </w:tcBorders>
            <w:tcMar>
              <w:bottom w:w="28"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right"/>
              <w:rPr/>
            </w:pPr>
            <w:r>
              <w:rPr/>
              <w:t>​</w:t>
            </w:r>
          </w:p>
        </w:tc>
        <w:tc>
          <w:tcPr>
            <w:tcW w:w="677" w:type="dxa"/>
            <w:tcBorders>
              <w:bottom w:val="single" w:sz="6" w:space="0" w:color="000000"/>
            </w:tcBorders>
            <w:tcMar>
              <w:bottom w:w="28"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lineRule="atLeast" w:line="142" w:before="0" w:after="0"/>
              <w:jc w:val="left"/>
              <w:rPr>
                <w:b/>
              </w:rPr>
            </w:pPr>
            <w:r>
              <w:rPr>
                <w:b/>
                <w:spacing w:val="0"/>
              </w:rPr>
              <w:t>Blackstone</w:t>
            </w:r>
            <w:r>
              <w:rPr>
                <w:b/>
                <w:spacing w:val="-2"/>
                <w:sz w:val="11"/>
              </w:rPr>
              <w:t>(3)</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124,198,348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14.7%</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62,885,365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13.4%</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14.2%</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lineRule="atLeast" w:line="142" w:before="0" w:after="0"/>
              <w:jc w:val="left"/>
              <w:rPr>
                <w:b/>
              </w:rPr>
            </w:pPr>
            <w:r>
              <w:rPr>
                <w:b/>
                <w:spacing w:val="0"/>
              </w:rPr>
              <w:t>Carlyle</w:t>
            </w:r>
            <w:r>
              <w:rPr>
                <w:b/>
                <w:spacing w:val="-2"/>
                <w:sz w:val="11"/>
              </w:rPr>
              <w:t>(4)</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125,454,241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14.8%</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61,629,472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13.2%</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14.2%</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lineRule="atLeast" w:line="142" w:before="0" w:after="0"/>
              <w:jc w:val="left"/>
              <w:rPr>
                <w:b/>
              </w:rPr>
            </w:pPr>
            <w:r>
              <w:rPr>
                <w:b/>
                <w:spacing w:val="-2"/>
              </w:rPr>
              <w:t>H&amp;F</w:t>
            </w:r>
            <w:r>
              <w:rPr>
                <w:b/>
                <w:spacing w:val="-2"/>
                <w:sz w:val="11"/>
              </w:rPr>
              <w:t>(5)</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86,473,497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10.2%</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100,610,216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21.5%</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14.2%</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lineRule="atLeast" w:line="142" w:before="0" w:after="0"/>
              <w:jc w:val="left"/>
              <w:rPr>
                <w:b/>
              </w:rPr>
            </w:pPr>
            <w:r>
              <w:rPr>
                <w:b/>
                <w:spacing w:val="0"/>
              </w:rPr>
              <w:t>Mozart HoldCo, Inc.</w:t>
            </w:r>
            <w:r>
              <w:rPr>
                <w:b/>
                <w:spacing w:val="-2"/>
                <w:sz w:val="11"/>
              </w:rPr>
              <w:t>(6)</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287,648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234,020,656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50.0%</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17.8%</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lineRule="atLeast" w:line="142" w:before="0" w:after="0"/>
              <w:jc w:val="left"/>
              <w:rPr>
                <w:b/>
              </w:rPr>
            </w:pPr>
            <w:r>
              <w:rPr>
                <w:b/>
                <w:spacing w:val="0"/>
              </w:rPr>
              <w:t>GIC Private Limited</w:t>
            </w:r>
            <w:r>
              <w:rPr>
                <w:b/>
                <w:spacing w:val="-2"/>
                <w:sz w:val="11"/>
              </w:rPr>
              <w:t>(7)</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118,796,825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14.0%</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9.0% </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28" w:type="dxa"/>
            </w:tcMar>
            <w:vAlign w:val="center"/>
          </w:tcPr>
          <w:p>
            <w:pPr>
              <w:pStyle w:val="TableContents"/>
              <w:bidi w:val="0"/>
              <w:spacing w:lineRule="atLeast" w:line="200" w:before="0" w:after="0"/>
              <w:jc w:val="left"/>
              <w:rPr/>
            </w:pPr>
            <w:r>
              <w:rPr>
                <w:spacing w:val="0"/>
              </w:rPr>
              <w:t>Current Directors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1308"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right"/>
              <w:rPr/>
            </w:pPr>
            <w:r>
              <w:rPr/>
              <w:t>​</w:t>
            </w:r>
          </w:p>
        </w:tc>
        <w:tc>
          <w:tcPr>
            <w:tcW w:w="704" w:type="dxa"/>
            <w:tcBorders>
              <w:bottom w:val="single" w:sz="6" w:space="0" w:color="000000"/>
            </w:tcBorders>
            <w:tcMar>
              <w:bottom w:w="28"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1308"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right"/>
              <w:rPr/>
            </w:pPr>
            <w:r>
              <w:rPr/>
              <w:t>​</w:t>
            </w:r>
          </w:p>
        </w:tc>
        <w:tc>
          <w:tcPr>
            <w:tcW w:w="704" w:type="dxa"/>
            <w:tcBorders>
              <w:bottom w:val="single" w:sz="6" w:space="0" w:color="000000"/>
            </w:tcBorders>
            <w:tcMar>
              <w:bottom w:w="28"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right"/>
              <w:rPr/>
            </w:pPr>
            <w:r>
              <w:rPr/>
              <w:t>​</w:t>
            </w:r>
          </w:p>
        </w:tc>
        <w:tc>
          <w:tcPr>
            <w:tcW w:w="677" w:type="dxa"/>
            <w:tcBorders>
              <w:bottom w:val="single" w:sz="6" w:space="0" w:color="000000"/>
            </w:tcBorders>
            <w:tcMar>
              <w:bottom w:w="28"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155" w:type="dxa"/>
            </w:tcMar>
            <w:vAlign w:val="center"/>
          </w:tcPr>
          <w:p>
            <w:pPr>
              <w:pStyle w:val="TableContents"/>
              <w:bidi w:val="0"/>
              <w:spacing w:before="0" w:after="0"/>
              <w:jc w:val="left"/>
              <w:rPr>
                <w:b/>
                <w:spacing w:val="0"/>
              </w:rPr>
            </w:pPr>
            <w:r>
              <w:rPr>
                <w:b/>
                <w:spacing w:val="0"/>
              </w:rPr>
              <w:t xml:space="preserve">Joseph P. Baratta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155"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before="0" w:after="0"/>
              <w:jc w:val="left"/>
              <w:rPr>
                <w:b/>
                <w:spacing w:val="0"/>
              </w:rPr>
            </w:pPr>
            <w:r>
              <w:rPr>
                <w:b/>
                <w:spacing w:val="0"/>
              </w:rPr>
              <w:t xml:space="preserve">Jacob D. Best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before="0" w:after="0"/>
              <w:jc w:val="left"/>
              <w:rPr>
                <w:b/>
                <w:spacing w:val="0"/>
              </w:rPr>
            </w:pPr>
            <w:r>
              <w:rPr>
                <w:b/>
                <w:spacing w:val="0"/>
              </w:rPr>
              <w:t xml:space="preserve">Todd M. Bluedorn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lineRule="atLeast" w:line="142" w:before="0" w:after="0"/>
              <w:jc w:val="left"/>
              <w:rPr>
                <w:b/>
                <w:sz w:val="14"/>
              </w:rPr>
            </w:pPr>
            <w:r>
              <w:rPr>
                <w:b/>
                <w:spacing w:val="0"/>
                <w:sz w:val="18"/>
              </w:rPr>
              <w:t>James M. Boyle</w:t>
            </w:r>
            <w:r>
              <w:rPr>
                <w:b/>
                <w:spacing w:val="-2"/>
                <w:sz w:val="11"/>
              </w:rPr>
              <w:t>(8)</w:t>
            </w:r>
            <w:r>
              <w:rPr>
                <w:b/>
                <w:sz w:val="14"/>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2,261,860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before="0" w:after="0"/>
              <w:jc w:val="left"/>
              <w:rPr>
                <w:b/>
                <w:spacing w:val="0"/>
              </w:rPr>
            </w:pPr>
            <w:r>
              <w:rPr>
                <w:b/>
                <w:spacing w:val="0"/>
              </w:rPr>
              <w:t xml:space="preserve">Richard A. Galanti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lineRule="atLeast" w:line="142" w:before="0" w:after="0"/>
              <w:jc w:val="left"/>
              <w:rPr>
                <w:b/>
                <w:sz w:val="14"/>
              </w:rPr>
            </w:pPr>
            <w:r>
              <w:rPr>
                <w:b/>
                <w:spacing w:val="0"/>
                <w:sz w:val="18"/>
              </w:rPr>
              <w:t>Patrick J. Healy</w:t>
            </w:r>
            <w:r>
              <w:rPr>
                <w:b/>
                <w:spacing w:val="-2"/>
                <w:sz w:val="11"/>
              </w:rPr>
              <w:t>(9)</w:t>
            </w:r>
            <w:r>
              <w:rPr>
                <w:b/>
                <w:sz w:val="14"/>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1,227,753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 xml:space="preserve">* </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lineRule="atLeast" w:line="142" w:before="0" w:after="0"/>
              <w:jc w:val="left"/>
              <w:rPr>
                <w:b/>
                <w:sz w:val="14"/>
              </w:rPr>
            </w:pPr>
            <w:r>
              <w:rPr>
                <w:b/>
                <w:spacing w:val="0"/>
                <w:sz w:val="18"/>
              </w:rPr>
              <w:t>Andrew J. Mills</w:t>
            </w:r>
            <w:r>
              <w:rPr>
                <w:b/>
                <w:spacing w:val="-2"/>
                <w:sz w:val="11"/>
              </w:rPr>
              <w:t>(10)</w:t>
            </w:r>
            <w:r>
              <w:rPr>
                <w:b/>
                <w:sz w:val="14"/>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30,655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 </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 </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lineRule="atLeast" w:line="142" w:before="0" w:after="0"/>
              <w:jc w:val="left"/>
              <w:rPr>
                <w:b/>
                <w:sz w:val="14"/>
              </w:rPr>
            </w:pPr>
            <w:r>
              <w:rPr>
                <w:b/>
                <w:spacing w:val="0"/>
                <w:sz w:val="18"/>
              </w:rPr>
              <w:t>Charles N. Mills</w:t>
            </w:r>
            <w:r>
              <w:rPr>
                <w:b/>
                <w:spacing w:val="-2"/>
                <w:sz w:val="11"/>
              </w:rPr>
              <w:t>(11)</w:t>
            </w:r>
            <w:r>
              <w:rPr>
                <w:b/>
                <w:sz w:val="14"/>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64,005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before="0" w:after="0"/>
              <w:jc w:val="left"/>
              <w:rPr>
                <w:b/>
                <w:spacing w:val="0"/>
              </w:rPr>
            </w:pPr>
            <w:r>
              <w:rPr>
                <w:b/>
                <w:spacing w:val="0"/>
              </w:rPr>
              <w:t xml:space="preserve">Robert R. Schmidt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before="0" w:after="0"/>
              <w:jc w:val="left"/>
              <w:rPr>
                <w:b/>
                <w:spacing w:val="0"/>
              </w:rPr>
            </w:pPr>
            <w:r>
              <w:rPr>
                <w:b/>
                <w:spacing w:val="0"/>
              </w:rPr>
              <w:t xml:space="preserve">Anushka M. Sunder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before="0" w:after="0"/>
              <w:jc w:val="left"/>
              <w:rPr>
                <w:b/>
                <w:spacing w:val="0"/>
              </w:rPr>
            </w:pPr>
            <w:r>
              <w:rPr>
                <w:b/>
                <w:spacing w:val="0"/>
              </w:rPr>
              <w:t xml:space="preserve">Thomas W. Sweet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before="0" w:after="0"/>
              <w:jc w:val="left"/>
              <w:rPr>
                <w:b/>
                <w:spacing w:val="0"/>
              </w:rPr>
            </w:pPr>
            <w:r>
              <w:rPr>
                <w:b/>
                <w:spacing w:val="0"/>
              </w:rPr>
              <w:t xml:space="preserve">Stephen H. Wise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28" w:type="dxa"/>
            </w:tcMar>
            <w:vAlign w:val="center"/>
          </w:tcPr>
          <w:p>
            <w:pPr>
              <w:pStyle w:val="TableContents"/>
              <w:bidi w:val="0"/>
              <w:spacing w:lineRule="atLeast" w:line="200" w:before="0" w:after="0"/>
              <w:jc w:val="left"/>
              <w:rPr/>
            </w:pPr>
            <w:r>
              <w:rPr>
                <w:spacing w:val="0"/>
              </w:rPr>
              <w:t>Named Executive Officers</w:t>
            </w:r>
            <w:r>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28"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155" w:type="dxa"/>
            </w:tcMar>
            <w:vAlign w:val="center"/>
          </w:tcPr>
          <w:p>
            <w:pPr>
              <w:pStyle w:val="TableContents"/>
              <w:bidi w:val="0"/>
              <w:spacing w:before="0" w:after="0"/>
              <w:jc w:val="left"/>
              <w:rPr>
                <w:b/>
                <w:spacing w:val="0"/>
              </w:rPr>
            </w:pPr>
            <w:r>
              <w:rPr>
                <w:b/>
                <w:spacing w:val="0"/>
              </w:rPr>
              <w:t xml:space="preserve">James M. Boyle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524" w:type="dxa"/>
            <w:gridSpan w:val="28"/>
            <w:tcBorders>
              <w:bottom w:val="single" w:sz="6" w:space="0" w:color="000000"/>
            </w:tcBorders>
            <w:tcMar>
              <w:bottom w:w="155" w:type="dxa"/>
            </w:tcMar>
            <w:vAlign w:val="center"/>
          </w:tcPr>
          <w:p>
            <w:pPr>
              <w:pStyle w:val="TableContents"/>
              <w:bidi w:val="0"/>
              <w:spacing w:before="0" w:after="0"/>
              <w:jc w:val="center"/>
              <w:rPr/>
            </w:pPr>
            <w:r>
              <w:rPr>
                <w:spacing w:val="-1"/>
              </w:rPr>
              <w:t>------------------------------</w:t>
            </w:r>
            <w:r>
              <w:rPr>
                <w:i/>
              </w:rPr>
              <w:t>see above</w:t>
            </w:r>
            <w:r>
              <w:rPr>
                <w:spacing w:val="-1"/>
              </w:rPr>
              <w:t xml:space="preserve">------------------------------ </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before="0" w:after="0"/>
              <w:jc w:val="left"/>
              <w:rPr>
                <w:b/>
                <w:sz w:val="14"/>
              </w:rPr>
            </w:pPr>
            <w:r>
              <w:rPr>
                <w:b/>
                <w:spacing w:val="0"/>
                <w:sz w:val="18"/>
              </w:rPr>
              <w:t>James M. Pigott</w:t>
            </w:r>
            <w:r>
              <w:rPr>
                <w:b/>
                <w:spacing w:val="-2"/>
                <w:sz w:val="11"/>
              </w:rPr>
              <w:t>(12)</w:t>
            </w:r>
            <w:r>
              <w:rPr>
                <w:b/>
                <w:sz w:val="14"/>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2,893,193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lineRule="atLeast" w:line="142" w:before="0" w:after="0"/>
              <w:jc w:val="left"/>
              <w:rPr>
                <w:b/>
                <w:sz w:val="14"/>
              </w:rPr>
            </w:pPr>
            <w:r>
              <w:rPr>
                <w:b/>
                <w:spacing w:val="0"/>
                <w:sz w:val="18"/>
              </w:rPr>
              <w:t>Michael B. Drazin</w:t>
            </w:r>
            <w:r>
              <w:rPr>
                <w:b/>
                <w:spacing w:val="-2"/>
                <w:sz w:val="11"/>
              </w:rPr>
              <w:t>(13)</w:t>
            </w:r>
            <w:r>
              <w:rPr>
                <w:b/>
                <w:sz w:val="14"/>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1,755,657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45" w:type="dxa"/>
            </w:tcMar>
            <w:vAlign w:val="center"/>
          </w:tcPr>
          <w:p>
            <w:pPr>
              <w:pStyle w:val="TableContents"/>
              <w:bidi w:val="0"/>
              <w:spacing w:lineRule="atLeast" w:line="142" w:before="0" w:after="0"/>
              <w:jc w:val="left"/>
              <w:rPr>
                <w:b/>
                <w:sz w:val="14"/>
              </w:rPr>
            </w:pPr>
            <w:r>
              <w:rPr>
                <w:b/>
                <w:spacing w:val="0"/>
                <w:sz w:val="18"/>
              </w:rPr>
              <w:t>Stephen L. Miller</w:t>
            </w:r>
            <w:r>
              <w:rPr>
                <w:b/>
                <w:spacing w:val="-2"/>
                <w:sz w:val="11"/>
              </w:rPr>
              <w:t>(14)</w:t>
            </w:r>
            <w:r>
              <w:rPr>
                <w:b/>
                <w:sz w:val="14"/>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45" w:type="dxa"/>
            </w:tcMar>
            <w:vAlign w:val="center"/>
          </w:tcPr>
          <w:p>
            <w:pPr>
              <w:pStyle w:val="TableContents"/>
              <w:bidi w:val="0"/>
              <w:spacing w:before="0" w:after="283"/>
              <w:jc w:val="right"/>
              <w:rPr/>
            </w:pPr>
            <w:r>
              <w:rPr/>
              <w:t xml:space="preserve">465,195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tcMar>
              <w:bottom w:w="45" w:type="dxa"/>
            </w:tcMar>
            <w:vAlign w:val="center"/>
          </w:tcPr>
          <w:p>
            <w:pPr>
              <w:pStyle w:val="TableContents"/>
              <w:bidi w:val="0"/>
              <w:spacing w:lineRule="atLeast" w:line="142" w:before="0" w:after="0"/>
              <w:jc w:val="left"/>
              <w:rPr>
                <w:b/>
                <w:sz w:val="14"/>
              </w:rPr>
            </w:pPr>
            <w:r>
              <w:rPr>
                <w:b/>
                <w:spacing w:val="0"/>
                <w:sz w:val="18"/>
              </w:rPr>
              <w:t>Douglas P. Golwas</w:t>
            </w:r>
            <w:r>
              <w:rPr>
                <w:b/>
                <w:spacing w:val="-2"/>
                <w:sz w:val="11"/>
              </w:rPr>
              <w:t>(15)</w:t>
            </w:r>
            <w:r>
              <w:rPr>
                <w:b/>
                <w:sz w:val="14"/>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308" w:type="dxa"/>
            <w:tcBorders>
              <w:bottom w:val="single" w:sz="6" w:space="0" w:color="000000"/>
            </w:tcBorders>
            <w:tcMar>
              <w:bottom w:w="45" w:type="dxa"/>
            </w:tcMar>
            <w:vAlign w:val="center"/>
          </w:tcPr>
          <w:p>
            <w:pPr>
              <w:pStyle w:val="TableContents"/>
              <w:bidi w:val="0"/>
              <w:spacing w:before="0" w:after="283"/>
              <w:jc w:val="right"/>
              <w:rPr/>
            </w:pPr>
            <w:r>
              <w:rPr/>
              <w:t xml:space="preserve">1,360,222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45" w:type="dxa"/>
            </w:tcMar>
            <w:vAlign w:val="center"/>
          </w:tcPr>
          <w:p>
            <w:pPr>
              <w:pStyle w:val="TableContents"/>
              <w:bidi w:val="0"/>
              <w:spacing w:before="0" w:after="283"/>
              <w:jc w:val="right"/>
              <w:rPr/>
            </w:pPr>
            <w:r>
              <w:rPr/>
              <w:t>​</w:t>
            </w:r>
          </w:p>
        </w:tc>
        <w:tc>
          <w:tcPr>
            <w:tcW w:w="704" w:type="dxa"/>
            <w:tcBorders>
              <w:bottom w:val="single" w:sz="6" w:space="0" w:color="000000"/>
            </w:tcBorders>
            <w:tcMar>
              <w:bottom w:w="45" w:type="dxa"/>
            </w:tcMar>
            <w:vAlign w:val="center"/>
          </w:tcPr>
          <w:p>
            <w:pPr>
              <w:pStyle w:val="TableContents"/>
              <w:bidi w:val="0"/>
              <w:spacing w:before="0" w:after="283"/>
              <w:jc w:val="righ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677" w:type="dxa"/>
            <w:tcBorders>
              <w:bottom w:val="single" w:sz="6" w:space="0" w:color="000000"/>
            </w:tcBorders>
            <w:tcMar>
              <w:bottom w:w="45" w:type="dxa"/>
            </w:tcMar>
            <w:vAlign w:val="center"/>
          </w:tcPr>
          <w:p>
            <w:pPr>
              <w:pStyle w:val="TableContents"/>
              <w:bidi w:val="0"/>
              <w:spacing w:before="0" w:after="283"/>
              <w:jc w:val="righ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84" w:type="dxa"/>
            <w:tcBorders>
              <w:bottom w:val="single" w:sz="6" w:space="0" w:color="000000"/>
            </w:tcBorders>
            <w:shd w:fill="E6EEF8" w:val="clear"/>
            <w:tcMar>
              <w:bottom w:w="30" w:type="dxa"/>
            </w:tcMar>
            <w:vAlign w:val="center"/>
          </w:tcPr>
          <w:p>
            <w:pPr>
              <w:pStyle w:val="TableContents"/>
              <w:bidi w:val="0"/>
              <w:spacing w:before="0" w:after="0"/>
              <w:ind w:left="180" w:right="0" w:hanging="180"/>
              <w:jc w:val="left"/>
              <w:rPr/>
            </w:pPr>
            <w:r>
              <w:rPr>
                <w:b/>
                <w:spacing w:val="0"/>
              </w:rPr>
              <w:t xml:space="preserve">Current directors and executive officers as a group </w:t>
            </w:r>
            <w:r>
              <w:rPr>
                <w:b/>
                <w:spacing w:val="-2"/>
              </w:rPr>
              <w:t>(19</w:t>
            </w:r>
            <w:r>
              <w:rPr>
                <w:b/>
                <w:spacing w:val="0"/>
              </w:rPr>
              <w:t> persons)</w:t>
            </w:r>
            <w:r>
              <w:rPr>
                <w:b/>
                <w:spacing w:val="-2"/>
                <w:sz w:val="11"/>
              </w:rPr>
              <w:t>(16</w:t>
            </w:r>
            <w:r>
              <w:rPr>
                <w:bCs/>
                <w:spacing w:val="-2"/>
                <w:szCs w:val="11"/>
              </w:rPr>
              <w:t>﻿</w:t>
            </w:r>
            <w:r>
              <w:rPr>
                <w:b/>
                <w:spacing w:val="-2"/>
                <w:sz w:val="11"/>
              </w:rPr>
              <w:t>)</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30" w:type="dxa"/>
            </w:tcMar>
            <w:vAlign w:val="center"/>
          </w:tcPr>
          <w:p>
            <w:pPr>
              <w:pStyle w:val="TableContents"/>
              <w:bidi w:val="0"/>
              <w:spacing w:before="0" w:after="283"/>
              <w:jc w:val="right"/>
              <w:rPr/>
            </w:pPr>
            <w:r>
              <w:rPr/>
              <w:t xml:space="preserve">1,227,753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30" w:type="dxa"/>
            </w:tcMar>
            <w:vAlign w:val="center"/>
          </w:tcPr>
          <w:p>
            <w:pPr>
              <w:pStyle w:val="TableContents"/>
              <w:bidi w:val="0"/>
              <w:spacing w:before="0" w:after="283"/>
              <w:jc w:val="right"/>
              <w:rPr/>
            </w:pPr>
            <w:r>
              <w:rPr/>
              <w:t xml:space="preserve">* </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1308" w:type="dxa"/>
            <w:tcBorders>
              <w:bottom w:val="single" w:sz="6" w:space="0" w:color="000000"/>
            </w:tcBorders>
            <w:shd w:fill="E6EEF8" w:val="clear"/>
            <w:tcMar>
              <w:bottom w:w="30" w:type="dxa"/>
            </w:tcMar>
            <w:vAlign w:val="center"/>
          </w:tcPr>
          <w:p>
            <w:pPr>
              <w:pStyle w:val="TableContents"/>
              <w:bidi w:val="0"/>
              <w:spacing w:before="0" w:after="283"/>
              <w:jc w:val="right"/>
              <w:rPr/>
            </w:pPr>
            <w:r>
              <w:rPr/>
              <w:t xml:space="preserve">9,421,131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704" w:type="dxa"/>
            <w:tcBorders>
              <w:bottom w:val="single" w:sz="6" w:space="0" w:color="000000"/>
            </w:tcBorders>
            <w:shd w:fill="E6EEF8" w:val="clear"/>
            <w:tcMar>
              <w:bottom w:w="30" w:type="dxa"/>
            </w:tcMar>
            <w:vAlign w:val="center"/>
          </w:tcPr>
          <w:p>
            <w:pPr>
              <w:pStyle w:val="TableContents"/>
              <w:bidi w:val="0"/>
              <w:spacing w:before="0" w:after="283"/>
              <w:jc w:val="right"/>
              <w:rPr/>
            </w:pPr>
            <w:r>
              <w:rPr/>
              <w:t xml:space="preserve">2.0% </w:t>
            </w:r>
          </w:p>
        </w:tc>
        <w:tc>
          <w:tcPr>
            <w:tcW w:w="148"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677"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14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Represents 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1910" distB="0" distL="0" distR="0" simplePos="0" locked="0" layoutInCell="1" allowOverlap="1" relativeHeight="320">
                <wp:simplePos x="0" y="0"/>
                <wp:positionH relativeFrom="column">
                  <wp:align>left</wp:align>
                </wp:positionH>
                <wp:positionV relativeFrom="line">
                  <wp:align>top</wp:align>
                </wp:positionV>
                <wp:extent cx="228600" cy="254000"/>
                <wp:effectExtent l="0" t="0" r="0" b="0"/>
                <wp:wrapSquare wrapText="right"/>
                <wp:docPr id="301" name="Frame162"/>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Subject to the terms of the exchange agreement, Common Units are exchangeable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w:t>
      </w:r>
      <w:r>
        <w:rPr>
          <w:rFonts w:ascii="Arial;Helvetica;sans-serif" w:hAnsi="Arial;Helvetica;sans-serif"/>
          <w:b w:val="false"/>
          <w:i/>
          <w:caps w:val="false"/>
          <w:smallCaps w:val="false"/>
          <w:color w:val="000000"/>
          <w:sz w:val="16"/>
        </w:rPr>
        <w:t>Certain Relationships and Related Person Transactions — Exchange Agreement.</w:t>
      </w:r>
      <w:r>
        <w:rPr>
          <w:rFonts w:ascii="Arial;Helvetica;sans-serif" w:hAnsi="Arial;Helvetica;sans-serif"/>
          <w:b w:val="false"/>
          <w:i w:val="false"/>
          <w:caps w:val="false"/>
          <w:smallCaps w:val="false"/>
          <w:color w:val="000000"/>
          <w:spacing w:val="-1"/>
          <w:sz w:val="16"/>
        </w:rPr>
        <w:t xml:space="preserve"> The Continuing Common Unitholders hold all of the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1910" distB="0" distL="0" distR="0" simplePos="0" locked="0" layoutInCell="1" allowOverlap="1" relativeHeight="321">
                <wp:simplePos x="0" y="0"/>
                <wp:positionH relativeFrom="column">
                  <wp:align>left</wp:align>
                </wp:positionH>
                <wp:positionV relativeFrom="line">
                  <wp:align>top</wp:align>
                </wp:positionV>
                <wp:extent cx="228600" cy="254000"/>
                <wp:effectExtent l="0" t="0" r="0" b="0"/>
                <wp:wrapSquare wrapText="right"/>
                <wp:docPr id="302" name="Frame163"/>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Represents percentage of voting power of the shares eligible to vote in the election of directors of Medline Inc. voting together as a single class.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1910" distB="0" distL="0" distR="0" simplePos="0" locked="0" layoutInCell="1" allowOverlap="1" relativeHeight="322">
                <wp:simplePos x="0" y="0"/>
                <wp:positionH relativeFrom="column">
                  <wp:align>left</wp:align>
                </wp:positionH>
                <wp:positionV relativeFrom="line">
                  <wp:align>top</wp:align>
                </wp:positionV>
                <wp:extent cx="228600" cy="254000"/>
                <wp:effectExtent l="0" t="0" r="0" b="0"/>
                <wp:wrapSquare wrapText="right"/>
                <wp:docPr id="303" name="Frame164"/>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10,185 shares of Class A common stock and 54,629,402 shares of Class B common stock directly held by BX Mozart ML-1 Holdco L.P., 1,539 shares of Class A common stock and 8,255,963 shares of Class B common stock directly held by Mozart Aggregator UNLV Holdco L.P., 109,250,239 shares of Class A common stock directly held by BX Mozart ML-2 Holdco L.P., 12,507,704 shares of Class A common stock directly held by Mozart Aggregator II UNLV Holdco L.P., and 2,428,681 shares of Class A common stock directly held by Mozart Aggregator II LP.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1910" distB="0" distL="0" distR="0" simplePos="0" locked="0" layoutInCell="1" allowOverlap="1" relativeHeight="323">
                <wp:simplePos x="0" y="0"/>
                <wp:positionH relativeFrom="column">
                  <wp:align>left</wp:align>
                </wp:positionH>
                <wp:positionV relativeFrom="line">
                  <wp:align>top</wp:align>
                </wp:positionV>
                <wp:extent cx="228600" cy="254000"/>
                <wp:effectExtent l="0" t="0" r="0" b="0"/>
                <wp:wrapSquare wrapText="right"/>
                <wp:docPr id="304" name="Frame165"/>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0" w:before="44"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BX Mozart ML-1 Holdco GP L.L.C. is the general partner of BX Mozart ML-1 Holdco L.P. BCP Mozart Aggregator L.P. is the managing member of BX Mozart ML-1 Holdco GP L.L.C.</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190" w:before="44"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BCP 8 Holdings Mozart Manager L.L.C. is the general partner of BCP Mozart Aggregator L.P. BMA VIII L.L.C. is the managing member of BCP 8 Holdings Mozart Manager L.L.C.</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40</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Beneficial Ownership of Stock</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00" w:before="40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BCP 8 Holdings Mozart Manager L.L.C. is the general partner of Mozart Aggregator UNLV Holdco L.P. BMA VIII L.L.C. is the managing member of BCP 8 Holdings Mozart Manager L.L.C.</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38"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BX Mozart ML-2 Holdco GP L.L.C. is the general partner of BX Mozart ML-2 Holdco L.P. Mozart Aggregator II LP is the managing member of BX Mozart ML-2 Holdco GP L.L.C.</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38"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Blackstone Management Associates VIII L.P. is the general partner of Mozart Aggregator II LP. BMA VIII L.L.C. is the general partner of Blackstone Management Associates VIII L.P.</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38"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Blackstone Management Associates VIII L.P. is the general partner of Mozart Aggregator II UNLV Holdco L.P. BMA VIII L.L.C. is the general partner of Blackstone Management Associates VIII L.P.</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38"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Blackstone Holdings II L.P. is the managing member of BMA VIII L.L.C. Blackstone Holdings I/II GP L.L.C. is the general partner of Blackstone Holdings II L.P.</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38"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 Schwarzman.</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38"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BX Mozart ML-1 Holdco, L.P., Mozart Aggregator UNLV Holdco L.P., BX Mozart ML-2 Holdco, L.P., and Mozart Aggregator II UNLV Holdco L.P. (collectively, the “Blackstone Funds”) to the extent of their direct holdings). The address of Mr. Schwarzman and each of the other entities listed in this footnote is c/o Blackstone Inc., 345 Park Avenue, New York, New York 10154.</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38"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Based on information provided to us, as of the date of this Proxy Statement, certain of the Blackstone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9,454 shares of Class A common stock and 48,274,351 shares of Class B common stock directly held by CP Circle ML-1 Holdco, L.P., 2,615 shares of Class A common stock and 13,355,121 shares of Class B common stock directly held by CP Circle UNLV Holdco, L.P., 233,231 shares of Class A common stock directly held by CP Circle ML-2 Holdco, L.P., 50,719,101 shares of Class A common stock directly held by CP Circle ML-3 Holdco, L.P., 23,161,715 shares of Class A common stock directly held by CP Circle ML-4 Holdco, L.P., 5,748,101 shares of Class A common stock directly held by CP Circle ML-5 Holdco, L.P., 2,120,434 shares of Class A common stock directly held by CP Circle ML-6 Holdco, L.P., 15,325,210 shares of Class A common stock directly held by CP Circle ML-7 Holdco, L.P., 13,394,165 shares of Class A common stock directly held by Carlyle Mozart Coinvestment UNLV Holdco, L.P., 14,011,611 shares of Class A common stock directly held by Carlyle Mozart Coinvestment Holdings, L.P., and 728,604 shares of Class A common stock directly held by CPEP Circle Holdings L.P. (Carlyle Mozart Coinvestment Holdings, L.P., Carlyle Mozart Coinvestment UNLV Holdco, L.P., CP Circle ML-7 Holdco, L.P., CP Circle ML-6 Holdco, L.P., CP Circle ML-5 Holdco, L.P., CP Circle ML-4 Holdco, L.P., CP Circle ML-3 Holdco, L.P., CP Circle ML-2 Holdco, L.P., CP Circle ML-1 Holdco, L.P., CP Circle UNLV Holdco, L.P., and CPEP Circle Holdings L.P., collectively, the “Carlyle Funds”).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324">
                <wp:simplePos x="0" y="0"/>
                <wp:positionH relativeFrom="column">
                  <wp:align>left</wp:align>
                </wp:positionH>
                <wp:positionV relativeFrom="line">
                  <wp:align>top</wp:align>
                </wp:positionV>
                <wp:extent cx="228600" cy="350520"/>
                <wp:effectExtent l="0" t="0" r="0" b="0"/>
                <wp:wrapSquare wrapText="right"/>
                <wp:docPr id="305" name="Frame1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sole member of TC Group, L.L.C., which is the general partner of TC Group Sub L.P., which is the managing member of TC Group VII S1, L.L.C., which is the general partner of TC Group VII S1, L.P., which is the general partner of each of Carlyle Mozart Coinvestment Holdings, L.P., CP Circle Holdings, L.P., CP Circle UNLV Holdco, L.P., Carlyle Mozart Coinvestment UNLV Holdco, L.P., and CP VII Circle Holdings — A, L.P., which is the managing member of CP Circle ML Holdco GP, LLC, which is the general partner of each of CP Circle ML-7 Holdco, L.P., CP Circle ML-6 Holdco, L.P., CP Circle ML-5 Holdco, L.P., CP Circle ML-4 Holdco, L.P., CP Circle ML-3 Holdco, L.P. and CP Circle ML-2 Holdco, L.P. CP Circle Holdings, L.P. is the managing member of CP Circle ML-1 Holdco GP, LLC, which is the general partner of CP Circle ML-1 Holdco, L.P.</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CG Subsidiary Holdings L.L.C. is also the sole shareholder of TC Group VIII Lux GP, S.à r.l., which is the Luxembourg general partner of CP VIII Circle AIF Holdings, S.C.Sp., and the managing member of CPEP GP, LLC, which is the general partner of CPEP Circle Holdings L.P.</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08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Based on information provided to us, as of the date of this Proxy Statement, certain of the Carlyle Funds have pledged, hypothecated or granted security interests in substantially all of the shares of Class A common stock and Class B common stock held by them pursuant to a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Beneficial Ownership of Stock</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190" w:before="40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74,496,172 shares of Class A common stock held by Hellman &amp; Friedman Capital Partners X (Parallel), L.P., 7,781,788 shares of Class A common stock held by HFCP X (Parallel — A), L.P., 4,176,227 shares of Class A common stock held by Mend Partners II, L.P. and 19,310 shares of Class A common stock and 100,610,216 shares of Class B common stock held by Mend Investment Holdings I, L.P.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25">
                <wp:simplePos x="0" y="0"/>
                <wp:positionH relativeFrom="column">
                  <wp:align>left</wp:align>
                </wp:positionH>
                <wp:positionV relativeFrom="line">
                  <wp:align>top</wp:align>
                </wp:positionV>
                <wp:extent cx="228600" cy="350520"/>
                <wp:effectExtent l="0" t="0" r="0" b="0"/>
                <wp:wrapSquare wrapText="right"/>
                <wp:docPr id="306" name="Frame1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0" w:before="42"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Hellman &amp; Friedman Investors X, L.P. (“Investors X GP”) is the general partner of Hellman &amp; Friedman Capital Partners X (Parallel), L.P. and HFCP X (Parallel-A), L.P.</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Mend Partners GP, LLC (“Mend GP”) is the general partner of Mend Partners II, L.P. Investors X GP is the managing member of Mend GP.</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190" w:before="42"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190" w:before="42"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H&amp;F Corporate Investors X, Ltd. (“Investors X Ltd.”) is the general partner of Investors X GP. A three-member board of directors of Investors X Ltd. has voting and investment discretion over the shares held by Hellman &amp; Friedman Capital Partners X (Parallel), L.P., HFCP X (Parallel-A), L.P., Mend Partners II, L.P., and Mend Investment Holdings I, L.P. (collectively, the “H&amp;F Funds”). Each of the members of the board of directors of Investors X Ltd. disclaims beneficial ownership of such shares. The address of each entity referred to in this footnote is c/o Hellman &amp; Friedman LLC, 415 Mission Street, Suite 5700, San Francisco, California 94105.</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Based on information reported by Mozart HoldCo, Inc. on Schedule 13G filed with the SEC on February 13, 2026. Mozart HoldCo, Inc. is an entity that is owned directly and/or indirectly by members of the Mills Family and trusts for their benefit. No person or group beneficially owns more than fifty percent of the voting power of Mozart HoldCo, Inc. Investment and voting decisions over the securities of Medline Inc. and Medline Holdings held by Mozart HoldCo, Inc. are made by a board of directors consisting of three or more directors.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26">
                <wp:simplePos x="0" y="0"/>
                <wp:positionH relativeFrom="column">
                  <wp:align>left</wp:align>
                </wp:positionH>
                <wp:positionV relativeFrom="line">
                  <wp:align>top</wp:align>
                </wp:positionV>
                <wp:extent cx="228600" cy="350520"/>
                <wp:effectExtent l="0" t="0" r="0" b="0"/>
                <wp:wrapSquare wrapText="right"/>
                <wp:docPr id="307" name="Frame1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(6)</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118,796,825 shares of Class A common stock are beneficially owned by GIC Private Limited (“GIC”) and its affiliate, Hux Investment Pte. Ltd. GIC and Hux share the power to vote and the power to dispose of these shares with GIC Special Investments Pte. Ltd. (“GIC SI”). GIC and GIC SI are private limited companies incorporated in Singapore. GIC SI is wholly owned by GIC and is the private equity investment arm of GIC. GIC is wholly owned by the Government of Singapore and was set up with the sole purpose of managing the Government of Singapore’s foreign reserves. The Government of Singapore disclaims beneficial ownership of such shares. The address for GIC and Hux is 168 Robinson Road, #37-01 Capital Tower, Singapore 068912.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27">
                <wp:simplePos x="0" y="0"/>
                <wp:positionH relativeFrom="column">
                  <wp:align>left</wp:align>
                </wp:positionH>
                <wp:positionV relativeFrom="line">
                  <wp:align>top</wp:align>
                </wp:positionV>
                <wp:extent cx="228600" cy="350520"/>
                <wp:effectExtent l="0" t="0" r="0" b="0"/>
                <wp:wrapSquare wrapText="right"/>
                <wp:docPr id="308" name="Frame1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(7)</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(a) 24,313 shares of Class B common stock corresponding to an equivalent number of outstanding Common Units held by Mr. Boyle, (b) 514,876 shares of Class B common stock corresponding to an equivalent number of outstanding Common Units held by a trust over which Mr. Boyle’s spouse is a trustee, (c) 1,015,764 shares of Class B common stock corresponding to an equivalent number of Common Units issuable within 60 days of April 13, 2026 upon the conversion of vested Incentive Units held by Mr. Boyle at a conversion price of $47.22 per share of Class A common stock (the closing price per share of Class A common stock on such date), and (d) 706,907 shares of Class B common stock corresponding to an equivalent number of Common Units issuable within 60 days of April 13, 2026 upon the conversion of vested Incentive Units held by a trust over which Mr. Boyle’s spouse is a trustee at a conversion price of $47.22 per share of Class A common stock (the closing price per share of Class A common stock on such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28">
                <wp:simplePos x="0" y="0"/>
                <wp:positionH relativeFrom="column">
                  <wp:align>left</wp:align>
                </wp:positionH>
                <wp:positionV relativeFrom="line">
                  <wp:align>top</wp:align>
                </wp:positionV>
                <wp:extent cx="228600" cy="350520"/>
                <wp:effectExtent l="0" t="0" r="0" b="0"/>
                <wp:wrapSquare wrapText="right"/>
                <wp:docPr id="309" name="Frame1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(8)</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(a) 1,208,159 shares of Class A common stock directly held by Mr. Healy and (b) 19,594 shares of Class A common stock directly held by a partnership for which Mr. Healy serves as the general partner.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29">
                <wp:simplePos x="0" y="0"/>
                <wp:positionH relativeFrom="column">
                  <wp:align>left</wp:align>
                </wp:positionH>
                <wp:positionV relativeFrom="line">
                  <wp:align>top</wp:align>
                </wp:positionV>
                <wp:extent cx="228600" cy="350520"/>
                <wp:effectExtent l="0" t="0" r="0" b="0"/>
                <wp:wrapSquare wrapText="right"/>
                <wp:docPr id="310" name="Frame1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(9)</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AJM 2018 Generations Trust, which is associated with Mr. A. Mills, directly holds 30,655 shares of Class B common stock corresponding to an equivalent number of Common Units. Mr. A. Mills disclaims beneficial ownership of such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30">
                <wp:simplePos x="0" y="0"/>
                <wp:positionH relativeFrom="column">
                  <wp:align>left</wp:align>
                </wp:positionH>
                <wp:positionV relativeFrom="line">
                  <wp:align>top</wp:align>
                </wp:positionV>
                <wp:extent cx="228600" cy="525780"/>
                <wp:effectExtent l="0" t="0" r="0" b="0"/>
                <wp:wrapSquare wrapText="right"/>
                <wp:docPr id="311" name="Frame172"/>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(10)</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Charles N. Mills Gift Trust, which is associated with Mr. C. Mills, directly holds 64,005 shares of Class B common stock corresponding to an equivalent number of Common Units. Mr. C. Mills disclaims beneficial ownership of such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31">
                <wp:simplePos x="0" y="0"/>
                <wp:positionH relativeFrom="column">
                  <wp:align>left</wp:align>
                </wp:positionH>
                <wp:positionV relativeFrom="line">
                  <wp:align>top</wp:align>
                </wp:positionV>
                <wp:extent cx="228600" cy="525780"/>
                <wp:effectExtent l="0" t="0" r="0" b="0"/>
                <wp:wrapSquare wrapText="right"/>
                <wp:docPr id="312" name="Frame173"/>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1,206,467 shares of Class B common stock corresponding to an equivalent number of outstanding Common Units held by trusts over which Mr. Pigott is a trustee and (b) 1,686,726 shares of Class B common stock corresponding to an equivalent number of Common Units issuable within 60 days of April 13, 2026 upon the conversion of vested Incentive Units held by trusts over which Mr. Pigott is a trustee at a conversion price of $47.22 per share of Class A common stock (the closing price per share of Class A common stock on such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32">
                <wp:simplePos x="0" y="0"/>
                <wp:positionH relativeFrom="column">
                  <wp:align>left</wp:align>
                </wp:positionH>
                <wp:positionV relativeFrom="line">
                  <wp:align>top</wp:align>
                </wp:positionV>
                <wp:extent cx="228600" cy="525780"/>
                <wp:effectExtent l="0" t="0" r="0" b="0"/>
                <wp:wrapSquare wrapText="right"/>
                <wp:docPr id="313" name="Frame174"/>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486,028 shares of Class B common stock corresponding to an equivalent number of outstanding Common Units held by Mr. Drazin and (b) 1,269,629 shares of Class B common stock corresponding to an equivalent number of Common Units issuable within 60 days of April 13, 2026 upon the conversion of vested Incentive Units held by Mr. Drazin at a conversion price of $47.22 per share of Class A common stock (the closing price per share of Class A common stock on such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33">
                <wp:simplePos x="0" y="0"/>
                <wp:positionH relativeFrom="column">
                  <wp:align>left</wp:align>
                </wp:positionH>
                <wp:positionV relativeFrom="line">
                  <wp:align>top</wp:align>
                </wp:positionV>
                <wp:extent cx="228600" cy="525780"/>
                <wp:effectExtent l="0" t="0" r="0" b="0"/>
                <wp:wrapSquare wrapText="right"/>
                <wp:docPr id="314" name="Frame175"/>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1"/>
                              </w:rPr>
                              <w:t>(13)</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465,195 shares of Class B common stock corresponding to an equivalent number of Common Units issuable within 60 days of April 13, 2026 upon the conversion of vested Incentive Units held by a trust over which Mr. Miller is a trustee at a conversion price of $47.22 per share of Class A common stock (the closing price per share of Class A common stock on such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334">
                <wp:simplePos x="0" y="0"/>
                <wp:positionH relativeFrom="column">
                  <wp:align>left</wp:align>
                </wp:positionH>
                <wp:positionV relativeFrom="line">
                  <wp:align>top</wp:align>
                </wp:positionV>
                <wp:extent cx="228600" cy="525780"/>
                <wp:effectExtent l="0" t="0" r="0" b="0"/>
                <wp:wrapSquare wrapText="right"/>
                <wp:docPr id="315" name="Frame176"/>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1"/>
                              </w:rPr>
                              <w:t>(14)</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(a) 465,864 shares of Class B common stock corresponding to an equivalent number of outstanding Common Units held by Mr. Golwas, (b) 582,417 shares of Class B common stock corresponding to an equivalent number of Common Units issuable within 60 days of April 13, 2026 upon the conversion of vested Incentive Units held by Mr. Golwas at a conversion price of $47.22 per share of Class A common stock (the closing price per share of Class A common stock on such date), and (c) 311,941 shares of Class B common stock corresponding to an equivalent number of Common Units issuable within 60 days of April 13, 2026 upon the conversion of vested Incentive Units held by a trust over which Mr. Golwas is a trustee at a conversion price of $47.22 per share of Class A common stock (the closing price per share of Class A common stock on such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335">
                <wp:simplePos x="0" y="0"/>
                <wp:positionH relativeFrom="column">
                  <wp:align>left</wp:align>
                </wp:positionH>
                <wp:positionV relativeFrom="line">
                  <wp:align>top</wp:align>
                </wp:positionV>
                <wp:extent cx="228600" cy="525780"/>
                <wp:effectExtent l="0" t="0" r="0" b="0"/>
                <wp:wrapSquare wrapText="right"/>
                <wp:docPr id="316" name="Frame177"/>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1"/>
                              </w:rPr>
                              <w:t>(15)</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Reflects (a) 1,227,753 shares of Class A common stock beneficially owned by our directors and executive officers, (b) 4,030,713 shares of Class B common stock corresponding to an equivalent number of outstanding Common Units beneficially owned by our directors and executive </w:t>
      </w:r>
      <w:r>
        <mc:AlternateContent>
          <mc:Choice Requires="wps">
            <w:drawing>
              <wp:anchor behindDoc="0" distT="50800" distB="0" distL="0" distR="0" simplePos="0" locked="0" layoutInCell="1" allowOverlap="1" relativeHeight="336">
                <wp:simplePos x="0" y="0"/>
                <wp:positionH relativeFrom="column">
                  <wp:align>left</wp:align>
                </wp:positionH>
                <wp:positionV relativeFrom="line">
                  <wp:align>top</wp:align>
                </wp:positionV>
                <wp:extent cx="228600" cy="525780"/>
                <wp:effectExtent l="0" t="0" r="0" b="0"/>
                <wp:wrapSquare wrapText="right"/>
                <wp:docPr id="317" name="Frame178"/>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1"/>
                              </w:rPr>
                              <w:t>(16)</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(16)</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S1R"/>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Beneficial Ownership of Stock</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00" w:before="400" w:after="1004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officers, and (c) 8,283,611 shares of Class B common stock corresponding to an equivalent number of Common Units that our directors and executive officers have the right to acquire within 60 days of April 13, 2026 upon the conversion of vested Incentive Units held by our directors and executive officers at a conversion price of $47.22 per share of Class A common stock (the closing price per share of Class A common stock on such date).</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Delinquent Section 16(A) Reports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Section 16(a) of the Securities and Exchange Act of 1934 (the “Exchange Act”) requires our executive officers and directors, and persons who beneficially own more than 10% of a registered class of our equity securities under the Exchange Act (collectively, the “Reporting Persons”), to file reports of ownership and changes in ownership with the SEC. Based solely upon a review of Forms 3, 4, and 5 and amendments thereto filed electronically with the SEC by the Reporting Persons with respect to the fiscal year ended December 31, 2025, we believe that all filing requirements were complied with in a timely manner, with the exception of one Form 3 for each of Mr. Schmidt and Mr. Wise which were filed late due to an administrative error.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Beneficial Ownership of Stock</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6180"/>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Executive Officers</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22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are our executive officers as of April 13, 2026:</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50" w:type="dxa"/>
          <w:right w:w="0" w:type="dxa"/>
        </w:tblCellMar>
      </w:tblPr>
      <w:tblGrid>
        <w:gridCol w:w="1998"/>
        <w:gridCol w:w="109"/>
        <w:gridCol w:w="109"/>
        <w:gridCol w:w="521"/>
        <w:gridCol w:w="109"/>
        <w:gridCol w:w="109"/>
        <w:gridCol w:w="6374"/>
        <w:gridCol w:w="156"/>
      </w:tblGrid>
      <w:tr>
        <w:trPr/>
        <w:tc>
          <w:tcPr>
            <w:tcW w:w="1998" w:type="dxa"/>
            <w:tcBorders>
              <w:bottom w:val="single" w:sz="2" w:space="0" w:color="000000"/>
            </w:tcBorders>
            <w:vAlign w:val="center"/>
          </w:tcPr>
          <w:p>
            <w:pPr>
              <w:pStyle w:val="TableContents"/>
              <w:bidi w:val="0"/>
              <w:spacing w:before="0" w:after="0"/>
              <w:jc w:val="left"/>
              <w:rPr>
                <w:spacing w:val="0"/>
              </w:rPr>
            </w:pPr>
            <w:r>
              <w:rPr>
                <w:spacing w:val="0"/>
              </w:rPr>
              <w:t xml:space="preserve">Name and Title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21" w:type="dxa"/>
            <w:tcBorders>
              <w:bottom w:val="single" w:sz="2" w:space="0" w:color="000000"/>
            </w:tcBorders>
            <w:vAlign w:val="center"/>
          </w:tcPr>
          <w:p>
            <w:pPr>
              <w:pStyle w:val="TableContents"/>
              <w:bidi w:val="0"/>
              <w:spacing w:before="0" w:after="0"/>
              <w:jc w:val="left"/>
              <w:rPr>
                <w:spacing w:val="0"/>
              </w:rPr>
            </w:pPr>
            <w:r>
              <w:rPr>
                <w:spacing w:val="0"/>
              </w:rPr>
              <w:t xml:space="preserve">Age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74" w:type="dxa"/>
            <w:tcBorders>
              <w:bottom w:val="single" w:sz="2" w:space="0" w:color="000000"/>
            </w:tcBorders>
            <w:vAlign w:val="center"/>
          </w:tcPr>
          <w:p>
            <w:pPr>
              <w:pStyle w:val="TableContents"/>
              <w:bidi w:val="0"/>
              <w:spacing w:before="0" w:after="0"/>
              <w:jc w:val="left"/>
              <w:rPr>
                <w:spacing w:val="0"/>
              </w:rPr>
            </w:pPr>
            <w:r>
              <w:rPr>
                <w:spacing w:val="0"/>
              </w:rPr>
              <w:t xml:space="preserve">Business Experience in the Past Five Years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998" w:type="dxa"/>
            <w:tcBorders>
              <w:bottom w:val="single" w:sz="6" w:space="0" w:color="000000"/>
            </w:tcBorders>
            <w:tcMar>
              <w:bottom w:w="32" w:type="dxa"/>
            </w:tcMar>
            <w:vAlign w:val="center"/>
          </w:tcPr>
          <w:p>
            <w:pPr>
              <w:pStyle w:val="TableContents"/>
              <w:bidi w:val="0"/>
              <w:spacing w:before="0" w:after="0"/>
              <w:jc w:val="left"/>
              <w:rPr>
                <w:b/>
                <w:i w:val="false"/>
                <w:caps w:val="false"/>
                <w:smallCaps w:val="false"/>
              </w:rPr>
            </w:pPr>
            <w:r>
              <w:rPr>
                <w:b/>
                <w:i w:val="false"/>
                <w:caps w:val="false"/>
                <w:smallCaps w:val="false"/>
                <w:spacing w:val="0"/>
              </w:rPr>
              <w:t>James M. Boyle,</w:t>
            </w:r>
            <w:r>
              <w:rPr>
                <w:b/>
                <w:i w:val="false"/>
                <w:caps w:val="false"/>
                <w:smallCaps w:val="false"/>
              </w:rPr>
              <w:t xml:space="preserve"> </w:t>
              <w:br/>
            </w:r>
            <w:r>
              <w:rPr>
                <w:b w:val="false"/>
                <w:i/>
                <w:caps w:val="false"/>
                <w:smallCaps w:val="false"/>
              </w:rPr>
              <w:t>Chief Executive Officer and Director</w:t>
            </w:r>
            <w:r>
              <w:rPr>
                <w:b/>
                <w:i w:val="false"/>
                <w:caps w:val="false"/>
                <w:smallCaps w:val="false"/>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 w:type="dxa"/>
            <w:tcBorders>
              <w:bottom w:val="single" w:sz="6" w:space="0" w:color="000000"/>
            </w:tcBorders>
            <w:tcMar>
              <w:bottom w:w="32" w:type="dxa"/>
            </w:tcMar>
            <w:vAlign w:val="center"/>
          </w:tcPr>
          <w:p>
            <w:pPr>
              <w:pStyle w:val="TableContents"/>
              <w:bidi w:val="0"/>
              <w:spacing w:before="0" w:after="0"/>
              <w:jc w:val="left"/>
              <w:rPr>
                <w:i w:val="false"/>
                <w:caps w:val="false"/>
                <w:smallCaps w:val="false"/>
                <w:spacing w:val="-1"/>
              </w:rPr>
            </w:pPr>
            <w:r>
              <w:rPr>
                <w:i w:val="false"/>
                <w:caps w:val="false"/>
                <w:smallCaps w:val="false"/>
                <w:spacing w:val="-1"/>
              </w:rPr>
              <w:t xml:space="preserve">54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374" w:type="dxa"/>
            <w:tcBorders>
              <w:bottom w:val="single" w:sz="6" w:space="0" w:color="000000"/>
            </w:tcBorders>
            <w:tcMar>
              <w:bottom w:w="32" w:type="dxa"/>
            </w:tcMar>
            <w:vAlign w:val="center"/>
          </w:tcPr>
          <w:p>
            <w:pPr>
              <w:pStyle w:val="TableContents"/>
              <w:bidi w:val="0"/>
              <w:spacing w:before="0" w:after="283"/>
              <w:jc w:val="left"/>
              <w:rPr/>
            </w:pPr>
            <w:r>
              <w:rPr>
                <w:i w:val="false"/>
                <w:caps w:val="false"/>
                <w:smallCaps w:val="false"/>
                <w:spacing w:val="-1"/>
              </w:rPr>
              <w:t xml:space="preserve">The biography for Mr. Boyle appears above under </w:t>
            </w:r>
            <w:r>
              <w:rPr/>
              <w:t>Election of Directors — Our 2026 Director Nominees — Director Nominee Biographies</w:t>
            </w:r>
            <w:r>
              <w:rPr>
                <w:i w:val="false"/>
                <w:caps w:val="false"/>
                <w:smallCaps w:val="false"/>
                <w:spacing w:val="-1"/>
              </w:rPr>
              <w:t xml:space="preserve">.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98" w:type="dxa"/>
            <w:tcBorders>
              <w:bottom w:val="single" w:sz="6" w:space="0" w:color="000000"/>
            </w:tcBorders>
            <w:shd w:fill="E6EEF8" w:val="clear"/>
            <w:tcMar>
              <w:bottom w:w="32" w:type="dxa"/>
            </w:tcMar>
            <w:vAlign w:val="center"/>
          </w:tcPr>
          <w:p>
            <w:pPr>
              <w:pStyle w:val="TableContents"/>
              <w:bidi w:val="0"/>
              <w:spacing w:before="0" w:after="0"/>
              <w:jc w:val="left"/>
              <w:rPr>
                <w:b/>
              </w:rPr>
            </w:pPr>
            <w:r>
              <w:rPr>
                <w:b/>
                <w:spacing w:val="0"/>
              </w:rPr>
              <w:t>Michael B. Drazin,</w:t>
            </w:r>
            <w:r>
              <w:rPr>
                <w:b/>
              </w:rPr>
              <w:t xml:space="preserve"> </w:t>
              <w:br/>
            </w:r>
            <w:r>
              <w:rPr>
                <w:b w:val="false"/>
                <w:i/>
              </w:rPr>
              <w:t>Chief Financial Officer</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521" w:type="dxa"/>
            <w:tcBorders>
              <w:bottom w:val="single" w:sz="6" w:space="0" w:color="000000"/>
            </w:tcBorders>
            <w:shd w:fill="E6EEF8" w:val="clear"/>
            <w:tcMar>
              <w:bottom w:w="32" w:type="dxa"/>
            </w:tcMar>
            <w:vAlign w:val="center"/>
          </w:tcPr>
          <w:p>
            <w:pPr>
              <w:pStyle w:val="TableContents"/>
              <w:bidi w:val="0"/>
              <w:spacing w:before="0" w:after="283"/>
              <w:jc w:val="left"/>
              <w:rPr>
                <w:spacing w:val="-1"/>
              </w:rPr>
            </w:pPr>
            <w:r>
              <w:rPr>
                <w:spacing w:val="-1"/>
              </w:rPr>
              <w:t xml:space="preserve">51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6374" w:type="dxa"/>
            <w:tcBorders>
              <w:bottom w:val="single" w:sz="6" w:space="0" w:color="000000"/>
            </w:tcBorders>
            <w:shd w:fill="E6EEF8" w:val="clear"/>
            <w:tcMar>
              <w:bottom w:w="32" w:type="dxa"/>
            </w:tcMar>
            <w:vAlign w:val="center"/>
          </w:tcPr>
          <w:p>
            <w:pPr>
              <w:pStyle w:val="TableContents"/>
              <w:bidi w:val="0"/>
              <w:spacing w:before="0" w:after="283"/>
              <w:jc w:val="left"/>
              <w:rPr>
                <w:spacing w:val="-1"/>
              </w:rPr>
            </w:pPr>
            <w:r>
              <w:rPr>
                <w:spacing w:val="-1"/>
              </w:rPr>
              <w:t xml:space="preserve">Chief Financial Officer (since 2018); Vice President, Global FP&amp;A and Investor Relations (2016 to 2018); Vice President, Global Financial Planning &amp; Analysis (2014 to 2018); and Group Controller (2008 to 2014) at Illinois Tool Works Inc., a global multi-industrial manufacturing company.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98" w:type="dxa"/>
            <w:tcBorders>
              <w:bottom w:val="single" w:sz="6" w:space="0" w:color="000000"/>
            </w:tcBorders>
            <w:tcMar>
              <w:bottom w:w="32" w:type="dxa"/>
            </w:tcMar>
            <w:vAlign w:val="center"/>
          </w:tcPr>
          <w:p>
            <w:pPr>
              <w:pStyle w:val="TableContents"/>
              <w:bidi w:val="0"/>
              <w:spacing w:before="0" w:after="283"/>
              <w:jc w:val="left"/>
              <w:rPr/>
            </w:pPr>
            <w:r>
              <w:rPr>
                <w:b/>
                <w:spacing w:val="0"/>
              </w:rPr>
              <w:t>William J. Abrams,</w:t>
            </w:r>
            <w:r>
              <w:rPr/>
              <w:t xml:space="preserve"> </w:t>
              <w:br/>
            </w:r>
            <w:r>
              <w:rPr>
                <w:spacing w:val="-1"/>
              </w:rPr>
              <w:t xml:space="preserve">Executive Vice President, Supply Chain Solutions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61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374"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Executive Vice President, Supply Chain Solutions (since 2023); President of the Distributed Products Division (2010 to 2021); President of Suture Express (2019 to 2021); Vice President of Preferred Healthcare and Executive Vice President of Real Estate &amp; Assets (2009 to 2010).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98" w:type="dxa"/>
            <w:tcBorders>
              <w:bottom w:val="single" w:sz="6" w:space="0" w:color="000000"/>
            </w:tcBorders>
            <w:shd w:fill="E6EEF8" w:val="clear"/>
            <w:tcMar>
              <w:bottom w:w="32" w:type="dxa"/>
            </w:tcMar>
            <w:vAlign w:val="center"/>
          </w:tcPr>
          <w:p>
            <w:pPr>
              <w:pStyle w:val="TableContents"/>
              <w:bidi w:val="0"/>
              <w:spacing w:before="0" w:after="0"/>
              <w:jc w:val="left"/>
              <w:rPr>
                <w:b/>
              </w:rPr>
            </w:pPr>
            <w:r>
              <w:rPr>
                <w:b/>
                <w:spacing w:val="0"/>
              </w:rPr>
              <w:t>Douglas P. Golwas,</w:t>
            </w:r>
            <w:r>
              <w:rPr>
                <w:b/>
              </w:rPr>
              <w:t xml:space="preserve"> </w:t>
              <w:br/>
            </w:r>
            <w:r>
              <w:rPr>
                <w:b w:val="false"/>
                <w:i/>
              </w:rPr>
              <w:t>Chief Commercial Officer</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521" w:type="dxa"/>
            <w:tcBorders>
              <w:bottom w:val="single" w:sz="6" w:space="0" w:color="000000"/>
            </w:tcBorders>
            <w:shd w:fill="E6EEF8" w:val="clear"/>
            <w:tcMar>
              <w:bottom w:w="32" w:type="dxa"/>
            </w:tcMar>
            <w:vAlign w:val="center"/>
          </w:tcPr>
          <w:p>
            <w:pPr>
              <w:pStyle w:val="TableContents"/>
              <w:bidi w:val="0"/>
              <w:spacing w:before="0" w:after="283"/>
              <w:jc w:val="left"/>
              <w:rPr>
                <w:spacing w:val="-1"/>
              </w:rPr>
            </w:pPr>
            <w:r>
              <w:rPr>
                <w:spacing w:val="-1"/>
              </w:rPr>
              <w:t xml:space="preserve">58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6374" w:type="dxa"/>
            <w:tcBorders>
              <w:bottom w:val="single" w:sz="6" w:space="0" w:color="000000"/>
            </w:tcBorders>
            <w:shd w:fill="E6EEF8" w:val="clear"/>
            <w:tcMar>
              <w:bottom w:w="32" w:type="dxa"/>
            </w:tcMar>
            <w:vAlign w:val="center"/>
          </w:tcPr>
          <w:p>
            <w:pPr>
              <w:pStyle w:val="TableContents"/>
              <w:bidi w:val="0"/>
              <w:spacing w:before="0" w:after="283"/>
              <w:jc w:val="left"/>
              <w:rPr>
                <w:spacing w:val="-1"/>
              </w:rPr>
            </w:pPr>
            <w:r>
              <w:rPr>
                <w:spacing w:val="-1"/>
              </w:rPr>
              <w:t xml:space="preserve">Chief Commercial Officer (since 2023); Executive Vice President, Acute Care Sales (2019 to 2023); Senior Vice President, Corporate Sales (2015 to 2019); and various leadership roles (2008 to 2015).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98" w:type="dxa"/>
            <w:tcBorders>
              <w:bottom w:val="single" w:sz="6" w:space="0" w:color="000000"/>
            </w:tcBorders>
            <w:tcMar>
              <w:bottom w:w="32" w:type="dxa"/>
            </w:tcMar>
            <w:vAlign w:val="center"/>
          </w:tcPr>
          <w:p>
            <w:pPr>
              <w:pStyle w:val="TableContents"/>
              <w:bidi w:val="0"/>
              <w:spacing w:before="0" w:after="0"/>
              <w:jc w:val="left"/>
              <w:rPr>
                <w:b/>
              </w:rPr>
            </w:pPr>
            <w:r>
              <w:rPr>
                <w:b/>
                <w:spacing w:val="0"/>
              </w:rPr>
              <w:t>Amanda H. Laabs,</w:t>
            </w:r>
            <w:r>
              <w:rPr>
                <w:b/>
              </w:rPr>
              <w:t xml:space="preserve"> </w:t>
              <w:br/>
            </w:r>
            <w:r>
              <w:rPr>
                <w:b w:val="false"/>
                <w:i/>
              </w:rPr>
              <w:t>Chief Product Officer</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45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374"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Chief Product Officer (since 2025); Executive Vice President, Medline Brand (2023 to 2025); Leader, Dynacor and Surgical Kitting Division (2020); Leader, Dynacor Kitting Division (2017 to 2020); and General Manager, Surgical Drapes and Gowns Division (2013 to 2017).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98" w:type="dxa"/>
            <w:tcBorders>
              <w:bottom w:val="single" w:sz="6" w:space="0" w:color="000000"/>
            </w:tcBorders>
            <w:shd w:fill="E6EEF8" w:val="clear"/>
            <w:tcMar>
              <w:bottom w:w="32" w:type="dxa"/>
            </w:tcMar>
            <w:vAlign w:val="center"/>
          </w:tcPr>
          <w:p>
            <w:pPr>
              <w:pStyle w:val="TableContents"/>
              <w:bidi w:val="0"/>
              <w:spacing w:before="0" w:after="0"/>
              <w:jc w:val="left"/>
              <w:rPr>
                <w:b/>
              </w:rPr>
            </w:pPr>
            <w:r>
              <w:rPr>
                <w:b/>
                <w:spacing w:val="0"/>
              </w:rPr>
              <w:t>Alex M. Liberman,</w:t>
            </w:r>
            <w:r>
              <w:rPr>
                <w:b/>
              </w:rPr>
              <w:t xml:space="preserve"> </w:t>
              <w:br/>
            </w:r>
            <w:r>
              <w:rPr>
                <w:b w:val="false"/>
                <w:i/>
              </w:rPr>
              <w:t>Chief Legal Officer</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521" w:type="dxa"/>
            <w:tcBorders>
              <w:bottom w:val="single" w:sz="6" w:space="0" w:color="000000"/>
            </w:tcBorders>
            <w:shd w:fill="E6EEF8" w:val="clear"/>
            <w:tcMar>
              <w:bottom w:w="32" w:type="dxa"/>
            </w:tcMar>
            <w:vAlign w:val="center"/>
          </w:tcPr>
          <w:p>
            <w:pPr>
              <w:pStyle w:val="TableContents"/>
              <w:bidi w:val="0"/>
              <w:spacing w:before="0" w:after="283"/>
              <w:jc w:val="left"/>
              <w:rPr>
                <w:spacing w:val="-1"/>
              </w:rPr>
            </w:pPr>
            <w:r>
              <w:rPr>
                <w:spacing w:val="-1"/>
              </w:rPr>
              <w:t xml:space="preserve">62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6374" w:type="dxa"/>
            <w:tcBorders>
              <w:bottom w:val="single" w:sz="6" w:space="0" w:color="000000"/>
            </w:tcBorders>
            <w:shd w:fill="E6EEF8" w:val="clear"/>
            <w:tcMar>
              <w:bottom w:w="32" w:type="dxa"/>
            </w:tcMar>
            <w:vAlign w:val="center"/>
          </w:tcPr>
          <w:p>
            <w:pPr>
              <w:pStyle w:val="TableContents"/>
              <w:bidi w:val="0"/>
              <w:spacing w:before="0" w:after="283"/>
              <w:jc w:val="left"/>
              <w:rPr>
                <w:spacing w:val="-1"/>
              </w:rPr>
            </w:pPr>
            <w:r>
              <w:rPr>
                <w:spacing w:val="-1"/>
              </w:rPr>
              <w:t xml:space="preserve">Chief Legal Officer (since 1999; retitled from General Counsel in October 2023); Secretary (2023 to 2024); and Assistant Secretary (1999 to 2023).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98" w:type="dxa"/>
            <w:tcBorders>
              <w:bottom w:val="single" w:sz="6" w:space="0" w:color="000000"/>
            </w:tcBorders>
            <w:tcMar>
              <w:bottom w:w="32" w:type="dxa"/>
            </w:tcMar>
            <w:vAlign w:val="center"/>
          </w:tcPr>
          <w:p>
            <w:pPr>
              <w:pStyle w:val="TableContents"/>
              <w:bidi w:val="0"/>
              <w:spacing w:before="0" w:after="0"/>
              <w:jc w:val="left"/>
              <w:rPr>
                <w:b/>
              </w:rPr>
            </w:pPr>
            <w:r>
              <w:rPr>
                <w:b/>
                <w:spacing w:val="0"/>
              </w:rPr>
              <w:t>Stephen L. Miller,</w:t>
            </w:r>
            <w:r>
              <w:rPr>
                <w:b/>
              </w:rPr>
              <w:t xml:space="preserve"> </w:t>
              <w:br/>
            </w:r>
            <w:r>
              <w:rPr>
                <w:b w:val="false"/>
                <w:i/>
              </w:rPr>
              <w:t>Chief Operating Officer</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55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374"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Chief Operating Officer (since 2025); and Executive Vice President, Supply Chain (2022 to 2024). Senior Vice President, Fulfillment Operations (2020 to 2022); and Vice President, People (U.S. Supply Chain) (2018 to 2020) at Walmart Inc. (“Walmart”), a multinational retail corporation.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98" w:type="dxa"/>
            <w:tcBorders>
              <w:bottom w:val="single" w:sz="6" w:space="0" w:color="000000"/>
            </w:tcBorders>
            <w:shd w:fill="E6EEF8" w:val="clear"/>
            <w:tcMar>
              <w:bottom w:w="30" w:type="dxa"/>
            </w:tcMar>
            <w:vAlign w:val="center"/>
          </w:tcPr>
          <w:p>
            <w:pPr>
              <w:pStyle w:val="TableContents"/>
              <w:bidi w:val="0"/>
              <w:spacing w:before="0" w:after="0"/>
              <w:jc w:val="left"/>
              <w:rPr>
                <w:b/>
              </w:rPr>
            </w:pPr>
            <w:r>
              <w:rPr>
                <w:b/>
                <w:spacing w:val="0"/>
              </w:rPr>
              <w:t>Christopher P. Shryock,</w:t>
            </w:r>
            <w:r>
              <w:rPr>
                <w:b/>
              </w:rPr>
              <w:t xml:space="preserve"> </w:t>
              <w:br/>
            </w:r>
            <w:r>
              <w:rPr>
                <w:b w:val="false"/>
                <w:i/>
              </w:rPr>
              <w:t>Chief Human Resources Officer</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521" w:type="dxa"/>
            <w:tcBorders>
              <w:bottom w:val="single" w:sz="6" w:space="0" w:color="000000"/>
            </w:tcBorders>
            <w:shd w:fill="E6EEF8" w:val="clear"/>
            <w:tcMar>
              <w:bottom w:w="30" w:type="dxa"/>
            </w:tcMar>
            <w:vAlign w:val="center"/>
          </w:tcPr>
          <w:p>
            <w:pPr>
              <w:pStyle w:val="TableContents"/>
              <w:bidi w:val="0"/>
              <w:spacing w:before="0" w:after="283"/>
              <w:jc w:val="left"/>
              <w:rPr>
                <w:spacing w:val="-1"/>
              </w:rPr>
            </w:pPr>
            <w:r>
              <w:rPr>
                <w:spacing w:val="-1"/>
              </w:rPr>
              <w:t xml:space="preserve">45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6374" w:type="dxa"/>
            <w:tcBorders>
              <w:bottom w:val="single" w:sz="6" w:space="0" w:color="000000"/>
            </w:tcBorders>
            <w:shd w:fill="E6EEF8" w:val="clear"/>
            <w:tcMar>
              <w:bottom w:w="30" w:type="dxa"/>
            </w:tcMar>
            <w:vAlign w:val="center"/>
          </w:tcPr>
          <w:p>
            <w:pPr>
              <w:pStyle w:val="TableContents"/>
              <w:bidi w:val="0"/>
              <w:spacing w:before="0" w:after="283"/>
              <w:jc w:val="left"/>
              <w:rPr/>
            </w:pPr>
            <w:r>
              <w:rPr>
                <w:spacing w:val="-1"/>
              </w:rPr>
              <w:t>Chief Human Resources Officer (since 2024). Senior Vice President and Chief People Officer (2020 to 2024) of Sam’s Club, a membership-only warehouse chain owned by Walmart.</w:t>
            </w:r>
            <w:r>
              <w:rPr/>
              <w:t xml:space="preserve">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RO1"/>
      <w:bookmarkEnd w:id="22"/>
      <w:r>
        <w:rPr>
          <w:rFonts w:ascii="calibri;arial;sans-serif" w:hAnsi="calibri;arial;sans-serif"/>
          <w:b w:val="false"/>
          <w:i w:val="false"/>
          <w:caps w:val="false"/>
          <w:smallCaps w:val="false"/>
          <w:color w:val="000000"/>
          <w:sz w:val="16"/>
        </w:rPr>
        <w:t>​</w:t>
      </w:r>
      <w:bookmarkStart w:id="23" w:name="tPRO2"/>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Executive Compensation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283"/>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Executive Compensation</w:t>
      </w:r>
      <w:r>
        <w:rPr>
          <w:rFonts w:ascii="Arial;Helvetica;sans-serif" w:hAnsi="Arial;Helvetica;sans-serif"/>
          <w:b/>
          <w:i w:val="false"/>
          <w:caps w:val="false"/>
          <w:smallCaps w:val="false"/>
          <w:color w:val="000000"/>
          <w:spacing w:val="9"/>
          <w:sz w:val="44"/>
        </w:rPr>
        <w:t xml:space="preserve"> </w:t>
      </w:r>
    </w:p>
    <w:tbl>
      <w:tblPr>
        <w:tblW w:w="9485" w:type="dxa"/>
        <w:jc w:val="left"/>
        <w:tblInd w:w="720" w:type="dxa"/>
        <w:tblLayout w:type="fixed"/>
        <w:tblCellMar>
          <w:top w:w="0" w:type="dxa"/>
          <w:left w:w="0" w:type="dxa"/>
          <w:bottom w:w="0" w:type="dxa"/>
          <w:right w:w="0" w:type="dxa"/>
        </w:tblCellMar>
      </w:tblPr>
      <w:tblGrid>
        <w:gridCol w:w="124"/>
        <w:gridCol w:w="1739"/>
        <w:gridCol w:w="109"/>
        <w:gridCol w:w="109"/>
        <w:gridCol w:w="799"/>
        <w:gridCol w:w="166"/>
        <w:gridCol w:w="166"/>
        <w:gridCol w:w="6116"/>
        <w:gridCol w:w="157"/>
      </w:tblGrid>
      <w:tr>
        <w:trPr/>
        <w:tc>
          <w:tcPr>
            <w:tcW w:w="124" w:type="dxa"/>
            <w:vMerge w:val="restart"/>
            <w:tcBorders/>
            <w:shd w:fill="0055B7" w:val="clear"/>
            <w:vAlign w:val="center"/>
          </w:tcPr>
          <w:p>
            <w:pPr>
              <w:pStyle w:val="TableContents"/>
              <w:bidi w:val="0"/>
              <w:spacing w:before="0" w:after="283"/>
              <w:jc w:val="left"/>
              <w:rPr/>
            </w:pPr>
            <w:r>
              <w:rPr/>
              <w:t>​</w:t>
            </w:r>
          </w:p>
        </w:tc>
        <w:tc>
          <w:tcPr>
            <w:tcW w:w="1739" w:type="dxa"/>
            <w:vMerge w:val="restart"/>
            <w:tcBorders/>
            <w:shd w:fill="0055B7" w:val="clear"/>
            <w:tcMar>
              <w:top w:w="28" w:type="dxa"/>
              <w:left w:w="28" w:type="dxa"/>
              <w:bottom w:w="28" w:type="dxa"/>
              <w:right w:w="28" w:type="dxa"/>
            </w:tcMar>
            <w:vAlign w:val="center"/>
          </w:tcPr>
          <w:p>
            <w:pPr>
              <w:pStyle w:val="TableContents"/>
              <w:bidi w:val="0"/>
              <w:spacing w:lineRule="atLeast" w:line="360" w:before="0" w:after="0"/>
              <w:jc w:val="center"/>
              <w:rPr>
                <w:color w:val="FFFFFF"/>
                <w:sz w:val="32"/>
              </w:rPr>
            </w:pPr>
            <w:r>
              <w:rPr>
                <w:color w:val="FFFFFF"/>
                <w:spacing w:val="-4"/>
                <w:sz w:val="32"/>
              </w:rPr>
              <w:t>PROPOSAL</w:t>
            </w:r>
            <w:r>
              <w:rPr>
                <w:color w:val="FFFFFF"/>
                <w:sz w:val="32"/>
              </w:rPr>
              <w:t xml:space="preserve"> </w:t>
            </w:r>
          </w:p>
          <w:p>
            <w:pPr>
              <w:pStyle w:val="TableContents"/>
              <w:bidi w:val="0"/>
              <w:spacing w:before="120" w:after="283"/>
              <w:jc w:val="center"/>
              <w:rPr>
                <w:color w:val="FFFFFF"/>
                <w:sz w:val="96"/>
              </w:rPr>
            </w:pPr>
            <w:r>
              <w:rPr>
                <w:color w:val="FFFFFF"/>
                <w:spacing w:val="-12"/>
                <w:sz w:val="96"/>
              </w:rPr>
              <w:t>2</w:t>
            </w:r>
            <w:r>
              <w:rPr>
                <w:color w:val="FFFFFF"/>
                <w:sz w:val="96"/>
              </w:rPr>
              <w:t xml:space="preserve"> </w:t>
            </w:r>
          </w:p>
        </w:tc>
        <w:tc>
          <w:tcPr>
            <w:tcW w:w="109" w:type="dxa"/>
            <w:vMerge w:val="restart"/>
            <w:tcBorders/>
            <w:shd w:fill="0055B7"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247" w:type="dxa"/>
            <w:gridSpan w:val="4"/>
            <w:tcBorders/>
            <w:shd w:fill="F2F2F2" w:val="clear"/>
            <w:vAlign w:val="center"/>
          </w:tcPr>
          <w:p>
            <w:pPr>
              <w:pStyle w:val="TableContents"/>
              <w:bidi w:val="0"/>
              <w:spacing w:lineRule="atLeast" w:line="320" w:before="0" w:after="0"/>
              <w:ind w:left="120" w:right="0" w:hanging="0"/>
              <w:jc w:val="left"/>
              <w:rPr>
                <w:sz w:val="28"/>
              </w:rPr>
            </w:pPr>
            <w:r>
              <w:rPr>
                <w:spacing w:val="-4"/>
                <w:sz w:val="28"/>
              </w:rPr>
              <w:t>ADVISORY VOTE TO APPROVE OUR EXECUTIVE COMPENSATION</w:t>
            </w:r>
            <w:r>
              <w:rPr>
                <w:sz w:val="28"/>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39"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47" w:type="dxa"/>
            <w:gridSpan w:val="4"/>
            <w:tcBorders/>
            <w:shd w:fill="F2F2F2" w:val="clear"/>
            <w:vAlign w:val="center"/>
          </w:tcPr>
          <w:p>
            <w:pPr>
              <w:pStyle w:val="TableContents"/>
              <w:bidi w:val="0"/>
              <w:spacing w:lineRule="atLeast" w:line="220" w:before="0" w:after="0"/>
              <w:ind w:left="120" w:right="0" w:hanging="0"/>
              <w:jc w:val="left"/>
              <w:rPr>
                <w:spacing w:val="-1"/>
                <w:sz w:val="18"/>
              </w:rPr>
            </w:pPr>
            <w:r>
              <w:rPr>
                <w:spacing w:val="-1"/>
                <w:sz w:val="18"/>
              </w:rPr>
              <w:t xml:space="preserve">Approve Named Executive Officer (“NEO”) compensation on an advisory and non-binding basis, as such compensation is described in this Proxy Statement. </w:t>
            </w:r>
          </w:p>
          <w:p>
            <w:pPr>
              <w:pStyle w:val="TableContents"/>
              <w:bidi w:val="0"/>
              <w:spacing w:before="0" w:after="283"/>
              <w:ind w:left="0" w:right="0" w:hanging="0"/>
              <w:jc w:val="both"/>
              <w:rPr>
                <w:bdr w:val="single" w:sz="8" w:space="1" w:color="000000"/>
              </w:rPr>
            </w:pPr>
            <w:r>
              <w:rPr>
                <w:bdr w:val="single" w:sz="8" w:space="1" w:color="000000"/>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39"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47" w:type="dxa"/>
            <w:gridSpan w:val="4"/>
            <w:tcBorders/>
            <w:shd w:fill="F2F2F2" w:val="clear"/>
            <w:vAlign w:val="center"/>
          </w:tcPr>
          <w:p>
            <w:pPr>
              <w:pStyle w:val="TableContents"/>
              <w:bidi w:val="0"/>
              <w:spacing w:lineRule="atLeast" w:line="220" w:before="0" w:after="0"/>
              <w:ind w:left="120" w:right="0" w:hanging="0"/>
              <w:jc w:val="left"/>
              <w:rPr/>
            </w:pPr>
            <w:r>
              <w:rPr>
                <w:spacing w:val="-1"/>
              </w:rPr>
              <w:t> </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39"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99" w:type="dxa"/>
            <w:tcBorders/>
            <w:shd w:fill="F2F2F2" w:val="clear"/>
            <w:vAlign w:val="center"/>
          </w:tcPr>
          <w:p>
            <w:pPr>
              <w:pStyle w:val="TableContents"/>
              <w:bidi w:val="0"/>
              <w:spacing w:before="0" w:after="0"/>
              <w:ind w:left="120" w:right="0" w:hanging="0"/>
              <w:jc w:val="left"/>
              <w:rPr/>
            </w:pPr>
            <w:r>
              <w:rPr/>
              <w:drawing>
                <wp:inline distT="0" distB="0" distL="0" distR="0">
                  <wp:extent cx="238125" cy="238125"/>
                  <wp:effectExtent l="0" t="0" r="0" b="0"/>
                  <wp:docPr id="31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24" descr=""/>
                          <pic:cNvPicPr>
                            <a:picLocks noChangeAspect="1" noChangeArrowheads="1"/>
                          </pic:cNvPicPr>
                        </pic:nvPicPr>
                        <pic:blipFill>
                          <a:blip r:embed="rId141"/>
                          <a:stretch>
                            <a:fillRect/>
                          </a:stretch>
                        </pic:blipFill>
                        <pic:spPr bwMode="auto">
                          <a:xfrm>
                            <a:off x="0" y="0"/>
                            <a:ext cx="238125" cy="238125"/>
                          </a:xfrm>
                          <a:prstGeom prst="rect">
                            <a:avLst/>
                          </a:prstGeom>
                        </pic:spPr>
                      </pic:pic>
                    </a:graphicData>
                  </a:graphic>
                </wp:inline>
              </w:drawing>
            </w:r>
            <w:r>
              <w:rPr/>
              <w:t xml:space="preserve"> </w:t>
            </w:r>
          </w:p>
        </w:tc>
        <w:tc>
          <w:tcPr>
            <w:tcW w:w="166" w:type="dxa"/>
            <w:tcBorders/>
            <w:shd w:fill="F2F2F2" w:val="clear"/>
            <w:vAlign w:val="center"/>
          </w:tcPr>
          <w:p>
            <w:pPr>
              <w:pStyle w:val="TableContents"/>
              <w:bidi w:val="0"/>
              <w:spacing w:before="0" w:after="283"/>
              <w:jc w:val="left"/>
              <w:rPr/>
            </w:pPr>
            <w:r>
              <w:rPr/>
              <w:t>​</w:t>
            </w:r>
          </w:p>
        </w:tc>
        <w:tc>
          <w:tcPr>
            <w:tcW w:w="166" w:type="dxa"/>
            <w:tcBorders/>
            <w:shd w:fill="F2F2F2" w:val="clear"/>
            <w:vAlign w:val="center"/>
          </w:tcPr>
          <w:p>
            <w:pPr>
              <w:pStyle w:val="TableContents"/>
              <w:bidi w:val="0"/>
              <w:spacing w:before="0" w:after="283"/>
              <w:jc w:val="left"/>
              <w:rPr/>
            </w:pPr>
            <w:r>
              <w:rPr/>
              <w:t>​</w:t>
            </w:r>
          </w:p>
        </w:tc>
        <w:tc>
          <w:tcPr>
            <w:tcW w:w="6116" w:type="dxa"/>
            <w:tcBorders/>
            <w:shd w:fill="F2F2F2" w:val="clear"/>
            <w:vAlign w:val="center"/>
          </w:tcPr>
          <w:p>
            <w:pPr>
              <w:pStyle w:val="TableContents"/>
              <w:bidi w:val="0"/>
              <w:spacing w:lineRule="atLeast" w:line="240" w:before="0" w:after="0"/>
              <w:jc w:val="left"/>
              <w:rPr>
                <w:sz w:val="20"/>
              </w:rPr>
            </w:pPr>
            <w:r>
              <w:rPr>
                <w:spacing w:val="-3"/>
                <w:sz w:val="20"/>
              </w:rPr>
              <w:t xml:space="preserve">THE BOARD RECOMMENDS A VOTE </w:t>
            </w:r>
            <w:r>
              <w:rPr>
                <w:color w:val="0070CD"/>
                <w:spacing w:val="-3"/>
                <w:sz w:val="20"/>
              </w:rPr>
              <w:t>FOR</w:t>
            </w:r>
            <w:r>
              <w:rPr>
                <w:spacing w:val="-3"/>
                <w:sz w:val="20"/>
              </w:rPr>
              <w:t xml:space="preserve"> PROPOSAL 2.</w:t>
            </w:r>
            <w:r>
              <w:rPr>
                <w:sz w:val="20"/>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20" w:before="362"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We are asking stockholders to </w:t>
      </w:r>
      <w:r>
        <w:rPr>
          <w:rFonts w:ascii="Arial;Helvetica;sans-serif" w:hAnsi="Arial;Helvetica;sans-serif"/>
          <w:b/>
          <w:i w:val="false"/>
          <w:caps w:val="false"/>
          <w:smallCaps w:val="false"/>
          <w:color w:val="000000"/>
          <w:spacing w:val="0"/>
          <w:sz w:val="18"/>
        </w:rPr>
        <w:t>vote to approve</w:t>
      </w:r>
      <w:r>
        <w:rPr>
          <w:rFonts w:ascii="Arial;Helvetica;sans-serif" w:hAnsi="Arial;Helvetica;sans-serif"/>
          <w:b w:val="false"/>
          <w:i w:val="false"/>
          <w:caps w:val="false"/>
          <w:smallCaps w:val="false"/>
          <w:color w:val="000000"/>
          <w:spacing w:val="-1"/>
          <w:sz w:val="18"/>
        </w:rPr>
        <w:t xml:space="preserve">, on an advisory basis, the NEO compensation reported in this Proxy Statement. It is recommended that all stockholders read the information regarding our NEO compensation program, policies, and decisions discussed in the </w:t>
      </w:r>
      <w:r>
        <w:rPr>
          <w:rFonts w:ascii="Arial;Helvetica;sans-serif" w:hAnsi="Arial;Helvetica;sans-serif"/>
          <w:b w:val="false"/>
          <w:i/>
          <w:caps w:val="false"/>
          <w:smallCaps w:val="false"/>
          <w:color w:val="000000"/>
          <w:sz w:val="18"/>
        </w:rPr>
        <w:t>Compensation Discussion and Analysis</w:t>
      </w:r>
      <w:r>
        <w:rPr>
          <w:rFonts w:ascii="Arial;Helvetica;sans-serif" w:hAnsi="Arial;Helvetica;sans-serif"/>
          <w:b w:val="false"/>
          <w:i w:val="false"/>
          <w:caps w:val="false"/>
          <w:smallCaps w:val="false"/>
          <w:color w:val="000000"/>
          <w:spacing w:val="-1"/>
          <w:sz w:val="18"/>
        </w:rPr>
        <w:t xml:space="preserve"> and </w:t>
      </w:r>
      <w:r>
        <w:rPr>
          <w:rFonts w:ascii="Arial;Helvetica;sans-serif" w:hAnsi="Arial;Helvetica;sans-serif"/>
          <w:b w:val="false"/>
          <w:i/>
          <w:caps w:val="false"/>
          <w:smallCaps w:val="false"/>
          <w:color w:val="000000"/>
          <w:sz w:val="18"/>
        </w:rPr>
        <w:t>Executive Compensation Tables</w:t>
      </w:r>
      <w:r>
        <w:rPr>
          <w:rFonts w:ascii="Arial;Helvetica;sans-serif" w:hAnsi="Arial;Helvetica;sans-serif"/>
          <w:b w:val="false"/>
          <w:i w:val="false"/>
          <w:caps w:val="false"/>
          <w:smallCaps w:val="false"/>
          <w:color w:val="000000"/>
          <w:spacing w:val="-1"/>
          <w:sz w:val="18"/>
        </w:rPr>
        <w:t xml:space="preserve"> of this Proxy Statement. Votes are intended to address only our overall approach to NEO compensation and will not address specific components of such compensation.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Board and Compensation Committee believe that our compensation philosophy directly supports NEO retention, while encouraging performance-focused results that are aligned with long-term stockholder value, as further described in the </w:t>
      </w:r>
      <w:r>
        <w:rPr>
          <w:rFonts w:ascii="Arial;Helvetica;sans-serif" w:hAnsi="Arial;Helvetica;sans-serif"/>
          <w:b w:val="false"/>
          <w:i/>
          <w:caps w:val="false"/>
          <w:smallCaps w:val="false"/>
          <w:color w:val="000000"/>
          <w:sz w:val="18"/>
        </w:rPr>
        <w:t>Compensation Discussion and Analysis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Section 14A of the Exchange Act, our Board recommends that stockholders approve the following advisory resolution at our 2026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ind w:left="94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RESOLVED, that the stockholders of Medline Inc. approve, on an advisory basis, the compensation paid to Medline’s named executive officers, as disclosed in the Company’s Proxy Statement for the 2026 Annual Meeting of Stockholders, including the Compensation Discussion and Analysis, the Executive Compensation Tables, and related narrative disclosure.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Although the results of the stockholder vote on this proposal are advisory, and therefore non-binding, the Board and our Compensation Committee will consider the vote’s outcome with respect to future NEO compensation decisions. If stockholders approve the “One Year” option as the frequency of future votes on NEO compensation under Proposal 3, we expect that we will conduct our next vote to approve NEO compensation at the 2027 annual meeting of stockholders.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716"/>
        <w:gridCol w:w="109"/>
        <w:gridCol w:w="109"/>
        <w:gridCol w:w="662"/>
        <w:gridCol w:w="138"/>
        <w:gridCol w:w="138"/>
        <w:gridCol w:w="6332"/>
        <w:gridCol w:w="157"/>
      </w:tblGrid>
      <w:tr>
        <w:trPr/>
        <w:tc>
          <w:tcPr>
            <w:tcW w:w="124" w:type="dxa"/>
            <w:vMerge w:val="restart"/>
            <w:tcBorders/>
            <w:shd w:fill="0055B7" w:val="clear"/>
            <w:vAlign w:val="center"/>
          </w:tcPr>
          <w:p>
            <w:pPr>
              <w:pStyle w:val="TableContents"/>
              <w:bidi w:val="0"/>
              <w:spacing w:before="0" w:after="283"/>
              <w:jc w:val="left"/>
              <w:rPr/>
            </w:pPr>
            <w:r>
              <w:rPr/>
              <w:t>​</w:t>
            </w:r>
          </w:p>
        </w:tc>
        <w:tc>
          <w:tcPr>
            <w:tcW w:w="1716" w:type="dxa"/>
            <w:vMerge w:val="restart"/>
            <w:tcBorders/>
            <w:shd w:fill="0055B7" w:val="clear"/>
            <w:tcMar>
              <w:top w:w="28" w:type="dxa"/>
              <w:left w:w="28" w:type="dxa"/>
              <w:bottom w:w="28" w:type="dxa"/>
              <w:right w:w="28" w:type="dxa"/>
            </w:tcMar>
            <w:vAlign w:val="center"/>
          </w:tcPr>
          <w:p>
            <w:pPr>
              <w:pStyle w:val="TableContents"/>
              <w:bidi w:val="0"/>
              <w:spacing w:lineRule="atLeast" w:line="360" w:before="0" w:after="0"/>
              <w:jc w:val="center"/>
              <w:rPr>
                <w:color w:val="FFFFFF"/>
                <w:sz w:val="32"/>
              </w:rPr>
            </w:pPr>
            <w:r>
              <w:rPr>
                <w:color w:val="FFFFFF"/>
                <w:spacing w:val="-4"/>
                <w:sz w:val="32"/>
              </w:rPr>
              <w:t>PROPOSAL</w:t>
            </w:r>
            <w:r>
              <w:rPr>
                <w:color w:val="FFFFFF"/>
                <w:sz w:val="32"/>
              </w:rPr>
              <w:t xml:space="preserve"> </w:t>
            </w:r>
          </w:p>
          <w:p>
            <w:pPr>
              <w:pStyle w:val="TableContents"/>
              <w:bidi w:val="0"/>
              <w:spacing w:before="120" w:after="283"/>
              <w:jc w:val="center"/>
              <w:rPr>
                <w:color w:val="FFFFFF"/>
                <w:sz w:val="96"/>
              </w:rPr>
            </w:pPr>
            <w:r>
              <w:rPr>
                <w:color w:val="FFFFFF"/>
                <w:spacing w:val="-12"/>
                <w:sz w:val="96"/>
              </w:rPr>
              <w:t>3</w:t>
            </w:r>
            <w:r>
              <w:rPr>
                <w:color w:val="FFFFFF"/>
                <w:sz w:val="96"/>
              </w:rPr>
              <w:t xml:space="preserve"> </w:t>
            </w:r>
          </w:p>
        </w:tc>
        <w:tc>
          <w:tcPr>
            <w:tcW w:w="109" w:type="dxa"/>
            <w:vMerge w:val="restart"/>
            <w:tcBorders/>
            <w:shd w:fill="0055B7"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270" w:type="dxa"/>
            <w:gridSpan w:val="4"/>
            <w:tcBorders/>
            <w:shd w:fill="F2F2F2" w:val="clear"/>
            <w:vAlign w:val="center"/>
          </w:tcPr>
          <w:p>
            <w:pPr>
              <w:pStyle w:val="TableContents"/>
              <w:bidi w:val="0"/>
              <w:spacing w:lineRule="atLeast" w:line="320" w:before="0" w:after="0"/>
              <w:ind w:left="120" w:right="0" w:hanging="0"/>
              <w:jc w:val="left"/>
              <w:rPr>
                <w:sz w:val="28"/>
              </w:rPr>
            </w:pPr>
            <w:r>
              <w:rPr>
                <w:spacing w:val="-4"/>
                <w:sz w:val="28"/>
              </w:rPr>
              <w:t>ADVISORY VOTE ON THE FREQUENCY OF VOTES ON OUR EXECUTIVE COMPENSATION</w:t>
            </w:r>
            <w:r>
              <w:rPr>
                <w:sz w:val="28"/>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16"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70" w:type="dxa"/>
            <w:gridSpan w:val="4"/>
            <w:tcBorders/>
            <w:shd w:fill="F2F2F2" w:val="clear"/>
            <w:vAlign w:val="center"/>
          </w:tcPr>
          <w:p>
            <w:pPr>
              <w:pStyle w:val="TableContents"/>
              <w:bidi w:val="0"/>
              <w:spacing w:lineRule="atLeast" w:line="220" w:before="0" w:after="0"/>
              <w:ind w:left="120" w:right="0" w:hanging="0"/>
              <w:jc w:val="left"/>
              <w:rPr>
                <w:spacing w:val="-1"/>
                <w:sz w:val="18"/>
              </w:rPr>
            </w:pPr>
            <w:r>
              <w:rPr>
                <w:spacing w:val="-1"/>
                <w:sz w:val="18"/>
              </w:rPr>
              <w:t xml:space="preserve">Approve, on a non-binding “say-on-frequency” basis, the frequency of future stockholder advisory votes on the compensation of our NEOs, as described in the Compensation Discussion and Analysis and Executive Compensation Tables in this Proxy Statement (every year, every two years, or every three years). </w:t>
            </w:r>
          </w:p>
          <w:p>
            <w:pPr>
              <w:pStyle w:val="TableContents"/>
              <w:bidi w:val="0"/>
              <w:spacing w:before="0" w:after="283"/>
              <w:ind w:left="0" w:right="0" w:hanging="0"/>
              <w:jc w:val="both"/>
              <w:rPr>
                <w:bdr w:val="single" w:sz="8" w:space="1" w:color="000000"/>
              </w:rPr>
            </w:pPr>
            <w:r>
              <w:rPr>
                <w:bdr w:val="single" w:sz="8" w:space="1" w:color="000000"/>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16"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70" w:type="dxa"/>
            <w:gridSpan w:val="4"/>
            <w:tcBorders/>
            <w:shd w:fill="F2F2F2" w:val="clear"/>
            <w:vAlign w:val="center"/>
          </w:tcPr>
          <w:p>
            <w:pPr>
              <w:pStyle w:val="TableContents"/>
              <w:bidi w:val="0"/>
              <w:spacing w:lineRule="atLeast" w:line="220" w:before="0" w:after="0"/>
              <w:ind w:left="120" w:right="0" w:hanging="0"/>
              <w:jc w:val="left"/>
              <w:rPr/>
            </w:pPr>
            <w:r>
              <w:rPr>
                <w:spacing w:val="-1"/>
              </w:rPr>
              <w:t> </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16"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662" w:type="dxa"/>
            <w:tcBorders/>
            <w:shd w:fill="F2F2F2" w:val="clear"/>
            <w:vAlign w:val="center"/>
          </w:tcPr>
          <w:p>
            <w:pPr>
              <w:pStyle w:val="TableContents"/>
              <w:bidi w:val="0"/>
              <w:spacing w:before="0" w:after="0"/>
              <w:ind w:left="120" w:right="0" w:hanging="0"/>
              <w:jc w:val="left"/>
              <w:rPr/>
            </w:pPr>
            <w:r>
              <w:rPr/>
              <w:drawing>
                <wp:inline distT="0" distB="0" distL="0" distR="0">
                  <wp:extent cx="238125" cy="238125"/>
                  <wp:effectExtent l="0" t="0" r="0" b="0"/>
                  <wp:docPr id="31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25" descr=""/>
                          <pic:cNvPicPr>
                            <a:picLocks noChangeAspect="1" noChangeArrowheads="1"/>
                          </pic:cNvPicPr>
                        </pic:nvPicPr>
                        <pic:blipFill>
                          <a:blip r:embed="rId142"/>
                          <a:stretch>
                            <a:fillRect/>
                          </a:stretch>
                        </pic:blipFill>
                        <pic:spPr bwMode="auto">
                          <a:xfrm>
                            <a:off x="0" y="0"/>
                            <a:ext cx="238125" cy="238125"/>
                          </a:xfrm>
                          <a:prstGeom prst="rect">
                            <a:avLst/>
                          </a:prstGeom>
                        </pic:spPr>
                      </pic:pic>
                    </a:graphicData>
                  </a:graphic>
                </wp:inline>
              </w:drawing>
            </w:r>
            <w:r>
              <w:rPr/>
              <w:t xml:space="preserve"> </w:t>
            </w:r>
          </w:p>
        </w:tc>
        <w:tc>
          <w:tcPr>
            <w:tcW w:w="138" w:type="dxa"/>
            <w:tcBorders/>
            <w:shd w:fill="F2F2F2" w:val="clear"/>
            <w:vAlign w:val="center"/>
          </w:tcPr>
          <w:p>
            <w:pPr>
              <w:pStyle w:val="TableContents"/>
              <w:bidi w:val="0"/>
              <w:spacing w:before="0" w:after="283"/>
              <w:jc w:val="left"/>
              <w:rPr/>
            </w:pPr>
            <w:r>
              <w:rPr/>
              <w:t>​</w:t>
            </w:r>
          </w:p>
        </w:tc>
        <w:tc>
          <w:tcPr>
            <w:tcW w:w="138" w:type="dxa"/>
            <w:tcBorders/>
            <w:shd w:fill="F2F2F2" w:val="clear"/>
            <w:vAlign w:val="center"/>
          </w:tcPr>
          <w:p>
            <w:pPr>
              <w:pStyle w:val="TableContents"/>
              <w:bidi w:val="0"/>
              <w:spacing w:before="0" w:after="283"/>
              <w:jc w:val="left"/>
              <w:rPr/>
            </w:pPr>
            <w:r>
              <w:rPr/>
              <w:t>​</w:t>
            </w:r>
          </w:p>
        </w:tc>
        <w:tc>
          <w:tcPr>
            <w:tcW w:w="6332" w:type="dxa"/>
            <w:tcBorders/>
            <w:shd w:fill="F2F2F2" w:val="clear"/>
            <w:vAlign w:val="center"/>
          </w:tcPr>
          <w:p>
            <w:pPr>
              <w:pStyle w:val="TableContents"/>
              <w:bidi w:val="0"/>
              <w:spacing w:lineRule="atLeast" w:line="240" w:before="0" w:after="0"/>
              <w:jc w:val="both"/>
              <w:rPr>
                <w:sz w:val="20"/>
              </w:rPr>
            </w:pPr>
            <w:r>
              <w:rPr>
                <w:spacing w:val="-3"/>
                <w:sz w:val="20"/>
              </w:rPr>
              <w:t xml:space="preserve">THE BOARD RECOMMENDS A VOTE </w:t>
            </w:r>
            <w:r>
              <w:rPr>
                <w:color w:val="0070CD"/>
                <w:spacing w:val="-3"/>
                <w:sz w:val="20"/>
              </w:rPr>
              <w:t>FOR</w:t>
            </w:r>
            <w:r>
              <w:rPr>
                <w:spacing w:val="-3"/>
                <w:sz w:val="20"/>
              </w:rPr>
              <w:t xml:space="preserve"> A </w:t>
            </w:r>
            <w:r>
              <w:rPr>
                <w:color w:val="0070CD"/>
                <w:spacing w:val="-3"/>
                <w:sz w:val="20"/>
              </w:rPr>
              <w:t>ONE YEAR</w:t>
            </w:r>
            <w:r>
              <w:rPr>
                <w:spacing w:val="-3"/>
                <w:sz w:val="20"/>
              </w:rPr>
              <w:t xml:space="preserve"> INTERVAL FOR THE ADVISORY VOTE ON PROPOSAL 3.</w:t>
            </w:r>
            <w:r>
              <w:rPr>
                <w:sz w:val="20"/>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20" w:before="202"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accordance with Section 14A of the Exchange Act and related SEC rules, we are required to provide our stockholders with the opportunity to vote, on a non-binding, advisory basis, on how frequently they want to vote on the compensation of our named executive officers, as disclosed pursuant to the SEC’s compensation disclosure rules, such as Proposal 2 in this Proxy Statement. By voting on this Proposal 3, stockholders may indicate whether they would prefer an advisory vote on named executive officer compensation once every one, two, or three years. This non-binding “frequency” vote is required at least once every six years beginning with this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After careful consideration of this proposal and the benefits and consequences of each alternative, our Board determined that an annual advisory vote on named executive officer compensation is the most appropriate alternative for Medline and recommends that you vote for a one-year interval for the advisory vote on named executive officer compensation. In making this determination, the Board considered that compensation decisions and compensation policies and practices are reviewed annually and concluded that an annual advisory vote is most appropriate to provide more frequent stockholder input on our executive compensation philosophy, policies, and practices.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45</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Executive Compensation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9580"/>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that stockholders should vote on named executive officer compensation every year so that they may annually provide us with their direct input. Setting a one-year period for holding this stockholder vote will enhance stockholder communication by providing a clear, simple means for Medline to obtain information on investor sentiment about our executive compensation program. In addition, an annual advisory vote on executive compensation is consistent with our policy of seeking input from, and engaging in discussions with, our stockholders on corporate governance matters and our executive compensation program. We understand that our stockholders may have different views as to the best approach for Medline, and we look forward to hearing from our stockholders on this proposal.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vote is advisory and not binding. However, our Board has determined that if the frequency of “One Year” receives the highest number of votes pursuant to this Proposal 3, then it will adopt an annual frequency of future votes on NEO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In voting on this proposal, you should be aware that you are not voting “for” or “against” the Board’s recommendation to vote for a frequency of one year for holding future advisory votes on named executive officer compensation. Rather, you are voting on your preferred voting frequency by choosing the option of one year, two years, or three years, or you may abstain from voting on this proposal.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46</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OC3"/>
      <w:bookmarkEnd w:id="24"/>
      <w:r>
        <w:rPr>
          <w:rFonts w:ascii="calibri;arial;sans-serif" w:hAnsi="calibri;arial;sans-serif"/>
          <w:b w:val="false"/>
          <w:i w:val="false"/>
          <w:caps w:val="false"/>
          <w:smallCaps w:val="false"/>
          <w:color w:val="000000"/>
          <w:sz w:val="16"/>
        </w:rPr>
        <w:t>​</w:t>
      </w:r>
      <w:bookmarkStart w:id="25" w:name="tCDAA"/>
      <w:bookmarkEnd w:id="25"/>
      <w:r>
        <w:rPr>
          <w:rFonts w:ascii="calibri;arial;sans-serif" w:hAnsi="calibri;arial;sans-serif"/>
          <w:b w:val="false"/>
          <w:i w:val="false"/>
          <w:caps w:val="false"/>
          <w:smallCaps w:val="false"/>
          <w:color w:val="000000"/>
          <w:sz w:val="16"/>
        </w:rPr>
        <w:t>​</w:t>
      </w:r>
      <w:bookmarkStart w:id="26" w:name="tONL"/>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729"/>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Compensation Discussion and Analysis</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320" w:before="48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COMPENSATION DISCUSSION AND ANALYSIS CONTENTS</w:t>
      </w:r>
      <w:r>
        <w:rPr>
          <w:rFonts w:ascii="Arial;Helvetica;sans-serif" w:hAnsi="Arial;Helvetica;sans-serif"/>
          <w:b/>
          <w:i w:val="false"/>
          <w:caps w:val="false"/>
          <w:smallCaps w:val="false"/>
          <w:color w:val="000000"/>
          <w:spacing w:val="6"/>
          <w:sz w:val="28"/>
        </w:rPr>
        <w:t xml:space="preserve"> </w:t>
      </w:r>
    </w:p>
    <w:tbl>
      <w:tblPr>
        <w:tblW w:w="9485" w:type="dxa"/>
        <w:jc w:val="left"/>
        <w:tblInd w:w="720" w:type="dxa"/>
        <w:tblLayout w:type="fixed"/>
        <w:tblCellMar>
          <w:top w:w="0" w:type="dxa"/>
          <w:left w:w="0" w:type="dxa"/>
          <w:bottom w:w="28" w:type="dxa"/>
          <w:right w:w="0" w:type="dxa"/>
        </w:tblCellMar>
      </w:tblPr>
      <w:tblGrid>
        <w:gridCol w:w="124"/>
        <w:gridCol w:w="3681"/>
        <w:gridCol w:w="109"/>
        <w:gridCol w:w="109"/>
        <w:gridCol w:w="4369"/>
        <w:gridCol w:w="109"/>
        <w:gridCol w:w="109"/>
        <w:gridCol w:w="109"/>
        <w:gridCol w:w="109"/>
        <w:gridCol w:w="393"/>
        <w:gridCol w:w="109"/>
        <w:gridCol w:w="155"/>
      </w:tblGrid>
      <w:tr>
        <w:trPr/>
        <w:tc>
          <w:tcPr>
            <w:tcW w:w="124" w:type="dxa"/>
            <w:tcBorders>
              <w:bottom w:val="single" w:sz="4" w:space="0" w:color="0055B7"/>
            </w:tcBorders>
            <w:vAlign w:val="center"/>
          </w:tcPr>
          <w:p>
            <w:pPr>
              <w:pStyle w:val="TableContents"/>
              <w:bidi w:val="0"/>
              <w:spacing w:before="0" w:after="283"/>
              <w:jc w:val="left"/>
              <w:rPr/>
            </w:pPr>
            <w:r>
              <w:rPr/>
              <w:t>​</w:t>
            </w:r>
          </w:p>
        </w:tc>
        <w:tc>
          <w:tcPr>
            <w:tcW w:w="3681" w:type="dxa"/>
            <w:tcBorders>
              <w:bottom w:val="single" w:sz="4" w:space="0" w:color="0055B7"/>
            </w:tcBorders>
            <w:tcMar>
              <w:bottom w:w="63" w:type="dxa"/>
            </w:tcMar>
            <w:vAlign w:val="center"/>
          </w:tcPr>
          <w:p>
            <w:pPr>
              <w:pStyle w:val="TableContents"/>
              <w:bidi w:val="0"/>
              <w:spacing w:before="0" w:after="283"/>
              <w:jc w:val="left"/>
              <w:rPr/>
            </w:pPr>
            <w:hyperlink w:anchor="tONL">
              <w:r>
                <w:rPr>
                  <w:rStyle w:val="InternetLink"/>
                  <w:color w:val="003CA6"/>
                  <w:spacing w:val="0"/>
                </w:rPr>
                <w:t>Our NEOs</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436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63" w:type="dxa"/>
            </w:tcMar>
            <w:vAlign w:val="center"/>
          </w:tcPr>
          <w:p>
            <w:pPr>
              <w:pStyle w:val="TableContents"/>
              <w:bidi w:val="0"/>
              <w:spacing w:before="0" w:after="0"/>
              <w:jc w:val="right"/>
              <w:rPr>
                <w:color w:val="003CA6"/>
              </w:rPr>
            </w:pPr>
            <w:r>
              <w:rPr>
                <w:color w:val="003CA6"/>
              </w:rPr>
              <w:t>​</w:t>
            </w:r>
          </w:p>
        </w:tc>
        <w:tc>
          <w:tcPr>
            <w:tcW w:w="393" w:type="dxa"/>
            <w:tcBorders>
              <w:bottom w:val="single" w:sz="4" w:space="0" w:color="0055B7"/>
            </w:tcBorders>
            <w:tcMar>
              <w:bottom w:w="63" w:type="dxa"/>
            </w:tcMar>
            <w:vAlign w:val="center"/>
          </w:tcPr>
          <w:p>
            <w:pPr>
              <w:pStyle w:val="TableContents"/>
              <w:bidi w:val="0"/>
              <w:spacing w:before="0" w:after="283"/>
              <w:jc w:val="right"/>
              <w:rPr/>
            </w:pPr>
            <w:hyperlink w:anchor="tONL">
              <w:r>
                <w:rPr>
                  <w:rStyle w:val="InternetLink"/>
                  <w:color w:val="003CA6"/>
                  <w:spacing w:val="-2"/>
                </w:rPr>
                <w:t>47</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5"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3681" w:type="dxa"/>
            <w:tcBorders>
              <w:bottom w:val="single" w:sz="4" w:space="0" w:color="0055B7"/>
            </w:tcBorders>
            <w:tcMar>
              <w:bottom w:w="63" w:type="dxa"/>
            </w:tcMar>
            <w:vAlign w:val="center"/>
          </w:tcPr>
          <w:p>
            <w:pPr>
              <w:pStyle w:val="TableContents"/>
              <w:bidi w:val="0"/>
              <w:spacing w:before="0" w:after="0"/>
              <w:jc w:val="left"/>
              <w:rPr/>
            </w:pPr>
            <w:hyperlink w:anchor="tGBPL">
              <w:r>
                <w:rPr>
                  <w:rStyle w:val="InternetLink"/>
                  <w:color w:val="003CA6"/>
                  <w:spacing w:val="0"/>
                </w:rPr>
                <w:t>2025 Compensation Framework</w:t>
              </w:r>
            </w:hyperlink>
            <w:r>
              <w:rPr>
                <w:color w:val="003CA6"/>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4369" w:type="dxa"/>
            <w:tcBorders>
              <w:bottom w:val="single" w:sz="4" w:space="0" w:color="0055B7"/>
            </w:tcBorders>
            <w:tcMar>
              <w:bottom w:w="63" w:type="dxa"/>
            </w:tcMar>
            <w:vAlign w:val="center"/>
          </w:tcPr>
          <w:p>
            <w:pPr>
              <w:pStyle w:val="TableContents"/>
              <w:bidi w:val="0"/>
              <w:spacing w:before="0" w:after="283"/>
              <w:jc w:val="left"/>
              <w:rPr/>
            </w:pPr>
            <w:hyperlink w:anchor="tGBPL">
              <w:r>
                <w:rPr>
                  <w:rStyle w:val="InternetLink"/>
                  <w:color w:val="003CA6"/>
                  <w:spacing w:val="0"/>
                </w:rPr>
                <w:t>Governance Best Practices</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63" w:type="dxa"/>
            </w:tcMar>
            <w:vAlign w:val="center"/>
          </w:tcPr>
          <w:p>
            <w:pPr>
              <w:pStyle w:val="TableContents"/>
              <w:bidi w:val="0"/>
              <w:spacing w:before="0" w:after="0"/>
              <w:jc w:val="right"/>
              <w:rPr>
                <w:color w:val="003CA6"/>
              </w:rPr>
            </w:pPr>
            <w:r>
              <w:rPr>
                <w:color w:val="003CA6"/>
              </w:rPr>
              <w:t>​</w:t>
            </w:r>
          </w:p>
        </w:tc>
        <w:tc>
          <w:tcPr>
            <w:tcW w:w="393" w:type="dxa"/>
            <w:tcBorders>
              <w:bottom w:val="single" w:sz="4" w:space="0" w:color="0055B7"/>
            </w:tcBorders>
            <w:tcMar>
              <w:bottom w:w="63" w:type="dxa"/>
            </w:tcMar>
            <w:vAlign w:val="center"/>
          </w:tcPr>
          <w:p>
            <w:pPr>
              <w:pStyle w:val="TableContents"/>
              <w:bidi w:val="0"/>
              <w:spacing w:before="0" w:after="283"/>
              <w:jc w:val="right"/>
              <w:rPr/>
            </w:pPr>
            <w:hyperlink w:anchor="tGBPL">
              <w:r>
                <w:rPr>
                  <w:rStyle w:val="InternetLink"/>
                  <w:color w:val="003CA6"/>
                  <w:spacing w:val="-2"/>
                </w:rPr>
                <w:t>48</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5"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ECOA">
              <w:r>
                <w:rPr>
                  <w:rStyle w:val="InternetLink"/>
                  <w:spacing w:val="-1"/>
                </w:rPr>
                <w:t xml:space="preserve">Executive Compensation Objectives and Philosophy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ECOA">
              <w:r>
                <w:rPr>
                  <w:rStyle w:val="InternetLink"/>
                  <w:spacing w:val="-1"/>
                </w:rPr>
                <w:t>48</w:t>
              </w:r>
            </w:hyperlink>
            <w:hyperlink w:anchor="tECOA">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PFD2">
              <w:r>
                <w:rPr>
                  <w:rStyle w:val="InternetLink"/>
                  <w:spacing w:val="-1"/>
                </w:rPr>
                <w:t xml:space="preserve">Process for Determining 2025 Compensation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PFD2">
              <w:r>
                <w:rPr>
                  <w:rStyle w:val="InternetLink"/>
                  <w:spacing w:val="-1"/>
                </w:rPr>
                <w:t>48</w:t>
              </w:r>
            </w:hyperlink>
            <w:hyperlink w:anchor="tPFD2">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3681" w:type="dxa"/>
            <w:tcBorders>
              <w:bottom w:val="single" w:sz="4" w:space="0" w:color="0055B7"/>
            </w:tcBorders>
            <w:tcMar>
              <w:bottom w:w="63" w:type="dxa"/>
            </w:tcMar>
            <w:vAlign w:val="center"/>
          </w:tcPr>
          <w:p>
            <w:pPr>
              <w:pStyle w:val="TableContents"/>
              <w:bidi w:val="0"/>
              <w:spacing w:before="0" w:after="0"/>
              <w:jc w:val="left"/>
              <w:rPr/>
            </w:pPr>
            <w:hyperlink w:anchor="tBSL">
              <w:r>
                <w:rPr>
                  <w:rStyle w:val="InternetLink"/>
                  <w:color w:val="003CA6"/>
                  <w:spacing w:val="0"/>
                </w:rPr>
                <w:t>2025 Compensation Elements</w:t>
              </w:r>
            </w:hyperlink>
            <w:r>
              <w:rPr>
                <w:color w:val="003CA6"/>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4369" w:type="dxa"/>
            <w:tcBorders>
              <w:bottom w:val="single" w:sz="4" w:space="0" w:color="0055B7"/>
            </w:tcBorders>
            <w:tcMar>
              <w:bottom w:w="63" w:type="dxa"/>
            </w:tcMar>
            <w:vAlign w:val="center"/>
          </w:tcPr>
          <w:p>
            <w:pPr>
              <w:pStyle w:val="TableContents"/>
              <w:bidi w:val="0"/>
              <w:spacing w:before="0" w:after="283"/>
              <w:jc w:val="left"/>
              <w:rPr/>
            </w:pPr>
            <w:hyperlink w:anchor="tBSL">
              <w:r>
                <w:rPr>
                  <w:rStyle w:val="InternetLink"/>
                  <w:color w:val="003CA6"/>
                  <w:spacing w:val="0"/>
                </w:rPr>
                <w:t>Base Salary</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63" w:type="dxa"/>
            </w:tcMar>
            <w:vAlign w:val="center"/>
          </w:tcPr>
          <w:p>
            <w:pPr>
              <w:pStyle w:val="TableContents"/>
              <w:bidi w:val="0"/>
              <w:spacing w:before="0" w:after="0"/>
              <w:jc w:val="right"/>
              <w:rPr>
                <w:color w:val="003CA6"/>
              </w:rPr>
            </w:pPr>
            <w:r>
              <w:rPr>
                <w:color w:val="003CA6"/>
              </w:rPr>
              <w:t>​</w:t>
            </w:r>
          </w:p>
        </w:tc>
        <w:tc>
          <w:tcPr>
            <w:tcW w:w="393" w:type="dxa"/>
            <w:tcBorders>
              <w:bottom w:val="single" w:sz="4" w:space="0" w:color="0055B7"/>
            </w:tcBorders>
            <w:tcMar>
              <w:bottom w:w="63" w:type="dxa"/>
            </w:tcMar>
            <w:vAlign w:val="center"/>
          </w:tcPr>
          <w:p>
            <w:pPr>
              <w:pStyle w:val="TableContents"/>
              <w:bidi w:val="0"/>
              <w:spacing w:before="0" w:after="283"/>
              <w:jc w:val="right"/>
              <w:rPr/>
            </w:pPr>
            <w:hyperlink w:anchor="tBSL">
              <w:r>
                <w:rPr>
                  <w:rStyle w:val="InternetLink"/>
                  <w:color w:val="003CA6"/>
                  <w:spacing w:val="-2"/>
                </w:rPr>
                <w:t>50</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5"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AICL">
              <w:r>
                <w:rPr>
                  <w:rStyle w:val="InternetLink"/>
                  <w:spacing w:val="-1"/>
                </w:rPr>
                <w:t xml:space="preserve">Annual Incentive Compensation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AICL">
              <w:r>
                <w:rPr>
                  <w:rStyle w:val="InternetLink"/>
                  <w:spacing w:val="-1"/>
                </w:rPr>
                <w:t>51</w:t>
              </w:r>
            </w:hyperlink>
            <w:hyperlink w:anchor="tAIC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LEIC">
              <w:r>
                <w:rPr>
                  <w:rStyle w:val="InternetLink"/>
                  <w:spacing w:val="-1"/>
                </w:rPr>
                <w:t xml:space="preserve">Long-Term Equity Incentive Compensation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LEIC">
              <w:r>
                <w:rPr>
                  <w:rStyle w:val="InternetLink"/>
                  <w:spacing w:val="-1"/>
                </w:rPr>
                <w:t>54</w:t>
              </w:r>
            </w:hyperlink>
            <w:hyperlink w:anchor="tLEIC">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SRAD">
              <w:r>
                <w:rPr>
                  <w:rStyle w:val="InternetLink"/>
                  <w:spacing w:val="-1"/>
                </w:rPr>
                <w:t xml:space="preserve">Sign-on, Retention and Discretionary Bonuses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SRAD">
              <w:r>
                <w:rPr>
                  <w:rStyle w:val="InternetLink"/>
                  <w:spacing w:val="-1"/>
                </w:rPr>
                <w:t>55</w:t>
              </w:r>
            </w:hyperlink>
            <w:hyperlink w:anchor="tSRAD">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OPL1">
              <w:r>
                <w:rPr>
                  <w:rStyle w:val="InternetLink"/>
                  <w:spacing w:val="-1"/>
                </w:rPr>
                <w:t xml:space="preserve">Other Perquisites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OPL1">
              <w:r>
                <w:rPr>
                  <w:rStyle w:val="InternetLink"/>
                  <w:spacing w:val="-1"/>
                </w:rPr>
                <w:t>55</w:t>
              </w:r>
            </w:hyperlink>
            <w:hyperlink w:anchor="tOPL1">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3681" w:type="dxa"/>
            <w:tcBorders>
              <w:bottom w:val="single" w:sz="4" w:space="0" w:color="0055B7"/>
            </w:tcBorders>
            <w:tcMar>
              <w:bottom w:w="63" w:type="dxa"/>
            </w:tcMar>
            <w:vAlign w:val="center"/>
          </w:tcPr>
          <w:p>
            <w:pPr>
              <w:pStyle w:val="TableContents"/>
              <w:bidi w:val="0"/>
              <w:spacing w:before="0" w:after="0"/>
              <w:jc w:val="left"/>
              <w:rPr/>
            </w:pPr>
            <w:hyperlink w:anchor="tOSOG">
              <w:r>
                <w:rPr>
                  <w:rStyle w:val="InternetLink"/>
                  <w:color w:val="003CA6"/>
                  <w:spacing w:val="0"/>
                </w:rPr>
                <w:t>Other Compensation Policies and Practices</w:t>
              </w:r>
            </w:hyperlink>
            <w:r>
              <w:rPr>
                <w:color w:val="003CA6"/>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4369" w:type="dxa"/>
            <w:tcBorders>
              <w:bottom w:val="single" w:sz="4" w:space="0" w:color="0055B7"/>
            </w:tcBorders>
            <w:tcMar>
              <w:bottom w:w="63" w:type="dxa"/>
            </w:tcMar>
            <w:vAlign w:val="center"/>
          </w:tcPr>
          <w:p>
            <w:pPr>
              <w:pStyle w:val="TableContents"/>
              <w:bidi w:val="0"/>
              <w:spacing w:before="0" w:after="283"/>
              <w:jc w:val="left"/>
              <w:rPr/>
            </w:pPr>
            <w:hyperlink w:anchor="tOSOG">
              <w:r>
                <w:rPr>
                  <w:rStyle w:val="InternetLink"/>
                  <w:color w:val="003CA6"/>
                  <w:spacing w:val="0"/>
                </w:rPr>
                <w:t>Officer Stock Ownership Guidelines</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63" w:type="dxa"/>
            </w:tcMar>
            <w:vAlign w:val="center"/>
          </w:tcPr>
          <w:p>
            <w:pPr>
              <w:pStyle w:val="TableContents"/>
              <w:bidi w:val="0"/>
              <w:spacing w:before="0" w:after="0"/>
              <w:jc w:val="right"/>
              <w:rPr>
                <w:color w:val="003CA6"/>
              </w:rPr>
            </w:pPr>
            <w:r>
              <w:rPr>
                <w:color w:val="003CA6"/>
              </w:rPr>
              <w:t>​</w:t>
            </w:r>
          </w:p>
        </w:tc>
        <w:tc>
          <w:tcPr>
            <w:tcW w:w="393" w:type="dxa"/>
            <w:tcBorders>
              <w:bottom w:val="single" w:sz="4" w:space="0" w:color="0055B7"/>
            </w:tcBorders>
            <w:tcMar>
              <w:bottom w:w="63" w:type="dxa"/>
            </w:tcMar>
            <w:vAlign w:val="center"/>
          </w:tcPr>
          <w:p>
            <w:pPr>
              <w:pStyle w:val="TableContents"/>
              <w:bidi w:val="0"/>
              <w:spacing w:before="0" w:after="283"/>
              <w:jc w:val="right"/>
              <w:rPr/>
            </w:pPr>
            <w:hyperlink w:anchor="tOSOG">
              <w:r>
                <w:rPr>
                  <w:rStyle w:val="InternetLink"/>
                  <w:color w:val="003CA6"/>
                  <w:spacing w:val="-2"/>
                </w:rPr>
                <w:t>55</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5" w:type="dxa"/>
            <w:tcBorders>
              <w:bottom w:val="single" w:sz="4" w:space="0" w:color="0055B7"/>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SAL">
              <w:r>
                <w:rPr>
                  <w:rStyle w:val="InternetLink"/>
                  <w:spacing w:val="-1"/>
                </w:rPr>
                <w:t xml:space="preserve">Severance Arrangements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SAL">
              <w:r>
                <w:rPr>
                  <w:rStyle w:val="InternetLink"/>
                  <w:spacing w:val="-1"/>
                </w:rPr>
                <w:t>56</w:t>
              </w:r>
            </w:hyperlink>
            <w:hyperlink w:anchor="tSA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CPL">
              <w:r>
                <w:rPr>
                  <w:rStyle w:val="InternetLink"/>
                  <w:spacing w:val="-1"/>
                </w:rPr>
                <w:t xml:space="preserve">Clawback Policy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CPL">
              <w:r>
                <w:rPr>
                  <w:rStyle w:val="InternetLink"/>
                  <w:spacing w:val="-1"/>
                </w:rPr>
                <w:t>56</w:t>
              </w:r>
            </w:hyperlink>
            <w:hyperlink w:anchor="tCP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EGTP">
              <w:r>
                <w:rPr>
                  <w:rStyle w:val="InternetLink"/>
                  <w:spacing w:val="-1"/>
                </w:rPr>
                <w:t xml:space="preserve">Equity Grant Timing Practices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EGTP">
              <w:r>
                <w:rPr>
                  <w:rStyle w:val="InternetLink"/>
                  <w:spacing w:val="-1"/>
                </w:rPr>
                <w:t>56</w:t>
              </w:r>
            </w:hyperlink>
            <w:hyperlink w:anchor="tEGTP">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IOTA">
              <w:r>
                <w:rPr>
                  <w:rStyle w:val="InternetLink"/>
                  <w:spacing w:val="-1"/>
                </w:rPr>
                <w:t xml:space="preserve">Impact of Tax and Accounting Policies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IOTA">
              <w:r>
                <w:rPr>
                  <w:rStyle w:val="InternetLink"/>
                  <w:spacing w:val="-1"/>
                </w:rPr>
                <w:t>56</w:t>
              </w:r>
            </w:hyperlink>
            <w:hyperlink w:anchor="tIOTA">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3681" w:type="dxa"/>
            <w:tcBorders>
              <w:bottom w:val="single" w:sz="2" w:space="0" w:color="000000"/>
            </w:tcBorders>
            <w:tcMar>
              <w:bottom w:w="6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369" w:type="dxa"/>
            <w:tcBorders>
              <w:bottom w:val="single" w:sz="2" w:space="0" w:color="000000"/>
            </w:tcBorders>
            <w:vAlign w:val="center"/>
          </w:tcPr>
          <w:p>
            <w:pPr>
              <w:pStyle w:val="TableContents"/>
              <w:bidi w:val="0"/>
              <w:spacing w:before="0" w:after="283"/>
              <w:jc w:val="left"/>
              <w:rPr/>
            </w:pPr>
            <w:hyperlink w:anchor="tAWNL">
              <w:r>
                <w:rPr>
                  <w:rStyle w:val="InternetLink"/>
                  <w:spacing w:val="-1"/>
                </w:rPr>
                <w:t xml:space="preserve">Agreements with NEOs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3" w:type="dxa"/>
            </w:tcMar>
            <w:vAlign w:val="center"/>
          </w:tcPr>
          <w:p>
            <w:pPr>
              <w:pStyle w:val="TableContents"/>
              <w:bidi w:val="0"/>
              <w:spacing w:before="0" w:after="283"/>
              <w:jc w:val="right"/>
              <w:rPr/>
            </w:pPr>
            <w:r>
              <w:rPr/>
              <w:t>​</w:t>
            </w:r>
          </w:p>
        </w:tc>
        <w:tc>
          <w:tcPr>
            <w:tcW w:w="393" w:type="dxa"/>
            <w:tcBorders>
              <w:bottom w:val="single" w:sz="2" w:space="0" w:color="000000"/>
            </w:tcBorders>
            <w:tcMar>
              <w:bottom w:w="63" w:type="dxa"/>
            </w:tcMar>
            <w:vAlign w:val="center"/>
          </w:tcPr>
          <w:p>
            <w:pPr>
              <w:pStyle w:val="TableContents"/>
              <w:bidi w:val="0"/>
              <w:spacing w:before="0" w:after="283"/>
              <w:jc w:val="right"/>
              <w:rPr/>
            </w:pPr>
            <w:hyperlink w:anchor="tAWNL">
              <w:r>
                <w:rPr>
                  <w:rStyle w:val="InternetLink"/>
                  <w:spacing w:val="-1"/>
                </w:rPr>
                <w:t>56</w:t>
              </w:r>
            </w:hyperlink>
            <w:hyperlink w:anchor="tAWNL">
              <w:r>
                <w:rPr>
                  <w:rStyle w:val="InternetLink"/>
                </w:rPr>
                <w:t xml:space="preserve">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4" w:space="0" w:color="0055B7"/>
            </w:tcBorders>
            <w:vAlign w:val="center"/>
          </w:tcPr>
          <w:p>
            <w:pPr>
              <w:pStyle w:val="TableContents"/>
              <w:bidi w:val="0"/>
              <w:spacing w:before="0" w:after="283"/>
              <w:jc w:val="left"/>
              <w:rPr/>
            </w:pPr>
            <w:r>
              <w:rPr/>
              <w:t>​</w:t>
            </w:r>
          </w:p>
        </w:tc>
        <w:tc>
          <w:tcPr>
            <w:tcW w:w="3681" w:type="dxa"/>
            <w:tcBorders>
              <w:bottom w:val="single" w:sz="4" w:space="0" w:color="0055B7"/>
            </w:tcBorders>
            <w:tcMar>
              <w:bottom w:w="63" w:type="dxa"/>
            </w:tcMar>
            <w:vAlign w:val="center"/>
          </w:tcPr>
          <w:p>
            <w:pPr>
              <w:pStyle w:val="TableContents"/>
              <w:bidi w:val="0"/>
              <w:spacing w:before="0" w:after="283"/>
              <w:jc w:val="left"/>
              <w:rPr/>
            </w:pPr>
            <w:hyperlink w:anchor="tCCRL">
              <w:r>
                <w:rPr>
                  <w:rStyle w:val="InternetLink"/>
                  <w:color w:val="003CA6"/>
                  <w:spacing w:val="0"/>
                </w:rPr>
                <w:t>Compensation Committee Report</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4369" w:type="dxa"/>
            <w:tcBorders>
              <w:bottom w:val="single" w:sz="4" w:space="0" w:color="0055B7"/>
            </w:tcBorders>
            <w:tcMar>
              <w:bottom w:w="63" w:type="dxa"/>
            </w:tcMar>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vAlign w:val="center"/>
          </w:tcPr>
          <w:p>
            <w:pPr>
              <w:pStyle w:val="TableContents"/>
              <w:bidi w:val="0"/>
              <w:spacing w:before="0" w:after="283"/>
              <w:jc w:val="left"/>
              <w:rPr/>
            </w:pPr>
            <w:r>
              <w:rPr/>
              <w:t>​</w:t>
            </w:r>
          </w:p>
        </w:tc>
        <w:tc>
          <w:tcPr>
            <w:tcW w:w="109" w:type="dxa"/>
            <w:tcBorders>
              <w:bottom w:val="single" w:sz="4" w:space="0" w:color="0055B7"/>
            </w:tcBorders>
            <w:tcMar>
              <w:bottom w:w="63" w:type="dxa"/>
            </w:tcMar>
            <w:vAlign w:val="center"/>
          </w:tcPr>
          <w:p>
            <w:pPr>
              <w:pStyle w:val="TableContents"/>
              <w:bidi w:val="0"/>
              <w:spacing w:before="0" w:after="283"/>
              <w:jc w:val="right"/>
              <w:rPr/>
            </w:pPr>
            <w:r>
              <w:rPr/>
              <w:t>​</w:t>
            </w:r>
          </w:p>
        </w:tc>
        <w:tc>
          <w:tcPr>
            <w:tcW w:w="393" w:type="dxa"/>
            <w:tcBorders>
              <w:bottom w:val="single" w:sz="4" w:space="0" w:color="0055B7"/>
            </w:tcBorders>
            <w:tcMar>
              <w:bottom w:w="63" w:type="dxa"/>
            </w:tcMar>
            <w:vAlign w:val="center"/>
          </w:tcPr>
          <w:p>
            <w:pPr>
              <w:pStyle w:val="TableContents"/>
              <w:bidi w:val="0"/>
              <w:spacing w:before="0" w:after="283"/>
              <w:jc w:val="right"/>
              <w:rPr/>
            </w:pPr>
            <w:hyperlink w:anchor="tCCRL">
              <w:r>
                <w:rPr>
                  <w:rStyle w:val="InternetLink"/>
                  <w:color w:val="003CA6"/>
                  <w:spacing w:val="-2"/>
                </w:rPr>
                <w:t>57</w:t>
              </w:r>
            </w:hyperlink>
            <w:r>
              <w:rPr/>
              <w:t xml:space="preserve"> </w:t>
            </w:r>
          </w:p>
        </w:tc>
        <w:tc>
          <w:tcPr>
            <w:tcW w:w="109" w:type="dxa"/>
            <w:tcBorders>
              <w:bottom w:val="single" w:sz="4" w:space="0" w:color="0055B7"/>
            </w:tcBorders>
            <w:vAlign w:val="center"/>
          </w:tcPr>
          <w:p>
            <w:pPr>
              <w:pStyle w:val="TableContents"/>
              <w:bidi w:val="0"/>
              <w:spacing w:before="0" w:after="283"/>
              <w:jc w:val="left"/>
              <w:rPr/>
            </w:pPr>
            <w:r>
              <w:rPr/>
              <w:t>​</w:t>
            </w:r>
          </w:p>
        </w:tc>
        <w:tc>
          <w:tcPr>
            <w:tcW w:w="155" w:type="dxa"/>
            <w:tcBorders>
              <w:bottom w:val="single" w:sz="4" w:space="0" w:color="0055B7"/>
            </w:tcBorders>
            <w:vAlign w:val="center"/>
          </w:tcPr>
          <w:p>
            <w:pPr>
              <w:pStyle w:val="TableContents"/>
              <w:bidi w:val="0"/>
              <w:spacing w:before="0" w:after="283"/>
              <w:jc w:val="left"/>
              <w:rPr/>
            </w:pPr>
            <w:r>
              <w:rPr/>
              <w:t>​</w:t>
            </w:r>
          </w:p>
        </w:tc>
      </w:tr>
    </w:tbl>
    <w:p>
      <w:pPr>
        <w:pStyle w:val="TextBody"/>
        <w:bidi w:val="0"/>
        <w:spacing w:lineRule="atLeast" w:line="320" w:before="320" w:after="283"/>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Our NEOS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Compensation Discussion and Analysis describes our executive compensation program, which is designed to enhance our business strategy, attract and retain innovative business leaders, and build long-term results for our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2025 fiscal year NEOs were determined in accordance with SEC rules and include the following:</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871"/>
        <w:gridCol w:w="109"/>
        <w:gridCol w:w="109"/>
        <w:gridCol w:w="1488"/>
        <w:gridCol w:w="109"/>
        <w:gridCol w:w="109"/>
        <w:gridCol w:w="1437"/>
        <w:gridCol w:w="109"/>
        <w:gridCol w:w="109"/>
        <w:gridCol w:w="1699"/>
        <w:gridCol w:w="109"/>
        <w:gridCol w:w="109"/>
        <w:gridCol w:w="1837"/>
        <w:gridCol w:w="157"/>
      </w:tblGrid>
      <w:tr>
        <w:trPr/>
        <w:tc>
          <w:tcPr>
            <w:tcW w:w="12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0"/>
              <w:jc w:val="center"/>
              <w:rPr/>
            </w:pPr>
            <w:r>
              <w:rPr/>
              <w:drawing>
                <wp:inline distT="0" distB="0" distL="0" distR="0">
                  <wp:extent cx="685800" cy="695325"/>
                  <wp:effectExtent l="0" t="0" r="0" b="0"/>
                  <wp:docPr id="32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26" descr=""/>
                          <pic:cNvPicPr>
                            <a:picLocks noChangeAspect="1" noChangeArrowheads="1"/>
                          </pic:cNvPicPr>
                        </pic:nvPicPr>
                        <pic:blipFill>
                          <a:blip r:embed="rId143"/>
                          <a:stretch>
                            <a:fillRect/>
                          </a:stretch>
                        </pic:blipFill>
                        <pic:spPr bwMode="auto">
                          <a:xfrm>
                            <a:off x="0" y="0"/>
                            <a:ext cx="685800" cy="695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8" w:type="dxa"/>
            <w:tcBorders/>
            <w:vAlign w:val="center"/>
          </w:tcPr>
          <w:p>
            <w:pPr>
              <w:pStyle w:val="TableContents"/>
              <w:bidi w:val="0"/>
              <w:spacing w:before="0" w:after="0"/>
              <w:jc w:val="center"/>
              <w:rPr/>
            </w:pPr>
            <w:r>
              <w:rPr/>
              <w:drawing>
                <wp:inline distT="0" distB="0" distL="0" distR="0">
                  <wp:extent cx="685800" cy="695325"/>
                  <wp:effectExtent l="0" t="0" r="0" b="0"/>
                  <wp:docPr id="32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27" descr=""/>
                          <pic:cNvPicPr>
                            <a:picLocks noChangeAspect="1" noChangeArrowheads="1"/>
                          </pic:cNvPicPr>
                        </pic:nvPicPr>
                        <pic:blipFill>
                          <a:blip r:embed="rId144"/>
                          <a:stretch>
                            <a:fillRect/>
                          </a:stretch>
                        </pic:blipFill>
                        <pic:spPr bwMode="auto">
                          <a:xfrm>
                            <a:off x="0" y="0"/>
                            <a:ext cx="685800" cy="695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7" w:type="dxa"/>
            <w:tcBorders/>
            <w:vAlign w:val="center"/>
          </w:tcPr>
          <w:p>
            <w:pPr>
              <w:pStyle w:val="TableContents"/>
              <w:bidi w:val="0"/>
              <w:spacing w:before="0" w:after="0"/>
              <w:jc w:val="center"/>
              <w:rPr/>
            </w:pPr>
            <w:r>
              <w:rPr/>
              <w:drawing>
                <wp:inline distT="0" distB="0" distL="0" distR="0">
                  <wp:extent cx="685800" cy="695325"/>
                  <wp:effectExtent l="0" t="0" r="0" b="0"/>
                  <wp:docPr id="32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28" descr=""/>
                          <pic:cNvPicPr>
                            <a:picLocks noChangeAspect="1" noChangeArrowheads="1"/>
                          </pic:cNvPicPr>
                        </pic:nvPicPr>
                        <pic:blipFill>
                          <a:blip r:embed="rId145"/>
                          <a:stretch>
                            <a:fillRect/>
                          </a:stretch>
                        </pic:blipFill>
                        <pic:spPr bwMode="auto">
                          <a:xfrm>
                            <a:off x="0" y="0"/>
                            <a:ext cx="685800" cy="695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9" w:type="dxa"/>
            <w:tcBorders/>
            <w:vAlign w:val="center"/>
          </w:tcPr>
          <w:p>
            <w:pPr>
              <w:pStyle w:val="TableContents"/>
              <w:bidi w:val="0"/>
              <w:spacing w:before="0" w:after="0"/>
              <w:jc w:val="center"/>
              <w:rPr/>
            </w:pPr>
            <w:r>
              <w:rPr/>
              <w:drawing>
                <wp:inline distT="0" distB="0" distL="0" distR="0">
                  <wp:extent cx="685800" cy="695325"/>
                  <wp:effectExtent l="0" t="0" r="0" b="0"/>
                  <wp:docPr id="32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29" descr=""/>
                          <pic:cNvPicPr>
                            <a:picLocks noChangeAspect="1" noChangeArrowheads="1"/>
                          </pic:cNvPicPr>
                        </pic:nvPicPr>
                        <pic:blipFill>
                          <a:blip r:embed="rId146"/>
                          <a:stretch>
                            <a:fillRect/>
                          </a:stretch>
                        </pic:blipFill>
                        <pic:spPr bwMode="auto">
                          <a:xfrm>
                            <a:off x="0" y="0"/>
                            <a:ext cx="685800" cy="695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7" w:type="dxa"/>
            <w:tcBorders/>
            <w:vAlign w:val="center"/>
          </w:tcPr>
          <w:p>
            <w:pPr>
              <w:pStyle w:val="TableContents"/>
              <w:bidi w:val="0"/>
              <w:spacing w:before="0" w:after="0"/>
              <w:jc w:val="center"/>
              <w:rPr/>
            </w:pPr>
            <w:r>
              <w:rPr/>
              <w:drawing>
                <wp:inline distT="0" distB="0" distL="0" distR="0">
                  <wp:extent cx="685800" cy="695325"/>
                  <wp:effectExtent l="0" t="0" r="0" b="0"/>
                  <wp:docPr id="32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30" descr=""/>
                          <pic:cNvPicPr>
                            <a:picLocks noChangeAspect="1" noChangeArrowheads="1"/>
                          </pic:cNvPicPr>
                        </pic:nvPicPr>
                        <pic:blipFill>
                          <a:blip r:embed="rId147"/>
                          <a:stretch>
                            <a:fillRect/>
                          </a:stretch>
                        </pic:blipFill>
                        <pic:spPr bwMode="auto">
                          <a:xfrm>
                            <a:off x="0" y="0"/>
                            <a:ext cx="685800" cy="695325"/>
                          </a:xfrm>
                          <a:prstGeom prst="rect">
                            <a:avLst/>
                          </a:prstGeom>
                        </pic:spPr>
                      </pic:pic>
                    </a:graphicData>
                  </a:graphic>
                </wp:inline>
              </w:drawing>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0"/>
              <w:jc w:val="center"/>
              <w:rPr/>
            </w:pPr>
            <w:r>
              <w:rPr>
                <w:spacing w:val="0"/>
              </w:rPr>
              <w:t>James M. Boyle</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8" w:type="dxa"/>
            <w:tcBorders/>
            <w:vAlign w:val="center"/>
          </w:tcPr>
          <w:p>
            <w:pPr>
              <w:pStyle w:val="TableContents"/>
              <w:bidi w:val="0"/>
              <w:spacing w:before="0" w:after="0"/>
              <w:jc w:val="center"/>
              <w:rPr/>
            </w:pPr>
            <w:r>
              <w:rPr>
                <w:spacing w:val="0"/>
              </w:rPr>
              <w:t>Michael B. Drazin</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7" w:type="dxa"/>
            <w:tcBorders/>
            <w:vAlign w:val="center"/>
          </w:tcPr>
          <w:p>
            <w:pPr>
              <w:pStyle w:val="TableContents"/>
              <w:bidi w:val="0"/>
              <w:spacing w:before="0" w:after="0"/>
              <w:jc w:val="center"/>
              <w:rPr/>
            </w:pPr>
            <w:r>
              <w:rPr>
                <w:spacing w:val="0"/>
              </w:rPr>
              <w:t>James M. Pigott</w:t>
            </w:r>
            <w:r>
              <w:rPr>
                <w:spacing w:val="-2"/>
                <w:sz w:val="11"/>
              </w:rPr>
              <w:t>(1)</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9" w:type="dxa"/>
            <w:tcBorders/>
            <w:vAlign w:val="center"/>
          </w:tcPr>
          <w:p>
            <w:pPr>
              <w:pStyle w:val="TableContents"/>
              <w:bidi w:val="0"/>
              <w:spacing w:before="0" w:after="0"/>
              <w:jc w:val="center"/>
              <w:rPr/>
            </w:pPr>
            <w:r>
              <w:rPr>
                <w:spacing w:val="0"/>
              </w:rPr>
              <w:t>Stephen L. Miller</w:t>
            </w:r>
            <w:r>
              <w:rPr>
                <w:spacing w:val="-2"/>
                <w:sz w:val="11"/>
              </w:rPr>
              <w:t>(2)</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7" w:type="dxa"/>
            <w:tcBorders/>
            <w:vAlign w:val="center"/>
          </w:tcPr>
          <w:p>
            <w:pPr>
              <w:pStyle w:val="TableContents"/>
              <w:bidi w:val="0"/>
              <w:spacing w:before="0" w:after="0"/>
              <w:jc w:val="center"/>
              <w:rPr/>
            </w:pPr>
            <w:r>
              <w:rPr>
                <w:spacing w:val="0"/>
              </w:rPr>
              <w:t>Douglas P. Golwas</w:t>
            </w:r>
            <w:r>
              <w:rPr>
                <w:color w:val="000000"/>
              </w:rPr>
              <w:t>​</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0"/>
              <w:jc w:val="center"/>
              <w:rPr>
                <w:spacing w:val="-1"/>
              </w:rPr>
            </w:pPr>
            <w:r>
              <w:rPr>
                <w:spacing w:val="-1"/>
              </w:rPr>
              <w:t xml:space="preserve">Chief Executive Officer and </w:t>
              <w:br/>
              <w:t xml:space="preserve">Member of the Board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8" w:type="dxa"/>
            <w:tcBorders/>
            <w:vAlign w:val="center"/>
          </w:tcPr>
          <w:p>
            <w:pPr>
              <w:pStyle w:val="TableContents"/>
              <w:bidi w:val="0"/>
              <w:spacing w:before="0" w:after="0"/>
              <w:jc w:val="center"/>
              <w:rPr>
                <w:spacing w:val="-1"/>
              </w:rPr>
            </w:pPr>
            <w:r>
              <w:rPr>
                <w:spacing w:val="-1"/>
              </w:rPr>
              <w:t xml:space="preserve">Chief </w:t>
              <w:br/>
              <w:t xml:space="preserve">Financial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7" w:type="dxa"/>
            <w:tcBorders/>
            <w:vAlign w:val="center"/>
          </w:tcPr>
          <w:p>
            <w:pPr>
              <w:pStyle w:val="TableContents"/>
              <w:bidi w:val="0"/>
              <w:spacing w:before="0" w:after="0"/>
              <w:jc w:val="center"/>
              <w:rPr>
                <w:spacing w:val="-1"/>
              </w:rPr>
            </w:pPr>
            <w:r>
              <w:rPr>
                <w:spacing w:val="-1"/>
              </w:rPr>
              <w:t xml:space="preserve">President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9" w:type="dxa"/>
            <w:tcBorders/>
            <w:vAlign w:val="center"/>
          </w:tcPr>
          <w:p>
            <w:pPr>
              <w:pStyle w:val="TableContents"/>
              <w:bidi w:val="0"/>
              <w:spacing w:before="0" w:after="0"/>
              <w:jc w:val="center"/>
              <w:rPr>
                <w:spacing w:val="-1"/>
              </w:rPr>
            </w:pPr>
            <w:r>
              <w:rPr>
                <w:spacing w:val="-1"/>
              </w:rPr>
              <w:t xml:space="preserve">Chief Operating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7" w:type="dxa"/>
            <w:tcBorders/>
            <w:vAlign w:val="center"/>
          </w:tcPr>
          <w:p>
            <w:pPr>
              <w:pStyle w:val="TableContents"/>
              <w:bidi w:val="0"/>
              <w:spacing w:before="0" w:after="0"/>
              <w:jc w:val="center"/>
              <w:rPr/>
            </w:pPr>
            <w:r>
              <w:rPr>
                <w:spacing w:val="-1"/>
              </w:rPr>
              <w:t>Chief Commercial Officer</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35"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Effective December 31, 2025, Mr. Pigott retired as President of Medline.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49225" distB="0" distL="0" distR="0" simplePos="0" locked="0" layoutInCell="1" allowOverlap="1" relativeHeight="337">
                <wp:simplePos x="0" y="0"/>
                <wp:positionH relativeFrom="column">
                  <wp:align>left</wp:align>
                </wp:positionH>
                <wp:positionV relativeFrom="line">
                  <wp:align>top</wp:align>
                </wp:positionV>
                <wp:extent cx="228600" cy="254000"/>
                <wp:effectExtent l="0" t="0" r="0" b="0"/>
                <wp:wrapSquare wrapText="right"/>
                <wp:docPr id="325" name="Frame179"/>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11.75pt;mso-wrap-distance-bottom:0pt;margin-top:11.7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Effective January 1, 2025, Mr. Miller assumed the role of Chief Operating Officer of Medline. </w:t>
      </w:r>
      <w:r>
        <mc:AlternateContent>
          <mc:Choice Requires="wps">
            <w:drawing>
              <wp:anchor behindDoc="0" distT="50800" distB="0" distL="0" distR="0" simplePos="0" locked="0" layoutInCell="1" allowOverlap="1" relativeHeight="338">
                <wp:simplePos x="0" y="0"/>
                <wp:positionH relativeFrom="column">
                  <wp:align>left</wp:align>
                </wp:positionH>
                <wp:positionV relativeFrom="line">
                  <wp:align>top</wp:align>
                </wp:positionV>
                <wp:extent cx="228600" cy="254000"/>
                <wp:effectExtent l="0" t="0" r="0" b="0"/>
                <wp:wrapSquare wrapText="right"/>
                <wp:docPr id="326" name="Frame180"/>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47</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2CFL"/>
      <w:bookmarkEnd w:id="27"/>
      <w:r>
        <w:rPr>
          <w:rFonts w:ascii="calibri;arial;sans-serif" w:hAnsi="calibri;arial;sans-serif"/>
          <w:b w:val="false"/>
          <w:i w:val="false"/>
          <w:caps w:val="false"/>
          <w:smallCaps w:val="false"/>
          <w:color w:val="000000"/>
          <w:sz w:val="16"/>
        </w:rPr>
        <w:t>​</w:t>
      </w:r>
      <w:bookmarkStart w:id="28" w:name="tGBPL"/>
      <w:bookmarkEnd w:id="28"/>
      <w:r>
        <w:rPr>
          <w:rFonts w:ascii="calibri;arial;sans-serif" w:hAnsi="calibri;arial;sans-serif"/>
          <w:b w:val="false"/>
          <w:i w:val="false"/>
          <w:caps w:val="false"/>
          <w:smallCaps w:val="false"/>
          <w:color w:val="000000"/>
          <w:sz w:val="16"/>
        </w:rPr>
        <w:t>​</w:t>
      </w:r>
      <w:bookmarkStart w:id="29" w:name="tECOA"/>
      <w:bookmarkEnd w:id="29"/>
      <w:r>
        <w:rPr>
          <w:rFonts w:ascii="calibri;arial;sans-serif" w:hAnsi="calibri;arial;sans-serif"/>
          <w:b w:val="false"/>
          <w:i w:val="false"/>
          <w:caps w:val="false"/>
          <w:smallCaps w:val="false"/>
          <w:color w:val="000000"/>
          <w:sz w:val="16"/>
        </w:rPr>
        <w:t>​</w:t>
      </w:r>
      <w:bookmarkStart w:id="30" w:name="tPFD2"/>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283"/>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2025 Compensation Framework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Governance Best Practices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executive compensation program incorporates a number of governance best practices: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Directly correlating pay and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39">
                <wp:simplePos x="0" y="0"/>
                <wp:positionH relativeFrom="column">
                  <wp:align>left</wp:align>
                </wp:positionH>
                <wp:positionV relativeFrom="line">
                  <wp:align>top</wp:align>
                </wp:positionV>
                <wp:extent cx="139700" cy="350520"/>
                <wp:effectExtent l="0" t="0" r="0" b="0"/>
                <wp:wrapSquare wrapText="right"/>
                <wp:docPr id="327" name="Frame18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Increasing annual base pay based on merit and market practices without any guaranteed increases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40">
                <wp:simplePos x="0" y="0"/>
                <wp:positionH relativeFrom="column">
                  <wp:align>left</wp:align>
                </wp:positionH>
                <wp:positionV relativeFrom="line">
                  <wp:align>top</wp:align>
                </wp:positionV>
                <wp:extent cx="139700" cy="350520"/>
                <wp:effectExtent l="0" t="0" r="0" b="0"/>
                <wp:wrapSquare wrapText="right"/>
                <wp:docPr id="328" name="Frame18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5pt;mso-wrap-distance-bottom:0pt;margin-top:3.5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Implementing stock ownership requirements to ensure NEO and stockholder interests are directly aligned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41">
                <wp:simplePos x="0" y="0"/>
                <wp:positionH relativeFrom="column">
                  <wp:align>left</wp:align>
                </wp:positionH>
                <wp:positionV relativeFrom="line">
                  <wp:align>top</wp:align>
                </wp:positionV>
                <wp:extent cx="139700" cy="350520"/>
                <wp:effectExtent l="0" t="0" r="0" b="0"/>
                <wp:wrapSquare wrapText="right"/>
                <wp:docPr id="329" name="Frame18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5pt;mso-wrap-distance-bottom:0pt;margin-top:3.5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Maintaining a clawback policy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42">
                <wp:simplePos x="0" y="0"/>
                <wp:positionH relativeFrom="column">
                  <wp:align>left</wp:align>
                </wp:positionH>
                <wp:positionV relativeFrom="line">
                  <wp:align>top</wp:align>
                </wp:positionV>
                <wp:extent cx="139700" cy="350520"/>
                <wp:effectExtent l="0" t="0" r="0" b="0"/>
                <wp:wrapSquare wrapText="right"/>
                <wp:docPr id="330" name="Frame18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5pt;mso-wrap-distance-bottom:0pt;margin-top:3.5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Implementing double-trigger change in control provisions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43">
                <wp:simplePos x="0" y="0"/>
                <wp:positionH relativeFrom="column">
                  <wp:align>left</wp:align>
                </wp:positionH>
                <wp:positionV relativeFrom="line">
                  <wp:align>top</wp:align>
                </wp:positionV>
                <wp:extent cx="139700" cy="350520"/>
                <wp:effectExtent l="0" t="0" r="0" b="0"/>
                <wp:wrapSquare wrapText="right"/>
                <wp:docPr id="331" name="Frame18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5pt;mso-wrap-distance-bottom:0pt;margin-top:3.5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Engaging an independent compensation consultant to advise Compensation Committee on executive compensation matters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44">
                <wp:simplePos x="0" y="0"/>
                <wp:positionH relativeFrom="column">
                  <wp:align>left</wp:align>
                </wp:positionH>
                <wp:positionV relativeFrom="line">
                  <wp:align>top</wp:align>
                </wp:positionV>
                <wp:extent cx="139700" cy="350520"/>
                <wp:effectExtent l="0" t="0" r="0" b="0"/>
                <wp:wrapSquare wrapText="right"/>
                <wp:docPr id="332" name="Frame18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5pt;mso-wrap-distance-bottom:0pt;margin-top:3.5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 hedging or monetization transactions, short-selling, or transacting in puts, calls, swaps, convertible instruments, or other derivatives on Medline securities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45">
                <wp:simplePos x="0" y="0"/>
                <wp:positionH relativeFrom="column">
                  <wp:align>left</wp:align>
                </wp:positionH>
                <wp:positionV relativeFrom="line">
                  <wp:align>top</wp:align>
                </wp:positionV>
                <wp:extent cx="139700" cy="350520"/>
                <wp:effectExtent l="0" t="0" r="0" b="0"/>
                <wp:wrapSquare wrapText="right"/>
                <wp:docPr id="333" name="Frame18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5pt;mso-wrap-distance-bottom:0pt;margin-top:3.5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 pledging or holding Medline securities in a margin account as collateral for a loan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46">
                <wp:simplePos x="0" y="0"/>
                <wp:positionH relativeFrom="column">
                  <wp:align>left</wp:align>
                </wp:positionH>
                <wp:positionV relativeFrom="line">
                  <wp:align>top</wp:align>
                </wp:positionV>
                <wp:extent cx="139700" cy="350520"/>
                <wp:effectExtent l="0" t="0" r="0" b="0"/>
                <wp:wrapSquare wrapText="right"/>
                <wp:docPr id="334" name="Frame18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5pt;mso-wrap-distance-bottom:0pt;margin-top:3.5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 NEO participation in any non-qualified deferred compensation programs or other enhanced benefit programs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47">
                <wp:simplePos x="0" y="0"/>
                <wp:positionH relativeFrom="column">
                  <wp:align>left</wp:align>
                </wp:positionH>
                <wp:positionV relativeFrom="line">
                  <wp:align>top</wp:align>
                </wp:positionV>
                <wp:extent cx="139700" cy="350520"/>
                <wp:effectExtent l="0" t="0" r="0" b="0"/>
                <wp:wrapSquare wrapText="right"/>
                <wp:docPr id="335" name="Frame18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5pt;mso-wrap-distance-bottom:0pt;margin-top:3.5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Executive Compensation Objectives and Philosophy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goal of our executive compensation program is to create long-term value for our investors while at the same time rewarding our executives for superior financial and operating performance and to support retention in a competitive market environment. We believe the most effective way to achieve these objectives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Market Competitive</w:t>
      </w:r>
      <w:r>
        <w:rPr>
          <w:rFonts w:ascii="Arial;Helvetica;sans-serif" w:hAnsi="Arial;Helvetica;sans-serif"/>
          <w:b w:val="false"/>
          <w:i w:val="false"/>
          <w:caps w:val="false"/>
          <w:smallCaps w:val="false"/>
          <w:color w:val="000000"/>
          <w:spacing w:val="-1"/>
          <w:sz w:val="18"/>
        </w:rPr>
        <w:t>. Compensation levels and programs for members of our senior leadership team, including the NEOs, should be competitive relative to the marketplace in which we operate. It is important to leverage an understanding of what constitutes competitive pay in our markets and build strategies to attract, incentivize, reward, and retain top talent;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48">
                <wp:simplePos x="0" y="0"/>
                <wp:positionH relativeFrom="column">
                  <wp:align>left</wp:align>
                </wp:positionH>
                <wp:positionV relativeFrom="line">
                  <wp:align>top</wp:align>
                </wp:positionV>
                <wp:extent cx="139700" cy="350520"/>
                <wp:effectExtent l="0" t="0" r="0" b="0"/>
                <wp:wrapSquare wrapText="right"/>
                <wp:docPr id="336" name="Frame190"/>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68"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Performance-Based</w:t>
      </w:r>
      <w:r>
        <w:rPr>
          <w:rFonts w:ascii="Arial;Helvetica;sans-serif" w:hAnsi="Arial;Helvetica;sans-serif"/>
          <w:b w:val="false"/>
          <w:i w:val="false"/>
          <w:caps w:val="false"/>
          <w:smallCaps w:val="false"/>
          <w:color w:val="000000"/>
          <w:spacing w:val="-1"/>
          <w:sz w:val="18"/>
        </w:rPr>
        <w:t>. A significant portion of executive compensation should be performance-based pay that is “at risk,” based on short-term and long-term goals, which reward both organizational and individual performance;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3180" distB="0" distL="139700" distR="0" simplePos="0" locked="0" layoutInCell="1" allowOverlap="1" relativeHeight="349">
                <wp:simplePos x="0" y="0"/>
                <wp:positionH relativeFrom="column">
                  <wp:align>left</wp:align>
                </wp:positionH>
                <wp:positionV relativeFrom="line">
                  <wp:align>top</wp:align>
                </wp:positionV>
                <wp:extent cx="139700" cy="350520"/>
                <wp:effectExtent l="0" t="0" r="0" b="0"/>
                <wp:wrapSquare wrapText="right"/>
                <wp:docPr id="337" name="Frame19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4pt;mso-wrap-distance-bottom:0pt;margin-top:3.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68"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Investor Aligned</w:t>
      </w:r>
      <w:r>
        <w:rPr>
          <w:rFonts w:ascii="Arial;Helvetica;sans-serif" w:hAnsi="Arial;Helvetica;sans-serif"/>
          <w:b w:val="false"/>
          <w:i w:val="false"/>
          <w:caps w:val="false"/>
          <w:smallCaps w:val="false"/>
          <w:color w:val="000000"/>
          <w:spacing w:val="-1"/>
          <w:sz w:val="18"/>
        </w:rPr>
        <w:t>. Incentives should be structured to create a strong alignment between executives and investors on both a short-term and a long-term basis.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3180" distB="0" distL="139700" distR="0" simplePos="0" locked="0" layoutInCell="1" allowOverlap="1" relativeHeight="350">
                <wp:simplePos x="0" y="0"/>
                <wp:positionH relativeFrom="column">
                  <wp:align>left</wp:align>
                </wp:positionH>
                <wp:positionV relativeFrom="line">
                  <wp:align>top</wp:align>
                </wp:positionV>
                <wp:extent cx="139700" cy="350520"/>
                <wp:effectExtent l="0" t="0" r="0" b="0"/>
                <wp:wrapSquare wrapText="right"/>
                <wp:docPr id="338" name="Frame19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4pt;mso-wrap-distance-bottom:0pt;margin-top:3.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By incorporating these design elements, we believe our executive compensation program is responsive to our investors’ objectives and effective in attracting, motivating, and retaining the level of talent necessary to grow and manage our business successfully.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Compensation Committee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other members of our senior leadership team, is fair, reasonable, and competitive. Generally, the types of compensation and benefits provided to our Named Executive Officers are similar to those provided to other senior members of our management team.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Process for Determining 2025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CEO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determining the compensation of each of our NEOs (other than the CEO), the Compensation Committee seeks the input of the CEO. The CEO provides recommendations at least annually to the Compensation Committee regarding the compensation of the other NEOs. The performance of our NEOs is reviewed at least annually by the Compensation Committee, with assessments provided by the CEO of all of our NEOs (other than the CEO), and the Compensation Committee determines each NEO’s compensation at least annually.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48</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believe that compensation should be competitive with compensation for executive officers in similar positions and with similar responsibilities in our marketplace. In determining compensation levels for our NEOs, the Compensation Committee relies upon the judgment and experience of its members, including their knowledge of competitive compensation levels in our industry. The Compensation Committee considers each NEO’s performance, scope of responsibilities, depth and breadth of overall leadership experience, and the importance of the officer’s position to achieving our strategies. Beginning on August 27, 2024 and with respect to 2025 compensation, the Compensation Committee also engaged a compensation consultant, Korn Ferry, to provide executive compensation-related advice and services to the Compensation Committee. The Compensation Committee reviewed and considered survey and benchmarking data of a comparator group of companies prepared by Korn Ferry. The Compensation Committee reviews peer company information and market data to better assess the range of compensation needed to attract, retain, and motivate executive talent in our highly competitive industry.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fiscal year 2025, Korn Ferry provided benchmarking data for compensation planning and worked with management and the Compensation Committee on the overall compensation structure for our senior leadership team. As part of its work, Korn Ferry recommended, and the Compensation Committee approved, a peer group that places greater weight on the peer group’s size and performance profile, with a focus on revenue, revenue growth and market performance. In selecting the peer group, the aim was to select the most appropriate companies against which our compensation-related performance should be measured. The peer group for 2025 consisted of sixteen publicly traded companies with revenues between approximately 0.5 to 1.8 times those of Medline.</w:t>
      </w:r>
      <w:r>
        <w:rPr>
          <w:rFonts w:ascii="Arial;Helvetica;sans-serif" w:hAnsi="Arial;Helvetica;sans-serif"/>
          <w:b w:val="false"/>
          <w:i w:val="false"/>
          <w:caps w:val="false"/>
          <w:smallCaps w:val="false"/>
          <w:color w:val="000000"/>
          <w:spacing w:val="4"/>
          <w:sz w:val="18"/>
        </w:rPr>
        <w:t xml:space="preserve"> </w:t>
      </w:r>
    </w:p>
    <w:tbl>
      <w:tblPr>
        <w:tblW w:w="9172" w:type="dxa"/>
        <w:jc w:val="left"/>
        <w:tblInd w:w="720" w:type="dxa"/>
        <w:tblLayout w:type="fixed"/>
        <w:tblCellMar>
          <w:top w:w="0" w:type="dxa"/>
          <w:left w:w="0" w:type="dxa"/>
          <w:bottom w:w="0" w:type="dxa"/>
          <w:right w:w="0" w:type="dxa"/>
        </w:tblCellMar>
      </w:tblPr>
      <w:tblGrid>
        <w:gridCol w:w="124"/>
        <w:gridCol w:w="3547"/>
        <w:gridCol w:w="109"/>
        <w:gridCol w:w="109"/>
        <w:gridCol w:w="5129"/>
        <w:gridCol w:w="154"/>
      </w:tblGrid>
      <w:tr>
        <w:trPr/>
        <w:tc>
          <w:tcPr>
            <w:tcW w:w="124" w:type="dxa"/>
            <w:tcBorders/>
            <w:vAlign w:val="center"/>
          </w:tcPr>
          <w:p>
            <w:pPr>
              <w:pStyle w:val="TableContents"/>
              <w:bidi w:val="0"/>
              <w:spacing w:before="0" w:after="283"/>
              <w:jc w:val="left"/>
              <w:rPr/>
            </w:pPr>
            <w:r>
              <w:rPr/>
              <w:t>​</w:t>
            </w:r>
          </w:p>
        </w:tc>
        <w:tc>
          <w:tcPr>
            <w:tcW w:w="3547" w:type="dxa"/>
            <w:tcBorders/>
            <w:vAlign w:val="center"/>
          </w:tcPr>
          <w:p>
            <w:pPr>
              <w:pStyle w:val="TableContents"/>
              <w:bidi w:val="0"/>
              <w:spacing w:lineRule="atLeast" w:line="180" w:before="0" w:after="0"/>
              <w:ind w:left="180" w:right="0" w:hanging="0"/>
              <w:jc w:val="left"/>
              <w:rPr>
                <w:spacing w:val="-1"/>
              </w:rPr>
            </w:pPr>
            <w:r>
              <w:rPr>
                <w:spacing w:val="-1"/>
              </w:rPr>
              <w:t xml:space="preserve">3M Company </w: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114300" cy="350520"/>
                      <wp:effectExtent l="0" t="0" r="0" b="0"/>
                      <wp:wrapSquare wrapText="right"/>
                      <wp:docPr id="339" name="Frame1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29" w:type="dxa"/>
            <w:tcBorders/>
            <w:vAlign w:val="center"/>
          </w:tcPr>
          <w:p>
            <w:pPr>
              <w:pStyle w:val="TableContents"/>
              <w:bidi w:val="0"/>
              <w:spacing w:lineRule="atLeast" w:line="180" w:before="0" w:after="0"/>
              <w:ind w:left="180" w:right="0" w:hanging="0"/>
              <w:jc w:val="left"/>
              <w:rPr>
                <w:spacing w:val="-1"/>
              </w:rPr>
            </w:pPr>
            <w:r>
              <w:rPr>
                <w:spacing w:val="-1"/>
              </w:rPr>
              <w:t xml:space="preserve">Honeywell International Inc. </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114300" cy="350520"/>
                      <wp:effectExtent l="0" t="0" r="0" b="0"/>
                      <wp:wrapSquare wrapText="right"/>
                      <wp:docPr id="340" name="Frame1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47" w:type="dxa"/>
            <w:tcBorders/>
            <w:vAlign w:val="center"/>
          </w:tcPr>
          <w:p>
            <w:pPr>
              <w:pStyle w:val="TableContents"/>
              <w:bidi w:val="0"/>
              <w:spacing w:lineRule="atLeast" w:line="180" w:before="0" w:after="0"/>
              <w:ind w:left="180" w:right="0" w:hanging="0"/>
              <w:jc w:val="left"/>
              <w:rPr>
                <w:spacing w:val="-1"/>
              </w:rPr>
            </w:pPr>
            <w:r>
              <w:rPr>
                <w:spacing w:val="-1"/>
              </w:rPr>
              <w:t xml:space="preserve">Abbott Laboratories </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114300" cy="350520"/>
                      <wp:effectExtent l="0" t="0" r="0" b="0"/>
                      <wp:wrapSquare wrapText="right"/>
                      <wp:docPr id="341" name="Frame1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29" w:type="dxa"/>
            <w:tcBorders/>
            <w:vAlign w:val="center"/>
          </w:tcPr>
          <w:p>
            <w:pPr>
              <w:pStyle w:val="TableContents"/>
              <w:bidi w:val="0"/>
              <w:spacing w:lineRule="atLeast" w:line="180" w:before="0" w:after="0"/>
              <w:ind w:left="180" w:right="0" w:hanging="0"/>
              <w:jc w:val="left"/>
              <w:rPr>
                <w:spacing w:val="-1"/>
              </w:rPr>
            </w:pPr>
            <w:r>
              <w:rPr>
                <w:spacing w:val="-1"/>
              </w:rPr>
              <w:t xml:space="preserve">Illinois Tool Works, Inc. </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114300" cy="350520"/>
                      <wp:effectExtent l="0" t="0" r="0" b="0"/>
                      <wp:wrapSquare wrapText="right"/>
                      <wp:docPr id="342" name="Frame1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47" w:type="dxa"/>
            <w:tcBorders/>
            <w:vAlign w:val="center"/>
          </w:tcPr>
          <w:p>
            <w:pPr>
              <w:pStyle w:val="TableContents"/>
              <w:bidi w:val="0"/>
              <w:spacing w:lineRule="atLeast" w:line="180" w:before="0" w:after="0"/>
              <w:ind w:left="180" w:right="0" w:hanging="0"/>
              <w:jc w:val="left"/>
              <w:rPr>
                <w:spacing w:val="-1"/>
              </w:rPr>
            </w:pPr>
            <w:r>
              <w:rPr>
                <w:spacing w:val="-1"/>
              </w:rPr>
              <w:t xml:space="preserve">Baxter International Inc. </w: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114300" cy="350520"/>
                      <wp:effectExtent l="0" t="0" r="0" b="0"/>
                      <wp:wrapSquare wrapText="right"/>
                      <wp:docPr id="343" name="Frame1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29" w:type="dxa"/>
            <w:tcBorders/>
            <w:vAlign w:val="center"/>
          </w:tcPr>
          <w:p>
            <w:pPr>
              <w:pStyle w:val="TableContents"/>
              <w:bidi w:val="0"/>
              <w:spacing w:lineRule="atLeast" w:line="180" w:before="0" w:after="0"/>
              <w:ind w:left="180" w:right="0" w:hanging="0"/>
              <w:jc w:val="left"/>
              <w:rPr>
                <w:spacing w:val="-1"/>
              </w:rPr>
            </w:pPr>
            <w:r>
              <w:rPr>
                <w:spacing w:val="-1"/>
              </w:rPr>
              <w:t xml:space="preserve">Kimberly-Clark Corporation </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114300" cy="350520"/>
                      <wp:effectExtent l="0" t="0" r="0" b="0"/>
                      <wp:wrapSquare wrapText="right"/>
                      <wp:docPr id="344" name="Frame1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47" w:type="dxa"/>
            <w:tcBorders/>
            <w:vAlign w:val="center"/>
          </w:tcPr>
          <w:p>
            <w:pPr>
              <w:pStyle w:val="TableContents"/>
              <w:bidi w:val="0"/>
              <w:spacing w:lineRule="atLeast" w:line="180" w:before="0" w:after="0"/>
              <w:ind w:left="180" w:right="0" w:hanging="0"/>
              <w:jc w:val="left"/>
              <w:rPr>
                <w:spacing w:val="-1"/>
              </w:rPr>
            </w:pPr>
            <w:r>
              <w:rPr>
                <w:spacing w:val="-1"/>
              </w:rPr>
              <w:t xml:space="preserve">Becton, Dickinson and Company </w: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114300" cy="350520"/>
                      <wp:effectExtent l="0" t="0" r="0" b="0"/>
                      <wp:wrapSquare wrapText="right"/>
                      <wp:docPr id="345" name="Frame19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29" w:type="dxa"/>
            <w:tcBorders/>
            <w:vAlign w:val="center"/>
          </w:tcPr>
          <w:p>
            <w:pPr>
              <w:pStyle w:val="TableContents"/>
              <w:bidi w:val="0"/>
              <w:spacing w:lineRule="atLeast" w:line="180" w:before="0" w:after="0"/>
              <w:ind w:left="180" w:right="0" w:hanging="0"/>
              <w:jc w:val="left"/>
              <w:rPr>
                <w:spacing w:val="-1"/>
              </w:rPr>
            </w:pPr>
            <w:r>
              <w:rPr>
                <w:spacing w:val="-1"/>
              </w:rPr>
              <w:t xml:space="preserve">Medtronic plc </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114300" cy="350520"/>
                      <wp:effectExtent l="0" t="0" r="0" b="0"/>
                      <wp:wrapSquare wrapText="right"/>
                      <wp:docPr id="346" name="Frame20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47" w:type="dxa"/>
            <w:tcBorders/>
            <w:vAlign w:val="center"/>
          </w:tcPr>
          <w:p>
            <w:pPr>
              <w:pStyle w:val="TableContents"/>
              <w:bidi w:val="0"/>
              <w:spacing w:lineRule="atLeast" w:line="180" w:before="0" w:after="0"/>
              <w:ind w:left="180" w:right="0" w:hanging="0"/>
              <w:jc w:val="left"/>
              <w:rPr>
                <w:spacing w:val="-1"/>
              </w:rPr>
            </w:pPr>
            <w:r>
              <w:rPr>
                <w:spacing w:val="-1"/>
              </w:rPr>
              <w:t xml:space="preserve">Colgate-Palmolive Company </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114300" cy="350520"/>
                      <wp:effectExtent l="0" t="0" r="0" b="0"/>
                      <wp:wrapSquare wrapText="right"/>
                      <wp:docPr id="347" name="Frame20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29" w:type="dxa"/>
            <w:tcBorders/>
            <w:vAlign w:val="center"/>
          </w:tcPr>
          <w:p>
            <w:pPr>
              <w:pStyle w:val="TableContents"/>
              <w:bidi w:val="0"/>
              <w:spacing w:lineRule="atLeast" w:line="180" w:before="0" w:after="0"/>
              <w:ind w:left="180" w:right="0" w:hanging="0"/>
              <w:jc w:val="left"/>
              <w:rPr>
                <w:spacing w:val="-1"/>
              </w:rPr>
            </w:pPr>
            <w:r>
              <w:rPr>
                <w:spacing w:val="-1"/>
              </w:rPr>
              <w:t xml:space="preserve">Accendra Health, Inc. (f/k/a Owens &amp; Minor, Inc.) </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114300" cy="350520"/>
                      <wp:effectExtent l="0" t="0" r="0" b="0"/>
                      <wp:wrapSquare wrapText="right"/>
                      <wp:docPr id="348" name="Frame20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47" w:type="dxa"/>
            <w:tcBorders/>
            <w:vAlign w:val="center"/>
          </w:tcPr>
          <w:p>
            <w:pPr>
              <w:pStyle w:val="TableContents"/>
              <w:bidi w:val="0"/>
              <w:spacing w:lineRule="atLeast" w:line="180" w:before="0" w:after="0"/>
              <w:ind w:left="180" w:right="0" w:hanging="0"/>
              <w:jc w:val="left"/>
              <w:rPr>
                <w:spacing w:val="-1"/>
              </w:rPr>
            </w:pPr>
            <w:r>
              <w:rPr>
                <w:spacing w:val="-1"/>
              </w:rPr>
              <w:t xml:space="preserve">Danaher Corporation </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114300" cy="350520"/>
                      <wp:effectExtent l="0" t="0" r="0" b="0"/>
                      <wp:wrapSquare wrapText="right"/>
                      <wp:docPr id="349" name="Frame20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29" w:type="dxa"/>
            <w:tcBorders/>
            <w:vAlign w:val="center"/>
          </w:tcPr>
          <w:p>
            <w:pPr>
              <w:pStyle w:val="TableContents"/>
              <w:bidi w:val="0"/>
              <w:spacing w:lineRule="atLeast" w:line="180" w:before="0" w:after="0"/>
              <w:ind w:left="180" w:right="0" w:hanging="0"/>
              <w:jc w:val="left"/>
              <w:rPr>
                <w:spacing w:val="-1"/>
              </w:rPr>
            </w:pPr>
            <w:r>
              <w:rPr>
                <w:spacing w:val="-1"/>
              </w:rPr>
              <w:t xml:space="preserve">Stryker Corporation </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114300" cy="350520"/>
                      <wp:effectExtent l="0" t="0" r="0" b="0"/>
                      <wp:wrapSquare wrapText="right"/>
                      <wp:docPr id="350" name="Frame20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47" w:type="dxa"/>
            <w:tcBorders/>
            <w:vAlign w:val="center"/>
          </w:tcPr>
          <w:p>
            <w:pPr>
              <w:pStyle w:val="TableContents"/>
              <w:bidi w:val="0"/>
              <w:spacing w:lineRule="atLeast" w:line="180" w:before="0" w:after="0"/>
              <w:ind w:left="180" w:right="0" w:hanging="0"/>
              <w:jc w:val="left"/>
              <w:rPr>
                <w:spacing w:val="-1"/>
              </w:rPr>
            </w:pPr>
            <w:r>
              <w:rPr>
                <w:spacing w:val="-1"/>
              </w:rPr>
              <w:t xml:space="preserve">GE HealthCare Technologies Inc. </w:t>
            </w:r>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114300" cy="350520"/>
                      <wp:effectExtent l="0" t="0" r="0" b="0"/>
                      <wp:wrapSquare wrapText="right"/>
                      <wp:docPr id="351" name="Frame2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29" w:type="dxa"/>
            <w:tcBorders/>
            <w:vAlign w:val="center"/>
          </w:tcPr>
          <w:p>
            <w:pPr>
              <w:pStyle w:val="TableContents"/>
              <w:bidi w:val="0"/>
              <w:spacing w:lineRule="atLeast" w:line="180" w:before="0" w:after="0"/>
              <w:ind w:left="180" w:right="0" w:hanging="0"/>
              <w:jc w:val="left"/>
              <w:rPr>
                <w:spacing w:val="-1"/>
              </w:rPr>
            </w:pPr>
            <w:r>
              <w:rPr>
                <w:spacing w:val="-1"/>
              </w:rPr>
              <w:t xml:space="preserve">Thermo Fisher Scientific Inc. </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114300" cy="350520"/>
                      <wp:effectExtent l="0" t="0" r="0" b="0"/>
                      <wp:wrapSquare wrapText="right"/>
                      <wp:docPr id="352" name="Frame20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47" w:type="dxa"/>
            <w:tcBorders/>
            <w:vAlign w:val="center"/>
          </w:tcPr>
          <w:p>
            <w:pPr>
              <w:pStyle w:val="TableContents"/>
              <w:bidi w:val="0"/>
              <w:spacing w:lineRule="atLeast" w:line="180" w:before="0" w:after="0"/>
              <w:ind w:left="180" w:right="0" w:hanging="0"/>
              <w:jc w:val="left"/>
              <w:rPr>
                <w:spacing w:val="-1"/>
              </w:rPr>
            </w:pPr>
            <w:r>
              <w:rPr>
                <w:spacing w:val="-1"/>
              </w:rPr>
              <w:t xml:space="preserve">Henry Schein, Inc. </w: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114300" cy="350520"/>
                      <wp:effectExtent l="0" t="0" r="0" b="0"/>
                      <wp:wrapSquare wrapText="right"/>
                      <wp:docPr id="353" name="Frame20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29" w:type="dxa"/>
            <w:tcBorders/>
            <w:vAlign w:val="center"/>
          </w:tcPr>
          <w:p>
            <w:pPr>
              <w:pStyle w:val="TableContents"/>
              <w:bidi w:val="0"/>
              <w:spacing w:lineRule="atLeast" w:line="180" w:before="0" w:after="0"/>
              <w:ind w:left="180" w:right="0" w:hanging="0"/>
              <w:jc w:val="left"/>
              <w:rPr/>
            </w:pPr>
            <w:r>
              <w:rPr>
                <w:spacing w:val="-1"/>
              </w:rPr>
              <w:t>W.W. Grainger, Inc.</w:t>
            </w:r>
            <w:r>
              <w:rPr/>
              <w:t xml:space="preserve"> </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114300" cy="350520"/>
                      <wp:effectExtent l="0" t="0" r="0" b="0"/>
                      <wp:wrapSquare wrapText="right"/>
                      <wp:docPr id="354" name="Frame20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97"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aggregate fees paid to Korn Ferry in fiscal year 2025 for compensation consulting services were approximately $510,822. We also engaged Korn Ferry to provide other non-compensation consulting services to the Company, including executive and professional search services and assistance in preparing succession planning materials. The aggregate fees paid to Korn Ferry in fiscal year 2025 for these additional non-compensation consulting services were approximately $1,434,294. After taking into consideration the factors listed in Nasdaq Listing Rule 5605(d)(3)(D), the Compensation Committee concluded that there are no conflicts of interest with respect to the engagement of Korn Ferry by the Compensation Committee. The decision to engage Korn Ferry to provide these non-compensation consulting services was made by management and occurred prior to our IPO and was not pre-approved by the Compensation Committee or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Compensation Committee intends to continue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Relationship of Compensation Practices to Risk Management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compensation plans and practices are designed to mitigate the possibility of encouraging excessive risk-taking behavior and the potential impacts thereof. For example, the following features of our executive compensation program mitigate risk: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Challenging, but attainable goals that are well-defined and communicated;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2070" distB="0" distL="139700" distR="0" simplePos="0" locked="0" layoutInCell="1" allowOverlap="1" relativeHeight="367">
                <wp:simplePos x="0" y="0"/>
                <wp:positionH relativeFrom="column">
                  <wp:align>left</wp:align>
                </wp:positionH>
                <wp:positionV relativeFrom="line">
                  <wp:align>top</wp:align>
                </wp:positionV>
                <wp:extent cx="139700" cy="350520"/>
                <wp:effectExtent l="0" t="0" r="0" b="0"/>
                <wp:wrapSquare wrapText="right"/>
                <wp:docPr id="355" name="Frame20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1pt;mso-wrap-distance-bottom:0pt;margin-top:4.1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Short-term variable compensation tied to a mix of financial and operational objectives;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2070" distB="0" distL="139700" distR="0" simplePos="0" locked="0" layoutInCell="1" allowOverlap="1" relativeHeight="368">
                <wp:simplePos x="0" y="0"/>
                <wp:positionH relativeFrom="column">
                  <wp:align>left</wp:align>
                </wp:positionH>
                <wp:positionV relativeFrom="line">
                  <wp:align>top</wp:align>
                </wp:positionV>
                <wp:extent cx="139700" cy="350520"/>
                <wp:effectExtent l="0" t="0" r="0" b="0"/>
                <wp:wrapSquare wrapText="right"/>
                <wp:docPr id="356" name="Frame210"/>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1pt;mso-wrap-distance-bottom:0pt;margin-top:4.1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Multi-year, overlapping vesting terms for equity awards, and for the CEO, President, and Chief Operating Officer, financial objectives for a portion of outstanding equity awards;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2070" distB="0" distL="139700" distR="0" simplePos="0" locked="0" layoutInCell="1" allowOverlap="1" relativeHeight="369">
                <wp:simplePos x="0" y="0"/>
                <wp:positionH relativeFrom="column">
                  <wp:align>left</wp:align>
                </wp:positionH>
                <wp:positionV relativeFrom="line">
                  <wp:align>top</wp:align>
                </wp:positionV>
                <wp:extent cx="139700" cy="350520"/>
                <wp:effectExtent l="0" t="0" r="0" b="0"/>
                <wp:wrapSquare wrapText="right"/>
                <wp:docPr id="357" name="Frame21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1pt;mso-wrap-distance-bottom:0pt;margin-top:4.1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Establishment of controls in the administration of our plans to ensure performance against established company performance metrics is objectively and independently determined.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2070" distB="0" distL="139700" distR="0" simplePos="0" locked="0" layoutInCell="1" allowOverlap="1" relativeHeight="370">
                <wp:simplePos x="0" y="0"/>
                <wp:positionH relativeFrom="column">
                  <wp:align>left</wp:align>
                </wp:positionH>
                <wp:positionV relativeFrom="line">
                  <wp:align>top</wp:align>
                </wp:positionV>
                <wp:extent cx="139700" cy="350520"/>
                <wp:effectExtent l="0" t="0" r="0" b="0"/>
                <wp:wrapSquare wrapText="right"/>
                <wp:docPr id="358" name="Frame21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1pt;mso-wrap-distance-bottom:0pt;margin-top:4.1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Considerations in Setting 2025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2025 compensation of our NEOs was based on the Company’s performance against enterprise priorities and specific performance metrics and on each NEO’s individual performance against their annual strategic objectives. The Compensation Committee believes the total 2025 compensation of our NEOs was competitive while at the same time being responsible to our stockholders because a significant percentage of total compensation in 2025 was allocated to variable compensation. This variable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49</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2CEL"/>
      <w:bookmarkEnd w:id="31"/>
      <w:r>
        <w:rPr>
          <w:rFonts w:ascii="calibri;arial;sans-serif" w:hAnsi="calibri;arial;sans-serif"/>
          <w:b w:val="false"/>
          <w:i w:val="false"/>
          <w:caps w:val="false"/>
          <w:smallCaps w:val="false"/>
          <w:color w:val="000000"/>
          <w:sz w:val="16"/>
        </w:rPr>
        <w:t>​</w:t>
      </w:r>
      <w:bookmarkStart w:id="32" w:name="tBSL"/>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10" w:before="4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compensation is paid only upon achievement of Company performance objectives and individual NEO goals that contribute to the creation of stockholder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is a summary of key considerations that affected the development of 2025 compensation decisions for our NEOs fiscal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Use of Market Data</w:t>
      </w:r>
      <w:r>
        <w:rPr>
          <w:rFonts w:ascii="Arial;Helvetica;sans-serif" w:hAnsi="Arial;Helvetica;sans-serif"/>
          <w:b w:val="false"/>
          <w:i w:val="false"/>
          <w:caps w:val="false"/>
          <w:smallCaps w:val="false"/>
          <w:color w:val="000000"/>
          <w:spacing w:val="-1"/>
          <w:sz w:val="18"/>
        </w:rPr>
        <w:t>. We establish target compensation levels that are consistent with market practice and internal equity considerations (including 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71">
                <wp:simplePos x="0" y="0"/>
                <wp:positionH relativeFrom="column">
                  <wp:align>left</wp:align>
                </wp:positionH>
                <wp:positionV relativeFrom="line">
                  <wp:align>top</wp:align>
                </wp:positionV>
                <wp:extent cx="139700" cy="350520"/>
                <wp:effectExtent l="0" t="0" r="0" b="0"/>
                <wp:wrapSquare wrapText="right"/>
                <wp:docPr id="359" name="Frame21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Emphasis on Performance</w:t>
      </w:r>
      <w:r>
        <w:rPr>
          <w:rFonts w:ascii="Arial;Helvetica;sans-serif" w:hAnsi="Arial;Helvetica;sans-serif"/>
          <w:b w:val="false"/>
          <w:i w:val="false"/>
          <w:caps w:val="false"/>
          <w:smallCaps w:val="false"/>
          <w:color w:val="000000"/>
          <w:spacing w:val="-1"/>
          <w:sz w:val="18"/>
        </w:rPr>
        <w:t>. Our compensation program provides increased pay opportunities upon achievement of goals correlated with superior performance over the long term. When evaluating base salary, individual performance is the primary driver that determines each NEO’s annual increase, if any. Historically, we have used annual cash bonus and appreciation-based equity awards (profits interests) to reward corporate and individual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72">
                <wp:simplePos x="0" y="0"/>
                <wp:positionH relativeFrom="column">
                  <wp:align>left</wp:align>
                </wp:positionH>
                <wp:positionV relativeFrom="line">
                  <wp:align>top</wp:align>
                </wp:positionV>
                <wp:extent cx="139700" cy="350520"/>
                <wp:effectExtent l="0" t="0" r="0" b="0"/>
                <wp:wrapSquare wrapText="right"/>
                <wp:docPr id="360" name="Frame21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Importance of Company Results</w:t>
      </w:r>
      <w:r>
        <w:rPr>
          <w:rFonts w:ascii="Arial;Helvetica;sans-serif" w:hAnsi="Arial;Helvetica;sans-serif"/>
          <w:b w:val="false"/>
          <w:i w:val="false"/>
          <w:caps w:val="false"/>
          <w:smallCaps w:val="false"/>
          <w:color w:val="000000"/>
          <w:spacing w:val="-1"/>
          <w:sz w:val="18"/>
        </w:rPr>
        <w:t xml:space="preserve">. In determining the amount of cash bonus for each NEO, we consider, among other things, performance with respect to our success in implementing our business strategies that yield long-term benefits and align our NEOs’ interests with those of our investors. The Compensation Committee believes it is important to hold our NEOs accountable for overall Company results. For a discussion of the individual and Company performance measures considered by the Compensation Committee in connection with 2025 bonus payments, see </w:t>
      </w:r>
      <w:r>
        <w:rPr>
          <w:rFonts w:ascii="Arial;Helvetica;sans-serif" w:hAnsi="Arial;Helvetica;sans-serif"/>
          <w:b w:val="false"/>
          <w:i/>
          <w:caps w:val="false"/>
          <w:smallCaps w:val="false"/>
          <w:color w:val="000000"/>
          <w:sz w:val="18"/>
        </w:rPr>
        <w:t>2025 Compensation Elements — Annual Incentive Compensation</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73">
                <wp:simplePos x="0" y="0"/>
                <wp:positionH relativeFrom="column">
                  <wp:align>left</wp:align>
                </wp:positionH>
                <wp:positionV relativeFrom="line">
                  <wp:align>top</wp:align>
                </wp:positionV>
                <wp:extent cx="139700" cy="350520"/>
                <wp:effectExtent l="0" t="0" r="0" b="0"/>
                <wp:wrapSquare wrapText="right"/>
                <wp:docPr id="361" name="Frame21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Non-GAAP Financial Measures for 2025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Our Annual Incentive Compensation and Long-Term Equity Incentive Compensation programs (as further described below) generally consider </w:t>
      </w:r>
      <w:r>
        <w:rPr>
          <w:rFonts w:ascii="Arial;Helvetica;sans-serif" w:hAnsi="Arial;Helvetica;sans-serif"/>
          <w:b/>
          <w:i w:val="false"/>
          <w:caps w:val="false"/>
          <w:smallCaps w:val="false"/>
          <w:color w:val="000000"/>
          <w:spacing w:val="0"/>
          <w:sz w:val="18"/>
        </w:rPr>
        <w:t>Plan Adjusted EBITDA</w:t>
      </w:r>
      <w:r>
        <w:rPr>
          <w:rFonts w:ascii="Arial;Helvetica;sans-serif" w:hAnsi="Arial;Helvetica;sans-serif"/>
          <w:b w:val="false"/>
          <w:i w:val="false"/>
          <w:caps w:val="false"/>
          <w:smallCaps w:val="false"/>
          <w:color w:val="000000"/>
          <w:spacing w:val="-1"/>
          <w:sz w:val="18"/>
        </w:rPr>
        <w:t xml:space="preserve"> when determining performance achievement under the respective programs, which is defined as net income (loss) adjusted for (i) interest expense, net, (ii) provision for income taxes, (iii) depreciation and amortization, (iv) inventory-related adjustments, (v) stock-based compensation, (vi) litigation (gains) charges, net, (vii) transaction-related costs, and (viii) other non-core (gains) charges. With respect to 2025 compensation performance and achievement, we further adjusted for the impact of acquisitions, divestitures, and gross tariff-related amounts.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2025 Compensation Elements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There are three key components of our executive compensation program for our senior leadership team, including our NEOs: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78"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 salary;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9530" distB="0" distL="139700" distR="0" simplePos="0" locked="0" layoutInCell="1" allowOverlap="1" relativeHeight="374">
                <wp:simplePos x="0" y="0"/>
                <wp:positionH relativeFrom="column">
                  <wp:align>left</wp:align>
                </wp:positionH>
                <wp:positionV relativeFrom="line">
                  <wp:align>top</wp:align>
                </wp:positionV>
                <wp:extent cx="139700" cy="350520"/>
                <wp:effectExtent l="0" t="0" r="0" b="0"/>
                <wp:wrapSquare wrapText="right"/>
                <wp:docPr id="362" name="Frame21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9pt;mso-wrap-distance-bottom:0pt;margin-top:3.9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8"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Annual incentive bonus;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9530" distB="0" distL="139700" distR="0" simplePos="0" locked="0" layoutInCell="1" allowOverlap="1" relativeHeight="375">
                <wp:simplePos x="0" y="0"/>
                <wp:positionH relativeFrom="column">
                  <wp:align>left</wp:align>
                </wp:positionH>
                <wp:positionV relativeFrom="line">
                  <wp:align>top</wp:align>
                </wp:positionV>
                <wp:extent cx="139700" cy="350520"/>
                <wp:effectExtent l="0" t="0" r="0" b="0"/>
                <wp:wrapSquare wrapText="right"/>
                <wp:docPr id="363" name="Frame21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9pt;mso-wrap-distance-bottom:0pt;margin-top:3.9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8"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Long-term equity incentive compensation in the form of Incentive Units, which are intended to be profits interests for U.S. income tax purposes.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9530" distB="0" distL="139700" distR="0" simplePos="0" locked="0" layoutInCell="1" allowOverlap="1" relativeHeight="376">
                <wp:simplePos x="0" y="0"/>
                <wp:positionH relativeFrom="column">
                  <wp:align>left</wp:align>
                </wp:positionH>
                <wp:positionV relativeFrom="line">
                  <wp:align>top</wp:align>
                </wp:positionV>
                <wp:extent cx="139700" cy="350520"/>
                <wp:effectExtent l="0" t="0" r="0" b="0"/>
                <wp:wrapSquare wrapText="right"/>
                <wp:docPr id="364" name="Frame21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9pt;mso-wrap-distance-bottom:0pt;margin-top:3.9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 addition to these key compensation elements, the NEOs are provided certain other compensation. See </w:t>
      </w:r>
      <w:r>
        <w:rPr>
          <w:rFonts w:ascii="Arial;Helvetica;sans-serif" w:hAnsi="Arial;Helvetica;sans-serif"/>
          <w:b w:val="false"/>
          <w:i/>
          <w:caps w:val="false"/>
          <w:smallCaps w:val="false"/>
          <w:color w:val="000000"/>
          <w:sz w:val="18"/>
        </w:rPr>
        <w:t>Other Compensation Policies and Practices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Base Salary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Compensation Committee believes that base salaries are an important component of our executive compensation program and are critical in attracting and retaining executive talent. The Compensation Committee typically reviews base salaries of our NEOs in the fourth quarter of each year, with any changes effective on the first day of the following fiscal year. In setting annual base salaries, the Compensation Committee takes into consideration our overall financial and operating performance in the prior year, our company-wide target for base salary increases for all employees, its members’ assessment of market and competitive salary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50</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AICL"/>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10" w:before="4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information within our peer group, inflation, changes in the scope of an executive officer’s job responsibilities, other components of compensation, and other relevant factors. The Compensation Committee also reviews each NEO’s individual performance and the performance of the divisions, business units, or departments for which that person is responsible. For NEOs other than the CEO, the Compensation Committee also considers any feedback from the CEO regarding that person’s performance. No formulaic base salary increases are provided to the NEOs.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on its review of peer data and each NEO’s individual performance, the Compensation Committee approved an increase to the base salary of Mr. Golwas, whose base salary increased from $700,000 to $800,000 for fiscal year 2025. No changes were made to the base salaries of our other NEOs for fiscal year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base salary for each of our NEOs during the fiscal year ended December 31, 2025 was as follows:</w:t>
      </w:r>
      <w:r>
        <w:rPr>
          <w:rFonts w:ascii="Arial;Helvetica;sans-serif" w:hAnsi="Arial;Helvetica;sans-serif"/>
          <w:b w:val="false"/>
          <w:i w:val="false"/>
          <w:caps w:val="false"/>
          <w:smallCaps w:val="false"/>
          <w:color w:val="000000"/>
          <w:spacing w:val="4"/>
          <w:sz w:val="18"/>
        </w:rPr>
        <w:t xml:space="preserve"> </w:t>
      </w:r>
    </w:p>
    <w:tbl>
      <w:tblPr>
        <w:tblW w:w="3968" w:type="dxa"/>
        <w:jc w:val="left"/>
        <w:tblInd w:w="720" w:type="dxa"/>
        <w:tblLayout w:type="fixed"/>
        <w:tblCellMar>
          <w:top w:w="0" w:type="dxa"/>
          <w:left w:w="0" w:type="dxa"/>
          <w:bottom w:w="43" w:type="dxa"/>
          <w:right w:w="0" w:type="dxa"/>
        </w:tblCellMar>
      </w:tblPr>
      <w:tblGrid>
        <w:gridCol w:w="2086"/>
        <w:gridCol w:w="109"/>
        <w:gridCol w:w="109"/>
        <w:gridCol w:w="109"/>
        <w:gridCol w:w="226"/>
        <w:gridCol w:w="1066"/>
        <w:gridCol w:w="109"/>
        <w:gridCol w:w="154"/>
      </w:tblGrid>
      <w:tr>
        <w:trPr/>
        <w:tc>
          <w:tcPr>
            <w:tcW w:w="2086" w:type="dxa"/>
            <w:tcBorders>
              <w:bottom w:val="single" w:sz="2" w:space="0" w:color="000000"/>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0"/>
              </w:rPr>
              <w:t xml:space="preserve">Fiscal </w:t>
              <w:br/>
              <w:t xml:space="preserve">Year Ended </w:t>
              <w:br/>
              <w:t>December 31,</w:t>
            </w:r>
            <w:r>
              <w:rPr/>
              <w:t xml:space="preserve"> </w:t>
              <w:br/>
            </w:r>
            <w:r>
              <w:rPr>
                <w:spacing w:val="-2"/>
              </w:rPr>
              <w:t>2025</w:t>
            </w:r>
            <w:r>
              <w:rPr/>
              <w:t xml:space="preserve"> </w:t>
              <w:br/>
            </w:r>
            <w:r>
              <w:rPr>
                <w:spacing w:val="0"/>
              </w:rPr>
              <w:t xml:space="preserve">Base Salary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tcMar>
              <w:bottom w:w="51" w:type="dxa"/>
            </w:tcMar>
            <w:vAlign w:val="center"/>
          </w:tcPr>
          <w:p>
            <w:pPr>
              <w:pStyle w:val="TableContents"/>
              <w:bidi w:val="0"/>
              <w:spacing w:before="0" w:after="283"/>
              <w:jc w:val="left"/>
              <w:rPr>
                <w:spacing w:val="0"/>
              </w:rPr>
            </w:pPr>
            <w:r>
              <w:rPr>
                <w:spacing w:val="0"/>
              </w:rPr>
              <w:t xml:space="preserve">James M. Boyle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0"/>
              <w:jc w:val="right"/>
              <w:rPr>
                <w:b w:val="false"/>
              </w:rPr>
            </w:pPr>
            <w:r>
              <w:rPr>
                <w:b w:val="false"/>
              </w:rPr>
              <w:t>$</w:t>
            </w:r>
          </w:p>
        </w:tc>
        <w:tc>
          <w:tcPr>
            <w:tcW w:w="1066" w:type="dxa"/>
            <w:tcBorders>
              <w:bottom w:val="single" w:sz="6" w:space="0" w:color="000000"/>
            </w:tcBorders>
            <w:tcMar>
              <w:bottom w:w="51" w:type="dxa"/>
            </w:tcMar>
            <w:vAlign w:val="center"/>
          </w:tcPr>
          <w:p>
            <w:pPr>
              <w:pStyle w:val="TableContents"/>
              <w:bidi w:val="0"/>
              <w:spacing w:before="0" w:after="0"/>
              <w:jc w:val="right"/>
              <w:rPr>
                <w:b w:val="false"/>
              </w:rPr>
            </w:pPr>
            <w:r>
              <w:rPr>
                <w:b w:val="false"/>
              </w:rPr>
              <w:t>1,250,000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Michael B. Drazin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810,000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tcMar>
              <w:bottom w:w="51" w:type="dxa"/>
            </w:tcMar>
            <w:vAlign w:val="center"/>
          </w:tcPr>
          <w:p>
            <w:pPr>
              <w:pStyle w:val="TableContents"/>
              <w:bidi w:val="0"/>
              <w:spacing w:before="0" w:after="283"/>
              <w:jc w:val="left"/>
              <w:rPr>
                <w:spacing w:val="0"/>
              </w:rPr>
            </w:pPr>
            <w:r>
              <w:rPr>
                <w:spacing w:val="0"/>
              </w:rPr>
              <w:t xml:space="preserve">James M. Pigott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0"/>
              <w:jc w:val="right"/>
              <w:rPr>
                <w:b w:val="false"/>
              </w:rPr>
            </w:pPr>
            <w:r>
              <w:rPr>
                <w:b w:val="false"/>
              </w:rPr>
              <w:t>$</w:t>
            </w:r>
          </w:p>
        </w:tc>
        <w:tc>
          <w:tcPr>
            <w:tcW w:w="1066" w:type="dxa"/>
            <w:tcBorders>
              <w:bottom w:val="single" w:sz="6" w:space="0" w:color="000000"/>
            </w:tcBorders>
            <w:tcMar>
              <w:bottom w:w="51" w:type="dxa"/>
            </w:tcMar>
            <w:vAlign w:val="center"/>
          </w:tcPr>
          <w:p>
            <w:pPr>
              <w:pStyle w:val="TableContents"/>
              <w:bidi w:val="0"/>
              <w:spacing w:before="0" w:after="0"/>
              <w:jc w:val="right"/>
              <w:rPr>
                <w:b w:val="false"/>
              </w:rPr>
            </w:pPr>
            <w:r>
              <w:rPr>
                <w:b w:val="false"/>
              </w:rPr>
              <w:t>1,100,000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Douglas P. Golwas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800,000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tcMar>
              <w:bottom w:w="42" w:type="dxa"/>
            </w:tcMar>
            <w:vAlign w:val="center"/>
          </w:tcPr>
          <w:p>
            <w:pPr>
              <w:pStyle w:val="TableContents"/>
              <w:bidi w:val="0"/>
              <w:spacing w:before="0" w:after="0"/>
              <w:jc w:val="left"/>
              <w:rPr>
                <w:b/>
                <w:spacing w:val="0"/>
              </w:rPr>
            </w:pPr>
            <w:r>
              <w:rPr>
                <w:b/>
                <w:spacing w:val="0"/>
              </w:rPr>
              <w:t xml:space="preserve">Stephen L. Miller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2" w:type="dxa"/>
            </w:tcMar>
            <w:vAlign w:val="center"/>
          </w:tcPr>
          <w:p>
            <w:pPr>
              <w:pStyle w:val="TableContents"/>
              <w:bidi w:val="0"/>
              <w:spacing w:before="0" w:after="283"/>
              <w:jc w:val="right"/>
              <w:rPr/>
            </w:pPr>
            <w:r>
              <w:rPr/>
              <w:t>$</w:t>
            </w:r>
          </w:p>
        </w:tc>
        <w:tc>
          <w:tcPr>
            <w:tcW w:w="1066" w:type="dxa"/>
            <w:tcBorders>
              <w:bottom w:val="single" w:sz="6" w:space="0" w:color="000000"/>
            </w:tcBorders>
            <w:tcMar>
              <w:bottom w:w="42" w:type="dxa"/>
            </w:tcMar>
            <w:vAlign w:val="center"/>
          </w:tcPr>
          <w:p>
            <w:pPr>
              <w:pStyle w:val="TableContents"/>
              <w:bidi w:val="0"/>
              <w:spacing w:before="0" w:after="283"/>
              <w:jc w:val="right"/>
              <w:rPr/>
            </w:pPr>
            <w:r>
              <w:rPr/>
              <w:t>800,000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80" w:before="96" w:after="28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Annual Incentive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maintain an annual cash-based incentive plan, the Medline Industries, LP Annual Incentive Plan (the “AIP”),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 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our AIP, each NEO has threshold, target and maximum bonus opportunities expressed as a percentage of the NEO’s base salary.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fiscal year 2025, our NEOs had target and maximum bonus opportunities under the AIP as follows:</w:t>
      </w:r>
      <w:r>
        <w:rPr>
          <w:rFonts w:ascii="Arial;Helvetica;sans-serif" w:hAnsi="Arial;Helvetica;sans-serif"/>
          <w:b w:val="false"/>
          <w:i w:val="false"/>
          <w:caps w:val="false"/>
          <w:smallCaps w:val="false"/>
          <w:color w:val="000000"/>
          <w:spacing w:val="4"/>
          <w:sz w:val="18"/>
        </w:rPr>
        <w:t xml:space="preserve"> </w:t>
      </w:r>
    </w:p>
    <w:tbl>
      <w:tblPr>
        <w:tblW w:w="9213" w:type="dxa"/>
        <w:jc w:val="left"/>
        <w:tblInd w:w="720" w:type="dxa"/>
        <w:tblLayout w:type="fixed"/>
        <w:tblCellMar>
          <w:top w:w="0" w:type="dxa"/>
          <w:left w:w="0" w:type="dxa"/>
          <w:bottom w:w="43" w:type="dxa"/>
          <w:right w:w="0" w:type="dxa"/>
        </w:tblCellMar>
      </w:tblPr>
      <w:tblGrid>
        <w:gridCol w:w="2086"/>
        <w:gridCol w:w="109"/>
        <w:gridCol w:w="109"/>
        <w:gridCol w:w="422"/>
        <w:gridCol w:w="422"/>
        <w:gridCol w:w="1815"/>
        <w:gridCol w:w="430"/>
        <w:gridCol w:w="109"/>
        <w:gridCol w:w="109"/>
        <w:gridCol w:w="471"/>
        <w:gridCol w:w="471"/>
        <w:gridCol w:w="2026"/>
        <w:gridCol w:w="480"/>
        <w:gridCol w:w="154"/>
      </w:tblGrid>
      <w:tr>
        <w:trPr/>
        <w:tc>
          <w:tcPr>
            <w:tcW w:w="2086" w:type="dxa"/>
            <w:tcBorders>
              <w:bottom w:val="single" w:sz="2" w:space="0" w:color="000000"/>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9"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AIP Target Annual Bonus as a </w:t>
              <w:br/>
              <w:t xml:space="preserve">Percentage of Base Salary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48"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AIP Maximum Annual Bonus as a </w:t>
              <w:br/>
              <w:t xml:space="preserve">Percentage of Base Salary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James M. Boyle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tcMar>
              <w:bottom w:w="51" w:type="dxa"/>
            </w:tcMar>
            <w:vAlign w:val="center"/>
          </w:tcPr>
          <w:p>
            <w:pPr>
              <w:pStyle w:val="TableContents"/>
              <w:bidi w:val="0"/>
              <w:spacing w:before="0" w:after="283"/>
              <w:jc w:val="right"/>
              <w:rPr/>
            </w:pPr>
            <w:r>
              <w:rPr/>
              <w:t>​</w:t>
            </w:r>
          </w:p>
        </w:tc>
        <w:tc>
          <w:tcPr>
            <w:tcW w:w="1815" w:type="dxa"/>
            <w:tcBorders>
              <w:bottom w:val="single" w:sz="6" w:space="0" w:color="000000"/>
            </w:tcBorders>
            <w:tcMar>
              <w:bottom w:w="51" w:type="dxa"/>
            </w:tcMar>
            <w:vAlign w:val="center"/>
          </w:tcPr>
          <w:p>
            <w:pPr>
              <w:pStyle w:val="TableContents"/>
              <w:bidi w:val="0"/>
              <w:spacing w:before="0" w:after="283"/>
              <w:jc w:val="right"/>
              <w:rPr/>
            </w:pPr>
            <w:r>
              <w:rPr/>
              <w:t>133%</w:t>
            </w:r>
          </w:p>
        </w:tc>
        <w:tc>
          <w:tcPr>
            <w:tcW w:w="43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tcMar>
              <w:bottom w:w="51" w:type="dxa"/>
            </w:tcMar>
            <w:vAlign w:val="center"/>
          </w:tcPr>
          <w:p>
            <w:pPr>
              <w:pStyle w:val="TableContents"/>
              <w:bidi w:val="0"/>
              <w:spacing w:before="0" w:after="283"/>
              <w:jc w:val="right"/>
              <w:rPr/>
            </w:pPr>
            <w:r>
              <w:rPr/>
              <w:t>​</w:t>
            </w:r>
          </w:p>
        </w:tc>
        <w:tc>
          <w:tcPr>
            <w:tcW w:w="2026" w:type="dxa"/>
            <w:tcBorders>
              <w:bottom w:val="single" w:sz="6" w:space="0" w:color="000000"/>
            </w:tcBorders>
            <w:tcMar>
              <w:bottom w:w="51" w:type="dxa"/>
            </w:tcMar>
            <w:vAlign w:val="center"/>
          </w:tcPr>
          <w:p>
            <w:pPr>
              <w:pStyle w:val="TableContents"/>
              <w:bidi w:val="0"/>
              <w:spacing w:before="0" w:after="283"/>
              <w:jc w:val="right"/>
              <w:rPr/>
            </w:pPr>
            <w:r>
              <w:rPr/>
              <w:t>200%</w:t>
            </w:r>
          </w:p>
        </w:tc>
        <w:tc>
          <w:tcPr>
            <w:tcW w:w="480"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Michael B. Drazin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815" w:type="dxa"/>
            <w:tcBorders>
              <w:bottom w:val="single" w:sz="6" w:space="0" w:color="000000"/>
            </w:tcBorders>
            <w:shd w:fill="E6EEF8" w:val="clear"/>
            <w:tcMar>
              <w:bottom w:w="51" w:type="dxa"/>
            </w:tcMar>
            <w:vAlign w:val="center"/>
          </w:tcPr>
          <w:p>
            <w:pPr>
              <w:pStyle w:val="TableContents"/>
              <w:bidi w:val="0"/>
              <w:spacing w:before="0" w:after="283"/>
              <w:jc w:val="right"/>
              <w:rPr/>
            </w:pPr>
            <w:r>
              <w:rPr/>
              <w:t>100%</w:t>
            </w:r>
          </w:p>
        </w:tc>
        <w:tc>
          <w:tcPr>
            <w:tcW w:w="43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2026" w:type="dxa"/>
            <w:tcBorders>
              <w:bottom w:val="single" w:sz="6" w:space="0" w:color="000000"/>
            </w:tcBorders>
            <w:shd w:fill="E6EEF8" w:val="clear"/>
            <w:tcMar>
              <w:bottom w:w="51" w:type="dxa"/>
            </w:tcMar>
            <w:vAlign w:val="center"/>
          </w:tcPr>
          <w:p>
            <w:pPr>
              <w:pStyle w:val="TableContents"/>
              <w:bidi w:val="0"/>
              <w:spacing w:before="0" w:after="283"/>
              <w:jc w:val="right"/>
              <w:rPr/>
            </w:pPr>
            <w:r>
              <w:rPr/>
              <w:t>150%</w:t>
            </w:r>
          </w:p>
        </w:tc>
        <w:tc>
          <w:tcPr>
            <w:tcW w:w="48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James M. Pigott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tcMar>
              <w:bottom w:w="51" w:type="dxa"/>
            </w:tcMar>
            <w:vAlign w:val="center"/>
          </w:tcPr>
          <w:p>
            <w:pPr>
              <w:pStyle w:val="TableContents"/>
              <w:bidi w:val="0"/>
              <w:spacing w:before="0" w:after="283"/>
              <w:jc w:val="right"/>
              <w:rPr/>
            </w:pPr>
            <w:r>
              <w:rPr/>
              <w:t>​</w:t>
            </w:r>
          </w:p>
        </w:tc>
        <w:tc>
          <w:tcPr>
            <w:tcW w:w="1815" w:type="dxa"/>
            <w:tcBorders>
              <w:bottom w:val="single" w:sz="6" w:space="0" w:color="000000"/>
            </w:tcBorders>
            <w:tcMar>
              <w:bottom w:w="51" w:type="dxa"/>
            </w:tcMar>
            <w:vAlign w:val="center"/>
          </w:tcPr>
          <w:p>
            <w:pPr>
              <w:pStyle w:val="TableContents"/>
              <w:bidi w:val="0"/>
              <w:spacing w:before="0" w:after="283"/>
              <w:jc w:val="right"/>
              <w:rPr/>
            </w:pPr>
            <w:r>
              <w:rPr/>
              <w:t>100%</w:t>
            </w:r>
          </w:p>
        </w:tc>
        <w:tc>
          <w:tcPr>
            <w:tcW w:w="43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tcMar>
              <w:bottom w:w="51" w:type="dxa"/>
            </w:tcMar>
            <w:vAlign w:val="center"/>
          </w:tcPr>
          <w:p>
            <w:pPr>
              <w:pStyle w:val="TableContents"/>
              <w:bidi w:val="0"/>
              <w:spacing w:before="0" w:after="283"/>
              <w:jc w:val="right"/>
              <w:rPr/>
            </w:pPr>
            <w:r>
              <w:rPr/>
              <w:t>​</w:t>
            </w:r>
          </w:p>
        </w:tc>
        <w:tc>
          <w:tcPr>
            <w:tcW w:w="2026" w:type="dxa"/>
            <w:tcBorders>
              <w:bottom w:val="single" w:sz="6" w:space="0" w:color="000000"/>
            </w:tcBorders>
            <w:tcMar>
              <w:bottom w:w="51" w:type="dxa"/>
            </w:tcMar>
            <w:vAlign w:val="center"/>
          </w:tcPr>
          <w:p>
            <w:pPr>
              <w:pStyle w:val="TableContents"/>
              <w:bidi w:val="0"/>
              <w:spacing w:before="0" w:after="283"/>
              <w:jc w:val="right"/>
              <w:rPr/>
            </w:pPr>
            <w:r>
              <w:rPr/>
              <w:t>150%</w:t>
            </w:r>
          </w:p>
        </w:tc>
        <w:tc>
          <w:tcPr>
            <w:tcW w:w="480"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Douglas P. Golwas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815" w:type="dxa"/>
            <w:tcBorders>
              <w:bottom w:val="single" w:sz="6" w:space="0" w:color="000000"/>
            </w:tcBorders>
            <w:shd w:fill="E6EEF8" w:val="clear"/>
            <w:tcMar>
              <w:bottom w:w="51" w:type="dxa"/>
            </w:tcMar>
            <w:vAlign w:val="center"/>
          </w:tcPr>
          <w:p>
            <w:pPr>
              <w:pStyle w:val="TableContents"/>
              <w:bidi w:val="0"/>
              <w:spacing w:before="0" w:after="283"/>
              <w:jc w:val="right"/>
              <w:rPr/>
            </w:pPr>
            <w:r>
              <w:rPr/>
              <w:t>100%</w:t>
            </w:r>
          </w:p>
        </w:tc>
        <w:tc>
          <w:tcPr>
            <w:tcW w:w="43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2026" w:type="dxa"/>
            <w:tcBorders>
              <w:bottom w:val="single" w:sz="6" w:space="0" w:color="000000"/>
            </w:tcBorders>
            <w:shd w:fill="E6EEF8" w:val="clear"/>
            <w:tcMar>
              <w:bottom w:w="51" w:type="dxa"/>
            </w:tcMar>
            <w:vAlign w:val="center"/>
          </w:tcPr>
          <w:p>
            <w:pPr>
              <w:pStyle w:val="TableContents"/>
              <w:bidi w:val="0"/>
              <w:spacing w:before="0" w:after="283"/>
              <w:jc w:val="right"/>
              <w:rPr/>
            </w:pPr>
            <w:r>
              <w:rPr/>
              <w:t>150%</w:t>
            </w:r>
          </w:p>
        </w:tc>
        <w:tc>
          <w:tcPr>
            <w:tcW w:w="48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2086" w:type="dxa"/>
            <w:tcBorders>
              <w:bottom w:val="single" w:sz="6" w:space="0" w:color="000000"/>
            </w:tcBorders>
            <w:tcMar>
              <w:bottom w:w="42" w:type="dxa"/>
            </w:tcMar>
            <w:vAlign w:val="center"/>
          </w:tcPr>
          <w:p>
            <w:pPr>
              <w:pStyle w:val="TableContents"/>
              <w:bidi w:val="0"/>
              <w:spacing w:before="0" w:after="0"/>
              <w:jc w:val="left"/>
              <w:rPr>
                <w:b/>
                <w:spacing w:val="0"/>
              </w:rPr>
            </w:pPr>
            <w:r>
              <w:rPr>
                <w:b/>
                <w:spacing w:val="0"/>
              </w:rPr>
              <w:t xml:space="preserve">Stephen L. Miller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tcMar>
              <w:bottom w:w="28" w:type="dxa"/>
            </w:tcMar>
            <w:vAlign w:val="center"/>
          </w:tcPr>
          <w:p>
            <w:pPr>
              <w:pStyle w:val="TableContents"/>
              <w:bidi w:val="0"/>
              <w:spacing w:before="0" w:after="283"/>
              <w:jc w:val="left"/>
              <w:rPr/>
            </w:pPr>
            <w:r>
              <w:rPr/>
              <w:t>​</w:t>
            </w:r>
          </w:p>
        </w:tc>
        <w:tc>
          <w:tcPr>
            <w:tcW w:w="422" w:type="dxa"/>
            <w:tcBorders>
              <w:bottom w:val="single" w:sz="6" w:space="0" w:color="000000"/>
            </w:tcBorders>
            <w:tcMar>
              <w:bottom w:w="42" w:type="dxa"/>
            </w:tcMar>
            <w:vAlign w:val="center"/>
          </w:tcPr>
          <w:p>
            <w:pPr>
              <w:pStyle w:val="TableContents"/>
              <w:bidi w:val="0"/>
              <w:spacing w:before="0" w:after="283"/>
              <w:jc w:val="right"/>
              <w:rPr/>
            </w:pPr>
            <w:r>
              <w:rPr/>
              <w:t>​</w:t>
            </w:r>
          </w:p>
        </w:tc>
        <w:tc>
          <w:tcPr>
            <w:tcW w:w="1815" w:type="dxa"/>
            <w:tcBorders>
              <w:bottom w:val="single" w:sz="6" w:space="0" w:color="000000"/>
            </w:tcBorders>
            <w:tcMar>
              <w:bottom w:w="42" w:type="dxa"/>
            </w:tcMar>
            <w:vAlign w:val="center"/>
          </w:tcPr>
          <w:p>
            <w:pPr>
              <w:pStyle w:val="TableContents"/>
              <w:bidi w:val="0"/>
              <w:spacing w:before="0" w:after="283"/>
              <w:jc w:val="right"/>
              <w:rPr/>
            </w:pPr>
            <w:r>
              <w:rPr/>
              <w:t>100%</w:t>
            </w:r>
          </w:p>
        </w:tc>
        <w:tc>
          <w:tcPr>
            <w:tcW w:w="43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tcMar>
              <w:bottom w:w="28" w:type="dxa"/>
            </w:tcMar>
            <w:vAlign w:val="center"/>
          </w:tcPr>
          <w:p>
            <w:pPr>
              <w:pStyle w:val="TableContents"/>
              <w:bidi w:val="0"/>
              <w:spacing w:before="0" w:after="283"/>
              <w:jc w:val="left"/>
              <w:rPr/>
            </w:pPr>
            <w:r>
              <w:rPr/>
              <w:t>​</w:t>
            </w:r>
          </w:p>
        </w:tc>
        <w:tc>
          <w:tcPr>
            <w:tcW w:w="471" w:type="dxa"/>
            <w:tcBorders>
              <w:bottom w:val="single" w:sz="6" w:space="0" w:color="000000"/>
            </w:tcBorders>
            <w:tcMar>
              <w:bottom w:w="42" w:type="dxa"/>
            </w:tcMar>
            <w:vAlign w:val="center"/>
          </w:tcPr>
          <w:p>
            <w:pPr>
              <w:pStyle w:val="TableContents"/>
              <w:bidi w:val="0"/>
              <w:spacing w:before="0" w:after="283"/>
              <w:jc w:val="right"/>
              <w:rPr/>
            </w:pPr>
            <w:r>
              <w:rPr/>
              <w:t>​</w:t>
            </w:r>
          </w:p>
        </w:tc>
        <w:tc>
          <w:tcPr>
            <w:tcW w:w="2026" w:type="dxa"/>
            <w:tcBorders>
              <w:bottom w:val="single" w:sz="6" w:space="0" w:color="000000"/>
            </w:tcBorders>
            <w:tcMar>
              <w:bottom w:w="42" w:type="dxa"/>
            </w:tcMar>
            <w:vAlign w:val="center"/>
          </w:tcPr>
          <w:p>
            <w:pPr>
              <w:pStyle w:val="TableContents"/>
              <w:bidi w:val="0"/>
              <w:spacing w:before="0" w:after="283"/>
              <w:jc w:val="right"/>
              <w:rPr/>
            </w:pPr>
            <w:r>
              <w:rPr/>
              <w:t>150%</w:t>
            </w:r>
          </w:p>
        </w:tc>
        <w:tc>
          <w:tcPr>
            <w:tcW w:w="480"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164"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each performance objective, there is a threshold achievement level at or below which the NEO will receive no payout in respect of that performance objective.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actual 2025 AIP bonus amounts are calculated formulaically based on actual achievement against certain individual performance considerations and financial or operational performance goals,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First,</w:t>
      </w:r>
      <w:r>
        <w:rPr>
          <w:rFonts w:ascii="Arial;Helvetica;sans-serif" w:hAnsi="Arial;Helvetica;sans-serif"/>
          <w:b w:val="false"/>
          <w:i w:val="false"/>
          <w:caps w:val="false"/>
          <w:smallCaps w:val="false"/>
          <w:color w:val="000000"/>
          <w:spacing w:val="-1"/>
          <w:sz w:val="18"/>
        </w:rPr>
        <w:t xml:space="preserve"> the weight applied to each specific objective is multiplied by the NEO’s AIP maximum annual bonus percentage.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77">
                <wp:simplePos x="0" y="0"/>
                <wp:positionH relativeFrom="column">
                  <wp:align>left</wp:align>
                </wp:positionH>
                <wp:positionV relativeFrom="line">
                  <wp:posOffset>635</wp:posOffset>
                </wp:positionV>
                <wp:extent cx="139700" cy="14605"/>
                <wp:effectExtent l="0" t="0" r="0" b="0"/>
                <wp:wrapSquare wrapText="right"/>
                <wp:docPr id="365" name="Frame219"/>
                <a:graphic xmlns:a="http://schemas.openxmlformats.org/drawingml/2006/main">
                  <a:graphicData uri="http://schemas.microsoft.com/office/word/2010/wordprocessingShape">
                    <wps:wsp>
                      <wps:cNvSpPr txBox="1"/>
                      <wps:spPr>
                        <a:xfrm>
                          <a:off x="0" y="0"/>
                          <a:ext cx="139700" cy="14605"/>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1.15pt;mso-wrap-distance-left:11pt;mso-wrap-distance-right:0pt;mso-wrap-distance-top:3.5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Second</w:t>
      </w:r>
      <w:r>
        <w:rPr>
          <w:rFonts w:ascii="Arial;Helvetica;sans-serif" w:hAnsi="Arial;Helvetica;sans-serif"/>
          <w:b w:val="false"/>
          <w:i w:val="false"/>
          <w:caps w:val="false"/>
          <w:smallCaps w:val="false"/>
          <w:color w:val="000000"/>
          <w:spacing w:val="-1"/>
          <w:sz w:val="18"/>
        </w:rPr>
        <w:t>, the resulting percentage from the first step is multiplied by the NEO’s base salary to determine the maximum amount payable in respect of each performance metric;</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78">
                <wp:simplePos x="0" y="0"/>
                <wp:positionH relativeFrom="column">
                  <wp:align>left</wp:align>
                </wp:positionH>
                <wp:positionV relativeFrom="line">
                  <wp:posOffset>635</wp:posOffset>
                </wp:positionV>
                <wp:extent cx="139700" cy="14605"/>
                <wp:effectExtent l="0" t="0" r="0" b="0"/>
                <wp:wrapSquare wrapText="right"/>
                <wp:docPr id="366" name="Frame220"/>
                <a:graphic xmlns:a="http://schemas.openxmlformats.org/drawingml/2006/main">
                  <a:graphicData uri="http://schemas.microsoft.com/office/word/2010/wordprocessingShape">
                    <wps:wsp>
                      <wps:cNvSpPr txBox="1"/>
                      <wps:spPr>
                        <a:xfrm>
                          <a:off x="0" y="0"/>
                          <a:ext cx="139700" cy="14605"/>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1.15pt;mso-wrap-distance-left:11pt;mso-wrap-distance-right:0pt;mso-wrap-distance-top:3.5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Third</w:t>
      </w:r>
      <w:r>
        <w:rPr>
          <w:rFonts w:ascii="Arial;Helvetica;sans-serif" w:hAnsi="Arial;Helvetica;sans-serif"/>
          <w:b w:val="false"/>
          <w:i w:val="false"/>
          <w:caps w:val="false"/>
          <w:smallCaps w:val="false"/>
          <w:color w:val="000000"/>
          <w:spacing w:val="-1"/>
          <w:sz w:val="18"/>
        </w:rPr>
        <w:t>, the dollar amount from the second step is multiplied by the actual attainment percentage of each applicable performance objective and applicable modifiers measured against a pre-established scale to determine the amount payable;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79">
                <wp:simplePos x="0" y="0"/>
                <wp:positionH relativeFrom="column">
                  <wp:align>left</wp:align>
                </wp:positionH>
                <wp:positionV relativeFrom="line">
                  <wp:posOffset>635</wp:posOffset>
                </wp:positionV>
                <wp:extent cx="139700" cy="14605"/>
                <wp:effectExtent l="0" t="0" r="0" b="0"/>
                <wp:wrapSquare wrapText="right"/>
                <wp:docPr id="367" name="Frame221"/>
                <a:graphic xmlns:a="http://schemas.openxmlformats.org/drawingml/2006/main">
                  <a:graphicData uri="http://schemas.microsoft.com/office/word/2010/wordprocessingShape">
                    <wps:wsp>
                      <wps:cNvSpPr txBox="1"/>
                      <wps:spPr>
                        <a:xfrm>
                          <a:off x="0" y="0"/>
                          <a:ext cx="139700" cy="14605"/>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1.15pt;mso-wrap-distance-left:11pt;mso-wrap-distance-right:0pt;mso-wrap-distance-top:3.5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Fourth</w:t>
      </w:r>
      <w:r>
        <w:rPr>
          <w:rFonts w:ascii="Arial;Helvetica;sans-serif" w:hAnsi="Arial;Helvetica;sans-serif"/>
          <w:b w:val="false"/>
          <w:i w:val="false"/>
          <w:caps w:val="false"/>
          <w:smallCaps w:val="false"/>
          <w:color w:val="000000"/>
          <w:spacing w:val="-1"/>
          <w:sz w:val="18"/>
        </w:rPr>
        <w:t>, the sum of the amounts calculated in the third step for each performance objective is the NEO’s AIP Bonus.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39700" distR="0" simplePos="0" locked="0" layoutInCell="1" allowOverlap="1" relativeHeight="380">
                <wp:simplePos x="0" y="0"/>
                <wp:positionH relativeFrom="column">
                  <wp:align>left</wp:align>
                </wp:positionH>
                <wp:positionV relativeFrom="line">
                  <wp:posOffset>635</wp:posOffset>
                </wp:positionV>
                <wp:extent cx="139700" cy="14605"/>
                <wp:effectExtent l="0" t="0" r="0" b="0"/>
                <wp:wrapSquare wrapText="right"/>
                <wp:docPr id="368" name="Frame222"/>
                <a:graphic xmlns:a="http://schemas.openxmlformats.org/drawingml/2006/main">
                  <a:graphicData uri="http://schemas.microsoft.com/office/word/2010/wordprocessingShape">
                    <wps:wsp>
                      <wps:cNvSpPr txBox="1"/>
                      <wps:spPr>
                        <a:xfrm>
                          <a:off x="0" y="0"/>
                          <a:ext cx="139700" cy="14605"/>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1.15pt;mso-wrap-distance-left:11pt;mso-wrap-distance-right:0pt;mso-wrap-distance-top:3.5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For fiscal year 2025, the annual bonus payouts for each of our NEOs was tied to the achievement of various metrics, as reflected in the tables below. The following tables illustrate the calculation of the annual incentive compensation payable to each of our NEOs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30" w:before="400" w:after="120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our AIP for fiscal year 2025. In the event actual achievement of a performance objective is between levels, the achievement percentage is calculated using linear interpolation.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For purposes of the AIP, 2025 Plan Adjusted EBITDA is calculated as set forth under </w:t>
      </w:r>
      <w:r>
        <w:rPr>
          <w:rFonts w:ascii="Arial;Helvetica;sans-serif" w:hAnsi="Arial;Helvetica;sans-serif"/>
          <w:b w:val="false"/>
          <w:i/>
          <w:caps w:val="false"/>
          <w:smallCaps w:val="false"/>
          <w:color w:val="000000"/>
          <w:sz w:val="18"/>
        </w:rPr>
        <w:t>2025 Compensation Framework — Process for Determining 2025 Compensation — Non-GAAP Financial Measures for 2025 Compensation</w:t>
      </w:r>
      <w:r>
        <w:rPr>
          <w:rFonts w:ascii="Arial;Helvetica;sans-serif" w:hAnsi="Arial;Helvetica;sans-serif"/>
          <w:b w:val="false"/>
          <w:i w:val="false"/>
          <w:caps w:val="false"/>
          <w:smallCaps w:val="false"/>
          <w:color w:val="000000"/>
          <w:spacing w:val="-1"/>
          <w:sz w:val="18"/>
        </w:rPr>
        <w:t>, less the impact of divestitures and acquisitions and gross tariff-related adjustments. However, for 2025 Plan Adjusted EBITDA, tariff-related adjustments cannot cause a NEO’s actual bonus payout to increase above 100% of target and no tariff-related adjustment will be applied if the actual bonus payout, for the respective component, is above 100% of target without the tariff-related adjustment.</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30" w:before="20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u w:val="single"/>
        </w:rPr>
        <w:t>Mr. Boyle</w:t>
      </w:r>
      <w:r>
        <w:rPr>
          <w:rFonts w:ascii="Arial;Helvetica;sans-serif" w:hAnsi="Arial;Helvetica;sans-serif"/>
          <w:b w:val="false"/>
          <w:i w:val="false"/>
          <w:caps w:val="false"/>
          <w:smallCaps w:val="false"/>
          <w:color w:val="000000"/>
          <w:spacing w:val="-1"/>
          <w:sz w:val="18"/>
        </w:rPr>
        <w:t xml:space="preserve"> </w:t>
      </w:r>
      <w:r>
        <w:rPr>
          <w:rFonts w:ascii="Arial;Helvetica;sans-serif" w:hAnsi="Arial;Helvetica;sans-serif"/>
          <w:b w:val="false"/>
          <w:i w:val="false"/>
          <w:caps w:val="false"/>
          <w:smallCaps w:val="false"/>
          <w:color w:val="000000"/>
          <w:sz w:val="18"/>
        </w:rPr>
        <w:br/>
      </w:r>
      <w:r>
        <w:rPr>
          <w:rFonts w:ascii="Arial;Helvetica;sans-serif" w:hAnsi="Arial;Helvetica;sans-serif"/>
          <w:b w:val="false"/>
          <w:i w:val="false"/>
          <w:caps w:val="false"/>
          <w:smallCaps w:val="false"/>
          <w:color w:val="000000"/>
          <w:spacing w:val="-1"/>
          <w:sz w:val="18"/>
          <w:u w:val="single"/>
        </w:rPr>
        <w:t>Performance Period: January 1, 2025 - December 31, 2025 ($ in millions)</w:t>
      </w:r>
      <w:r>
        <w:rPr>
          <w:rFonts w:ascii="Arial;Helvetica;sans-serif" w:hAnsi="Arial;Helvetica;sans-serif"/>
          <w:b w:val="false"/>
          <w:i w:val="false"/>
          <w:caps w:val="false"/>
          <w:smallCaps w:val="false"/>
          <w:color w:val="000000"/>
          <w:spacing w:val="4"/>
          <w:sz w:val="18"/>
        </w:rPr>
        <w:t xml:space="preserve"> </w:t>
      </w:r>
    </w:p>
    <w:tbl>
      <w:tblPr>
        <w:tblW w:w="9995" w:type="dxa"/>
        <w:jc w:val="left"/>
        <w:tblInd w:w="720" w:type="dxa"/>
        <w:tblLayout w:type="fixed"/>
        <w:tblCellMar>
          <w:top w:w="0" w:type="dxa"/>
          <w:left w:w="0" w:type="dxa"/>
          <w:bottom w:w="43" w:type="dxa"/>
          <w:right w:w="0" w:type="dxa"/>
        </w:tblCellMar>
      </w:tblPr>
      <w:tblGrid>
        <w:gridCol w:w="1741"/>
        <w:gridCol w:w="109"/>
        <w:gridCol w:w="109"/>
        <w:gridCol w:w="109"/>
        <w:gridCol w:w="109"/>
        <w:gridCol w:w="469"/>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109"/>
        <w:gridCol w:w="829"/>
        <w:gridCol w:w="109"/>
        <w:gridCol w:w="154"/>
      </w:tblGrid>
      <w:tr>
        <w:trPr/>
        <w:tc>
          <w:tcPr>
            <w:tcW w:w="1741" w:type="dxa"/>
            <w:tcBorders>
              <w:bottom w:val="single" w:sz="2" w:space="0" w:color="000000"/>
            </w:tcBorders>
            <w:vAlign w:val="center"/>
          </w:tcPr>
          <w:p>
            <w:pPr>
              <w:pStyle w:val="TableContents"/>
              <w:bidi w:val="0"/>
              <w:spacing w:before="0" w:after="0"/>
              <w:jc w:val="left"/>
              <w:rPr>
                <w:spacing w:val="0"/>
              </w:rPr>
            </w:pPr>
            <w:r>
              <w:rPr>
                <w:spacing w:val="0"/>
              </w:rPr>
              <w:t xml:space="preserve">Performance Goals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Maximum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br/>
              <w:t xml:space="preserve">Percentage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Attainment level percentage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46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66.5%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133%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283"/>
              <w:jc w:val="right"/>
              <w:rPr/>
            </w:pPr>
            <w:r>
              <w:rPr/>
              <w:t>​</w:t>
            </w:r>
          </w:p>
        </w:tc>
        <w:tc>
          <w:tcPr>
            <w:tcW w:w="766"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82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2025 Plan Adjusted EBITDA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51" w:type="dxa"/>
            </w:tcMar>
            <w:vAlign w:val="center"/>
          </w:tcPr>
          <w:p>
            <w:pPr>
              <w:pStyle w:val="TableContents"/>
              <w:bidi w:val="0"/>
              <w:spacing w:before="0" w:after="283"/>
              <w:jc w:val="right"/>
              <w:rPr/>
            </w:pPr>
            <w:r>
              <w:rPr/>
              <w:t>70%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3,428</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3,732</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3,844</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3,599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shd w:fill="E6EEF8" w:val="clear"/>
            <w:tcMar>
              <w:bottom w:w="51" w:type="dxa"/>
            </w:tcMar>
            <w:vAlign w:val="center"/>
          </w:tcPr>
          <w:p>
            <w:pPr>
              <w:pStyle w:val="TableContents"/>
              <w:bidi w:val="0"/>
              <w:spacing w:before="0" w:after="283"/>
              <w:jc w:val="right"/>
              <w:rPr/>
            </w:pPr>
            <w:r>
              <w:rPr/>
              <w:t>78.09%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2025 Net Sales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tcMar>
              <w:bottom w:w="51" w:type="dxa"/>
            </w:tcMar>
            <w:vAlign w:val="center"/>
          </w:tcPr>
          <w:p>
            <w:pPr>
              <w:pStyle w:val="TableContents"/>
              <w:bidi w:val="0"/>
              <w:spacing w:before="0" w:after="283"/>
              <w:jc w:val="right"/>
              <w:rPr/>
            </w:pPr>
            <w:r>
              <w:rPr/>
              <w:t>30%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26,017</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28,442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28,726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28,432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tcMar>
              <w:bottom w:w="51" w:type="dxa"/>
            </w:tcMar>
            <w:vAlign w:val="center"/>
          </w:tcPr>
          <w:p>
            <w:pPr>
              <w:pStyle w:val="TableContents"/>
              <w:bidi w:val="0"/>
              <w:spacing w:before="0" w:after="283"/>
              <w:jc w:val="right"/>
              <w:rPr/>
            </w:pPr>
            <w:r>
              <w:rPr/>
              <w:t>99.79%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42" w:type="dxa"/>
            </w:tcMar>
            <w:vAlign w:val="center"/>
          </w:tcPr>
          <w:p>
            <w:pPr>
              <w:pStyle w:val="TableContents"/>
              <w:bidi w:val="0"/>
              <w:spacing w:before="0" w:after="283"/>
              <w:jc w:val="left"/>
              <w:rPr>
                <w:spacing w:val="0"/>
              </w:rPr>
            </w:pPr>
            <w:r>
              <w:rPr>
                <w:spacing w:val="0"/>
              </w:rPr>
              <w:t xml:space="preserve">Actual Attainment Percentage Performance Period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2" w:type="dxa"/>
            </w:tcMar>
            <w:vAlign w:val="center"/>
          </w:tcPr>
          <w:p>
            <w:pPr>
              <w:pStyle w:val="TableContents"/>
              <w:bidi w:val="0"/>
              <w:spacing w:before="0" w:after="0"/>
              <w:jc w:val="right"/>
              <w:rPr/>
            </w:pPr>
            <w:r>
              <w:rPr/>
              <w:t>​</w:t>
            </w:r>
          </w:p>
        </w:tc>
        <w:tc>
          <w:tcPr>
            <w:tcW w:w="829" w:type="dxa"/>
            <w:tcBorders>
              <w:bottom w:val="single" w:sz="6" w:space="0" w:color="000000"/>
            </w:tcBorders>
            <w:shd w:fill="E6EEF8" w:val="clear"/>
            <w:tcMar>
              <w:bottom w:w="42" w:type="dxa"/>
            </w:tcMar>
            <w:vAlign w:val="center"/>
          </w:tcPr>
          <w:p>
            <w:pPr>
              <w:pStyle w:val="TableContents"/>
              <w:bidi w:val="0"/>
              <w:spacing w:before="0" w:after="0"/>
              <w:jc w:val="right"/>
              <w:rPr>
                <w:b w:val="false"/>
              </w:rPr>
            </w:pPr>
            <w:r>
              <w:rPr>
                <w:b w:val="false"/>
              </w:rPr>
              <w:t>84.60%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14" w:after="283"/>
        <w:ind w:left="72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u w:val="single"/>
        </w:rPr>
        <w:t>Mr. Drazin</w:t>
      </w:r>
      <w:r>
        <w:rPr>
          <w:rFonts w:ascii="Arial;Helvetica;sans-serif" w:hAnsi="Arial;Helvetica;sans-serif"/>
          <w:b w:val="false"/>
          <w:i w:val="false"/>
          <w:caps w:val="false"/>
          <w:smallCaps w:val="false"/>
          <w:color w:val="000000"/>
          <w:spacing w:val="-1"/>
          <w:sz w:val="18"/>
        </w:rPr>
        <w:t xml:space="preserve"> </w:t>
      </w:r>
      <w:r>
        <w:rPr>
          <w:rFonts w:ascii="Arial;Helvetica;sans-serif" w:hAnsi="Arial;Helvetica;sans-serif"/>
          <w:b w:val="false"/>
          <w:i w:val="false"/>
          <w:caps w:val="false"/>
          <w:smallCaps w:val="false"/>
          <w:color w:val="000000"/>
          <w:sz w:val="18"/>
        </w:rPr>
        <w:br/>
      </w:r>
      <w:r>
        <w:rPr>
          <w:rFonts w:ascii="Arial;Helvetica;sans-serif" w:hAnsi="Arial;Helvetica;sans-serif"/>
          <w:b w:val="false"/>
          <w:i w:val="false"/>
          <w:caps w:val="false"/>
          <w:smallCaps w:val="false"/>
          <w:color w:val="000000"/>
          <w:spacing w:val="-1"/>
          <w:sz w:val="18"/>
          <w:u w:val="single"/>
        </w:rPr>
        <w:t>Performance Period: January 1, 2025 - December 31, 2025 ($ in millions)</w:t>
      </w:r>
      <w:r>
        <w:rPr>
          <w:rFonts w:ascii="Arial;Helvetica;sans-serif" w:hAnsi="Arial;Helvetica;sans-serif"/>
          <w:b w:val="false"/>
          <w:i w:val="false"/>
          <w:caps w:val="false"/>
          <w:smallCaps w:val="false"/>
          <w:color w:val="000000"/>
          <w:spacing w:val="4"/>
          <w:sz w:val="18"/>
        </w:rPr>
        <w:t xml:space="preserve"> </w:t>
      </w:r>
    </w:p>
    <w:tbl>
      <w:tblPr>
        <w:tblW w:w="9587" w:type="dxa"/>
        <w:jc w:val="left"/>
        <w:tblInd w:w="720" w:type="dxa"/>
        <w:tblLayout w:type="fixed"/>
        <w:tblCellMar>
          <w:top w:w="0" w:type="dxa"/>
          <w:left w:w="0" w:type="dxa"/>
          <w:bottom w:w="43" w:type="dxa"/>
          <w:right w:w="0" w:type="dxa"/>
        </w:tblCellMar>
      </w:tblPr>
      <w:tblGrid>
        <w:gridCol w:w="1741"/>
        <w:gridCol w:w="109"/>
        <w:gridCol w:w="109"/>
        <w:gridCol w:w="109"/>
        <w:gridCol w:w="109"/>
        <w:gridCol w:w="469"/>
        <w:gridCol w:w="109"/>
        <w:gridCol w:w="109"/>
        <w:gridCol w:w="109"/>
        <w:gridCol w:w="109"/>
        <w:gridCol w:w="226"/>
        <w:gridCol w:w="652"/>
        <w:gridCol w:w="109"/>
        <w:gridCol w:w="109"/>
        <w:gridCol w:w="109"/>
        <w:gridCol w:w="109"/>
        <w:gridCol w:w="226"/>
        <w:gridCol w:w="646"/>
        <w:gridCol w:w="109"/>
        <w:gridCol w:w="109"/>
        <w:gridCol w:w="109"/>
        <w:gridCol w:w="109"/>
        <w:gridCol w:w="226"/>
        <w:gridCol w:w="646"/>
        <w:gridCol w:w="109"/>
        <w:gridCol w:w="109"/>
        <w:gridCol w:w="109"/>
        <w:gridCol w:w="109"/>
        <w:gridCol w:w="226"/>
        <w:gridCol w:w="712"/>
        <w:gridCol w:w="109"/>
        <w:gridCol w:w="109"/>
        <w:gridCol w:w="109"/>
        <w:gridCol w:w="109"/>
        <w:gridCol w:w="109"/>
        <w:gridCol w:w="829"/>
        <w:gridCol w:w="109"/>
        <w:gridCol w:w="154"/>
      </w:tblGrid>
      <w:tr>
        <w:trPr/>
        <w:tc>
          <w:tcPr>
            <w:tcW w:w="1741" w:type="dxa"/>
            <w:tcBorders>
              <w:bottom w:val="single" w:sz="2" w:space="0" w:color="000000"/>
            </w:tcBorders>
            <w:vAlign w:val="center"/>
          </w:tcPr>
          <w:p>
            <w:pPr>
              <w:pStyle w:val="TableContents"/>
              <w:bidi w:val="0"/>
              <w:spacing w:before="0" w:after="0"/>
              <w:jc w:val="left"/>
              <w:rPr>
                <w:spacing w:val="0"/>
              </w:rPr>
            </w:pPr>
            <w:r>
              <w:rPr>
                <w:spacing w:val="0"/>
              </w:rPr>
              <w:t xml:space="preserve">Performance Goals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6" w:type="dxa"/>
            <w:gridSpan w:val="4"/>
            <w:tcBorders>
              <w:bottom w:val="single" w:sz="2" w:space="0" w:color="000000"/>
            </w:tcBorders>
            <w:vAlign w:val="center"/>
          </w:tcPr>
          <w:p>
            <w:pPr>
              <w:pStyle w:val="TableContents"/>
              <w:bidi w:val="0"/>
              <w:spacing w:lineRule="atLeast" w:line="142" w:before="0" w:after="0"/>
              <w:jc w:val="center"/>
              <w:rPr/>
            </w:pPr>
            <w:r>
              <w:rPr>
                <w:spacing w:val="0"/>
              </w:rPr>
              <w:t>Threshold</w:t>
            </w:r>
            <w:r>
              <w:rPr>
                <w:spacing w:val="-2"/>
                <w:sz w:val="10"/>
              </w:rPr>
              <w:t>(3)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Maximum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br/>
              <w:t xml:space="preserve">Percentage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Attainment level percentage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46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52" w:type="dxa"/>
            <w:tcBorders>
              <w:bottom w:val="single" w:sz="6" w:space="0" w:color="000000"/>
            </w:tcBorders>
            <w:tcMar>
              <w:bottom w:w="51" w:type="dxa"/>
            </w:tcMar>
            <w:vAlign w:val="center"/>
          </w:tcPr>
          <w:p>
            <w:pPr>
              <w:pStyle w:val="TableContents"/>
              <w:bidi w:val="0"/>
              <w:spacing w:before="0" w:after="283"/>
              <w:jc w:val="right"/>
              <w:rPr/>
            </w:pPr>
            <w:r>
              <w:rPr/>
              <w:t>—</w:t>
            </w: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100%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150%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283"/>
              <w:jc w:val="right"/>
              <w:rPr/>
            </w:pPr>
            <w:r>
              <w:rPr/>
              <w:t>​</w:t>
            </w:r>
          </w:p>
        </w:tc>
        <w:tc>
          <w:tcPr>
            <w:tcW w:w="712"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82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2025 Plan Adjusted EBITDA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51" w:type="dxa"/>
            </w:tcMar>
            <w:vAlign w:val="center"/>
          </w:tcPr>
          <w:p>
            <w:pPr>
              <w:pStyle w:val="TableContents"/>
              <w:bidi w:val="0"/>
              <w:spacing w:before="0" w:after="283"/>
              <w:jc w:val="right"/>
              <w:rPr/>
            </w:pPr>
            <w:r>
              <w:rPr/>
              <w:t>70%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52" w:type="dxa"/>
            <w:tcBorders>
              <w:bottom w:val="single" w:sz="6" w:space="0" w:color="000000"/>
            </w:tcBorders>
            <w:shd w:fill="E6EEF8" w:val="clear"/>
            <w:tcMar>
              <w:bottom w:w="51" w:type="dxa"/>
            </w:tcMar>
            <w:vAlign w:val="center"/>
          </w:tcPr>
          <w:p>
            <w:pPr>
              <w:pStyle w:val="TableContents"/>
              <w:bidi w:val="0"/>
              <w:spacing w:before="0" w:after="283"/>
              <w:jc w:val="right"/>
              <w:rPr/>
            </w:pPr>
            <w:r>
              <w:rPr/>
              <w:t>3,428</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51" w:type="dxa"/>
            </w:tcMar>
            <w:vAlign w:val="center"/>
          </w:tcPr>
          <w:p>
            <w:pPr>
              <w:pStyle w:val="TableContents"/>
              <w:bidi w:val="0"/>
              <w:spacing w:before="0" w:after="283"/>
              <w:jc w:val="right"/>
              <w:rPr/>
            </w:pPr>
            <w:r>
              <w:rPr/>
              <w:t>3,732</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51" w:type="dxa"/>
            </w:tcMar>
            <w:vAlign w:val="center"/>
          </w:tcPr>
          <w:p>
            <w:pPr>
              <w:pStyle w:val="TableContents"/>
              <w:bidi w:val="0"/>
              <w:spacing w:before="0" w:after="283"/>
              <w:jc w:val="right"/>
              <w:rPr/>
            </w:pPr>
            <w:r>
              <w:rPr/>
              <w:t>3,844</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12" w:type="dxa"/>
            <w:tcBorders>
              <w:bottom w:val="single" w:sz="6" w:space="0" w:color="000000"/>
            </w:tcBorders>
            <w:shd w:fill="E6EEF8" w:val="clear"/>
            <w:tcMar>
              <w:bottom w:w="51" w:type="dxa"/>
            </w:tcMar>
            <w:vAlign w:val="center"/>
          </w:tcPr>
          <w:p>
            <w:pPr>
              <w:pStyle w:val="TableContents"/>
              <w:bidi w:val="0"/>
              <w:spacing w:before="0" w:after="283"/>
              <w:jc w:val="right"/>
              <w:rPr/>
            </w:pPr>
            <w:r>
              <w:rPr/>
              <w:t>3,599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shd w:fill="E6EEF8" w:val="clear"/>
            <w:tcMar>
              <w:bottom w:w="51" w:type="dxa"/>
            </w:tcMar>
            <w:vAlign w:val="center"/>
          </w:tcPr>
          <w:p>
            <w:pPr>
              <w:pStyle w:val="TableContents"/>
              <w:bidi w:val="0"/>
              <w:spacing w:before="0" w:after="283"/>
              <w:jc w:val="right"/>
              <w:rPr/>
            </w:pPr>
            <w:r>
              <w:rPr/>
              <w:t>78.09%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ind w:left="160" w:right="0" w:hanging="160"/>
              <w:jc w:val="left"/>
              <w:rPr/>
            </w:pPr>
            <w:r>
              <w:rPr>
                <w:b/>
                <w:spacing w:val="0"/>
              </w:rPr>
              <w:t xml:space="preserve">Finance Expense as a Percentage of Sales (excl. Bad Debt &amp; </w:t>
              <w:br/>
              <w:t>Interest)</w:t>
            </w:r>
            <w:r>
              <w:rPr>
                <w:bCs/>
                <w:spacing w:val="-2"/>
                <w:szCs w:val="10"/>
              </w:rPr>
              <w:t>﻿</w:t>
            </w:r>
            <w:r>
              <w:rPr>
                <w:b/>
                <w:spacing w:val="-2"/>
                <w:sz w:val="10"/>
              </w:rPr>
              <w:t>(1)</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tcMar>
              <w:bottom w:w="51" w:type="dxa"/>
            </w:tcMar>
            <w:vAlign w:val="center"/>
          </w:tcPr>
          <w:p>
            <w:pPr>
              <w:pStyle w:val="TableContents"/>
              <w:bidi w:val="0"/>
              <w:spacing w:before="0" w:after="283"/>
              <w:jc w:val="right"/>
              <w:rPr/>
            </w:pPr>
            <w:r>
              <w:rPr/>
              <w:t>20%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52" w:type="dxa"/>
            <w:tcBorders>
              <w:bottom w:val="single" w:sz="6" w:space="0" w:color="000000"/>
            </w:tcBorders>
            <w:tcMar>
              <w:bottom w:w="51" w:type="dxa"/>
            </w:tcMar>
            <w:vAlign w:val="center"/>
          </w:tcPr>
          <w:p>
            <w:pPr>
              <w:pStyle w:val="TableContents"/>
              <w:bidi w:val="0"/>
              <w:spacing w:before="0" w:after="283"/>
              <w:jc w:val="right"/>
              <w:rPr/>
            </w:pPr>
            <w:r>
              <w:rPr/>
              <w:t>0.42%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0.39%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0.36%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12" w:type="dxa"/>
            <w:tcBorders>
              <w:bottom w:val="single" w:sz="6" w:space="0" w:color="000000"/>
            </w:tcBorders>
            <w:tcMar>
              <w:bottom w:w="51" w:type="dxa"/>
            </w:tcMar>
            <w:vAlign w:val="center"/>
          </w:tcPr>
          <w:p>
            <w:pPr>
              <w:pStyle w:val="TableContents"/>
              <w:bidi w:val="0"/>
              <w:spacing w:before="0" w:after="283"/>
              <w:jc w:val="right"/>
              <w:rPr/>
            </w:pPr>
            <w:r>
              <w:rPr/>
              <w:t>0.38%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tcMar>
              <w:bottom w:w="51" w:type="dxa"/>
            </w:tcMar>
            <w:vAlign w:val="center"/>
          </w:tcPr>
          <w:p>
            <w:pPr>
              <w:pStyle w:val="TableContents"/>
              <w:bidi w:val="0"/>
              <w:spacing w:before="0" w:after="283"/>
              <w:jc w:val="right"/>
              <w:rPr/>
            </w:pPr>
            <w:r>
              <w:rPr/>
              <w:t>122.75%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51" w:type="dxa"/>
            </w:tcMar>
            <w:vAlign w:val="center"/>
          </w:tcPr>
          <w:p>
            <w:pPr>
              <w:pStyle w:val="TableContents"/>
              <w:bidi w:val="0"/>
              <w:spacing w:lineRule="atLeast" w:line="142" w:before="0" w:after="0"/>
              <w:jc w:val="left"/>
              <w:rPr>
                <w:b/>
              </w:rPr>
            </w:pPr>
            <w:r>
              <w:rPr>
                <w:b/>
                <w:spacing w:val="0"/>
              </w:rPr>
              <w:t>Percentage of Accounts Receivable over 30 days past due</w:t>
            </w:r>
            <w:r>
              <w:rPr>
                <w:b/>
                <w:spacing w:val="-2"/>
                <w:sz w:val="10"/>
              </w:rPr>
              <w:t>(2)</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51" w:type="dxa"/>
            </w:tcMar>
            <w:vAlign w:val="center"/>
          </w:tcPr>
          <w:p>
            <w:pPr>
              <w:pStyle w:val="TableContents"/>
              <w:bidi w:val="0"/>
              <w:spacing w:before="0" w:after="283"/>
              <w:jc w:val="right"/>
              <w:rPr/>
            </w:pPr>
            <w:r>
              <w:rPr/>
              <w:t>10%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52" w:type="dxa"/>
            <w:tcBorders>
              <w:bottom w:val="single" w:sz="6" w:space="0" w:color="000000"/>
            </w:tcBorders>
            <w:shd w:fill="E6EEF8" w:val="clear"/>
            <w:tcMar>
              <w:bottom w:w="51" w:type="dxa"/>
            </w:tcMar>
            <w:vAlign w:val="center"/>
          </w:tcPr>
          <w:p>
            <w:pPr>
              <w:pStyle w:val="TableContents"/>
              <w:bidi w:val="0"/>
              <w:spacing w:before="0" w:after="283"/>
              <w:jc w:val="right"/>
              <w:rPr/>
            </w:pPr>
            <w:r>
              <w:rPr/>
              <w:t>4.00%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51" w:type="dxa"/>
            </w:tcMar>
            <w:vAlign w:val="center"/>
          </w:tcPr>
          <w:p>
            <w:pPr>
              <w:pStyle w:val="TableContents"/>
              <w:bidi w:val="0"/>
              <w:spacing w:before="0" w:after="283"/>
              <w:jc w:val="right"/>
              <w:rPr/>
            </w:pPr>
            <w:r>
              <w:rPr/>
              <w:t>3.00%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51" w:type="dxa"/>
            </w:tcMar>
            <w:vAlign w:val="center"/>
          </w:tcPr>
          <w:p>
            <w:pPr>
              <w:pStyle w:val="TableContents"/>
              <w:bidi w:val="0"/>
              <w:spacing w:before="0" w:after="283"/>
              <w:jc w:val="right"/>
              <w:rPr/>
            </w:pPr>
            <w:r>
              <w:rPr/>
              <w:t>2.50%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12" w:type="dxa"/>
            <w:tcBorders>
              <w:bottom w:val="single" w:sz="6" w:space="0" w:color="000000"/>
            </w:tcBorders>
            <w:shd w:fill="E6EEF8" w:val="clear"/>
            <w:tcMar>
              <w:bottom w:w="51" w:type="dxa"/>
            </w:tcMar>
            <w:vAlign w:val="center"/>
          </w:tcPr>
          <w:p>
            <w:pPr>
              <w:pStyle w:val="TableContents"/>
              <w:bidi w:val="0"/>
              <w:spacing w:before="0" w:after="283"/>
              <w:jc w:val="right"/>
              <w:rPr/>
            </w:pPr>
            <w:r>
              <w:rPr/>
              <w:t>2.11%</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shd w:fill="E6EEF8" w:val="clear"/>
            <w:tcMar>
              <w:bottom w:w="51" w:type="dxa"/>
            </w:tcMar>
            <w:vAlign w:val="center"/>
          </w:tcPr>
          <w:p>
            <w:pPr>
              <w:pStyle w:val="TableContents"/>
              <w:bidi w:val="0"/>
              <w:spacing w:before="0" w:after="283"/>
              <w:jc w:val="right"/>
              <w:rPr/>
            </w:pPr>
            <w:r>
              <w:rPr/>
              <w:t>150.00%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42" w:type="dxa"/>
            </w:tcMar>
            <w:vAlign w:val="center"/>
          </w:tcPr>
          <w:p>
            <w:pPr>
              <w:pStyle w:val="TableContents"/>
              <w:bidi w:val="0"/>
              <w:spacing w:before="0" w:after="283"/>
              <w:jc w:val="left"/>
              <w:rPr>
                <w:spacing w:val="0"/>
              </w:rPr>
            </w:pPr>
            <w:r>
              <w:rPr>
                <w:spacing w:val="0"/>
              </w:rPr>
              <w:t xml:space="preserve">Actual Attainment Percentage Performance Period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2" w:type="dxa"/>
            </w:tcMar>
            <w:vAlign w:val="center"/>
          </w:tcPr>
          <w:p>
            <w:pPr>
              <w:pStyle w:val="TableContents"/>
              <w:bidi w:val="0"/>
              <w:spacing w:before="0" w:after="283"/>
              <w:jc w:val="right"/>
              <w:rPr/>
            </w:pPr>
            <w:r>
              <w:rPr/>
              <w:t>​</w:t>
            </w:r>
          </w:p>
        </w:tc>
        <w:tc>
          <w:tcPr>
            <w:tcW w:w="469" w:type="dxa"/>
            <w:tcBorders>
              <w:bottom w:val="single" w:sz="6" w:space="0" w:color="000000"/>
            </w:tcBorders>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2" w:type="dxa"/>
            </w:tcMar>
            <w:vAlign w:val="center"/>
          </w:tcPr>
          <w:p>
            <w:pPr>
              <w:pStyle w:val="TableContents"/>
              <w:bidi w:val="0"/>
              <w:spacing w:before="0" w:after="283"/>
              <w:jc w:val="right"/>
              <w:rPr/>
            </w:pPr>
            <w:r>
              <w:rPr/>
              <w:t>​</w:t>
            </w:r>
          </w:p>
        </w:tc>
        <w:tc>
          <w:tcPr>
            <w:tcW w:w="652" w:type="dxa"/>
            <w:tcBorders>
              <w:bottom w:val="single" w:sz="6" w:space="0" w:color="000000"/>
            </w:tcBorders>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2" w:type="dxa"/>
            </w:tcMar>
            <w:vAlign w:val="center"/>
          </w:tcPr>
          <w:p>
            <w:pPr>
              <w:pStyle w:val="TableContents"/>
              <w:bidi w:val="0"/>
              <w:spacing w:before="0" w:after="283"/>
              <w:jc w:val="right"/>
              <w:rPr/>
            </w:pPr>
            <w:r>
              <w:rPr/>
              <w:t>​</w:t>
            </w:r>
          </w:p>
        </w:tc>
        <w:tc>
          <w:tcPr>
            <w:tcW w:w="646" w:type="dxa"/>
            <w:tcBorders>
              <w:bottom w:val="single" w:sz="6" w:space="0" w:color="000000"/>
            </w:tcBorders>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2" w:type="dxa"/>
            </w:tcMar>
            <w:vAlign w:val="center"/>
          </w:tcPr>
          <w:p>
            <w:pPr>
              <w:pStyle w:val="TableContents"/>
              <w:bidi w:val="0"/>
              <w:spacing w:before="0" w:after="283"/>
              <w:jc w:val="right"/>
              <w:rPr/>
            </w:pPr>
            <w:r>
              <w:rPr/>
              <w:t>​</w:t>
            </w:r>
          </w:p>
        </w:tc>
        <w:tc>
          <w:tcPr>
            <w:tcW w:w="646" w:type="dxa"/>
            <w:tcBorders>
              <w:bottom w:val="single" w:sz="6" w:space="0" w:color="000000"/>
            </w:tcBorders>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2" w:type="dxa"/>
            </w:tcMar>
            <w:vAlign w:val="center"/>
          </w:tcPr>
          <w:p>
            <w:pPr>
              <w:pStyle w:val="TableContents"/>
              <w:bidi w:val="0"/>
              <w:spacing w:before="0" w:after="283"/>
              <w:jc w:val="right"/>
              <w:rPr/>
            </w:pPr>
            <w:r>
              <w:rPr/>
              <w:t>​</w:t>
            </w:r>
          </w:p>
        </w:tc>
        <w:tc>
          <w:tcPr>
            <w:tcW w:w="712" w:type="dxa"/>
            <w:tcBorders>
              <w:bottom w:val="single" w:sz="6" w:space="0" w:color="000000"/>
            </w:tcBorders>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2" w:type="dxa"/>
            </w:tcMar>
            <w:vAlign w:val="center"/>
          </w:tcPr>
          <w:p>
            <w:pPr>
              <w:pStyle w:val="TableContents"/>
              <w:bidi w:val="0"/>
              <w:spacing w:before="0" w:after="0"/>
              <w:jc w:val="right"/>
              <w:rPr/>
            </w:pPr>
            <w:r>
              <w:rPr/>
              <w:t>​</w:t>
            </w:r>
          </w:p>
        </w:tc>
        <w:tc>
          <w:tcPr>
            <w:tcW w:w="829" w:type="dxa"/>
            <w:tcBorders>
              <w:bottom w:val="single" w:sz="6" w:space="0" w:color="000000"/>
            </w:tcBorders>
            <w:tcMar>
              <w:bottom w:w="42" w:type="dxa"/>
            </w:tcMar>
            <w:vAlign w:val="center"/>
          </w:tcPr>
          <w:p>
            <w:pPr>
              <w:pStyle w:val="TableContents"/>
              <w:bidi w:val="0"/>
              <w:spacing w:before="0" w:after="0"/>
              <w:jc w:val="right"/>
              <w:rPr>
                <w:b w:val="false"/>
              </w:rPr>
            </w:pPr>
            <w:r>
              <w:rPr>
                <w:b w:val="false"/>
              </w:rPr>
              <w:t>94.21%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24"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Mr. Drazin, Finance Expense as a Percent of Sales (excl. Bad Debt &amp; Interest) measures the performance of controllable U.S. finance expenses .</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8740" distB="0" distL="0" distR="0" simplePos="0" locked="0" layoutInCell="1" allowOverlap="1" relativeHeight="381">
                <wp:simplePos x="0" y="0"/>
                <wp:positionH relativeFrom="column">
                  <wp:align>left</wp:align>
                </wp:positionH>
                <wp:positionV relativeFrom="line">
                  <wp:align>top</wp:align>
                </wp:positionV>
                <wp:extent cx="228600" cy="350520"/>
                <wp:effectExtent l="0" t="0" r="0" b="0"/>
                <wp:wrapSquare wrapText="right"/>
                <wp:docPr id="369" name="Frame2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Mr. Drazin, Percentage of Accounts Receivable over 30 days past due measures the amount of invoice dollars that are outstanding for more than 30 days from their due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382">
                <wp:simplePos x="0" y="0"/>
                <wp:positionH relativeFrom="column">
                  <wp:align>left</wp:align>
                </wp:positionH>
                <wp:positionV relativeFrom="line">
                  <wp:align>top</wp:align>
                </wp:positionV>
                <wp:extent cx="228600" cy="350520"/>
                <wp:effectExtent l="0" t="0" r="0" b="0"/>
                <wp:wrapSquare wrapText="right"/>
                <wp:docPr id="370" name="Frame2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Mr. Drazin, threshold performance for 2025 Plan Adjusted EBITDA results in 50% payout for that metric, while threshold performance for Finance Expense as a Percentage of Sales (excl. Bad Debt &amp; Interest) and Percentage of Accounts Receivable over 30 days past due results in 0% payout for those metrics.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383">
                <wp:simplePos x="0" y="0"/>
                <wp:positionH relativeFrom="column">
                  <wp:align>left</wp:align>
                </wp:positionH>
                <wp:positionV relativeFrom="line">
                  <wp:align>top</wp:align>
                </wp:positionV>
                <wp:extent cx="228600" cy="350520"/>
                <wp:effectExtent l="0" t="0" r="0" b="0"/>
                <wp:wrapSquare wrapText="right"/>
                <wp:docPr id="371" name="Frame2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u w:val="single"/>
        </w:rPr>
        <w:t>Mr. Pigott</w:t>
      </w:r>
      <w:r>
        <w:rPr>
          <w:rFonts w:ascii="Arial;Helvetica;sans-serif" w:hAnsi="Arial;Helvetica;sans-serif"/>
          <w:b w:val="false"/>
          <w:i w:val="false"/>
          <w:caps w:val="false"/>
          <w:smallCaps w:val="false"/>
          <w:color w:val="000000"/>
          <w:spacing w:val="-1"/>
          <w:sz w:val="18"/>
        </w:rPr>
        <w:t xml:space="preserve"> </w:t>
      </w:r>
      <w:r>
        <w:rPr>
          <w:rFonts w:ascii="Arial;Helvetica;sans-serif" w:hAnsi="Arial;Helvetica;sans-serif"/>
          <w:b w:val="false"/>
          <w:i w:val="false"/>
          <w:caps w:val="false"/>
          <w:smallCaps w:val="false"/>
          <w:color w:val="000000"/>
          <w:sz w:val="18"/>
        </w:rPr>
        <w:br/>
      </w:r>
      <w:r>
        <w:rPr>
          <w:rFonts w:ascii="Arial;Helvetica;sans-serif" w:hAnsi="Arial;Helvetica;sans-serif"/>
          <w:b w:val="false"/>
          <w:i w:val="false"/>
          <w:caps w:val="false"/>
          <w:smallCaps w:val="false"/>
          <w:color w:val="000000"/>
          <w:spacing w:val="-1"/>
          <w:sz w:val="18"/>
          <w:u w:val="single"/>
        </w:rPr>
        <w:t>Performance Period: January 1, 2025 - December 31, 2025 ($ in millions)</w:t>
      </w:r>
      <w:r>
        <w:rPr>
          <w:rFonts w:ascii="Arial;Helvetica;sans-serif" w:hAnsi="Arial;Helvetica;sans-serif"/>
          <w:b w:val="false"/>
          <w:i w:val="false"/>
          <w:caps w:val="false"/>
          <w:smallCaps w:val="false"/>
          <w:color w:val="000000"/>
          <w:spacing w:val="4"/>
          <w:sz w:val="18"/>
        </w:rPr>
        <w:t xml:space="preserve"> </w:t>
      </w:r>
    </w:p>
    <w:tbl>
      <w:tblPr>
        <w:tblW w:w="9995" w:type="dxa"/>
        <w:jc w:val="left"/>
        <w:tblInd w:w="720" w:type="dxa"/>
        <w:tblLayout w:type="fixed"/>
        <w:tblCellMar>
          <w:top w:w="0" w:type="dxa"/>
          <w:left w:w="0" w:type="dxa"/>
          <w:bottom w:w="43" w:type="dxa"/>
          <w:right w:w="0" w:type="dxa"/>
        </w:tblCellMar>
      </w:tblPr>
      <w:tblGrid>
        <w:gridCol w:w="1741"/>
        <w:gridCol w:w="109"/>
        <w:gridCol w:w="109"/>
        <w:gridCol w:w="109"/>
        <w:gridCol w:w="109"/>
        <w:gridCol w:w="469"/>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109"/>
        <w:gridCol w:w="829"/>
        <w:gridCol w:w="109"/>
        <w:gridCol w:w="154"/>
      </w:tblGrid>
      <w:tr>
        <w:trPr/>
        <w:tc>
          <w:tcPr>
            <w:tcW w:w="1741" w:type="dxa"/>
            <w:tcBorders>
              <w:bottom w:val="single" w:sz="2" w:space="0" w:color="000000"/>
            </w:tcBorders>
            <w:vAlign w:val="center"/>
          </w:tcPr>
          <w:p>
            <w:pPr>
              <w:pStyle w:val="TableContents"/>
              <w:bidi w:val="0"/>
              <w:spacing w:before="0" w:after="0"/>
              <w:jc w:val="left"/>
              <w:rPr>
                <w:spacing w:val="0"/>
              </w:rPr>
            </w:pPr>
            <w:r>
              <w:rPr>
                <w:spacing w:val="0"/>
              </w:rPr>
              <w:t xml:space="preserve">Performance Goals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Maximum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br/>
              <w:t xml:space="preserve">Percentage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Attainment level percentage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46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50%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100%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150%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283"/>
              <w:jc w:val="right"/>
              <w:rPr/>
            </w:pPr>
            <w:r>
              <w:rPr/>
              <w:t>​</w:t>
            </w:r>
          </w:p>
        </w:tc>
        <w:tc>
          <w:tcPr>
            <w:tcW w:w="766"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82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2025 Plan Adjusted EBITDA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51" w:type="dxa"/>
            </w:tcMar>
            <w:vAlign w:val="center"/>
          </w:tcPr>
          <w:p>
            <w:pPr>
              <w:pStyle w:val="TableContents"/>
              <w:bidi w:val="0"/>
              <w:spacing w:before="0" w:after="283"/>
              <w:jc w:val="right"/>
              <w:rPr/>
            </w:pPr>
            <w:r>
              <w:rPr/>
              <w:t>70%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3,428</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3,732</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3,844</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3,599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shd w:fill="E6EEF8" w:val="clear"/>
            <w:tcMar>
              <w:bottom w:w="51" w:type="dxa"/>
            </w:tcMar>
            <w:vAlign w:val="center"/>
          </w:tcPr>
          <w:p>
            <w:pPr>
              <w:pStyle w:val="TableContents"/>
              <w:bidi w:val="0"/>
              <w:spacing w:before="0" w:after="283"/>
              <w:jc w:val="right"/>
              <w:rPr/>
            </w:pPr>
            <w:r>
              <w:rPr/>
              <w:t>78.09%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2025 Net Sales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tcMar>
              <w:bottom w:w="51" w:type="dxa"/>
            </w:tcMar>
            <w:vAlign w:val="center"/>
          </w:tcPr>
          <w:p>
            <w:pPr>
              <w:pStyle w:val="TableContents"/>
              <w:bidi w:val="0"/>
              <w:spacing w:before="0" w:after="283"/>
              <w:jc w:val="right"/>
              <w:rPr/>
            </w:pPr>
            <w:r>
              <w:rPr/>
              <w:t>30%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26,017</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28,442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28,726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28,432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tcMar>
              <w:bottom w:w="51" w:type="dxa"/>
            </w:tcMar>
            <w:vAlign w:val="center"/>
          </w:tcPr>
          <w:p>
            <w:pPr>
              <w:pStyle w:val="TableContents"/>
              <w:bidi w:val="0"/>
              <w:spacing w:before="0" w:after="283"/>
              <w:jc w:val="right"/>
              <w:rPr/>
            </w:pPr>
            <w:r>
              <w:rPr/>
              <w:t>99.79%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42" w:type="dxa"/>
            </w:tcMar>
            <w:vAlign w:val="center"/>
          </w:tcPr>
          <w:p>
            <w:pPr>
              <w:pStyle w:val="TableContents"/>
              <w:bidi w:val="0"/>
              <w:spacing w:before="0" w:after="283"/>
              <w:jc w:val="left"/>
              <w:rPr>
                <w:spacing w:val="0"/>
              </w:rPr>
            </w:pPr>
            <w:r>
              <w:rPr>
                <w:spacing w:val="0"/>
              </w:rPr>
              <w:t xml:space="preserve">Actual Attainment Percentage Performance Period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2" w:type="dxa"/>
            </w:tcMar>
            <w:vAlign w:val="center"/>
          </w:tcPr>
          <w:p>
            <w:pPr>
              <w:pStyle w:val="TableContents"/>
              <w:bidi w:val="0"/>
              <w:spacing w:before="0" w:after="0"/>
              <w:jc w:val="right"/>
              <w:rPr/>
            </w:pPr>
            <w:r>
              <w:rPr/>
              <w:t>​</w:t>
            </w:r>
          </w:p>
        </w:tc>
        <w:tc>
          <w:tcPr>
            <w:tcW w:w="829" w:type="dxa"/>
            <w:tcBorders>
              <w:bottom w:val="single" w:sz="6" w:space="0" w:color="000000"/>
            </w:tcBorders>
            <w:shd w:fill="E6EEF8" w:val="clear"/>
            <w:tcMar>
              <w:bottom w:w="42" w:type="dxa"/>
            </w:tcMar>
            <w:vAlign w:val="center"/>
          </w:tcPr>
          <w:p>
            <w:pPr>
              <w:pStyle w:val="TableContents"/>
              <w:bidi w:val="0"/>
              <w:spacing w:before="0" w:after="0"/>
              <w:jc w:val="right"/>
              <w:rPr>
                <w:b w:val="false"/>
              </w:rPr>
            </w:pPr>
            <w:r>
              <w:rPr>
                <w:b w:val="false"/>
              </w:rPr>
              <w:t>84.60%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10" w:before="400" w:after="283"/>
        <w:ind w:left="72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u w:val="single"/>
        </w:rPr>
        <w:t>Mr. Golwas</w:t>
      </w:r>
      <w:r>
        <w:rPr>
          <w:rFonts w:ascii="Arial;Helvetica;sans-serif" w:hAnsi="Arial;Helvetica;sans-serif"/>
          <w:b w:val="false"/>
          <w:i w:val="false"/>
          <w:caps w:val="false"/>
          <w:smallCaps w:val="false"/>
          <w:color w:val="000000"/>
          <w:spacing w:val="-1"/>
          <w:sz w:val="18"/>
        </w:rPr>
        <w:t xml:space="preserve"> </w:t>
      </w:r>
      <w:r>
        <w:rPr>
          <w:rFonts w:ascii="Arial;Helvetica;sans-serif" w:hAnsi="Arial;Helvetica;sans-serif"/>
          <w:b w:val="false"/>
          <w:i w:val="false"/>
          <w:caps w:val="false"/>
          <w:smallCaps w:val="false"/>
          <w:color w:val="000000"/>
          <w:sz w:val="18"/>
        </w:rPr>
        <w:br/>
      </w:r>
      <w:r>
        <w:rPr>
          <w:rFonts w:ascii="Arial;Helvetica;sans-serif" w:hAnsi="Arial;Helvetica;sans-serif"/>
          <w:b w:val="false"/>
          <w:i w:val="false"/>
          <w:caps w:val="false"/>
          <w:smallCaps w:val="false"/>
          <w:color w:val="000000"/>
          <w:spacing w:val="-1"/>
          <w:sz w:val="18"/>
          <w:u w:val="single"/>
        </w:rPr>
        <w:t>Performance Period: January 1, 2025 - December 31, 2025 ($ in millions)</w:t>
      </w:r>
      <w:r>
        <w:rPr>
          <w:rFonts w:ascii="Arial;Helvetica;sans-serif" w:hAnsi="Arial;Helvetica;sans-serif"/>
          <w:b w:val="false"/>
          <w:i w:val="false"/>
          <w:caps w:val="false"/>
          <w:smallCaps w:val="false"/>
          <w:color w:val="000000"/>
          <w:spacing w:val="4"/>
          <w:sz w:val="18"/>
        </w:rPr>
        <w:t xml:space="preserve"> </w:t>
      </w:r>
    </w:p>
    <w:tbl>
      <w:tblPr>
        <w:tblW w:w="9521" w:type="dxa"/>
        <w:jc w:val="left"/>
        <w:tblInd w:w="720" w:type="dxa"/>
        <w:tblLayout w:type="fixed"/>
        <w:tblCellMar>
          <w:top w:w="0" w:type="dxa"/>
          <w:left w:w="0" w:type="dxa"/>
          <w:bottom w:w="43" w:type="dxa"/>
          <w:right w:w="0" w:type="dxa"/>
        </w:tblCellMar>
      </w:tblPr>
      <w:tblGrid>
        <w:gridCol w:w="1741"/>
        <w:gridCol w:w="109"/>
        <w:gridCol w:w="109"/>
        <w:gridCol w:w="109"/>
        <w:gridCol w:w="109"/>
        <w:gridCol w:w="469"/>
        <w:gridCol w:w="109"/>
        <w:gridCol w:w="109"/>
        <w:gridCol w:w="109"/>
        <w:gridCol w:w="109"/>
        <w:gridCol w:w="226"/>
        <w:gridCol w:w="652"/>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829"/>
        <w:gridCol w:w="109"/>
        <w:gridCol w:w="154"/>
      </w:tblGrid>
      <w:tr>
        <w:trPr/>
        <w:tc>
          <w:tcPr>
            <w:tcW w:w="1741" w:type="dxa"/>
            <w:tcBorders>
              <w:bottom w:val="single" w:sz="2" w:space="0" w:color="000000"/>
            </w:tcBorders>
            <w:vAlign w:val="center"/>
          </w:tcPr>
          <w:p>
            <w:pPr>
              <w:pStyle w:val="TableContents"/>
              <w:bidi w:val="0"/>
              <w:spacing w:before="0" w:after="0"/>
              <w:jc w:val="left"/>
              <w:rPr>
                <w:spacing w:val="0"/>
              </w:rPr>
            </w:pPr>
            <w:r>
              <w:rPr>
                <w:spacing w:val="0"/>
              </w:rPr>
              <w:t xml:space="preserve">Performance Goals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6" w:type="dxa"/>
            <w:gridSpan w:val="4"/>
            <w:tcBorders>
              <w:bottom w:val="single" w:sz="2" w:space="0" w:color="000000"/>
            </w:tcBorders>
            <w:vAlign w:val="center"/>
          </w:tcPr>
          <w:p>
            <w:pPr>
              <w:pStyle w:val="TableContents"/>
              <w:bidi w:val="0"/>
              <w:spacing w:lineRule="atLeast" w:line="142" w:before="0" w:after="0"/>
              <w:jc w:val="center"/>
              <w:rPr/>
            </w:pPr>
            <w:r>
              <w:rPr>
                <w:spacing w:val="0"/>
              </w:rPr>
              <w:t>Threshold</w:t>
            </w:r>
            <w:r>
              <w:rPr>
                <w:spacing w:val="-2"/>
                <w:sz w:val="10"/>
              </w:rPr>
              <w:t>(2)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Maximum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br/>
              <w:t xml:space="preserve">Percentage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Attainment level percentage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46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52" w:type="dxa"/>
            <w:tcBorders>
              <w:bottom w:val="single" w:sz="6" w:space="0" w:color="000000"/>
            </w:tcBorders>
            <w:tcMar>
              <w:bottom w:w="51" w:type="dxa"/>
            </w:tcMar>
            <w:vAlign w:val="center"/>
          </w:tcPr>
          <w:p>
            <w:pPr>
              <w:pStyle w:val="TableContents"/>
              <w:bidi w:val="0"/>
              <w:spacing w:before="0" w:after="283"/>
              <w:jc w:val="right"/>
              <w:rPr/>
            </w:pPr>
            <w:r>
              <w:rPr/>
              <w:t>—</w:t>
            </w: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100%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150%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283"/>
              <w:jc w:val="right"/>
              <w:rPr/>
            </w:pPr>
            <w:r>
              <w:rPr/>
              <w:t>​</w:t>
            </w:r>
          </w:p>
        </w:tc>
        <w:tc>
          <w:tcPr>
            <w:tcW w:w="646"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82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51" w:type="dxa"/>
            </w:tcMar>
            <w:vAlign w:val="center"/>
          </w:tcPr>
          <w:p>
            <w:pPr>
              <w:pStyle w:val="TableContents"/>
              <w:bidi w:val="0"/>
              <w:spacing w:before="0" w:after="0"/>
              <w:ind w:left="160" w:right="0" w:hanging="160"/>
              <w:jc w:val="left"/>
              <w:rPr/>
            </w:pPr>
            <w:r>
              <w:rPr>
                <w:b/>
                <w:spacing w:val="0"/>
              </w:rPr>
              <w:t xml:space="preserve">Adjusted Gross Margin less Expense Year over Year Growth </w:t>
              <w:br/>
              <w:t>Commercial</w:t>
            </w:r>
            <w:r>
              <w:rPr>
                <w:bCs/>
                <w:spacing w:val="-2"/>
                <w:szCs w:val="10"/>
              </w:rPr>
              <w:t>﻿</w:t>
            </w:r>
            <w:r>
              <w:rPr>
                <w:b/>
                <w:spacing w:val="-2"/>
                <w:sz w:val="10"/>
              </w:rPr>
              <w:t>(1)</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51" w:type="dxa"/>
            </w:tcMar>
            <w:vAlign w:val="center"/>
          </w:tcPr>
          <w:p>
            <w:pPr>
              <w:pStyle w:val="TableContents"/>
              <w:bidi w:val="0"/>
              <w:spacing w:before="0" w:after="283"/>
              <w:jc w:val="right"/>
              <w:rPr/>
            </w:pPr>
            <w:r>
              <w:rPr/>
              <w:t>70%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52" w:type="dxa"/>
            <w:tcBorders>
              <w:bottom w:val="single" w:sz="6" w:space="0" w:color="000000"/>
            </w:tcBorders>
            <w:shd w:fill="E6EEF8" w:val="clear"/>
            <w:tcMar>
              <w:bottom w:w="51" w:type="dxa"/>
            </w:tcMar>
            <w:vAlign w:val="center"/>
          </w:tcPr>
          <w:p>
            <w:pPr>
              <w:pStyle w:val="TableContents"/>
              <w:bidi w:val="0"/>
              <w:spacing w:before="0" w:after="283"/>
              <w:jc w:val="right"/>
              <w:rPr/>
            </w:pPr>
            <w:r>
              <w:rPr/>
              <w:t>2.75%</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51" w:type="dxa"/>
            </w:tcMar>
            <w:vAlign w:val="center"/>
          </w:tcPr>
          <w:p>
            <w:pPr>
              <w:pStyle w:val="TableContents"/>
              <w:bidi w:val="0"/>
              <w:spacing w:before="0" w:after="283"/>
              <w:jc w:val="right"/>
              <w:rPr/>
            </w:pPr>
            <w:r>
              <w:rPr/>
              <w:t>8.75%</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51" w:type="dxa"/>
            </w:tcMar>
            <w:vAlign w:val="center"/>
          </w:tcPr>
          <w:p>
            <w:pPr>
              <w:pStyle w:val="TableContents"/>
              <w:bidi w:val="0"/>
              <w:spacing w:before="0" w:after="283"/>
              <w:jc w:val="right"/>
              <w:rPr/>
            </w:pPr>
            <w:r>
              <w:rPr/>
              <w:t>15.75%</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51" w:type="dxa"/>
            </w:tcMar>
            <w:vAlign w:val="center"/>
          </w:tcPr>
          <w:p>
            <w:pPr>
              <w:pStyle w:val="TableContents"/>
              <w:bidi w:val="0"/>
              <w:spacing w:before="0" w:after="283"/>
              <w:jc w:val="right"/>
              <w:rPr/>
            </w:pPr>
            <w:r>
              <w:rPr/>
              <w:t>12.46%</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shd w:fill="E6EEF8" w:val="clear"/>
            <w:tcMar>
              <w:bottom w:w="51" w:type="dxa"/>
            </w:tcMar>
            <w:vAlign w:val="center"/>
          </w:tcPr>
          <w:p>
            <w:pPr>
              <w:pStyle w:val="TableContents"/>
              <w:bidi w:val="0"/>
              <w:spacing w:before="0" w:after="283"/>
              <w:jc w:val="right"/>
              <w:rPr/>
            </w:pPr>
            <w:r>
              <w:rPr/>
              <w:t>103.13%</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2025 Plan Adjusted EBITDA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tcMar>
              <w:bottom w:w="51" w:type="dxa"/>
            </w:tcMar>
            <w:vAlign w:val="center"/>
          </w:tcPr>
          <w:p>
            <w:pPr>
              <w:pStyle w:val="TableContents"/>
              <w:bidi w:val="0"/>
              <w:spacing w:before="0" w:after="283"/>
              <w:jc w:val="right"/>
              <w:rPr/>
            </w:pPr>
            <w:r>
              <w:rPr/>
              <w:t>30%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52" w:type="dxa"/>
            <w:tcBorders>
              <w:bottom w:val="single" w:sz="6" w:space="0" w:color="000000"/>
            </w:tcBorders>
            <w:tcMar>
              <w:bottom w:w="51" w:type="dxa"/>
            </w:tcMar>
            <w:vAlign w:val="center"/>
          </w:tcPr>
          <w:p>
            <w:pPr>
              <w:pStyle w:val="TableContents"/>
              <w:bidi w:val="0"/>
              <w:spacing w:before="0" w:after="283"/>
              <w:jc w:val="right"/>
              <w:rPr/>
            </w:pPr>
            <w:r>
              <w:rPr/>
              <w:t>3,428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3,732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3,844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646" w:type="dxa"/>
            <w:tcBorders>
              <w:bottom w:val="single" w:sz="6" w:space="0" w:color="000000"/>
            </w:tcBorders>
            <w:tcMar>
              <w:bottom w:w="51" w:type="dxa"/>
            </w:tcMar>
            <w:vAlign w:val="center"/>
          </w:tcPr>
          <w:p>
            <w:pPr>
              <w:pStyle w:val="TableContents"/>
              <w:bidi w:val="0"/>
              <w:spacing w:before="0" w:after="283"/>
              <w:jc w:val="right"/>
              <w:rPr/>
            </w:pPr>
            <w:r>
              <w:rPr/>
              <w:t>3,599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tcMar>
              <w:bottom w:w="51" w:type="dxa"/>
            </w:tcMar>
            <w:vAlign w:val="center"/>
          </w:tcPr>
          <w:p>
            <w:pPr>
              <w:pStyle w:val="TableContents"/>
              <w:bidi w:val="0"/>
              <w:spacing w:before="0" w:after="283"/>
              <w:jc w:val="right"/>
              <w:rPr/>
            </w:pPr>
            <w:r>
              <w:rPr/>
              <w:t>78.09%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42" w:type="dxa"/>
            </w:tcMar>
            <w:vAlign w:val="center"/>
          </w:tcPr>
          <w:p>
            <w:pPr>
              <w:pStyle w:val="TableContents"/>
              <w:bidi w:val="0"/>
              <w:spacing w:before="0" w:after="283"/>
              <w:jc w:val="left"/>
              <w:rPr>
                <w:spacing w:val="0"/>
              </w:rPr>
            </w:pPr>
            <w:r>
              <w:rPr>
                <w:spacing w:val="0"/>
              </w:rPr>
              <w:t xml:space="preserve">Actual Attainment Percentage Performance Period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652"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2" w:type="dxa"/>
            </w:tcMar>
            <w:vAlign w:val="center"/>
          </w:tcPr>
          <w:p>
            <w:pPr>
              <w:pStyle w:val="TableContents"/>
              <w:bidi w:val="0"/>
              <w:spacing w:before="0" w:after="0"/>
              <w:jc w:val="right"/>
              <w:rPr/>
            </w:pPr>
            <w:r>
              <w:rPr/>
              <w:t>​</w:t>
            </w:r>
          </w:p>
        </w:tc>
        <w:tc>
          <w:tcPr>
            <w:tcW w:w="829" w:type="dxa"/>
            <w:tcBorders>
              <w:bottom w:val="single" w:sz="6" w:space="0" w:color="000000"/>
            </w:tcBorders>
            <w:shd w:fill="E6EEF8" w:val="clear"/>
            <w:tcMar>
              <w:bottom w:w="42" w:type="dxa"/>
            </w:tcMar>
            <w:vAlign w:val="center"/>
          </w:tcPr>
          <w:p>
            <w:pPr>
              <w:pStyle w:val="TableContents"/>
              <w:bidi w:val="0"/>
              <w:spacing w:before="0" w:after="0"/>
              <w:jc w:val="right"/>
              <w:rPr>
                <w:b w:val="false"/>
              </w:rPr>
            </w:pPr>
            <w:r>
              <w:rPr>
                <w:b w:val="false"/>
              </w:rPr>
              <w:t>96.55%</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0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Mr. Golwas, Adjusted Gross Margin less Expense Year over Year Growth Commercial measures U.S. sales office contribution margin excluding retail growth measures, inventoriable costs and controllable expenses.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4770" distB="0" distL="0" distR="0" simplePos="0" locked="0" layoutInCell="1" allowOverlap="1" relativeHeight="384">
                <wp:simplePos x="0" y="0"/>
                <wp:positionH relativeFrom="column">
                  <wp:align>left</wp:align>
                </wp:positionH>
                <wp:positionV relativeFrom="line">
                  <wp:align>top</wp:align>
                </wp:positionV>
                <wp:extent cx="228600" cy="350520"/>
                <wp:effectExtent l="0" t="0" r="0" b="0"/>
                <wp:wrapSquare wrapText="right"/>
                <wp:docPr id="372" name="Frame2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Mr. Golwas, threshold performance for Adjusted Gross Margin less Expense Year over Year Growth Commercial results in 0% payout for that metric, while threshold performance for 2025 Plan Adjusted EBITDA results in 50% payout for that metric.</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4450" distB="0" distL="0" distR="0" simplePos="0" locked="0" layoutInCell="1" allowOverlap="1" relativeHeight="385">
                <wp:simplePos x="0" y="0"/>
                <wp:positionH relativeFrom="column">
                  <wp:align>left</wp:align>
                </wp:positionH>
                <wp:positionV relativeFrom="line">
                  <wp:align>top</wp:align>
                </wp:positionV>
                <wp:extent cx="228600" cy="350520"/>
                <wp:effectExtent l="0" t="0" r="0" b="0"/>
                <wp:wrapSquare wrapText="right"/>
                <wp:docPr id="373" name="Frame22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2025 AIP bonus opportunity for Mr. Golwas included an “expense modifier” and a “bad debt modifier.” Because his oversight of our commercial business directly impacts our company’s growth and financial results, these modifiers are intended to further align Mr. Golwas’ AIP award with company performance. The expense modifier provided for certain increases or decreases to Mr. Golwas’s AIP payout, which would be lowered or raised by $3,000 for each 10 basis point increase or decrease in total selling expense growth above or below 85% of sales growth, respectively. Adjustments attributable to the modifier are subject to a cap of $25,000, although the modifier cannot result in Mr. Golwas’s actual AIP payout being less than threshold payout nor greater than maximum payout. This modifier incentivizes responsible expense management by ensuring that his AIP payout could be: (i) higher if the business unit’s expenses are less than the 85% threshold noted above; or (ii) lower if the business unit’s expenses exceed the 85% threshold noted above. The modifier will not be applied if the business unit’s expenses are equal to the 85% threshold.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Additionally, the bad debt modifier provided for “bad debt” amounts exceeding 0.6% for Acute Care sales and 0.8% for Post Acute Care sales to be attributable to cost of goods sold for purposes of calculating Mr. Golwas’s Adjusted Gross Margin achievement level. Bad debt is considered any customer account that: (i) remains unpaid after all commercially reasonable collection efforts have been exhausted: and (ii) has been sent to our external collections team. This modifier incentivizes strategic customer relationships, because application of net bad debt in excess of the thresholds could lower Mr. Golwas’ Adjusted Gross Margin performance goal and the associated payout.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 other NEO has a modifier to their 2025 AIP payout opportunities.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u w:val="single"/>
        </w:rPr>
        <w:t>Mr. Miller</w:t>
      </w:r>
      <w:r>
        <w:rPr>
          <w:rFonts w:ascii="Arial;Helvetica;sans-serif" w:hAnsi="Arial;Helvetica;sans-serif"/>
          <w:b w:val="false"/>
          <w:i w:val="false"/>
          <w:caps w:val="false"/>
          <w:smallCaps w:val="false"/>
          <w:color w:val="000000"/>
          <w:spacing w:val="-1"/>
          <w:sz w:val="18"/>
        </w:rPr>
        <w:t xml:space="preserve"> </w:t>
      </w:r>
      <w:r>
        <w:rPr>
          <w:rFonts w:ascii="Arial;Helvetica;sans-serif" w:hAnsi="Arial;Helvetica;sans-serif"/>
          <w:b w:val="false"/>
          <w:i w:val="false"/>
          <w:caps w:val="false"/>
          <w:smallCaps w:val="false"/>
          <w:color w:val="000000"/>
          <w:sz w:val="18"/>
        </w:rPr>
        <w:br/>
      </w:r>
      <w:r>
        <w:rPr>
          <w:rFonts w:ascii="Arial;Helvetica;sans-serif" w:hAnsi="Arial;Helvetica;sans-serif"/>
          <w:b w:val="false"/>
          <w:i w:val="false"/>
          <w:caps w:val="false"/>
          <w:smallCaps w:val="false"/>
          <w:color w:val="000000"/>
          <w:spacing w:val="-1"/>
          <w:sz w:val="18"/>
          <w:u w:val="single"/>
        </w:rPr>
        <w:t>Performance Period: January 1, 2025 - December 31, 2025 ($ in millions)</w:t>
      </w:r>
      <w:r>
        <w:rPr>
          <w:rFonts w:ascii="Arial;Helvetica;sans-serif" w:hAnsi="Arial;Helvetica;sans-serif"/>
          <w:b w:val="false"/>
          <w:i w:val="false"/>
          <w:caps w:val="false"/>
          <w:smallCaps w:val="false"/>
          <w:color w:val="000000"/>
          <w:spacing w:val="4"/>
          <w:sz w:val="18"/>
        </w:rPr>
        <w:t xml:space="preserve"> </w:t>
      </w:r>
    </w:p>
    <w:tbl>
      <w:tblPr>
        <w:tblW w:w="9995" w:type="dxa"/>
        <w:jc w:val="left"/>
        <w:tblInd w:w="720" w:type="dxa"/>
        <w:tblLayout w:type="fixed"/>
        <w:tblCellMar>
          <w:top w:w="0" w:type="dxa"/>
          <w:left w:w="0" w:type="dxa"/>
          <w:bottom w:w="43" w:type="dxa"/>
          <w:right w:w="0" w:type="dxa"/>
        </w:tblCellMar>
      </w:tblPr>
      <w:tblGrid>
        <w:gridCol w:w="1741"/>
        <w:gridCol w:w="109"/>
        <w:gridCol w:w="109"/>
        <w:gridCol w:w="109"/>
        <w:gridCol w:w="109"/>
        <w:gridCol w:w="469"/>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109"/>
        <w:gridCol w:w="829"/>
        <w:gridCol w:w="109"/>
        <w:gridCol w:w="154"/>
      </w:tblGrid>
      <w:tr>
        <w:trPr/>
        <w:tc>
          <w:tcPr>
            <w:tcW w:w="1741" w:type="dxa"/>
            <w:tcBorders>
              <w:bottom w:val="single" w:sz="2" w:space="0" w:color="000000"/>
            </w:tcBorders>
            <w:vAlign w:val="center"/>
          </w:tcPr>
          <w:p>
            <w:pPr>
              <w:pStyle w:val="TableContents"/>
              <w:bidi w:val="0"/>
              <w:spacing w:before="0" w:after="0"/>
              <w:jc w:val="left"/>
              <w:rPr>
                <w:spacing w:val="0"/>
              </w:rPr>
            </w:pPr>
            <w:r>
              <w:rPr>
                <w:spacing w:val="0"/>
              </w:rPr>
              <w:t xml:space="preserve">Performance Goals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Maximum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br/>
              <w:t xml:space="preserve">Attainment </w:t>
              <w:br/>
              <w:t xml:space="preserve">Percentage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Attainment level percentage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46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100%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150%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283"/>
              <w:jc w:val="right"/>
              <w:rPr/>
            </w:pPr>
            <w:r>
              <w:rPr/>
              <w:t>​</w:t>
            </w:r>
          </w:p>
        </w:tc>
        <w:tc>
          <w:tcPr>
            <w:tcW w:w="766"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829"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2025 Plan Adjusted EBITDA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51" w:type="dxa"/>
            </w:tcMar>
            <w:vAlign w:val="center"/>
          </w:tcPr>
          <w:p>
            <w:pPr>
              <w:pStyle w:val="TableContents"/>
              <w:bidi w:val="0"/>
              <w:spacing w:before="0" w:after="283"/>
              <w:jc w:val="right"/>
              <w:rPr/>
            </w:pPr>
            <w:r>
              <w:rPr/>
              <w:t>70%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3,428</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3,732</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3,844</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3,599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shd w:fill="E6EEF8" w:val="clear"/>
            <w:tcMar>
              <w:bottom w:w="51" w:type="dxa"/>
            </w:tcMar>
            <w:vAlign w:val="center"/>
          </w:tcPr>
          <w:p>
            <w:pPr>
              <w:pStyle w:val="TableContents"/>
              <w:bidi w:val="0"/>
              <w:spacing w:before="0" w:after="283"/>
              <w:jc w:val="right"/>
              <w:rPr/>
            </w:pPr>
            <w:r>
              <w:rPr/>
              <w:t>78.09%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2025 Net Sales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469" w:type="dxa"/>
            <w:tcBorders>
              <w:bottom w:val="single" w:sz="6" w:space="0" w:color="000000"/>
            </w:tcBorders>
            <w:tcMar>
              <w:bottom w:w="51" w:type="dxa"/>
            </w:tcMar>
            <w:vAlign w:val="center"/>
          </w:tcPr>
          <w:p>
            <w:pPr>
              <w:pStyle w:val="TableContents"/>
              <w:bidi w:val="0"/>
              <w:spacing w:before="0" w:after="283"/>
              <w:jc w:val="right"/>
              <w:rPr/>
            </w:pPr>
            <w:r>
              <w:rPr/>
              <w:t>30%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26,017</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28,442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28,726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28,432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829" w:type="dxa"/>
            <w:tcBorders>
              <w:bottom w:val="single" w:sz="6" w:space="0" w:color="000000"/>
            </w:tcBorders>
            <w:tcMar>
              <w:bottom w:w="51" w:type="dxa"/>
            </w:tcMar>
            <w:vAlign w:val="center"/>
          </w:tcPr>
          <w:p>
            <w:pPr>
              <w:pStyle w:val="TableContents"/>
              <w:bidi w:val="0"/>
              <w:spacing w:before="0" w:after="283"/>
              <w:jc w:val="right"/>
              <w:rPr/>
            </w:pPr>
            <w:r>
              <w:rPr/>
              <w:t>99.79%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741" w:type="dxa"/>
            <w:tcBorders>
              <w:bottom w:val="single" w:sz="6" w:space="0" w:color="000000"/>
            </w:tcBorders>
            <w:shd w:fill="E6EEF8" w:val="clear"/>
            <w:tcMar>
              <w:bottom w:w="42" w:type="dxa"/>
            </w:tcMar>
            <w:vAlign w:val="center"/>
          </w:tcPr>
          <w:p>
            <w:pPr>
              <w:pStyle w:val="TableContents"/>
              <w:bidi w:val="0"/>
              <w:spacing w:before="0" w:after="283"/>
              <w:jc w:val="left"/>
              <w:rPr>
                <w:spacing w:val="0"/>
              </w:rPr>
            </w:pPr>
            <w:r>
              <w:rPr>
                <w:spacing w:val="0"/>
              </w:rPr>
              <w:t xml:space="preserve">Actual Attainment Percentage Performance Period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469"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2" w:type="dxa"/>
            </w:tcMar>
            <w:vAlign w:val="center"/>
          </w:tcPr>
          <w:p>
            <w:pPr>
              <w:pStyle w:val="TableContents"/>
              <w:bidi w:val="0"/>
              <w:spacing w:before="0" w:after="0"/>
              <w:jc w:val="right"/>
              <w:rPr/>
            </w:pPr>
            <w:r>
              <w:rPr/>
              <w:t>​</w:t>
            </w:r>
          </w:p>
        </w:tc>
        <w:tc>
          <w:tcPr>
            <w:tcW w:w="829" w:type="dxa"/>
            <w:tcBorders>
              <w:bottom w:val="single" w:sz="6" w:space="0" w:color="000000"/>
            </w:tcBorders>
            <w:shd w:fill="E6EEF8" w:val="clear"/>
            <w:tcMar>
              <w:bottom w:w="42" w:type="dxa"/>
            </w:tcMar>
            <w:vAlign w:val="center"/>
          </w:tcPr>
          <w:p>
            <w:pPr>
              <w:pStyle w:val="TableContents"/>
              <w:bidi w:val="0"/>
              <w:spacing w:before="0" w:after="0"/>
              <w:jc w:val="right"/>
              <w:rPr>
                <w:b w:val="false"/>
              </w:rPr>
            </w:pPr>
            <w:r>
              <w:rPr>
                <w:b w:val="false"/>
              </w:rPr>
              <w:t>84.60%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174"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Actual amounts paid under the AIP are calculated by multiplying each NEO’s base salary earned and paid in fiscal year 2025 by (i) his AIP target annual cash incentive opportunity (which is reflected as a percentage of eligible base salary), and (ii) the executive’s AIP attainment percentage. The following table illustrates the calculations of the AIP awards under the 2025 AIP based on 2025 performance.</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43" w:type="dxa"/>
          <w:right w:w="0" w:type="dxa"/>
        </w:tblCellMar>
      </w:tblPr>
      <w:tblGrid>
        <w:gridCol w:w="1515"/>
        <w:gridCol w:w="109"/>
        <w:gridCol w:w="109"/>
        <w:gridCol w:w="109"/>
        <w:gridCol w:w="226"/>
        <w:gridCol w:w="1066"/>
        <w:gridCol w:w="109"/>
        <w:gridCol w:w="109"/>
        <w:gridCol w:w="109"/>
        <w:gridCol w:w="121"/>
        <w:gridCol w:w="121"/>
        <w:gridCol w:w="644"/>
        <w:gridCol w:w="121"/>
        <w:gridCol w:w="109"/>
        <w:gridCol w:w="109"/>
        <w:gridCol w:w="109"/>
        <w:gridCol w:w="226"/>
        <w:gridCol w:w="1066"/>
        <w:gridCol w:w="109"/>
        <w:gridCol w:w="109"/>
        <w:gridCol w:w="109"/>
        <w:gridCol w:w="110"/>
        <w:gridCol w:w="110"/>
        <w:gridCol w:w="851"/>
        <w:gridCol w:w="110"/>
        <w:gridCol w:w="109"/>
        <w:gridCol w:w="109"/>
        <w:gridCol w:w="109"/>
        <w:gridCol w:w="226"/>
        <w:gridCol w:w="1066"/>
        <w:gridCol w:w="109"/>
        <w:gridCol w:w="162"/>
      </w:tblGrid>
      <w:tr>
        <w:trPr/>
        <w:tc>
          <w:tcPr>
            <w:tcW w:w="1515" w:type="dxa"/>
            <w:tcBorders>
              <w:bottom w:val="single" w:sz="2" w:space="0" w:color="000000"/>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Eligible Base </w:t>
              <w:br/>
              <w:t xml:space="preserve">Salary ($)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AIP </w:t>
              <w:br/>
              <w:t xml:space="preserve">Award (% </w:t>
              <w:br/>
              <w:t xml:space="preserve">of Base </w:t>
              <w:br/>
              <w:t xml:space="preserve">Salary)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AIP </w:t>
              <w:br/>
              <w:t xml:space="preserve">Opportunity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81" w:type="dxa"/>
            <w:gridSpan w:val="4"/>
            <w:tcBorders>
              <w:bottom w:val="single" w:sz="2" w:space="0" w:color="000000"/>
            </w:tcBorders>
            <w:vAlign w:val="center"/>
          </w:tcPr>
          <w:p>
            <w:pPr>
              <w:pStyle w:val="TableContents"/>
              <w:bidi w:val="0"/>
              <w:spacing w:before="0" w:after="0"/>
              <w:jc w:val="center"/>
              <w:rPr/>
            </w:pPr>
            <w:r>
              <w:rPr>
                <w:spacing w:val="-2"/>
              </w:rPr>
              <w:t>AIP</w:t>
            </w:r>
            <w:r>
              <w:rPr/>
              <w:t xml:space="preserve"> </w:t>
              <w:br/>
            </w:r>
            <w:r>
              <w:rPr>
                <w:spacing w:val="0"/>
              </w:rPr>
              <w:t xml:space="preserve">Attainment </w:t>
              <w:br/>
              <w:t xml:space="preserve">Percentage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0"/>
              </w:rPr>
              <w:t xml:space="preserve">Actual </w:t>
              <w:br/>
              <w:t>Payout</w:t>
            </w:r>
            <w:r>
              <w:rPr/>
              <w:t xml:space="preserve"> </w:t>
              <w:br/>
            </w:r>
            <w:r>
              <w:rPr>
                <w:spacing w:val="-2"/>
              </w:rPr>
              <w:t xml:space="preserve">($) </w:t>
            </w:r>
          </w:p>
        </w:tc>
        <w:tc>
          <w:tcPr>
            <w:tcW w:w="162"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515"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James M. Boyle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1,250,000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51" w:type="dxa"/>
            </w:tcMar>
            <w:vAlign w:val="center"/>
          </w:tcPr>
          <w:p>
            <w:pPr>
              <w:pStyle w:val="TableContents"/>
              <w:bidi w:val="0"/>
              <w:spacing w:before="0" w:after="283"/>
              <w:jc w:val="right"/>
              <w:rPr/>
            </w:pPr>
            <w:r>
              <w:rPr/>
              <w:t>​</w:t>
            </w:r>
          </w:p>
        </w:tc>
        <w:tc>
          <w:tcPr>
            <w:tcW w:w="644" w:type="dxa"/>
            <w:tcBorders>
              <w:bottom w:val="single" w:sz="6" w:space="0" w:color="000000"/>
            </w:tcBorders>
            <w:tcMar>
              <w:bottom w:w="51" w:type="dxa"/>
            </w:tcMar>
            <w:vAlign w:val="center"/>
          </w:tcPr>
          <w:p>
            <w:pPr>
              <w:pStyle w:val="TableContents"/>
              <w:bidi w:val="0"/>
              <w:spacing w:before="0" w:after="283"/>
              <w:jc w:val="right"/>
              <w:rPr/>
            </w:pPr>
            <w:r>
              <w:rPr/>
              <w:t>133%</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1,662,500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51" w:type="dxa"/>
            </w:tcMar>
            <w:vAlign w:val="center"/>
          </w:tcPr>
          <w:p>
            <w:pPr>
              <w:pStyle w:val="TableContents"/>
              <w:bidi w:val="0"/>
              <w:spacing w:before="0" w:after="283"/>
              <w:jc w:val="right"/>
              <w:rPr/>
            </w:pPr>
            <w:r>
              <w:rPr/>
              <w:t>​</w:t>
            </w:r>
          </w:p>
        </w:tc>
        <w:tc>
          <w:tcPr>
            <w:tcW w:w="851" w:type="dxa"/>
            <w:tcBorders>
              <w:bottom w:val="single" w:sz="6" w:space="0" w:color="000000"/>
            </w:tcBorders>
            <w:tcMar>
              <w:bottom w:w="51" w:type="dxa"/>
            </w:tcMar>
            <w:vAlign w:val="center"/>
          </w:tcPr>
          <w:p>
            <w:pPr>
              <w:pStyle w:val="TableContents"/>
              <w:bidi w:val="0"/>
              <w:spacing w:before="0" w:after="283"/>
              <w:jc w:val="right"/>
              <w:rPr/>
            </w:pPr>
            <w:r>
              <w:rPr/>
              <w:t>84.60%</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1,409,960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2"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15"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Michael B. Drazin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810,000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4" w:type="dxa"/>
            <w:tcBorders>
              <w:bottom w:val="single" w:sz="6" w:space="0" w:color="000000"/>
            </w:tcBorders>
            <w:shd w:fill="E6EEF8" w:val="clear"/>
            <w:tcMar>
              <w:bottom w:w="51" w:type="dxa"/>
            </w:tcMar>
            <w:vAlign w:val="center"/>
          </w:tcPr>
          <w:p>
            <w:pPr>
              <w:pStyle w:val="TableContents"/>
              <w:bidi w:val="0"/>
              <w:spacing w:before="0" w:after="283"/>
              <w:jc w:val="right"/>
              <w:rPr/>
            </w:pPr>
            <w:r>
              <w:rPr/>
              <w:t>100%</w:t>
            </w:r>
          </w:p>
        </w:tc>
        <w:tc>
          <w:tcPr>
            <w:tcW w:w="12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810,000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851" w:type="dxa"/>
            <w:tcBorders>
              <w:bottom w:val="single" w:sz="6" w:space="0" w:color="000000"/>
            </w:tcBorders>
            <w:shd w:fill="E6EEF8" w:val="clear"/>
            <w:tcMar>
              <w:bottom w:w="51" w:type="dxa"/>
            </w:tcMar>
            <w:vAlign w:val="center"/>
          </w:tcPr>
          <w:p>
            <w:pPr>
              <w:pStyle w:val="TableContents"/>
              <w:bidi w:val="0"/>
              <w:spacing w:before="0" w:after="283"/>
              <w:jc w:val="right"/>
              <w:rPr/>
            </w:pPr>
            <w:r>
              <w:rPr/>
              <w:t>94.21%</w:t>
            </w:r>
          </w:p>
        </w:tc>
        <w:tc>
          <w:tcPr>
            <w:tcW w:w="11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763,117</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2"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15"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James M. Pigott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1,100,000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51" w:type="dxa"/>
            </w:tcMar>
            <w:vAlign w:val="center"/>
          </w:tcPr>
          <w:p>
            <w:pPr>
              <w:pStyle w:val="TableContents"/>
              <w:bidi w:val="0"/>
              <w:spacing w:before="0" w:after="283"/>
              <w:jc w:val="right"/>
              <w:rPr/>
            </w:pPr>
            <w:r>
              <w:rPr/>
              <w:t>​</w:t>
            </w:r>
          </w:p>
        </w:tc>
        <w:tc>
          <w:tcPr>
            <w:tcW w:w="644" w:type="dxa"/>
            <w:tcBorders>
              <w:bottom w:val="single" w:sz="6" w:space="0" w:color="000000"/>
            </w:tcBorders>
            <w:tcMar>
              <w:bottom w:w="51" w:type="dxa"/>
            </w:tcMar>
            <w:vAlign w:val="center"/>
          </w:tcPr>
          <w:p>
            <w:pPr>
              <w:pStyle w:val="TableContents"/>
              <w:bidi w:val="0"/>
              <w:spacing w:before="0" w:after="283"/>
              <w:jc w:val="right"/>
              <w:rPr/>
            </w:pPr>
            <w:r>
              <w:rPr/>
              <w:t>100%</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1,100,000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51" w:type="dxa"/>
            </w:tcMar>
            <w:vAlign w:val="center"/>
          </w:tcPr>
          <w:p>
            <w:pPr>
              <w:pStyle w:val="TableContents"/>
              <w:bidi w:val="0"/>
              <w:spacing w:before="0" w:after="283"/>
              <w:jc w:val="right"/>
              <w:rPr/>
            </w:pPr>
            <w:r>
              <w:rPr/>
              <w:t>​</w:t>
            </w:r>
          </w:p>
        </w:tc>
        <w:tc>
          <w:tcPr>
            <w:tcW w:w="851" w:type="dxa"/>
            <w:tcBorders>
              <w:bottom w:val="single" w:sz="6" w:space="0" w:color="000000"/>
            </w:tcBorders>
            <w:tcMar>
              <w:bottom w:w="51" w:type="dxa"/>
            </w:tcMar>
            <w:vAlign w:val="center"/>
          </w:tcPr>
          <w:p>
            <w:pPr>
              <w:pStyle w:val="TableContents"/>
              <w:bidi w:val="0"/>
              <w:spacing w:before="0" w:after="283"/>
              <w:jc w:val="right"/>
              <w:rPr/>
            </w:pPr>
            <w:r>
              <w:rPr/>
              <w:t>84.60%</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930,573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2"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15"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Douglas P. Golwas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800,000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644" w:type="dxa"/>
            <w:tcBorders>
              <w:bottom w:val="single" w:sz="6" w:space="0" w:color="000000"/>
            </w:tcBorders>
            <w:shd w:fill="E6EEF8" w:val="clear"/>
            <w:tcMar>
              <w:bottom w:w="51" w:type="dxa"/>
            </w:tcMar>
            <w:vAlign w:val="center"/>
          </w:tcPr>
          <w:p>
            <w:pPr>
              <w:pStyle w:val="TableContents"/>
              <w:bidi w:val="0"/>
              <w:spacing w:before="0" w:after="283"/>
              <w:jc w:val="right"/>
              <w:rPr/>
            </w:pPr>
            <w:r>
              <w:rPr/>
              <w:t>100%</w:t>
            </w:r>
          </w:p>
        </w:tc>
        <w:tc>
          <w:tcPr>
            <w:tcW w:w="12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800,000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851" w:type="dxa"/>
            <w:tcBorders>
              <w:bottom w:val="single" w:sz="6" w:space="0" w:color="000000"/>
            </w:tcBorders>
            <w:shd w:fill="E6EEF8" w:val="clear"/>
            <w:tcMar>
              <w:bottom w:w="51" w:type="dxa"/>
            </w:tcMar>
            <w:vAlign w:val="center"/>
          </w:tcPr>
          <w:p>
            <w:pPr>
              <w:pStyle w:val="TableContents"/>
              <w:bidi w:val="0"/>
              <w:spacing w:before="0" w:after="283"/>
              <w:jc w:val="right"/>
              <w:rPr/>
            </w:pPr>
            <w:r>
              <w:rPr/>
              <w:t>96.55%</w:t>
            </w:r>
          </w:p>
        </w:tc>
        <w:tc>
          <w:tcPr>
            <w:tcW w:w="11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772,410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2"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515" w:type="dxa"/>
            <w:tcBorders>
              <w:bottom w:val="single" w:sz="6" w:space="0" w:color="000000"/>
            </w:tcBorders>
            <w:tcMar>
              <w:bottom w:w="42" w:type="dxa"/>
            </w:tcMar>
            <w:vAlign w:val="center"/>
          </w:tcPr>
          <w:p>
            <w:pPr>
              <w:pStyle w:val="TableContents"/>
              <w:bidi w:val="0"/>
              <w:spacing w:before="0" w:after="0"/>
              <w:jc w:val="left"/>
              <w:rPr>
                <w:b/>
                <w:spacing w:val="0"/>
              </w:rPr>
            </w:pPr>
            <w:r>
              <w:rPr>
                <w:b/>
                <w:spacing w:val="0"/>
              </w:rPr>
              <w:t xml:space="preserve">Stephen L. Miller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2" w:type="dxa"/>
            </w:tcMar>
            <w:vAlign w:val="center"/>
          </w:tcPr>
          <w:p>
            <w:pPr>
              <w:pStyle w:val="TableContents"/>
              <w:bidi w:val="0"/>
              <w:spacing w:before="0" w:after="283"/>
              <w:jc w:val="right"/>
              <w:rPr/>
            </w:pPr>
            <w:r>
              <w:rPr/>
              <w:t>$</w:t>
            </w:r>
          </w:p>
        </w:tc>
        <w:tc>
          <w:tcPr>
            <w:tcW w:w="1066" w:type="dxa"/>
            <w:tcBorders>
              <w:bottom w:val="single" w:sz="6" w:space="0" w:color="000000"/>
            </w:tcBorders>
            <w:tcMar>
              <w:bottom w:w="42" w:type="dxa"/>
            </w:tcMar>
            <w:vAlign w:val="center"/>
          </w:tcPr>
          <w:p>
            <w:pPr>
              <w:pStyle w:val="TableContents"/>
              <w:bidi w:val="0"/>
              <w:spacing w:before="0" w:after="283"/>
              <w:jc w:val="right"/>
              <w:rPr/>
            </w:pPr>
            <w:r>
              <w:rPr/>
              <w:t>800,000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42" w:type="dxa"/>
            </w:tcMar>
            <w:vAlign w:val="center"/>
          </w:tcPr>
          <w:p>
            <w:pPr>
              <w:pStyle w:val="TableContents"/>
              <w:bidi w:val="0"/>
              <w:spacing w:before="0" w:after="283"/>
              <w:jc w:val="right"/>
              <w:rPr/>
            </w:pPr>
            <w:r>
              <w:rPr/>
              <w:t>​</w:t>
            </w:r>
          </w:p>
        </w:tc>
        <w:tc>
          <w:tcPr>
            <w:tcW w:w="644" w:type="dxa"/>
            <w:tcBorders>
              <w:bottom w:val="single" w:sz="6" w:space="0" w:color="000000"/>
            </w:tcBorders>
            <w:tcMar>
              <w:bottom w:w="42" w:type="dxa"/>
            </w:tcMar>
            <w:vAlign w:val="center"/>
          </w:tcPr>
          <w:p>
            <w:pPr>
              <w:pStyle w:val="TableContents"/>
              <w:bidi w:val="0"/>
              <w:spacing w:before="0" w:after="283"/>
              <w:jc w:val="right"/>
              <w:rPr/>
            </w:pPr>
            <w:r>
              <w:rPr/>
              <w:t>100%</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2" w:type="dxa"/>
            </w:tcMar>
            <w:vAlign w:val="center"/>
          </w:tcPr>
          <w:p>
            <w:pPr>
              <w:pStyle w:val="TableContents"/>
              <w:bidi w:val="0"/>
              <w:spacing w:before="0" w:after="283"/>
              <w:jc w:val="right"/>
              <w:rPr/>
            </w:pPr>
            <w:r>
              <w:rPr/>
              <w:t>$</w:t>
            </w:r>
          </w:p>
        </w:tc>
        <w:tc>
          <w:tcPr>
            <w:tcW w:w="1066" w:type="dxa"/>
            <w:tcBorders>
              <w:bottom w:val="single" w:sz="6" w:space="0" w:color="000000"/>
            </w:tcBorders>
            <w:tcMar>
              <w:bottom w:w="42" w:type="dxa"/>
            </w:tcMar>
            <w:vAlign w:val="center"/>
          </w:tcPr>
          <w:p>
            <w:pPr>
              <w:pStyle w:val="TableContents"/>
              <w:bidi w:val="0"/>
              <w:spacing w:before="0" w:after="283"/>
              <w:jc w:val="right"/>
              <w:rPr/>
            </w:pPr>
            <w:r>
              <w:rPr/>
              <w:t>800,000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42" w:type="dxa"/>
            </w:tcMar>
            <w:vAlign w:val="center"/>
          </w:tcPr>
          <w:p>
            <w:pPr>
              <w:pStyle w:val="TableContents"/>
              <w:bidi w:val="0"/>
              <w:spacing w:before="0" w:after="283"/>
              <w:jc w:val="right"/>
              <w:rPr/>
            </w:pPr>
            <w:r>
              <w:rPr/>
              <w:t>​</w:t>
            </w:r>
          </w:p>
        </w:tc>
        <w:tc>
          <w:tcPr>
            <w:tcW w:w="851" w:type="dxa"/>
            <w:tcBorders>
              <w:bottom w:val="single" w:sz="6" w:space="0" w:color="000000"/>
            </w:tcBorders>
            <w:tcMar>
              <w:bottom w:w="42" w:type="dxa"/>
            </w:tcMar>
            <w:vAlign w:val="center"/>
          </w:tcPr>
          <w:p>
            <w:pPr>
              <w:pStyle w:val="TableContents"/>
              <w:bidi w:val="0"/>
              <w:spacing w:before="0" w:after="283"/>
              <w:jc w:val="right"/>
              <w:rPr/>
            </w:pPr>
            <w:r>
              <w:rPr/>
              <w:t>84.60%</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2" w:type="dxa"/>
            </w:tcMar>
            <w:vAlign w:val="center"/>
          </w:tcPr>
          <w:p>
            <w:pPr>
              <w:pStyle w:val="TableContents"/>
              <w:bidi w:val="0"/>
              <w:spacing w:before="0" w:after="283"/>
              <w:jc w:val="right"/>
              <w:rPr/>
            </w:pPr>
            <w:r>
              <w:rPr/>
              <w:t>$</w:t>
            </w:r>
          </w:p>
        </w:tc>
        <w:tc>
          <w:tcPr>
            <w:tcW w:w="1066" w:type="dxa"/>
            <w:tcBorders>
              <w:bottom w:val="single" w:sz="6" w:space="0" w:color="000000"/>
            </w:tcBorders>
            <w:tcMar>
              <w:bottom w:w="42" w:type="dxa"/>
            </w:tcMar>
            <w:vAlign w:val="center"/>
          </w:tcPr>
          <w:p>
            <w:pPr>
              <w:pStyle w:val="TableContents"/>
              <w:bidi w:val="0"/>
              <w:spacing w:before="0" w:after="283"/>
              <w:jc w:val="right"/>
              <w:rPr/>
            </w:pPr>
            <w:r>
              <w:rPr/>
              <w:t>676,781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2"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LEIC"/>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28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Long-Term Equity Incentive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2021, following our acquisition by our Sponsors, certain key executives, including the NEOs, were granted long-term equity incentive awards designed to promote our interests and incentivize them to remain in our service. These long-term equity incentive awards were initially granted in the form of Class B Units (as defined in Appendix B) in the Aggregator under the Medline Management Aggregator LLC Equity Incentive Plan (the “MIP”). In connection with Medline’s IPO, the Class B Units in the Aggregator were reclassified into a new class of units called “Incentive Units.” The Incentive Units are “profits interests” under U.S. federal income tax law having economic characteristics similar to stock appreciation rights (i.e., representing the right to share in any increase in the equity value of the Aggregator that exceeds a specified threshold). Unvested Incentive Units are not entitled to distributions from the Aggregator other than tax distributions.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specific sizes of awards under our MIP and Incentive Unit grants made thereunder to our NEOs are determined in consideration of our Sponsors’ practices with respect to management equity programs at other companies in their respective portfolios, the executive officer’s position and level of responsibilities with us, and market data.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2025 MIP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our MIP, each of our NEOs (other than Mr. Pigott, who was not eligible for an award under our MIP in 2025 due to his planned retirement) was eligible to receive equity awards based on target equity compensation set by the Compensation Committee, referred to as “dollars at work” ​(the “2025 Awards”). The 2025 Awards were granted as of the award date (or “service inception date”), and the 100% of the value of equity-based awards to be granted to our participating NEOs in respect of the 2025 Awards depended on Company performance relative to the 2025 performance measures reflected in the tables below. In the event actual achievement of a performance objective is between levels, the earned “dollars at work” was calculated using linear interpolation. Following completion of fiscal year 2025, the earned “dollars at work” were multiplied by a Black Scholes conversion factor of 27.2% to account for the settlement of the 2025 Awards in time-vesting restricted stock units (“RSUs”) rather than Incentive Units. The resulting amount was used to determine the RSUs to be granted under the Medline Inc. 2025 Omnibus Incentive Plan (the “Omnibus Plan”) by dividing such amount by the IPO price of Medline Inc. common stock, which was $29.00. Such RSUs will vest 25% on June 15, 2026 and 25% on each of the first three anniversaries of the vesting commencement date identified in the applicable grant agreement, subject to the NEO’s continued employment with us through each applicable vesting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2025 performance measures and the corresponding threshold, target and maximum “dollars at work” opportunities under the MIP for our NEOs are summarized in the tables below. For each NEO, no 2025 Award is earned, and no RSUs will be delivered, unless threshold performance is achieved for the applicable performance objective. In no event may the earned “dollars at work” exceed the maximum amounts shown in the tables below, even if results are achieved above maximum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2025 target “dollars at work” for each participating NEO were $4,000,000 for Mr. Boyle and $3,250,000 for each of Messrs. Drazin, Golwas and Miller.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threshold, target and maximum “dollars at work” amounts upon which the number of RSUs actually to be delivered in 2026 were determined, and the corresponding earned amount of “dollars at work” at each performance level, are shown in the tables below. </w:t>
      </w:r>
    </w:p>
    <w:p>
      <w:pPr>
        <w:pStyle w:val="TextBody"/>
        <w:bidi w:val="0"/>
        <w:spacing w:lineRule="atLeast" w:line="220" w:before="20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u w:val="single"/>
        </w:rPr>
        <w:t>Plan Adjusted EBITDA</w:t>
      </w:r>
      <w:r>
        <w:rPr>
          <w:rFonts w:ascii="Arial;Helvetica;sans-serif" w:hAnsi="Arial;Helvetica;sans-serif"/>
          <w:b/>
          <w:i w:val="false"/>
          <w:caps w:val="false"/>
          <w:smallCaps w:val="false"/>
          <w:color w:val="000000"/>
          <w:spacing w:val="-2"/>
          <w:sz w:val="18"/>
          <w:u w:val="single"/>
        </w:rPr>
        <w:t> — </w:t>
      </w:r>
      <w:r>
        <w:rPr>
          <w:rFonts w:ascii="Arial;Helvetica;sans-serif" w:hAnsi="Arial;Helvetica;sans-serif"/>
          <w:b/>
          <w:i w:val="false"/>
          <w:caps w:val="false"/>
          <w:smallCaps w:val="false"/>
          <w:color w:val="000000"/>
          <w:spacing w:val="0"/>
          <w:sz w:val="18"/>
          <w:u w:val="single"/>
        </w:rPr>
        <w:t>70% of Target Dollars at Work</w:t>
      </w:r>
      <w:r>
        <w:rPr>
          <w:rFonts w:ascii="Arial;Helvetica;sans-serif" w:hAnsi="Arial;Helvetica;sans-serif"/>
          <w:b/>
          <w:i w:val="false"/>
          <w:caps w:val="false"/>
          <w:smallCaps w:val="false"/>
          <w:color w:val="000000"/>
          <w:spacing w:val="4"/>
          <w:sz w:val="18"/>
        </w:rPr>
        <w:t xml:space="preserve"> </w:t>
      </w:r>
    </w:p>
    <w:tbl>
      <w:tblPr>
        <w:tblW w:w="8639" w:type="dxa"/>
        <w:jc w:val="left"/>
        <w:tblInd w:w="720" w:type="dxa"/>
        <w:tblLayout w:type="fixed"/>
        <w:tblCellMar>
          <w:top w:w="0" w:type="dxa"/>
          <w:left w:w="0" w:type="dxa"/>
          <w:bottom w:w="50" w:type="dxa"/>
          <w:right w:w="0" w:type="dxa"/>
        </w:tblCellMar>
      </w:tblPr>
      <w:tblGrid>
        <w:gridCol w:w="2041"/>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54"/>
      </w:tblGrid>
      <w:tr>
        <w:trPr/>
        <w:tc>
          <w:tcPr>
            <w:tcW w:w="2041" w:type="dxa"/>
            <w:tcBorders>
              <w:bottom w:val="single" w:sz="2" w:space="0" w:color="000000"/>
            </w:tcBorders>
            <w:vAlign w:val="center"/>
          </w:tcPr>
          <w:p>
            <w:pPr>
              <w:pStyle w:val="TableContents"/>
              <w:bidi w:val="0"/>
              <w:spacing w:before="0" w:after="0"/>
              <w:jc w:val="left"/>
              <w:rPr>
                <w:spacing w:val="0"/>
              </w:rPr>
            </w:pPr>
            <w:r>
              <w:rPr>
                <w:spacing w:val="0"/>
              </w:rPr>
              <w:t xml:space="preserve">Achievement Level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Maximum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Goal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3,428,000,000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3,732,000,000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3,844,000,000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8485" w:type="dxa"/>
            <w:gridSpan w:val="19"/>
            <w:tcBorders>
              <w:bottom w:val="single" w:sz="6" w:space="0" w:color="000000"/>
            </w:tcBorders>
            <w:shd w:fill="E6EEF8" w:val="clear"/>
            <w:tcMar>
              <w:bottom w:w="51" w:type="dxa"/>
            </w:tcMar>
            <w:vAlign w:val="center"/>
          </w:tcPr>
          <w:p>
            <w:pPr>
              <w:pStyle w:val="TableContents"/>
              <w:bidi w:val="0"/>
              <w:spacing w:before="0" w:after="0"/>
              <w:jc w:val="center"/>
              <w:rPr>
                <w:spacing w:val="0"/>
              </w:rPr>
            </w:pPr>
            <w:r>
              <w:rPr>
                <w:spacing w:val="0"/>
              </w:rPr>
              <w:t xml:space="preserve">Earned Dollars at Work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Mr. Boyle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1,400,000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2,800,000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4,200,000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Mr. Drazin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shd w:fill="E6EEF8" w:val="clear"/>
            <w:tcMar>
              <w:bottom w:w="51" w:type="dxa"/>
            </w:tcMar>
            <w:vAlign w:val="center"/>
          </w:tcPr>
          <w:p>
            <w:pPr>
              <w:pStyle w:val="TableContents"/>
              <w:bidi w:val="0"/>
              <w:spacing w:before="0" w:after="283"/>
              <w:jc w:val="right"/>
              <w:rPr/>
            </w:pPr>
            <w:r>
              <w:rPr/>
              <w:t>1,137,500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shd w:fill="E6EEF8" w:val="clear"/>
            <w:tcMar>
              <w:bottom w:w="51" w:type="dxa"/>
            </w:tcMar>
            <w:vAlign w:val="center"/>
          </w:tcPr>
          <w:p>
            <w:pPr>
              <w:pStyle w:val="TableContents"/>
              <w:bidi w:val="0"/>
              <w:spacing w:before="0" w:after="283"/>
              <w:jc w:val="right"/>
              <w:rPr/>
            </w:pPr>
            <w:r>
              <w:rPr/>
              <w:t>2,275,000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shd w:fill="E6EEF8" w:val="clear"/>
            <w:tcMar>
              <w:bottom w:w="51" w:type="dxa"/>
            </w:tcMar>
            <w:vAlign w:val="center"/>
          </w:tcPr>
          <w:p>
            <w:pPr>
              <w:pStyle w:val="TableContents"/>
              <w:bidi w:val="0"/>
              <w:spacing w:before="0" w:after="283"/>
              <w:jc w:val="right"/>
              <w:rPr/>
            </w:pPr>
            <w:r>
              <w:rPr/>
              <w:t>3,412,500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Mr. Golwas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1,137,500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2,275,000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486" w:type="dxa"/>
            <w:tcBorders>
              <w:bottom w:val="single" w:sz="6" w:space="0" w:color="000000"/>
            </w:tcBorders>
            <w:tcMar>
              <w:bottom w:w="51" w:type="dxa"/>
            </w:tcMar>
            <w:vAlign w:val="center"/>
          </w:tcPr>
          <w:p>
            <w:pPr>
              <w:pStyle w:val="TableContents"/>
              <w:bidi w:val="0"/>
              <w:spacing w:before="0" w:after="283"/>
              <w:jc w:val="right"/>
              <w:rPr/>
            </w:pPr>
            <w:r>
              <w:rPr/>
              <w:t>3,412,500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shd w:fill="E6EEF8" w:val="clear"/>
            <w:tcMar>
              <w:bottom w:w="42" w:type="dxa"/>
            </w:tcMar>
            <w:vAlign w:val="center"/>
          </w:tcPr>
          <w:p>
            <w:pPr>
              <w:pStyle w:val="TableContents"/>
              <w:bidi w:val="0"/>
              <w:spacing w:before="0" w:after="0"/>
              <w:jc w:val="left"/>
              <w:rPr>
                <w:b/>
                <w:spacing w:val="0"/>
              </w:rPr>
            </w:pPr>
            <w:r>
              <w:rPr>
                <w:b/>
                <w:spacing w:val="0"/>
              </w:rPr>
              <w:t xml:space="preserve">Mr. Miller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486" w:type="dxa"/>
            <w:tcBorders>
              <w:bottom w:val="single" w:sz="6" w:space="0" w:color="000000"/>
            </w:tcBorders>
            <w:shd w:fill="E6EEF8" w:val="clear"/>
            <w:tcMar>
              <w:bottom w:w="42" w:type="dxa"/>
            </w:tcMar>
            <w:vAlign w:val="center"/>
          </w:tcPr>
          <w:p>
            <w:pPr>
              <w:pStyle w:val="TableContents"/>
              <w:bidi w:val="0"/>
              <w:spacing w:before="0" w:after="283"/>
              <w:jc w:val="right"/>
              <w:rPr/>
            </w:pPr>
            <w:r>
              <w:rPr/>
              <w:t>1,137,500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486" w:type="dxa"/>
            <w:tcBorders>
              <w:bottom w:val="single" w:sz="6" w:space="0" w:color="000000"/>
            </w:tcBorders>
            <w:shd w:fill="E6EEF8" w:val="clear"/>
            <w:tcMar>
              <w:bottom w:w="42" w:type="dxa"/>
            </w:tcMar>
            <w:vAlign w:val="center"/>
          </w:tcPr>
          <w:p>
            <w:pPr>
              <w:pStyle w:val="TableContents"/>
              <w:bidi w:val="0"/>
              <w:spacing w:before="0" w:after="283"/>
              <w:jc w:val="right"/>
              <w:rPr/>
            </w:pPr>
            <w:r>
              <w:rPr/>
              <w:t>2,275,000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486" w:type="dxa"/>
            <w:tcBorders>
              <w:bottom w:val="single" w:sz="6" w:space="0" w:color="000000"/>
            </w:tcBorders>
            <w:shd w:fill="E6EEF8" w:val="clear"/>
            <w:tcMar>
              <w:bottom w:w="42" w:type="dxa"/>
            </w:tcMar>
            <w:vAlign w:val="center"/>
          </w:tcPr>
          <w:p>
            <w:pPr>
              <w:pStyle w:val="TableContents"/>
              <w:bidi w:val="0"/>
              <w:spacing w:before="0" w:after="283"/>
              <w:jc w:val="right"/>
              <w:rPr/>
            </w:pPr>
            <w:r>
              <w:rPr/>
              <w:t>3,412,500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188" w:after="283"/>
        <w:ind w:left="720"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u w:val="single"/>
        </w:rPr>
        <w:t>Net Sales</w:t>
      </w:r>
      <w:r>
        <w:rPr>
          <w:rFonts w:ascii="Arial;Helvetica;sans-serif" w:hAnsi="Arial;Helvetica;sans-serif"/>
          <w:b/>
          <w:i w:val="false"/>
          <w:caps w:val="false"/>
          <w:smallCaps w:val="false"/>
          <w:color w:val="000000"/>
          <w:spacing w:val="-2"/>
          <w:sz w:val="18"/>
          <w:u w:val="single"/>
        </w:rPr>
        <w:t> — </w:t>
      </w:r>
      <w:r>
        <w:rPr>
          <w:rFonts w:ascii="Arial;Helvetica;sans-serif" w:hAnsi="Arial;Helvetica;sans-serif"/>
          <w:b/>
          <w:i w:val="false"/>
          <w:caps w:val="false"/>
          <w:smallCaps w:val="false"/>
          <w:color w:val="000000"/>
          <w:spacing w:val="0"/>
          <w:sz w:val="18"/>
          <w:u w:val="single"/>
        </w:rPr>
        <w:t>30% of Target Dollars at Work</w:t>
      </w:r>
      <w:r>
        <w:rPr>
          <w:rFonts w:ascii="Arial;Helvetica;sans-serif" w:hAnsi="Arial;Helvetica;sans-serif"/>
          <w:b/>
          <w:i w:val="false"/>
          <w:caps w:val="false"/>
          <w:smallCaps w:val="false"/>
          <w:color w:val="000000"/>
          <w:spacing w:val="4"/>
          <w:sz w:val="18"/>
        </w:rPr>
        <w:t xml:space="preserve"> </w:t>
      </w:r>
    </w:p>
    <w:tbl>
      <w:tblPr>
        <w:tblW w:w="8999" w:type="dxa"/>
        <w:jc w:val="left"/>
        <w:tblInd w:w="720" w:type="dxa"/>
        <w:tblLayout w:type="fixed"/>
        <w:tblCellMar>
          <w:top w:w="0" w:type="dxa"/>
          <w:left w:w="0" w:type="dxa"/>
          <w:bottom w:w="50" w:type="dxa"/>
          <w:right w:w="0" w:type="dxa"/>
        </w:tblCellMar>
      </w:tblPr>
      <w:tblGrid>
        <w:gridCol w:w="2041"/>
        <w:gridCol w:w="109"/>
        <w:gridCol w:w="109"/>
        <w:gridCol w:w="109"/>
        <w:gridCol w:w="226"/>
        <w:gridCol w:w="1606"/>
        <w:gridCol w:w="109"/>
        <w:gridCol w:w="109"/>
        <w:gridCol w:w="109"/>
        <w:gridCol w:w="109"/>
        <w:gridCol w:w="226"/>
        <w:gridCol w:w="1606"/>
        <w:gridCol w:w="109"/>
        <w:gridCol w:w="109"/>
        <w:gridCol w:w="109"/>
        <w:gridCol w:w="109"/>
        <w:gridCol w:w="226"/>
        <w:gridCol w:w="1606"/>
        <w:gridCol w:w="109"/>
        <w:gridCol w:w="154"/>
      </w:tblGrid>
      <w:tr>
        <w:trPr/>
        <w:tc>
          <w:tcPr>
            <w:tcW w:w="2041" w:type="dxa"/>
            <w:tcBorders>
              <w:bottom w:val="single" w:sz="2" w:space="0" w:color="000000"/>
            </w:tcBorders>
            <w:vAlign w:val="center"/>
          </w:tcPr>
          <w:p>
            <w:pPr>
              <w:pStyle w:val="TableContents"/>
              <w:bidi w:val="0"/>
              <w:spacing w:before="0" w:after="0"/>
              <w:jc w:val="left"/>
              <w:rPr>
                <w:spacing w:val="0"/>
              </w:rPr>
            </w:pPr>
            <w:r>
              <w:rPr>
                <w:spacing w:val="0"/>
              </w:rPr>
              <w:t xml:space="preserve">Achievement Level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5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5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5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Maximum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tcMar>
              <w:bottom w:w="51" w:type="dxa"/>
            </w:tcMar>
            <w:vAlign w:val="center"/>
          </w:tcPr>
          <w:p>
            <w:pPr>
              <w:pStyle w:val="TableContents"/>
              <w:bidi w:val="0"/>
              <w:spacing w:before="0" w:after="283"/>
              <w:jc w:val="left"/>
              <w:rPr>
                <w:spacing w:val="0"/>
              </w:rPr>
            </w:pPr>
            <w:r>
              <w:rPr>
                <w:spacing w:val="0"/>
              </w:rPr>
              <w:t xml:space="preserve">Goal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26,017,000,000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28,442,000,000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28,726,000,000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8845" w:type="dxa"/>
            <w:gridSpan w:val="19"/>
            <w:tcBorders>
              <w:bottom w:val="single" w:sz="6" w:space="0" w:color="000000"/>
            </w:tcBorders>
            <w:shd w:fill="E6EEF8" w:val="clear"/>
            <w:tcMar>
              <w:bottom w:w="51" w:type="dxa"/>
            </w:tcMar>
            <w:vAlign w:val="center"/>
          </w:tcPr>
          <w:p>
            <w:pPr>
              <w:pStyle w:val="TableContents"/>
              <w:bidi w:val="0"/>
              <w:spacing w:before="0" w:after="0"/>
              <w:jc w:val="center"/>
              <w:rPr>
                <w:spacing w:val="0"/>
              </w:rPr>
            </w:pPr>
            <w:r>
              <w:rPr>
                <w:spacing w:val="0"/>
              </w:rPr>
              <w:t xml:space="preserve">Earned Dollars at Work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Mr. Boyle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600,000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1,200,000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1,800,000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Mr. Drazin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shd w:fill="E6EEF8" w:val="clear"/>
            <w:tcMar>
              <w:bottom w:w="51" w:type="dxa"/>
            </w:tcMar>
            <w:vAlign w:val="center"/>
          </w:tcPr>
          <w:p>
            <w:pPr>
              <w:pStyle w:val="TableContents"/>
              <w:bidi w:val="0"/>
              <w:spacing w:before="0" w:after="283"/>
              <w:jc w:val="right"/>
              <w:rPr/>
            </w:pPr>
            <w:r>
              <w:rPr/>
              <w:t>487,500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shd w:fill="E6EEF8" w:val="clear"/>
            <w:tcMar>
              <w:bottom w:w="51" w:type="dxa"/>
            </w:tcMar>
            <w:vAlign w:val="center"/>
          </w:tcPr>
          <w:p>
            <w:pPr>
              <w:pStyle w:val="TableContents"/>
              <w:bidi w:val="0"/>
              <w:spacing w:before="0" w:after="283"/>
              <w:jc w:val="right"/>
              <w:rPr/>
            </w:pPr>
            <w:r>
              <w:rPr/>
              <w:t>975,000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shd w:fill="E6EEF8" w:val="clear"/>
            <w:tcMar>
              <w:bottom w:w="51" w:type="dxa"/>
            </w:tcMar>
            <w:vAlign w:val="center"/>
          </w:tcPr>
          <w:p>
            <w:pPr>
              <w:pStyle w:val="TableContents"/>
              <w:bidi w:val="0"/>
              <w:spacing w:before="0" w:after="283"/>
              <w:jc w:val="right"/>
              <w:rPr/>
            </w:pPr>
            <w:r>
              <w:rPr/>
              <w:t>1,462,500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Mr. Golwas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487,500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975,000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51" w:type="dxa"/>
            </w:tcMar>
            <w:vAlign w:val="center"/>
          </w:tcPr>
          <w:p>
            <w:pPr>
              <w:pStyle w:val="TableContents"/>
              <w:bidi w:val="0"/>
              <w:spacing w:before="0" w:after="283"/>
              <w:jc w:val="right"/>
              <w:rPr/>
            </w:pPr>
            <w:r>
              <w:rPr/>
              <w:t>$</w:t>
            </w:r>
          </w:p>
        </w:tc>
        <w:tc>
          <w:tcPr>
            <w:tcW w:w="1606" w:type="dxa"/>
            <w:tcBorders>
              <w:bottom w:val="single" w:sz="6" w:space="0" w:color="000000"/>
            </w:tcBorders>
            <w:tcMar>
              <w:bottom w:w="51" w:type="dxa"/>
            </w:tcMar>
            <w:vAlign w:val="center"/>
          </w:tcPr>
          <w:p>
            <w:pPr>
              <w:pStyle w:val="TableContents"/>
              <w:bidi w:val="0"/>
              <w:spacing w:before="0" w:after="283"/>
              <w:jc w:val="right"/>
              <w:rPr/>
            </w:pPr>
            <w:r>
              <w:rPr/>
              <w:t>1,462,500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2041" w:type="dxa"/>
            <w:tcBorders>
              <w:bottom w:val="single" w:sz="6" w:space="0" w:color="000000"/>
            </w:tcBorders>
            <w:shd w:fill="E6EEF8" w:val="clear"/>
            <w:tcMar>
              <w:bottom w:w="42" w:type="dxa"/>
            </w:tcMar>
            <w:vAlign w:val="center"/>
          </w:tcPr>
          <w:p>
            <w:pPr>
              <w:pStyle w:val="TableContents"/>
              <w:bidi w:val="0"/>
              <w:spacing w:before="0" w:after="0"/>
              <w:jc w:val="left"/>
              <w:rPr>
                <w:b/>
                <w:spacing w:val="0"/>
              </w:rPr>
            </w:pPr>
            <w:r>
              <w:rPr>
                <w:b/>
                <w:spacing w:val="0"/>
              </w:rPr>
              <w:t xml:space="preserve">Mr. Miller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606" w:type="dxa"/>
            <w:tcBorders>
              <w:bottom w:val="single" w:sz="6" w:space="0" w:color="000000"/>
            </w:tcBorders>
            <w:shd w:fill="E6EEF8" w:val="clear"/>
            <w:tcMar>
              <w:bottom w:w="42" w:type="dxa"/>
            </w:tcMar>
            <w:vAlign w:val="center"/>
          </w:tcPr>
          <w:p>
            <w:pPr>
              <w:pStyle w:val="TableContents"/>
              <w:bidi w:val="0"/>
              <w:spacing w:before="0" w:after="283"/>
              <w:jc w:val="right"/>
              <w:rPr/>
            </w:pPr>
            <w:r>
              <w:rPr/>
              <w:t>487,500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606" w:type="dxa"/>
            <w:tcBorders>
              <w:bottom w:val="single" w:sz="6" w:space="0" w:color="000000"/>
            </w:tcBorders>
            <w:shd w:fill="E6EEF8" w:val="clear"/>
            <w:tcMar>
              <w:bottom w:w="42" w:type="dxa"/>
            </w:tcMar>
            <w:vAlign w:val="center"/>
          </w:tcPr>
          <w:p>
            <w:pPr>
              <w:pStyle w:val="TableContents"/>
              <w:bidi w:val="0"/>
              <w:spacing w:before="0" w:after="283"/>
              <w:jc w:val="right"/>
              <w:rPr/>
            </w:pPr>
            <w:r>
              <w:rPr/>
              <w:t>975,000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2" w:type="dxa"/>
            </w:tcMar>
            <w:vAlign w:val="center"/>
          </w:tcPr>
          <w:p>
            <w:pPr>
              <w:pStyle w:val="TableContents"/>
              <w:bidi w:val="0"/>
              <w:spacing w:before="0" w:after="283"/>
              <w:jc w:val="right"/>
              <w:rPr/>
            </w:pPr>
            <w:r>
              <w:rPr/>
              <w:t>$</w:t>
            </w:r>
          </w:p>
        </w:tc>
        <w:tc>
          <w:tcPr>
            <w:tcW w:w="1606" w:type="dxa"/>
            <w:tcBorders>
              <w:bottom w:val="single" w:sz="6" w:space="0" w:color="000000"/>
            </w:tcBorders>
            <w:shd w:fill="E6EEF8" w:val="clear"/>
            <w:tcMar>
              <w:bottom w:w="42" w:type="dxa"/>
            </w:tcMar>
            <w:vAlign w:val="center"/>
          </w:tcPr>
          <w:p>
            <w:pPr>
              <w:pStyle w:val="TableContents"/>
              <w:bidi w:val="0"/>
              <w:spacing w:before="0" w:after="283"/>
              <w:jc w:val="right"/>
              <w:rPr/>
            </w:pPr>
            <w:r>
              <w:rPr/>
              <w:t>1,462,500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SRAD"/>
      <w:bookmarkEnd w:id="35"/>
      <w:r>
        <w:rPr>
          <w:rFonts w:ascii="calibri;arial;sans-serif" w:hAnsi="calibri;arial;sans-serif"/>
          <w:b w:val="false"/>
          <w:i w:val="false"/>
          <w:caps w:val="false"/>
          <w:smallCaps w:val="false"/>
          <w:color w:val="000000"/>
          <w:sz w:val="16"/>
        </w:rPr>
        <w:t>​</w:t>
      </w:r>
      <w:bookmarkStart w:id="36" w:name="tOPL1"/>
      <w:bookmarkEnd w:id="36"/>
      <w:r>
        <w:rPr>
          <w:rFonts w:ascii="calibri;arial;sans-serif" w:hAnsi="calibri;arial;sans-serif"/>
          <w:b w:val="false"/>
          <w:i w:val="false"/>
          <w:caps w:val="false"/>
          <w:smallCaps w:val="false"/>
          <w:color w:val="000000"/>
          <w:sz w:val="16"/>
        </w:rPr>
        <w:t>​</w:t>
      </w:r>
      <w:bookmarkStart w:id="37" w:name="tOCPA"/>
      <w:bookmarkEnd w:id="37"/>
      <w:r>
        <w:rPr>
          <w:rFonts w:ascii="calibri;arial;sans-serif" w:hAnsi="calibri;arial;sans-serif"/>
          <w:b w:val="false"/>
          <w:i w:val="false"/>
          <w:caps w:val="false"/>
          <w:smallCaps w:val="false"/>
          <w:color w:val="000000"/>
          <w:sz w:val="16"/>
        </w:rPr>
        <w:t>​</w:t>
      </w:r>
      <w:bookmarkStart w:id="38" w:name="tOSOG"/>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28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Sign-on, Retention and Discretionary Bonuses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None of our NEOs received any sign-on, retention or discretionary bonuses during fiscal year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Other Perquisites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provide various employee benefit programs to our NEOs, including medical, vision, dental, life insurance, accidental death and dismemberment insurance, long-term disability insurance, short-term disability insurance, health savings accounts, and wellness programs. These benefit programs are available to all of our salaried U.S.-based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pursuant to our executive security program, we may provide personal security services to certain executive officers. These protections are provided due to the range of security issues and threats encountered by our senior executives. We view the security services provided to our executive officers as an integral part of our risk management program and as necessary and appropriate business expenses. However, because such services may be viewed as conveying a personal benefit to our executive officers, we have reported the aggregate incremental costs of such services in the “All Other Compensation” column of the Summary Compensation Table as required by Item 402 of Regulation S-K.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These benefits are provided to the NEOs to eliminate potential distractions from performing their regular job duties. We believe the cost of these programs is counterbalanced by an increase in productivity by the executives receiving access to them.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Retirement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maintain a defined contribution plan that is tax-qualified under Section 401(k) of the U.S. Internal Revenue Code of 1986, as amended (the “Code”) and that we refer to as the “Medline Industries, LP Retirement Plan” or the “401(k) Plan.” The 401(k) Plan is offered on a nondiscriminatory basis to our full-time regular employees, including our NEOs, and our eligible part-time employees. Subject to certain limitations imposed by the Code, the 401(k) Plan permits eligible employees to defer receipt of up to 75% of their eligible compensation on a pre-tax basis (or on a post-tax basis, with respect to elective Roth deferrals).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provide matching contributions to the 401(k) Plan in an amount equal to 50% of each participant’s first 8% of deferrals, subject to certain other limits. Participants are 100% vested in both their individual contributions and the matching contributions.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Other Compensation Policies and Practices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Officer Stock Ownership Guidelines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stock ownership guidelines, effective December 16, 2025, require our NEOs to maintain a number of shares of our common stock in an amount equal to a specified multiple. All of our current NEOs, including our CEO, are in compliance with the ownership guidelines.</w:t>
      </w:r>
      <w:r>
        <w:rPr>
          <w:rFonts w:ascii="Arial;Helvetica;sans-serif" w:hAnsi="Arial;Helvetica;sans-serif"/>
          <w:b w:val="false"/>
          <w:i w:val="false"/>
          <w:caps w:val="false"/>
          <w:smallCaps w:val="false"/>
          <w:color w:val="000000"/>
          <w:spacing w:val="4"/>
          <w:sz w:val="18"/>
        </w:rPr>
        <w:t xml:space="preserve"> </w:t>
      </w:r>
    </w:p>
    <w:tbl>
      <w:tblPr>
        <w:tblW w:w="8316" w:type="dxa"/>
        <w:jc w:val="left"/>
        <w:tblInd w:w="720" w:type="dxa"/>
        <w:tblLayout w:type="fixed"/>
        <w:tblCellMar>
          <w:top w:w="0" w:type="dxa"/>
          <w:left w:w="0" w:type="dxa"/>
          <w:bottom w:w="0" w:type="dxa"/>
          <w:right w:w="0" w:type="dxa"/>
        </w:tblCellMar>
      </w:tblPr>
      <w:tblGrid>
        <w:gridCol w:w="124"/>
        <w:gridCol w:w="984"/>
        <w:gridCol w:w="109"/>
        <w:gridCol w:w="109"/>
        <w:gridCol w:w="2771"/>
        <w:gridCol w:w="109"/>
        <w:gridCol w:w="109"/>
        <w:gridCol w:w="3847"/>
        <w:gridCol w:w="154"/>
      </w:tblGrid>
      <w:tr>
        <w:trPr/>
        <w:tc>
          <w:tcPr>
            <w:tcW w:w="124"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0"/>
              <w:jc w:val="center"/>
              <w:rPr/>
            </w:pPr>
            <w:r>
              <w:rPr/>
              <w:drawing>
                <wp:inline distT="0" distB="0" distL="0" distR="0">
                  <wp:extent cx="352425" cy="352425"/>
                  <wp:effectExtent l="0" t="0" r="0" b="0"/>
                  <wp:docPr id="37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31" descr=""/>
                          <pic:cNvPicPr>
                            <a:picLocks noChangeAspect="1" noChangeArrowheads="1"/>
                          </pic:cNvPicPr>
                        </pic:nvPicPr>
                        <pic:blipFill>
                          <a:blip r:embed="rId148"/>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1" w:type="dxa"/>
            <w:tcBorders/>
            <w:vAlign w:val="center"/>
          </w:tcPr>
          <w:p>
            <w:pPr>
              <w:pStyle w:val="TableContents"/>
              <w:bidi w:val="0"/>
              <w:spacing w:before="0" w:after="0"/>
              <w:jc w:val="center"/>
              <w:rPr/>
            </w:pPr>
            <w:r>
              <w:rPr/>
              <w:drawing>
                <wp:inline distT="0" distB="0" distL="0" distR="0">
                  <wp:extent cx="352425" cy="352425"/>
                  <wp:effectExtent l="0" t="0" r="0" b="0"/>
                  <wp:docPr id="37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32" descr=""/>
                          <pic:cNvPicPr>
                            <a:picLocks noChangeAspect="1" noChangeArrowheads="1"/>
                          </pic:cNvPicPr>
                        </pic:nvPicPr>
                        <pic:blipFill>
                          <a:blip r:embed="rId149"/>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47" w:type="dxa"/>
            <w:tcBorders/>
            <w:vAlign w:val="center"/>
          </w:tcPr>
          <w:p>
            <w:pPr>
              <w:pStyle w:val="TableContents"/>
              <w:bidi w:val="0"/>
              <w:spacing w:before="0" w:after="0"/>
              <w:jc w:val="center"/>
              <w:rPr/>
            </w:pPr>
            <w:r>
              <w:rPr/>
              <w:drawing>
                <wp:inline distT="0" distB="0" distL="0" distR="0">
                  <wp:extent cx="266700" cy="352425"/>
                  <wp:effectExtent l="0" t="0" r="0" b="0"/>
                  <wp:docPr id="37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33" descr=""/>
                          <pic:cNvPicPr>
                            <a:picLocks noChangeAspect="1" noChangeArrowheads="1"/>
                          </pic:cNvPicPr>
                        </pic:nvPicPr>
                        <pic:blipFill>
                          <a:blip r:embed="rId150"/>
                          <a:stretch>
                            <a:fillRect/>
                          </a:stretch>
                        </pic:blipFill>
                        <pic:spPr bwMode="auto">
                          <a:xfrm>
                            <a:off x="0" y="0"/>
                            <a:ext cx="266700" cy="3524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0"/>
              <w:jc w:val="center"/>
              <w:rPr/>
            </w:pPr>
            <w:r>
              <w:rPr>
                <w:caps/>
                <w:spacing w:val="-2"/>
              </w:rPr>
              <w:t>Role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1" w:type="dxa"/>
            <w:tcBorders/>
            <w:vAlign w:val="center"/>
          </w:tcPr>
          <w:p>
            <w:pPr>
              <w:pStyle w:val="TableContents"/>
              <w:bidi w:val="0"/>
              <w:spacing w:before="0" w:after="0"/>
              <w:jc w:val="center"/>
              <w:rPr/>
            </w:pPr>
            <w:r>
              <w:rPr>
                <w:caps/>
                <w:spacing w:val="-2"/>
              </w:rPr>
              <w:t>Minimum 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47" w:type="dxa"/>
            <w:tcBorders/>
            <w:vAlign w:val="center"/>
          </w:tcPr>
          <w:p>
            <w:pPr>
              <w:pStyle w:val="TableContents"/>
              <w:bidi w:val="0"/>
              <w:spacing w:before="0" w:after="0"/>
              <w:jc w:val="center"/>
              <w:rPr/>
            </w:pPr>
            <w:r>
              <w:rPr>
                <w:caps/>
                <w:spacing w:val="-2"/>
              </w:rPr>
              <w:t>Compliance Period</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lineRule="atLeast" w:line="200" w:before="0" w:after="0"/>
              <w:jc w:val="center"/>
              <w:rPr>
                <w:color w:val="000000"/>
                <w:spacing w:val="-1"/>
                <w:sz w:val="16"/>
              </w:rPr>
            </w:pPr>
            <w:r>
              <w:rPr>
                <w:color w:val="000000"/>
                <w:spacing w:val="-1"/>
                <w:sz w:val="16"/>
              </w:rPr>
              <w:t xml:space="preserve">CEO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1" w:type="dxa"/>
            <w:tcBorders/>
            <w:vAlign w:val="center"/>
          </w:tcPr>
          <w:p>
            <w:pPr>
              <w:pStyle w:val="TableContents"/>
              <w:bidi w:val="0"/>
              <w:spacing w:before="0" w:after="0"/>
              <w:jc w:val="center"/>
              <w:rPr/>
            </w:pPr>
            <w:r>
              <w:rPr>
                <w:spacing w:val="-2"/>
              </w:rPr>
              <w:t>■ ■ ■ ■ ■ ■</w:t>
            </w:r>
            <w:r>
              <w:rPr/>
              <w:t>​</w:t>
            </w:r>
            <w:r>
              <w:rPr>
                <w:spacing w:val="-1"/>
              </w:rPr>
              <w:t xml:space="preserve"> </w:t>
            </w:r>
            <w:r>
              <w:rPr>
                <w:b/>
                <w:color w:val="0070CD"/>
                <w:spacing w:val="0"/>
                <w:sz w:val="16"/>
              </w:rPr>
              <w:t>6x BASE SALARY</w:t>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3847" w:type="dxa"/>
            <w:vMerge w:val="restart"/>
            <w:tcBorders>
              <w:bottom w:val="single" w:sz="6" w:space="0" w:color="000000"/>
            </w:tcBorders>
            <w:tcMar>
              <w:bottom w:w="35" w:type="dxa"/>
            </w:tcMar>
            <w:vAlign w:val="center"/>
          </w:tcPr>
          <w:p>
            <w:pPr>
              <w:pStyle w:val="TableContents"/>
              <w:bidi w:val="0"/>
              <w:spacing w:lineRule="atLeast" w:line="200" w:before="0" w:after="0"/>
              <w:jc w:val="center"/>
              <w:rPr>
                <w:color w:val="000000"/>
                <w:spacing w:val="-1"/>
                <w:sz w:val="16"/>
              </w:rPr>
            </w:pPr>
            <w:r>
              <w:rPr>
                <w:color w:val="000000"/>
                <w:spacing w:val="-1"/>
                <w:sz w:val="16"/>
              </w:rPr>
              <w:t xml:space="preserve">5 years from the later of: </w:t>
              <w:br/>
              <w:t xml:space="preserve">(i) effective date of our guidelines and </w:t>
              <w:br/>
              <w:t xml:space="preserve">(ii) appointment to a position subject to the guidelines </w:t>
            </w:r>
          </w:p>
        </w:tc>
        <w:tc>
          <w:tcPr>
            <w:tcW w:w="15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0"/>
              <w:jc w:val="center"/>
              <w:rPr>
                <w:color w:val="000000"/>
                <w:spacing w:val="-1"/>
                <w:sz w:val="16"/>
              </w:rPr>
            </w:pPr>
            <w:r>
              <w:rPr>
                <w:color w:val="000000"/>
                <w:spacing w:val="-1"/>
                <w:sz w:val="16"/>
              </w:rPr>
              <w:t xml:space="preserve">Other NEOs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1" w:type="dxa"/>
            <w:tcBorders/>
            <w:vAlign w:val="center"/>
          </w:tcPr>
          <w:p>
            <w:pPr>
              <w:pStyle w:val="TableContents"/>
              <w:bidi w:val="0"/>
              <w:spacing w:before="0" w:after="0"/>
              <w:jc w:val="center"/>
              <w:rPr/>
            </w:pPr>
            <w:r>
              <w:rPr>
                <w:spacing w:val="-2"/>
              </w:rPr>
              <w:t>■ ■ ■</w:t>
            </w:r>
            <w:r>
              <w:rPr>
                <w:spacing w:val="-1"/>
              </w:rPr>
              <w:t xml:space="preserve">  </w:t>
            </w:r>
            <w:r>
              <w:rPr>
                <w:b/>
                <w:color w:val="0070CD"/>
                <w:spacing w:val="0"/>
                <w:sz w:val="16"/>
              </w:rPr>
              <w:t>3x BASE SALARY</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3847" w:type="dxa"/>
            <w:vMerge w:val="continue"/>
            <w:tcBorders>
              <w:bottom w:val="single" w:sz="6" w:space="0" w:color="000000"/>
            </w:tcBorders>
            <w:tcMar>
              <w:bottom w:w="35" w:type="dxa"/>
            </w:tcMar>
            <w:vAlign w:val="center"/>
          </w:tcPr>
          <w:p>
            <w:pPr>
              <w:pStyle w:val="Normal"/>
              <w:bidi w:val="0"/>
              <w:jc w:val="left"/>
              <w:rPr/>
            </w:pPr>
            <w:r>
              <w:rPr/>
            </w:r>
          </w:p>
        </w:tc>
        <w:tc>
          <w:tcPr>
            <w:tcW w:w="154" w:type="dxa"/>
            <w:vMerge w:val="continue"/>
            <w:tcBorders>
              <w:bottom w:val="single" w:sz="6" w:space="0" w:color="000000"/>
            </w:tcBorders>
            <w:tcMar>
              <w:bottom w:w="28" w:type="dxa"/>
            </w:tcMar>
            <w:vAlign w:val="center"/>
          </w:tcPr>
          <w:p>
            <w:pPr>
              <w:pStyle w:val="Normal"/>
              <w:bidi w:val="0"/>
              <w:jc w:val="left"/>
              <w:rPr/>
            </w:pPr>
            <w:r>
              <w:rPr/>
            </w:r>
          </w:p>
        </w:tc>
      </w:tr>
    </w:tbl>
    <w:p>
      <w:pPr>
        <w:pStyle w:val="TextBody"/>
        <w:bidi w:val="0"/>
        <w:spacing w:lineRule="atLeast" w:line="220" w:before="194"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forms of stock count toward the ownership requirement: shares of common stock owned individually or jointly with their spouse and/or children; shares of common stock held in a trust for the benefit of them or their immediate family members; unvested RSUs; performance stock units (“PSUs”) or performance grants for which performance conditions have been met and certified; and Medline partnership interests.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55</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SAL"/>
      <w:bookmarkEnd w:id="39"/>
      <w:r>
        <w:rPr>
          <w:rFonts w:ascii="calibri;arial;sans-serif" w:hAnsi="calibri;arial;sans-serif"/>
          <w:b w:val="false"/>
          <w:i w:val="false"/>
          <w:caps w:val="false"/>
          <w:smallCaps w:val="false"/>
          <w:color w:val="000000"/>
          <w:sz w:val="16"/>
        </w:rPr>
        <w:t>​</w:t>
      </w:r>
      <w:bookmarkStart w:id="40" w:name="tCPL"/>
      <w:bookmarkEnd w:id="40"/>
      <w:r>
        <w:rPr>
          <w:rFonts w:ascii="calibri;arial;sans-serif" w:hAnsi="calibri;arial;sans-serif"/>
          <w:b w:val="false"/>
          <w:i w:val="false"/>
          <w:caps w:val="false"/>
          <w:smallCaps w:val="false"/>
          <w:color w:val="000000"/>
          <w:sz w:val="16"/>
        </w:rPr>
        <w:t>​</w:t>
      </w:r>
      <w:bookmarkStart w:id="41" w:name="tEGTP"/>
      <w:bookmarkEnd w:id="41"/>
      <w:r>
        <w:rPr>
          <w:rFonts w:ascii="calibri;arial;sans-serif" w:hAnsi="calibri;arial;sans-serif"/>
          <w:b w:val="false"/>
          <w:i w:val="false"/>
          <w:caps w:val="false"/>
          <w:smallCaps w:val="false"/>
          <w:color w:val="000000"/>
          <w:sz w:val="16"/>
        </w:rPr>
        <w:t>​</w:t>
      </w:r>
      <w:bookmarkStart w:id="42" w:name="tIOTA"/>
      <w:bookmarkEnd w:id="42"/>
      <w:r>
        <w:rPr>
          <w:rFonts w:ascii="calibri;arial;sans-serif" w:hAnsi="calibri;arial;sans-serif"/>
          <w:b w:val="false"/>
          <w:i w:val="false"/>
          <w:caps w:val="false"/>
          <w:smallCaps w:val="false"/>
          <w:color w:val="000000"/>
          <w:sz w:val="16"/>
        </w:rPr>
        <w:t>​</w:t>
      </w:r>
      <w:bookmarkStart w:id="43" w:name="tAWNL"/>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forms of stock do not count towards the ownership requirement: PSUs or other performance awards that are unearned (i.e., performance conditions have not been met and certified); unexercised stock options; and long-term incentive performance awards that may be settled in cash (whether vested or unvested).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Severance Arrangements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We believe that reasonable and appropriate severance benefits are necessary in order to be competitive in Medline’s executive attraction and retention efforts. As discussed below, our NEOs, other than Mr. Pigott, participate in the Medline Industries L.P. Executive Severance Plan (the “Severance Plan”), which was initially adopted in May 2025 and amended and restated in connection with the IPO, and provides for certain payments, rights, and benefits upon certain qualifying terminations from Medline. Mr. Pigott is entitled to certain payments, rights, and benefits in connection with his transition pursuant to the Pigott Transition Agreement. See </w:t>
      </w:r>
      <w:r>
        <w:rPr>
          <w:rFonts w:ascii="Arial;Helvetica;sans-serif" w:hAnsi="Arial;Helvetica;sans-serif"/>
          <w:b w:val="false"/>
          <w:i/>
          <w:caps w:val="false"/>
          <w:smallCaps w:val="false"/>
          <w:color w:val="000000"/>
          <w:sz w:val="18"/>
        </w:rPr>
        <w:t>Potential Payments Upon Termination or Change in Control</w:t>
      </w:r>
      <w:r>
        <w:rPr>
          <w:rFonts w:ascii="Arial;Helvetica;sans-serif" w:hAnsi="Arial;Helvetica;sans-serif"/>
          <w:b w:val="false"/>
          <w:i w:val="false"/>
          <w:caps w:val="false"/>
          <w:smallCaps w:val="false"/>
          <w:color w:val="000000"/>
          <w:spacing w:val="-1"/>
          <w:sz w:val="18"/>
        </w:rPr>
        <w:t xml:space="preserve"> for a description of these benefits.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Clawback Policy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adopted a compensation recovery policy as required by Rule 10D-1 under the Exchange Act and the corresponding listing standard adopted by Nasdaq (the “Incentive Compensation Clawback Policy”). The policy generally provides that if we are required to prepare an accounting 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all Incentive Units under the MIP obligate the recipient to repay any after-tax proceeds received in respect of Incentive Units if the recipient is terminated for cause (or we discover within one year following termination that grounds to terminate the recipient’s employment for cause existed at the time of termination) or violates restrictive covenants. Awards under the Omnibus Plan also require repayment of after-tax proceeds received in respect of awards if the participant engages in detrimental activity, which generally includes (i) unauthorized disclosure or use of any confidential or proprietary information of Medline; (ii) any activity that would be grounds to terminate the recipient’s employment or service for cause; (iii) a breach by the recipient of any restrictive covenant by which such recipient is bound, including, without limitation, any covenant not to compete or not to solicit, in any agreement with Medline, or (iv) fraud or conduct contributing to any financial restatements or irregularities, in each case, as determined by the Compensation Committee in its sole discretion.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Equity Grant Timing Practices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Historically, long-term incentive awards were granted on an annual basis, with Incentive Units (or, for 2025, RSUs) earned thereunder granted in March of the following year. For the 2025 long-term incentive awards, the earned RSUs were granted on March 5, 2026 during an open trading window and in accordance with our insider trading policy. The Compensation Committee may grant equity awards at other points during the year in its discretion. We did not grant any stock option awards to NEOs during 2025. We did not time the disclosure of material nonpublic information for the purpose of affecting the value of any executive compensation awarded during 2025, and the Compensation Committee did not take material nonpublic information into account when determining the timing and terms of any equity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Impact of Tax and Accounting Policies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 — Stock Compensation (“ASC Topic 718”).</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1"/>
          <w:sz w:val="24"/>
        </w:rPr>
        <w:t>Agreements with NEOs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 October 2023, we entered into employment agreements with Messrs. Boyle and Pigott in connection with their respective promotions to the roles of CEO and President and Chief Operating Officer, respectively. These agreements provide for certain payments, rights and benefits upon certain qualifying terminations from Medline. However, in May 2025, we adopted our Severance Plan, pursuant to which our NEOs, other than Mr. Pigott, are eligible to receive certain payments, rights and benefits upon certain qualifying terminations from Medline. In connection with becoming a participant in our Severance Plan, Mr. Boyle waived the severance payments and benefits provided in his employment agreement. In October 2024, we entered into a transition and separation agreement with Mr. Pigott that set forth the payments and benefits Mr. Pigott received in connection with his departure on December 31, 2025. The material terms of Mr. Boyle’s employment agreement and Mr. Pigott’s transition and separation agreement are described below under </w:t>
      </w:r>
      <w:r>
        <w:rPr>
          <w:rFonts w:ascii="Arial;Helvetica;sans-serif" w:hAnsi="Arial;Helvetica;sans-serif"/>
          <w:b w:val="false"/>
          <w:i/>
          <w:caps w:val="false"/>
          <w:smallCaps w:val="false"/>
          <w:color w:val="000000"/>
          <w:sz w:val="18"/>
        </w:rPr>
        <w:t>Narrative Disclosure to Summary Compensation Table and Grants of Plan-Based Awards Table — Agreements with NEOs</w:t>
      </w:r>
      <w:r>
        <w:rPr>
          <w:rFonts w:ascii="Arial;Helvetica;sans-serif" w:hAnsi="Arial;Helvetica;sans-serif"/>
          <w:b w:val="false"/>
          <w:i w:val="false"/>
          <w:caps w:val="false"/>
          <w:smallCaps w:val="false"/>
          <w:color w:val="000000"/>
          <w:spacing w:val="-1"/>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56</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CCRL"/>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8160"/>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Compensation Committee Report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Compensation Committee is composed solely of the three Directors listed below. In fulfilling its oversight responsibilities, the Compensation Committee reviewed and discussed with management the Compensation Discussion and Analysis included in this Proxy Statement. Based on its review and discussions with management, the Compensation Committee recommended to the Board that the Compensation Discussion and Analysis be included in our Proxy Statement to be filed with the SEC in connection with our Annual Meeting and incorporated by reference in Annual Report on Form 10-K for the year ended December 31, 2025, which was filed with the SEC on February 25,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00" w:after="283"/>
        <w:jc w:val="center"/>
        <w:rPr>
          <w:rFonts w:ascii="Arial;Helvetica;sans-serif" w:hAnsi="Arial;Helvetica;sans-serif"/>
          <w:b/>
          <w:i w:val="false"/>
          <w:caps w:val="false"/>
          <w:smallCaps w:val="false"/>
          <w:color w:val="0070CD"/>
          <w:sz w:val="24"/>
        </w:rPr>
      </w:pPr>
      <w:r>
        <w:rPr>
          <w:rFonts w:ascii="Arial;Helvetica;sans-serif" w:hAnsi="Arial;Helvetica;sans-serif"/>
          <w:b/>
          <w:i w:val="false"/>
          <w:caps w:val="false"/>
          <w:smallCaps w:val="false"/>
          <w:color w:val="0070CD"/>
          <w:spacing w:val="-1"/>
          <w:sz w:val="24"/>
        </w:rPr>
        <w:t>Compensation Committee</w:t>
      </w:r>
      <w:r>
        <w:rPr>
          <w:rFonts w:ascii="Arial;Helvetica;sans-serif" w:hAnsi="Arial;Helvetica;sans-serif"/>
          <w:b/>
          <w:i w:val="false"/>
          <w:caps w:val="false"/>
          <w:smallCaps w:val="false"/>
          <w:color w:val="000000"/>
          <w:sz w:val="24"/>
        </w:rPr>
        <w:t>​</w:t>
      </w:r>
      <w:r>
        <w:rPr>
          <w:rFonts w:ascii="Arial;Helvetica;sans-serif" w:hAnsi="Arial;Helvetica;sans-serif"/>
          <w:b/>
          <w:i w:val="false"/>
          <w:caps w:val="false"/>
          <w:smallCaps w:val="false"/>
          <w:color w:val="000000"/>
          <w:spacing w:val="4"/>
          <w:sz w:val="24"/>
        </w:rPr>
        <w:t xml:space="preserve"> </w:t>
      </w:r>
    </w:p>
    <w:tbl>
      <w:tblPr>
        <w:tblW w:w="5677" w:type="dxa"/>
        <w:jc w:val="left"/>
        <w:tblInd w:w="720" w:type="dxa"/>
        <w:tblLayout w:type="fixed"/>
        <w:tblCellMar>
          <w:top w:w="0" w:type="dxa"/>
          <w:left w:w="0" w:type="dxa"/>
          <w:bottom w:w="0" w:type="dxa"/>
          <w:right w:w="0" w:type="dxa"/>
        </w:tblCellMar>
      </w:tblPr>
      <w:tblGrid>
        <w:gridCol w:w="124"/>
        <w:gridCol w:w="1756"/>
        <w:gridCol w:w="109"/>
        <w:gridCol w:w="109"/>
        <w:gridCol w:w="1556"/>
        <w:gridCol w:w="109"/>
        <w:gridCol w:w="109"/>
        <w:gridCol w:w="1651"/>
        <w:gridCol w:w="154"/>
      </w:tblGrid>
      <w:tr>
        <w:trPr/>
        <w:tc>
          <w:tcPr>
            <w:tcW w:w="124" w:type="dxa"/>
            <w:tcBorders/>
            <w:vAlign w:val="center"/>
          </w:tcPr>
          <w:p>
            <w:pPr>
              <w:pStyle w:val="TableContents"/>
              <w:bidi w:val="0"/>
              <w:spacing w:before="0" w:after="283"/>
              <w:jc w:val="left"/>
              <w:rPr/>
            </w:pPr>
            <w:r>
              <w:rPr/>
              <w:t>​</w:t>
            </w:r>
          </w:p>
        </w:tc>
        <w:tc>
          <w:tcPr>
            <w:tcW w:w="1756" w:type="dxa"/>
            <w:tcBorders/>
            <w:vAlign w:val="center"/>
          </w:tcPr>
          <w:p>
            <w:pPr>
              <w:pStyle w:val="TableContents"/>
              <w:bidi w:val="0"/>
              <w:spacing w:before="0" w:after="0"/>
              <w:jc w:val="center"/>
              <w:rPr/>
            </w:pPr>
            <w:r>
              <w:rPr/>
              <w:drawing>
                <wp:inline distT="0" distB="0" distL="0" distR="0">
                  <wp:extent cx="895350" cy="904875"/>
                  <wp:effectExtent l="0" t="0" r="0" b="0"/>
                  <wp:docPr id="37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34" descr=""/>
                          <pic:cNvPicPr>
                            <a:picLocks noChangeAspect="1" noChangeArrowheads="1"/>
                          </pic:cNvPicPr>
                        </pic:nvPicPr>
                        <pic:blipFill>
                          <a:blip r:embed="rId151"/>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6" w:type="dxa"/>
            <w:tcBorders/>
            <w:vAlign w:val="center"/>
          </w:tcPr>
          <w:p>
            <w:pPr>
              <w:pStyle w:val="TableContents"/>
              <w:bidi w:val="0"/>
              <w:spacing w:before="0" w:after="0"/>
              <w:jc w:val="center"/>
              <w:rPr/>
            </w:pPr>
            <w:r>
              <w:rPr/>
              <w:drawing>
                <wp:inline distT="0" distB="0" distL="0" distR="0">
                  <wp:extent cx="895350" cy="904875"/>
                  <wp:effectExtent l="0" t="0" r="0" b="0"/>
                  <wp:docPr id="37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35" descr=""/>
                          <pic:cNvPicPr>
                            <a:picLocks noChangeAspect="1" noChangeArrowheads="1"/>
                          </pic:cNvPicPr>
                        </pic:nvPicPr>
                        <pic:blipFill>
                          <a:blip r:embed="rId152"/>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1" w:type="dxa"/>
            <w:tcBorders/>
            <w:vAlign w:val="center"/>
          </w:tcPr>
          <w:p>
            <w:pPr>
              <w:pStyle w:val="TableContents"/>
              <w:bidi w:val="0"/>
              <w:spacing w:before="0" w:after="0"/>
              <w:jc w:val="center"/>
              <w:rPr/>
            </w:pPr>
            <w:r>
              <w:rPr/>
              <w:drawing>
                <wp:inline distT="0" distB="0" distL="0" distR="0">
                  <wp:extent cx="895350" cy="904875"/>
                  <wp:effectExtent l="0" t="0" r="0" b="0"/>
                  <wp:docPr id="37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36" descr=""/>
                          <pic:cNvPicPr>
                            <a:picLocks noChangeAspect="1" noChangeArrowheads="1"/>
                          </pic:cNvPicPr>
                        </pic:nvPicPr>
                        <pic:blipFill>
                          <a:blip r:embed="rId153"/>
                          <a:stretch>
                            <a:fillRect/>
                          </a:stretch>
                        </pic:blipFill>
                        <pic:spPr bwMode="auto">
                          <a:xfrm>
                            <a:off x="0" y="0"/>
                            <a:ext cx="895350" cy="9048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6" w:type="dxa"/>
            <w:tcBorders/>
            <w:vAlign w:val="center"/>
          </w:tcPr>
          <w:p>
            <w:pPr>
              <w:pStyle w:val="TableContents"/>
              <w:bidi w:val="0"/>
              <w:spacing w:lineRule="atLeast" w:line="225" w:before="0" w:after="0"/>
              <w:jc w:val="center"/>
              <w:rPr/>
            </w:pPr>
            <w:r>
              <w:rPr>
                <w:spacing w:val="0"/>
              </w:rPr>
              <w:t>Anushka Sunder</w:t>
            </w:r>
            <w:r>
              <w:rPr/>
              <w:t xml:space="preserve"> </w:t>
              <w:br/>
            </w:r>
            <w:r>
              <w:rPr>
                <w:color w:val="0070CD"/>
                <w:spacing w:val="0"/>
              </w:rPr>
              <w:t>Chair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6" w:type="dxa"/>
            <w:tcBorders/>
            <w:vAlign w:val="center"/>
          </w:tcPr>
          <w:p>
            <w:pPr>
              <w:pStyle w:val="TableContents"/>
              <w:bidi w:val="0"/>
              <w:spacing w:before="0" w:after="0"/>
              <w:jc w:val="center"/>
              <w:rPr/>
            </w:pPr>
            <w:r>
              <w:rPr>
                <w:spacing w:val="0"/>
              </w:rPr>
              <w:t>Jacob Best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1" w:type="dxa"/>
            <w:tcBorders/>
            <w:vAlign w:val="center"/>
          </w:tcPr>
          <w:p>
            <w:pPr>
              <w:pStyle w:val="TableContents"/>
              <w:bidi w:val="0"/>
              <w:spacing w:before="0" w:after="0"/>
              <w:jc w:val="center"/>
              <w:rPr/>
            </w:pPr>
            <w:r>
              <w:rPr>
                <w:spacing w:val="0"/>
              </w:rPr>
              <w:t>Robert Schmidt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57</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ECTL"/>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283"/>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E</w:t>
      </w:r>
      <w:r>
        <w:rPr>
          <w:rFonts w:ascii="Arial;Helvetica;sans-serif" w:hAnsi="Arial;Helvetica;sans-serif"/>
          <w:b/>
          <w:i w:val="false"/>
          <w:caps w:val="false"/>
          <w:smallCaps w:val="false"/>
          <w:color w:val="003CA6"/>
          <w:spacing w:val="-4"/>
          <w:sz w:val="28"/>
        </w:rPr>
        <w:t>XECUTIVE</w:t>
      </w:r>
      <w:r>
        <w:rPr>
          <w:rFonts w:ascii="Arial;Helvetica;sans-serif" w:hAnsi="Arial;Helvetica;sans-serif"/>
          <w:b/>
          <w:i w:val="false"/>
          <w:caps w:val="false"/>
          <w:smallCaps w:val="false"/>
          <w:color w:val="003CA6"/>
          <w:spacing w:val="-4"/>
          <w:sz w:val="28"/>
        </w:rPr>
        <w:t xml:space="preserve"> C</w:t>
      </w:r>
      <w:r>
        <w:rPr>
          <w:rFonts w:ascii="Arial;Helvetica;sans-serif" w:hAnsi="Arial;Helvetica;sans-serif"/>
          <w:b/>
          <w:i w:val="false"/>
          <w:caps w:val="false"/>
          <w:smallCaps w:val="false"/>
          <w:color w:val="003CA6"/>
          <w:spacing w:val="-4"/>
          <w:sz w:val="28"/>
        </w:rPr>
        <w:t>OMPENSATION</w:t>
      </w:r>
      <w:r>
        <w:rPr>
          <w:rFonts w:ascii="Arial;Helvetica;sans-serif" w:hAnsi="Arial;Helvetica;sans-serif"/>
          <w:b/>
          <w:i w:val="false"/>
          <w:caps w:val="false"/>
          <w:smallCaps w:val="false"/>
          <w:color w:val="003CA6"/>
          <w:spacing w:val="-4"/>
          <w:sz w:val="28"/>
        </w:rPr>
        <w:t xml:space="preserve"> T</w:t>
      </w:r>
      <w:r>
        <w:rPr>
          <w:rFonts w:ascii="Arial;Helvetica;sans-serif" w:hAnsi="Arial;Helvetica;sans-serif"/>
          <w:b/>
          <w:i w:val="false"/>
          <w:caps w:val="false"/>
          <w:smallCaps w:val="false"/>
          <w:color w:val="003CA6"/>
          <w:spacing w:val="-4"/>
          <w:sz w:val="28"/>
        </w:rPr>
        <w:t>ABLES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S</w:t>
      </w:r>
      <w:r>
        <w:rPr>
          <w:rFonts w:ascii="Arial;Helvetica;sans-serif" w:hAnsi="Arial;Helvetica;sans-serif"/>
          <w:b/>
          <w:i w:val="false"/>
          <w:caps w:val="false"/>
          <w:smallCaps w:val="false"/>
          <w:color w:val="0055B7"/>
          <w:spacing w:val="-3"/>
          <w:sz w:val="24"/>
        </w:rPr>
        <w:t>UMMARY</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OMPENSATION</w:t>
      </w:r>
      <w:r>
        <w:rPr>
          <w:rFonts w:ascii="Arial;Helvetica;sans-serif" w:hAnsi="Arial;Helvetica;sans-serif"/>
          <w:b/>
          <w:i w:val="false"/>
          <w:caps w:val="false"/>
          <w:smallCaps w:val="false"/>
          <w:color w:val="0055B7"/>
          <w:spacing w:val="-3"/>
          <w:sz w:val="24"/>
        </w:rPr>
        <w:t xml:space="preserve"> T</w:t>
      </w:r>
      <w:r>
        <w:rPr>
          <w:rFonts w:ascii="Arial;Helvetica;sans-serif" w:hAnsi="Arial;Helvetica;sans-serif"/>
          <w:b/>
          <w:i w:val="false"/>
          <w:caps w:val="false"/>
          <w:smallCaps w:val="false"/>
          <w:color w:val="0055B7"/>
          <w:spacing w:val="-3"/>
          <w:sz w:val="24"/>
        </w:rPr>
        <w:t>ABLE</w:t>
      </w:r>
      <w:r>
        <w:rPr>
          <w:rFonts w:ascii="Arial;Helvetica;sans-serif" w:hAnsi="Arial;Helvetica;sans-serif"/>
          <w:b/>
          <w:i w:val="false"/>
          <w:caps w:val="false"/>
          <w:smallCaps w:val="false"/>
          <w:color w:val="000000"/>
          <w:spacing w:val="5"/>
          <w:sz w:val="24"/>
        </w:rPr>
        <w:t xml:space="preserve"> </w:t>
      </w:r>
    </w:p>
    <w:tbl>
      <w:tblPr>
        <w:tblW w:w="11931" w:type="dxa"/>
        <w:jc w:val="left"/>
        <w:tblInd w:w="720" w:type="dxa"/>
        <w:tblLayout w:type="fixed"/>
        <w:tblCellMar>
          <w:top w:w="0" w:type="dxa"/>
          <w:left w:w="0" w:type="dxa"/>
          <w:bottom w:w="28" w:type="dxa"/>
          <w:right w:w="0" w:type="dxa"/>
        </w:tblCellMar>
      </w:tblPr>
      <w:tblGrid>
        <w:gridCol w:w="124"/>
        <w:gridCol w:w="1252"/>
        <w:gridCol w:w="109"/>
        <w:gridCol w:w="109"/>
        <w:gridCol w:w="109"/>
        <w:gridCol w:w="109"/>
        <w:gridCol w:w="586"/>
        <w:gridCol w:w="109"/>
        <w:gridCol w:w="109"/>
        <w:gridCol w:w="109"/>
        <w:gridCol w:w="109"/>
        <w:gridCol w:w="109"/>
        <w:gridCol w:w="1066"/>
        <w:gridCol w:w="109"/>
        <w:gridCol w:w="109"/>
        <w:gridCol w:w="109"/>
        <w:gridCol w:w="142"/>
        <w:gridCol w:w="142"/>
        <w:gridCol w:w="294"/>
        <w:gridCol w:w="143"/>
        <w:gridCol w:w="109"/>
        <w:gridCol w:w="109"/>
        <w:gridCol w:w="109"/>
        <w:gridCol w:w="109"/>
        <w:gridCol w:w="1066"/>
        <w:gridCol w:w="109"/>
        <w:gridCol w:w="109"/>
        <w:gridCol w:w="109"/>
        <w:gridCol w:w="115"/>
        <w:gridCol w:w="115"/>
        <w:gridCol w:w="1125"/>
        <w:gridCol w:w="116"/>
        <w:gridCol w:w="109"/>
        <w:gridCol w:w="109"/>
        <w:gridCol w:w="115"/>
        <w:gridCol w:w="115"/>
        <w:gridCol w:w="1125"/>
        <w:gridCol w:w="116"/>
        <w:gridCol w:w="109"/>
        <w:gridCol w:w="109"/>
        <w:gridCol w:w="109"/>
        <w:gridCol w:w="109"/>
        <w:gridCol w:w="1186"/>
        <w:gridCol w:w="109"/>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252"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and Principal Position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Year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Salary</w:t>
            </w:r>
            <w:r>
              <w:rPr/>
              <w:t xml:space="preserve"> </w:t>
              <w:br/>
            </w:r>
            <w:r>
              <w:rPr>
                <w:spacing w:val="-2"/>
              </w:rPr>
              <w:t>($)</w:t>
            </w:r>
            <w:r>
              <w:rPr>
                <w:spacing w:val="-2"/>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1"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Bonus</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Stock </w:t>
              <w:br/>
              <w:t>Awards</w:t>
            </w:r>
            <w:r>
              <w:rPr/>
              <w:t xml:space="preserve"> </w:t>
              <w:br/>
            </w:r>
            <w:r>
              <w:rPr>
                <w:spacing w:val="-2"/>
              </w:rPr>
              <w:t>($)</w:t>
            </w:r>
            <w:r>
              <w:rPr>
                <w:spacing w:val="-2"/>
                <w:sz w:val="10"/>
              </w:rPr>
              <w:t>(2)</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71"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Non-Equity </w:t>
              <w:br/>
              <w:t xml:space="preserve">Incentive Plan </w:t>
              <w:br/>
              <w:t>Compensation</w:t>
            </w:r>
            <w:r>
              <w:rPr/>
              <w:t xml:space="preserve"> </w:t>
              <w:br/>
            </w:r>
            <w:r>
              <w:rPr>
                <w:spacing w:val="-2"/>
              </w:rPr>
              <w:t>($)</w:t>
            </w:r>
            <w:r>
              <w:rPr>
                <w:spacing w:val="-2"/>
                <w:sz w:val="10"/>
              </w:rPr>
              <w:t>(3)</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71"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All Other </w:t>
              <w:br/>
              <w:t>Compensation</w:t>
            </w:r>
            <w:r>
              <w:rPr/>
              <w:t xml:space="preserve"> </w:t>
              <w:br/>
            </w:r>
            <w:r>
              <w:rPr>
                <w:spacing w:val="-2"/>
              </w:rPr>
              <w:t>($)</w:t>
            </w:r>
            <w:r>
              <w:rPr>
                <w:spacing w:val="-2"/>
                <w:sz w:val="10"/>
              </w:rPr>
              <w:t>(4)</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Total </w:t>
            </w:r>
            <w:r>
              <w:rPr/>
              <w:br/>
            </w:r>
            <w:r>
              <w:rPr>
                <w:spacing w:val="-2"/>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1252" w:type="dxa"/>
            <w:vMerge w:val="restart"/>
            <w:tcBorders>
              <w:bottom w:val="single" w:sz="2" w:space="0" w:color="000000"/>
            </w:tcBorders>
            <w:tcMar>
              <w:bottom w:w="70" w:type="dxa"/>
            </w:tcMar>
            <w:vAlign w:val="center"/>
          </w:tcPr>
          <w:p>
            <w:pPr>
              <w:pStyle w:val="TableContents"/>
              <w:bidi w:val="0"/>
              <w:spacing w:lineRule="atLeast" w:line="200" w:before="0" w:after="0"/>
              <w:jc w:val="left"/>
              <w:rPr>
                <w:b/>
              </w:rPr>
            </w:pPr>
            <w:r>
              <w:rPr>
                <w:b/>
                <w:color w:val="0055B7"/>
                <w:spacing w:val="0"/>
              </w:rPr>
              <w:t>James M. Boyle</w:t>
            </w:r>
            <w:r>
              <w:rPr>
                <w:b/>
              </w:rPr>
              <w:t xml:space="preserve"> </w:t>
              <w:br/>
            </w:r>
            <w:r>
              <w:rPr>
                <w:b w:val="false"/>
                <w:spacing w:val="-1"/>
              </w:rPr>
              <w:t xml:space="preserve">Chief Executive Officer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586" w:type="dxa"/>
            <w:tcBorders>
              <w:bottom w:val="single" w:sz="4" w:space="0" w:color="000000"/>
            </w:tcBorders>
            <w:tcMar>
              <w:bottom w:w="70" w:type="dxa"/>
            </w:tcMar>
            <w:vAlign w:val="center"/>
          </w:tcPr>
          <w:p>
            <w:pPr>
              <w:pStyle w:val="TableContents"/>
              <w:bidi w:val="0"/>
              <w:spacing w:lineRule="atLeast" w:line="200" w:before="0" w:after="283"/>
              <w:jc w:val="right"/>
              <w:rPr/>
            </w:pPr>
            <w:r>
              <w:rPr/>
              <w:t>2025</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lineRule="atLeast" w:line="200" w:before="0" w:after="283"/>
              <w:jc w:val="right"/>
              <w:rPr/>
            </w:pPr>
            <w:r>
              <w:rPr/>
              <w:t>1,250,000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2" w:type="dxa"/>
            <w:tcBorders>
              <w:bottom w:val="single" w:sz="4" w:space="0" w:color="000000"/>
            </w:tcBorders>
            <w:vAlign w:val="center"/>
          </w:tcPr>
          <w:p>
            <w:pPr>
              <w:pStyle w:val="TableContents"/>
              <w:bidi w:val="0"/>
              <w:spacing w:before="0" w:after="283"/>
              <w:jc w:val="left"/>
              <w:rPr/>
            </w:pPr>
            <w:r>
              <w:rPr/>
              <w:t>​</w:t>
            </w:r>
          </w:p>
        </w:tc>
        <w:tc>
          <w:tcPr>
            <w:tcW w:w="142"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294" w:type="dxa"/>
            <w:tcBorders>
              <w:bottom w:val="single" w:sz="4" w:space="0" w:color="000000"/>
            </w:tcBorders>
            <w:tcMar>
              <w:bottom w:w="70" w:type="dxa"/>
            </w:tcMar>
            <w:vAlign w:val="center"/>
          </w:tcPr>
          <w:p>
            <w:pPr>
              <w:pStyle w:val="TableContents"/>
              <w:bidi w:val="0"/>
              <w:spacing w:lineRule="atLeast" w:line="200" w:before="0" w:after="283"/>
              <w:jc w:val="right"/>
              <w:rPr/>
            </w:pPr>
            <w:r>
              <w:rPr/>
              <w:t>0</w:t>
            </w:r>
          </w:p>
        </w:tc>
        <w:tc>
          <w:tcPr>
            <w:tcW w:w="143"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lineRule="atLeast" w:line="200" w:before="0" w:after="283"/>
              <w:jc w:val="right"/>
              <w:rPr/>
            </w:pPr>
            <w:r>
              <w:rPr/>
              <w:t>1,177,665</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tcMar>
              <w:bottom w:w="70" w:type="dxa"/>
            </w:tcMar>
            <w:vAlign w:val="center"/>
          </w:tcPr>
          <w:p>
            <w:pPr>
              <w:pStyle w:val="TableContents"/>
              <w:bidi w:val="0"/>
              <w:spacing w:lineRule="atLeast" w:line="200" w:before="0" w:after="283"/>
              <w:jc w:val="right"/>
              <w:rPr/>
            </w:pPr>
            <w:r>
              <w:rPr/>
              <w:t>1,409,960</w:t>
            </w:r>
          </w:p>
        </w:tc>
        <w:tc>
          <w:tcPr>
            <w:tcW w:w="116"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tcMar>
              <w:bottom w:w="70" w:type="dxa"/>
            </w:tcMar>
            <w:vAlign w:val="center"/>
          </w:tcPr>
          <w:p>
            <w:pPr>
              <w:pStyle w:val="TableContents"/>
              <w:bidi w:val="0"/>
              <w:spacing w:lineRule="atLeast" w:line="200" w:before="0" w:after="283"/>
              <w:jc w:val="right"/>
              <w:rPr/>
            </w:pPr>
            <w:r>
              <w:rPr/>
              <w:t>23,347</w:t>
            </w:r>
          </w:p>
        </w:tc>
        <w:tc>
          <w:tcPr>
            <w:tcW w:w="116"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lineRule="atLeast" w:line="200" w:before="0" w:after="283"/>
              <w:jc w:val="right"/>
              <w:rPr/>
            </w:pPr>
            <w:r>
              <w:rPr/>
              <w:t>3,860,972</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52"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586" w:type="dxa"/>
            <w:tcBorders>
              <w:bottom w:val="single" w:sz="6" w:space="0" w:color="000000"/>
            </w:tcBorders>
            <w:tcMar>
              <w:bottom w:w="85" w:type="dxa"/>
            </w:tcMar>
            <w:vAlign w:val="center"/>
          </w:tcPr>
          <w:p>
            <w:pPr>
              <w:pStyle w:val="TableContents"/>
              <w:bidi w:val="0"/>
              <w:spacing w:before="0" w:after="283"/>
              <w:jc w:val="right"/>
              <w:rPr/>
            </w:pPr>
            <w:r>
              <w:rPr/>
              <w:t>2024</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066" w:type="dxa"/>
            <w:tcBorders>
              <w:bottom w:val="single" w:sz="6" w:space="0" w:color="000000"/>
            </w:tcBorders>
            <w:tcMar>
              <w:bottom w:w="85" w:type="dxa"/>
            </w:tcMar>
            <w:vAlign w:val="center"/>
          </w:tcPr>
          <w:p>
            <w:pPr>
              <w:pStyle w:val="TableContents"/>
              <w:bidi w:val="0"/>
              <w:spacing w:before="0" w:after="283"/>
              <w:jc w:val="right"/>
              <w:rPr/>
            </w:pPr>
            <w:r>
              <w:rPr/>
              <w:t>1,250,000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 w:type="dxa"/>
            <w:tcBorders>
              <w:bottom w:val="single" w:sz="6" w:space="0" w:color="000000"/>
            </w:tcBorders>
            <w:vAlign w:val="center"/>
          </w:tcPr>
          <w:p>
            <w:pPr>
              <w:pStyle w:val="TableContents"/>
              <w:bidi w:val="0"/>
              <w:spacing w:before="0" w:after="283"/>
              <w:jc w:val="left"/>
              <w:rPr/>
            </w:pPr>
            <w:r>
              <w:rPr/>
              <w:t>​</w:t>
            </w:r>
          </w:p>
        </w:tc>
        <w:tc>
          <w:tcPr>
            <w:tcW w:w="142" w:type="dxa"/>
            <w:tcBorders>
              <w:bottom w:val="single" w:sz="6" w:space="0" w:color="000000"/>
            </w:tcBorders>
            <w:tcMar>
              <w:bottom w:w="85" w:type="dxa"/>
            </w:tcMar>
            <w:vAlign w:val="center"/>
          </w:tcPr>
          <w:p>
            <w:pPr>
              <w:pStyle w:val="TableContents"/>
              <w:bidi w:val="0"/>
              <w:spacing w:before="0" w:after="283"/>
              <w:jc w:val="right"/>
              <w:rPr/>
            </w:pPr>
            <w:r>
              <w:rPr/>
              <w:t>​</w:t>
            </w:r>
          </w:p>
        </w:tc>
        <w:tc>
          <w:tcPr>
            <w:tcW w:w="294" w:type="dxa"/>
            <w:tcBorders>
              <w:bottom w:val="single" w:sz="6" w:space="0" w:color="000000"/>
            </w:tcBorders>
            <w:tcMar>
              <w:bottom w:w="85" w:type="dxa"/>
            </w:tcMar>
            <w:vAlign w:val="center"/>
          </w:tcPr>
          <w:p>
            <w:pPr>
              <w:pStyle w:val="TableContents"/>
              <w:bidi w:val="0"/>
              <w:spacing w:before="0" w:after="283"/>
              <w:jc w:val="right"/>
              <w:rPr/>
            </w:pPr>
            <w:r>
              <w:rPr/>
              <w:t>0</w:t>
            </w:r>
          </w:p>
        </w:tc>
        <w:tc>
          <w:tcPr>
            <w:tcW w:w="143"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066" w:type="dxa"/>
            <w:tcBorders>
              <w:bottom w:val="single" w:sz="6" w:space="0" w:color="000000"/>
            </w:tcBorders>
            <w:tcMar>
              <w:bottom w:w="85" w:type="dxa"/>
            </w:tcMar>
            <w:vAlign w:val="center"/>
          </w:tcPr>
          <w:p>
            <w:pPr>
              <w:pStyle w:val="TableContents"/>
              <w:bidi w:val="0"/>
              <w:spacing w:before="0" w:after="283"/>
              <w:jc w:val="right"/>
              <w:rPr/>
            </w:pPr>
            <w:r>
              <w:rPr/>
              <w:t>1,201,111</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5" w:type="dxa"/>
            <w:tcBorders>
              <w:bottom w:val="single" w:sz="6" w:space="0" w:color="000000"/>
            </w:tcBorders>
            <w:vAlign w:val="center"/>
          </w:tcPr>
          <w:p>
            <w:pPr>
              <w:pStyle w:val="TableContents"/>
              <w:bidi w:val="0"/>
              <w:spacing w:before="0" w:after="283"/>
              <w:jc w:val="left"/>
              <w:rPr/>
            </w:pPr>
            <w:r>
              <w:rPr/>
              <w:t>​</w:t>
            </w:r>
          </w:p>
        </w:tc>
        <w:tc>
          <w:tcPr>
            <w:tcW w:w="115" w:type="dxa"/>
            <w:tcBorders>
              <w:bottom w:val="single" w:sz="6" w:space="0" w:color="000000"/>
            </w:tcBorders>
            <w:tcMar>
              <w:bottom w:w="85" w:type="dxa"/>
            </w:tcMar>
            <w:vAlign w:val="center"/>
          </w:tcPr>
          <w:p>
            <w:pPr>
              <w:pStyle w:val="TableContents"/>
              <w:bidi w:val="0"/>
              <w:spacing w:before="0" w:after="283"/>
              <w:jc w:val="right"/>
              <w:rPr/>
            </w:pPr>
            <w:r>
              <w:rPr/>
              <w:t>​</w:t>
            </w:r>
          </w:p>
        </w:tc>
        <w:tc>
          <w:tcPr>
            <w:tcW w:w="1125" w:type="dxa"/>
            <w:tcBorders>
              <w:bottom w:val="single" w:sz="6" w:space="0" w:color="000000"/>
            </w:tcBorders>
            <w:tcMar>
              <w:bottom w:w="85" w:type="dxa"/>
            </w:tcMar>
            <w:vAlign w:val="center"/>
          </w:tcPr>
          <w:p>
            <w:pPr>
              <w:pStyle w:val="TableContents"/>
              <w:bidi w:val="0"/>
              <w:spacing w:before="0" w:after="283"/>
              <w:jc w:val="right"/>
              <w:rPr/>
            </w:pPr>
            <w:r>
              <w:rPr/>
              <w:t>1,847,186</w:t>
            </w:r>
          </w:p>
        </w:tc>
        <w:tc>
          <w:tcPr>
            <w:tcW w:w="11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5" w:type="dxa"/>
            <w:tcBorders>
              <w:bottom w:val="single" w:sz="6" w:space="0" w:color="000000"/>
            </w:tcBorders>
            <w:vAlign w:val="center"/>
          </w:tcPr>
          <w:p>
            <w:pPr>
              <w:pStyle w:val="TableContents"/>
              <w:bidi w:val="0"/>
              <w:spacing w:before="0" w:after="283"/>
              <w:jc w:val="left"/>
              <w:rPr/>
            </w:pPr>
            <w:r>
              <w:rPr/>
              <w:t>​</w:t>
            </w:r>
          </w:p>
        </w:tc>
        <w:tc>
          <w:tcPr>
            <w:tcW w:w="115" w:type="dxa"/>
            <w:tcBorders>
              <w:bottom w:val="single" w:sz="6" w:space="0" w:color="000000"/>
            </w:tcBorders>
            <w:tcMar>
              <w:bottom w:w="85" w:type="dxa"/>
            </w:tcMar>
            <w:vAlign w:val="center"/>
          </w:tcPr>
          <w:p>
            <w:pPr>
              <w:pStyle w:val="TableContents"/>
              <w:bidi w:val="0"/>
              <w:spacing w:before="0" w:after="283"/>
              <w:jc w:val="right"/>
              <w:rPr/>
            </w:pPr>
            <w:r>
              <w:rPr/>
              <w:t>​</w:t>
            </w:r>
          </w:p>
        </w:tc>
        <w:tc>
          <w:tcPr>
            <w:tcW w:w="1125" w:type="dxa"/>
            <w:tcBorders>
              <w:bottom w:val="single" w:sz="6" w:space="0" w:color="000000"/>
            </w:tcBorders>
            <w:tcMar>
              <w:bottom w:w="85" w:type="dxa"/>
            </w:tcMar>
            <w:vAlign w:val="center"/>
          </w:tcPr>
          <w:p>
            <w:pPr>
              <w:pStyle w:val="TableContents"/>
              <w:bidi w:val="0"/>
              <w:spacing w:before="0" w:after="283"/>
              <w:jc w:val="right"/>
              <w:rPr/>
            </w:pPr>
            <w:r>
              <w:rPr/>
              <w:t>7,000</w:t>
            </w:r>
          </w:p>
        </w:tc>
        <w:tc>
          <w:tcPr>
            <w:tcW w:w="11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tcMar>
              <w:bottom w:w="85" w:type="dxa"/>
            </w:tcMar>
            <w:vAlign w:val="center"/>
          </w:tcPr>
          <w:p>
            <w:pPr>
              <w:pStyle w:val="TableContents"/>
              <w:bidi w:val="0"/>
              <w:spacing w:before="0" w:after="283"/>
              <w:jc w:val="right"/>
              <w:rPr/>
            </w:pPr>
            <w:r>
              <w:rPr/>
              <w:t>4,305,297</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1252" w:type="dxa"/>
            <w:vMerge w:val="restart"/>
            <w:tcBorders>
              <w:bottom w:val="single" w:sz="2" w:space="0" w:color="000000"/>
            </w:tcBorders>
            <w:shd w:fill="E6EEF8" w:val="clear"/>
            <w:tcMar>
              <w:bottom w:w="70" w:type="dxa"/>
            </w:tcMar>
            <w:vAlign w:val="center"/>
          </w:tcPr>
          <w:p>
            <w:pPr>
              <w:pStyle w:val="TableContents"/>
              <w:bidi w:val="0"/>
              <w:spacing w:lineRule="atLeast" w:line="200" w:before="0" w:after="0"/>
              <w:jc w:val="left"/>
              <w:rPr>
                <w:b/>
              </w:rPr>
            </w:pPr>
            <w:r>
              <w:rPr>
                <w:b/>
                <w:color w:val="0055B7"/>
                <w:spacing w:val="0"/>
              </w:rPr>
              <w:t>Michael B. Drazin</w:t>
            </w:r>
            <w:r>
              <w:rPr>
                <w:b/>
              </w:rPr>
              <w:t xml:space="preserve"> </w:t>
              <w:br/>
            </w:r>
            <w:r>
              <w:rPr>
                <w:b w:val="false"/>
                <w:spacing w:val="-1"/>
              </w:rPr>
              <w:t xml:space="preserve">Chief Financial Officer </w:t>
            </w:r>
          </w:p>
        </w:tc>
        <w:tc>
          <w:tcPr>
            <w:tcW w:w="109"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58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2025</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810,000</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42" w:type="dxa"/>
            <w:tcBorders>
              <w:bottom w:val="single" w:sz="4" w:space="0" w:color="000000"/>
            </w:tcBorders>
            <w:shd w:fill="E6EEF8" w:val="clear"/>
            <w:vAlign w:val="center"/>
          </w:tcPr>
          <w:p>
            <w:pPr>
              <w:pStyle w:val="TableContents"/>
              <w:bidi w:val="0"/>
              <w:spacing w:before="0" w:after="283"/>
              <w:jc w:val="left"/>
              <w:rPr/>
            </w:pPr>
            <w:r>
              <w:rPr/>
              <w:t>​</w:t>
            </w:r>
          </w:p>
        </w:tc>
        <w:tc>
          <w:tcPr>
            <w:tcW w:w="142"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294"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0</w:t>
            </w:r>
          </w:p>
        </w:tc>
        <w:tc>
          <w:tcPr>
            <w:tcW w:w="143"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956,853</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15" w:type="dxa"/>
            <w:tcBorders>
              <w:bottom w:val="single" w:sz="4" w:space="0" w:color="000000"/>
            </w:tcBorders>
            <w:shd w:fill="E6EEF8" w:val="clear"/>
            <w:vAlign w:val="center"/>
          </w:tcPr>
          <w:p>
            <w:pPr>
              <w:pStyle w:val="TableContents"/>
              <w:bidi w:val="0"/>
              <w:spacing w:before="0" w:after="283"/>
              <w:jc w:val="left"/>
              <w:rPr/>
            </w:pPr>
            <w:r>
              <w:rPr/>
              <w:t>​</w:t>
            </w:r>
          </w:p>
        </w:tc>
        <w:tc>
          <w:tcPr>
            <w:tcW w:w="115"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763,117</w:t>
            </w:r>
          </w:p>
        </w:tc>
        <w:tc>
          <w:tcPr>
            <w:tcW w:w="116"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15" w:type="dxa"/>
            <w:tcBorders>
              <w:bottom w:val="single" w:sz="4" w:space="0" w:color="000000"/>
            </w:tcBorders>
            <w:shd w:fill="E6EEF8" w:val="clear"/>
            <w:vAlign w:val="center"/>
          </w:tcPr>
          <w:p>
            <w:pPr>
              <w:pStyle w:val="TableContents"/>
              <w:bidi w:val="0"/>
              <w:spacing w:before="0" w:after="283"/>
              <w:jc w:val="left"/>
              <w:rPr/>
            </w:pPr>
            <w:r>
              <w:rPr/>
              <w:t>​</w:t>
            </w:r>
          </w:p>
        </w:tc>
        <w:tc>
          <w:tcPr>
            <w:tcW w:w="115"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27,289</w:t>
            </w:r>
          </w:p>
        </w:tc>
        <w:tc>
          <w:tcPr>
            <w:tcW w:w="116"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2,557,259</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54" w:type="dxa"/>
            <w:tcBorders>
              <w:bottom w:val="single" w:sz="4"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1252"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586" w:type="dxa"/>
            <w:tcBorders>
              <w:bottom w:val="single" w:sz="6" w:space="0" w:color="000000"/>
            </w:tcBorders>
            <w:shd w:fill="E6EEF8" w:val="clear"/>
            <w:tcMar>
              <w:bottom w:w="85" w:type="dxa"/>
            </w:tcMar>
            <w:vAlign w:val="center"/>
          </w:tcPr>
          <w:p>
            <w:pPr>
              <w:pStyle w:val="TableContents"/>
              <w:bidi w:val="0"/>
              <w:spacing w:before="0" w:after="283"/>
              <w:jc w:val="right"/>
              <w:rPr/>
            </w:pPr>
            <w:r>
              <w:rPr/>
              <w:t>2024</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85" w:type="dxa"/>
            </w:tcMar>
            <w:vAlign w:val="center"/>
          </w:tcPr>
          <w:p>
            <w:pPr>
              <w:pStyle w:val="TableContents"/>
              <w:bidi w:val="0"/>
              <w:spacing w:before="0" w:after="283"/>
              <w:jc w:val="right"/>
              <w:rPr/>
            </w:pPr>
            <w:r>
              <w:rPr/>
              <w:t>810,000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2" w:type="dxa"/>
            <w:tcBorders>
              <w:bottom w:val="single" w:sz="6" w:space="0" w:color="000000"/>
            </w:tcBorders>
            <w:shd w:fill="E6EEF8" w:val="clear"/>
            <w:vAlign w:val="center"/>
          </w:tcPr>
          <w:p>
            <w:pPr>
              <w:pStyle w:val="TableContents"/>
              <w:bidi w:val="0"/>
              <w:spacing w:before="0" w:after="283"/>
              <w:jc w:val="left"/>
              <w:rPr/>
            </w:pPr>
            <w:r>
              <w:rPr/>
              <w:t>​</w:t>
            </w:r>
          </w:p>
        </w:tc>
        <w:tc>
          <w:tcPr>
            <w:tcW w:w="142"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294" w:type="dxa"/>
            <w:tcBorders>
              <w:bottom w:val="single" w:sz="6" w:space="0" w:color="000000"/>
            </w:tcBorders>
            <w:shd w:fill="E6EEF8" w:val="clear"/>
            <w:tcMar>
              <w:bottom w:w="85" w:type="dxa"/>
            </w:tcMar>
            <w:vAlign w:val="center"/>
          </w:tcPr>
          <w:p>
            <w:pPr>
              <w:pStyle w:val="TableContents"/>
              <w:bidi w:val="0"/>
              <w:spacing w:before="0" w:after="283"/>
              <w:jc w:val="right"/>
              <w:rPr/>
            </w:pPr>
            <w:r>
              <w:rPr/>
              <w:t>0</w:t>
            </w:r>
          </w:p>
        </w:tc>
        <w:tc>
          <w:tcPr>
            <w:tcW w:w="143"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85" w:type="dxa"/>
            </w:tcMar>
            <w:vAlign w:val="center"/>
          </w:tcPr>
          <w:p>
            <w:pPr>
              <w:pStyle w:val="TableContents"/>
              <w:bidi w:val="0"/>
              <w:spacing w:before="0" w:after="283"/>
              <w:jc w:val="right"/>
              <w:rPr/>
            </w:pPr>
            <w:r>
              <w:rPr/>
              <w:t>1,009,630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5" w:type="dxa"/>
            <w:tcBorders>
              <w:bottom w:val="single" w:sz="6" w:space="0" w:color="000000"/>
            </w:tcBorders>
            <w:shd w:fill="E6EEF8" w:val="clear"/>
            <w:vAlign w:val="center"/>
          </w:tcPr>
          <w:p>
            <w:pPr>
              <w:pStyle w:val="TableContents"/>
              <w:bidi w:val="0"/>
              <w:spacing w:before="0" w:after="283"/>
              <w:jc w:val="left"/>
              <w:rPr/>
            </w:pPr>
            <w:r>
              <w:rPr/>
              <w:t>​</w:t>
            </w:r>
          </w:p>
        </w:tc>
        <w:tc>
          <w:tcPr>
            <w:tcW w:w="115"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25" w:type="dxa"/>
            <w:tcBorders>
              <w:bottom w:val="single" w:sz="6" w:space="0" w:color="000000"/>
            </w:tcBorders>
            <w:shd w:fill="E6EEF8" w:val="clear"/>
            <w:tcMar>
              <w:bottom w:w="85" w:type="dxa"/>
            </w:tcMar>
            <w:vAlign w:val="center"/>
          </w:tcPr>
          <w:p>
            <w:pPr>
              <w:pStyle w:val="TableContents"/>
              <w:bidi w:val="0"/>
              <w:spacing w:before="0" w:after="283"/>
              <w:jc w:val="right"/>
              <w:rPr/>
            </w:pPr>
            <w:r>
              <w:rPr/>
              <w:t>933,014</w:t>
            </w:r>
          </w:p>
        </w:tc>
        <w:tc>
          <w:tcPr>
            <w:tcW w:w="11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5" w:type="dxa"/>
            <w:tcBorders>
              <w:bottom w:val="single" w:sz="6" w:space="0" w:color="000000"/>
            </w:tcBorders>
            <w:shd w:fill="E6EEF8" w:val="clear"/>
            <w:vAlign w:val="center"/>
          </w:tcPr>
          <w:p>
            <w:pPr>
              <w:pStyle w:val="TableContents"/>
              <w:bidi w:val="0"/>
              <w:spacing w:before="0" w:after="283"/>
              <w:jc w:val="left"/>
              <w:rPr/>
            </w:pPr>
            <w:r>
              <w:rPr/>
              <w:t>​</w:t>
            </w:r>
          </w:p>
        </w:tc>
        <w:tc>
          <w:tcPr>
            <w:tcW w:w="115"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25" w:type="dxa"/>
            <w:tcBorders>
              <w:bottom w:val="single" w:sz="6" w:space="0" w:color="000000"/>
            </w:tcBorders>
            <w:shd w:fill="E6EEF8" w:val="clear"/>
            <w:tcMar>
              <w:bottom w:w="85" w:type="dxa"/>
            </w:tcMar>
            <w:vAlign w:val="center"/>
          </w:tcPr>
          <w:p>
            <w:pPr>
              <w:pStyle w:val="TableContents"/>
              <w:bidi w:val="0"/>
              <w:spacing w:before="0" w:after="283"/>
              <w:jc w:val="right"/>
              <w:rPr/>
            </w:pPr>
            <w:r>
              <w:rPr/>
              <w:t>7,000</w:t>
            </w:r>
          </w:p>
        </w:tc>
        <w:tc>
          <w:tcPr>
            <w:tcW w:w="11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shd w:fill="E6EEF8" w:val="clear"/>
            <w:tcMar>
              <w:bottom w:w="85" w:type="dxa"/>
            </w:tcMar>
            <w:vAlign w:val="center"/>
          </w:tcPr>
          <w:p>
            <w:pPr>
              <w:pStyle w:val="TableContents"/>
              <w:bidi w:val="0"/>
              <w:spacing w:before="0" w:after="283"/>
              <w:jc w:val="right"/>
              <w:rPr/>
            </w:pPr>
            <w:r>
              <w:rPr/>
              <w:t>2,759,644</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1252" w:type="dxa"/>
            <w:vMerge w:val="restart"/>
            <w:tcBorders>
              <w:bottom w:val="single" w:sz="2" w:space="0" w:color="000000"/>
            </w:tcBorders>
            <w:tcMar>
              <w:bottom w:w="70" w:type="dxa"/>
            </w:tcMar>
            <w:vAlign w:val="center"/>
          </w:tcPr>
          <w:p>
            <w:pPr>
              <w:pStyle w:val="TableContents"/>
              <w:bidi w:val="0"/>
              <w:spacing w:lineRule="atLeast" w:line="200" w:before="0" w:after="0"/>
              <w:jc w:val="left"/>
              <w:rPr>
                <w:b/>
                <w:color w:val="0055B7"/>
              </w:rPr>
            </w:pPr>
            <w:r>
              <w:rPr>
                <w:b/>
                <w:color w:val="0055B7"/>
                <w:spacing w:val="0"/>
              </w:rPr>
              <w:t>James M. Pigott</w:t>
            </w:r>
            <w:r>
              <w:rPr>
                <w:b/>
                <w:color w:val="0055B7"/>
              </w:rPr>
              <w:t xml:space="preserve"> </w:t>
              <w:br/>
            </w:r>
            <w:r>
              <w:rPr>
                <w:b w:val="false"/>
                <w:color w:val="000000"/>
                <w:spacing w:val="-1"/>
              </w:rPr>
              <w:t xml:space="preserve">President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586" w:type="dxa"/>
            <w:tcBorders>
              <w:bottom w:val="single" w:sz="4" w:space="0" w:color="000000"/>
            </w:tcBorders>
            <w:tcMar>
              <w:bottom w:w="70" w:type="dxa"/>
            </w:tcMar>
            <w:vAlign w:val="center"/>
          </w:tcPr>
          <w:p>
            <w:pPr>
              <w:pStyle w:val="TableContents"/>
              <w:bidi w:val="0"/>
              <w:spacing w:lineRule="atLeast" w:line="200" w:before="0" w:after="283"/>
              <w:jc w:val="right"/>
              <w:rPr/>
            </w:pPr>
            <w:r>
              <w:rPr/>
              <w:t>2025</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lineRule="atLeast" w:line="200" w:before="0" w:after="283"/>
              <w:jc w:val="right"/>
              <w:rPr/>
            </w:pPr>
            <w:r>
              <w:rPr/>
              <w:t>1,100,000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2" w:type="dxa"/>
            <w:tcBorders>
              <w:bottom w:val="single" w:sz="4" w:space="0" w:color="000000"/>
            </w:tcBorders>
            <w:vAlign w:val="center"/>
          </w:tcPr>
          <w:p>
            <w:pPr>
              <w:pStyle w:val="TableContents"/>
              <w:bidi w:val="0"/>
              <w:spacing w:before="0" w:after="283"/>
              <w:jc w:val="left"/>
              <w:rPr/>
            </w:pPr>
            <w:r>
              <w:rPr/>
              <w:t>​</w:t>
            </w:r>
          </w:p>
        </w:tc>
        <w:tc>
          <w:tcPr>
            <w:tcW w:w="142"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294" w:type="dxa"/>
            <w:tcBorders>
              <w:bottom w:val="single" w:sz="4" w:space="0" w:color="000000"/>
            </w:tcBorders>
            <w:tcMar>
              <w:bottom w:w="70" w:type="dxa"/>
            </w:tcMar>
            <w:vAlign w:val="center"/>
          </w:tcPr>
          <w:p>
            <w:pPr>
              <w:pStyle w:val="TableContents"/>
              <w:bidi w:val="0"/>
              <w:spacing w:lineRule="atLeast" w:line="200" w:before="0" w:after="283"/>
              <w:jc w:val="right"/>
              <w:rPr/>
            </w:pPr>
            <w:r>
              <w:rPr/>
              <w:t>0</w:t>
            </w:r>
          </w:p>
        </w:tc>
        <w:tc>
          <w:tcPr>
            <w:tcW w:w="143"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lineRule="atLeast" w:line="200" w:before="0" w:after="283"/>
              <w:jc w:val="right"/>
              <w:rPr/>
            </w:pPr>
            <w:r>
              <w:rPr/>
              <w:t>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tcMar>
              <w:bottom w:w="70" w:type="dxa"/>
            </w:tcMar>
            <w:vAlign w:val="center"/>
          </w:tcPr>
          <w:p>
            <w:pPr>
              <w:pStyle w:val="TableContents"/>
              <w:bidi w:val="0"/>
              <w:spacing w:lineRule="atLeast" w:line="200" w:before="0" w:after="283"/>
              <w:jc w:val="right"/>
              <w:rPr/>
            </w:pPr>
            <w:r>
              <w:rPr/>
              <w:t>930,573</w:t>
            </w:r>
          </w:p>
        </w:tc>
        <w:tc>
          <w:tcPr>
            <w:tcW w:w="116"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tcMar>
              <w:bottom w:w="70" w:type="dxa"/>
            </w:tcMar>
            <w:vAlign w:val="center"/>
          </w:tcPr>
          <w:p>
            <w:pPr>
              <w:pStyle w:val="TableContents"/>
              <w:bidi w:val="0"/>
              <w:spacing w:lineRule="atLeast" w:line="200" w:before="0" w:after="283"/>
              <w:jc w:val="right"/>
              <w:rPr/>
            </w:pPr>
            <w:r>
              <w:rPr/>
              <w:t>8,876,504</w:t>
            </w:r>
          </w:p>
        </w:tc>
        <w:tc>
          <w:tcPr>
            <w:tcW w:w="116"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lineRule="atLeast" w:line="200" w:before="0" w:after="283"/>
              <w:jc w:val="right"/>
              <w:rPr/>
            </w:pPr>
            <w:r>
              <w:rPr/>
              <w:t>10,907,077</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52"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586" w:type="dxa"/>
            <w:tcBorders>
              <w:bottom w:val="single" w:sz="6" w:space="0" w:color="000000"/>
            </w:tcBorders>
            <w:tcMar>
              <w:bottom w:w="85" w:type="dxa"/>
            </w:tcMar>
            <w:vAlign w:val="center"/>
          </w:tcPr>
          <w:p>
            <w:pPr>
              <w:pStyle w:val="TableContents"/>
              <w:bidi w:val="0"/>
              <w:spacing w:before="0" w:after="283"/>
              <w:jc w:val="right"/>
              <w:rPr/>
            </w:pPr>
            <w:r>
              <w:rPr/>
              <w:t>2024</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066" w:type="dxa"/>
            <w:tcBorders>
              <w:bottom w:val="single" w:sz="6" w:space="0" w:color="000000"/>
            </w:tcBorders>
            <w:tcMar>
              <w:bottom w:w="85" w:type="dxa"/>
            </w:tcMar>
            <w:vAlign w:val="center"/>
          </w:tcPr>
          <w:p>
            <w:pPr>
              <w:pStyle w:val="TableContents"/>
              <w:bidi w:val="0"/>
              <w:spacing w:before="0" w:after="283"/>
              <w:jc w:val="right"/>
              <w:rPr/>
            </w:pPr>
            <w:r>
              <w:rPr/>
              <w:t>1,100,000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 w:type="dxa"/>
            <w:tcBorders>
              <w:bottom w:val="single" w:sz="6" w:space="0" w:color="000000"/>
            </w:tcBorders>
            <w:vAlign w:val="center"/>
          </w:tcPr>
          <w:p>
            <w:pPr>
              <w:pStyle w:val="TableContents"/>
              <w:bidi w:val="0"/>
              <w:spacing w:before="0" w:after="283"/>
              <w:jc w:val="left"/>
              <w:rPr/>
            </w:pPr>
            <w:r>
              <w:rPr/>
              <w:t>​</w:t>
            </w:r>
          </w:p>
        </w:tc>
        <w:tc>
          <w:tcPr>
            <w:tcW w:w="142" w:type="dxa"/>
            <w:tcBorders>
              <w:bottom w:val="single" w:sz="6" w:space="0" w:color="000000"/>
            </w:tcBorders>
            <w:tcMar>
              <w:bottom w:w="85" w:type="dxa"/>
            </w:tcMar>
            <w:vAlign w:val="center"/>
          </w:tcPr>
          <w:p>
            <w:pPr>
              <w:pStyle w:val="TableContents"/>
              <w:bidi w:val="0"/>
              <w:spacing w:before="0" w:after="283"/>
              <w:jc w:val="right"/>
              <w:rPr/>
            </w:pPr>
            <w:r>
              <w:rPr/>
              <w:t>​</w:t>
            </w:r>
          </w:p>
        </w:tc>
        <w:tc>
          <w:tcPr>
            <w:tcW w:w="294" w:type="dxa"/>
            <w:tcBorders>
              <w:bottom w:val="single" w:sz="6" w:space="0" w:color="000000"/>
            </w:tcBorders>
            <w:tcMar>
              <w:bottom w:w="85" w:type="dxa"/>
            </w:tcMar>
            <w:vAlign w:val="center"/>
          </w:tcPr>
          <w:p>
            <w:pPr>
              <w:pStyle w:val="TableContents"/>
              <w:bidi w:val="0"/>
              <w:spacing w:before="0" w:after="283"/>
              <w:jc w:val="right"/>
              <w:rPr/>
            </w:pPr>
            <w:r>
              <w:rPr/>
              <w:t>0</w:t>
            </w:r>
          </w:p>
        </w:tc>
        <w:tc>
          <w:tcPr>
            <w:tcW w:w="143"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066" w:type="dxa"/>
            <w:tcBorders>
              <w:bottom w:val="single" w:sz="6" w:space="0" w:color="000000"/>
            </w:tcBorders>
            <w:tcMar>
              <w:bottom w:w="85" w:type="dxa"/>
            </w:tcMar>
            <w:vAlign w:val="center"/>
          </w:tcPr>
          <w:p>
            <w:pPr>
              <w:pStyle w:val="TableContents"/>
              <w:bidi w:val="0"/>
              <w:spacing w:before="0" w:after="283"/>
              <w:jc w:val="right"/>
              <w:rPr/>
            </w:pPr>
            <w:r>
              <w:rPr/>
              <w:t>1,201,111</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5" w:type="dxa"/>
            <w:tcBorders>
              <w:bottom w:val="single" w:sz="6" w:space="0" w:color="000000"/>
            </w:tcBorders>
            <w:vAlign w:val="center"/>
          </w:tcPr>
          <w:p>
            <w:pPr>
              <w:pStyle w:val="TableContents"/>
              <w:bidi w:val="0"/>
              <w:spacing w:before="0" w:after="283"/>
              <w:jc w:val="left"/>
              <w:rPr/>
            </w:pPr>
            <w:r>
              <w:rPr/>
              <w:t>​</w:t>
            </w:r>
          </w:p>
        </w:tc>
        <w:tc>
          <w:tcPr>
            <w:tcW w:w="115" w:type="dxa"/>
            <w:tcBorders>
              <w:bottom w:val="single" w:sz="6" w:space="0" w:color="000000"/>
            </w:tcBorders>
            <w:tcMar>
              <w:bottom w:w="85" w:type="dxa"/>
            </w:tcMar>
            <w:vAlign w:val="center"/>
          </w:tcPr>
          <w:p>
            <w:pPr>
              <w:pStyle w:val="TableContents"/>
              <w:bidi w:val="0"/>
              <w:spacing w:before="0" w:after="283"/>
              <w:jc w:val="right"/>
              <w:rPr/>
            </w:pPr>
            <w:r>
              <w:rPr/>
              <w:t>​</w:t>
            </w:r>
          </w:p>
        </w:tc>
        <w:tc>
          <w:tcPr>
            <w:tcW w:w="1125" w:type="dxa"/>
            <w:tcBorders>
              <w:bottom w:val="single" w:sz="6" w:space="0" w:color="000000"/>
            </w:tcBorders>
            <w:tcMar>
              <w:bottom w:w="85" w:type="dxa"/>
            </w:tcMar>
            <w:vAlign w:val="center"/>
          </w:tcPr>
          <w:p>
            <w:pPr>
              <w:pStyle w:val="TableContents"/>
              <w:bidi w:val="0"/>
              <w:spacing w:before="0" w:after="283"/>
              <w:jc w:val="right"/>
              <w:rPr/>
            </w:pPr>
            <w:r>
              <w:rPr/>
              <w:t>1,625,523</w:t>
            </w:r>
          </w:p>
        </w:tc>
        <w:tc>
          <w:tcPr>
            <w:tcW w:w="11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5" w:type="dxa"/>
            <w:tcBorders>
              <w:bottom w:val="single" w:sz="6" w:space="0" w:color="000000"/>
            </w:tcBorders>
            <w:vAlign w:val="center"/>
          </w:tcPr>
          <w:p>
            <w:pPr>
              <w:pStyle w:val="TableContents"/>
              <w:bidi w:val="0"/>
              <w:spacing w:before="0" w:after="283"/>
              <w:jc w:val="left"/>
              <w:rPr/>
            </w:pPr>
            <w:r>
              <w:rPr/>
              <w:t>​</w:t>
            </w:r>
          </w:p>
        </w:tc>
        <w:tc>
          <w:tcPr>
            <w:tcW w:w="115" w:type="dxa"/>
            <w:tcBorders>
              <w:bottom w:val="single" w:sz="6" w:space="0" w:color="000000"/>
            </w:tcBorders>
            <w:tcMar>
              <w:bottom w:w="85" w:type="dxa"/>
            </w:tcMar>
            <w:vAlign w:val="center"/>
          </w:tcPr>
          <w:p>
            <w:pPr>
              <w:pStyle w:val="TableContents"/>
              <w:bidi w:val="0"/>
              <w:spacing w:before="0" w:after="283"/>
              <w:jc w:val="right"/>
              <w:rPr/>
            </w:pPr>
            <w:r>
              <w:rPr/>
              <w:t>​</w:t>
            </w:r>
          </w:p>
        </w:tc>
        <w:tc>
          <w:tcPr>
            <w:tcW w:w="1125" w:type="dxa"/>
            <w:tcBorders>
              <w:bottom w:val="single" w:sz="6" w:space="0" w:color="000000"/>
            </w:tcBorders>
            <w:tcMar>
              <w:bottom w:w="85" w:type="dxa"/>
            </w:tcMar>
            <w:vAlign w:val="center"/>
          </w:tcPr>
          <w:p>
            <w:pPr>
              <w:pStyle w:val="TableContents"/>
              <w:bidi w:val="0"/>
              <w:spacing w:before="0" w:after="283"/>
              <w:jc w:val="right"/>
              <w:rPr/>
            </w:pPr>
            <w:r>
              <w:rPr/>
              <w:t>30,644</w:t>
            </w:r>
          </w:p>
        </w:tc>
        <w:tc>
          <w:tcPr>
            <w:tcW w:w="11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tcMar>
              <w:bottom w:w="85" w:type="dxa"/>
            </w:tcMar>
            <w:vAlign w:val="center"/>
          </w:tcPr>
          <w:p>
            <w:pPr>
              <w:pStyle w:val="TableContents"/>
              <w:bidi w:val="0"/>
              <w:spacing w:before="0" w:after="283"/>
              <w:jc w:val="right"/>
              <w:rPr/>
            </w:pPr>
            <w:r>
              <w:rPr/>
              <w:t>3,957,278</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1252" w:type="dxa"/>
            <w:vMerge w:val="restart"/>
            <w:tcBorders>
              <w:bottom w:val="single" w:sz="2" w:space="0" w:color="000000"/>
            </w:tcBorders>
            <w:shd w:fill="E6EEF8" w:val="clear"/>
            <w:tcMar>
              <w:bottom w:w="70" w:type="dxa"/>
            </w:tcMar>
            <w:vAlign w:val="center"/>
          </w:tcPr>
          <w:p>
            <w:pPr>
              <w:pStyle w:val="TableContents"/>
              <w:bidi w:val="0"/>
              <w:spacing w:lineRule="atLeast" w:line="200" w:before="0" w:after="0"/>
              <w:jc w:val="left"/>
              <w:rPr>
                <w:b/>
              </w:rPr>
            </w:pPr>
            <w:r>
              <w:rPr>
                <w:b/>
                <w:color w:val="0055B7"/>
                <w:spacing w:val="0"/>
              </w:rPr>
              <w:t>Douglas P. Golwas</w:t>
            </w:r>
            <w:r>
              <w:rPr>
                <w:b/>
              </w:rPr>
              <w:t xml:space="preserve"> </w:t>
              <w:br/>
            </w:r>
            <w:r>
              <w:rPr>
                <w:b w:val="false"/>
                <w:spacing w:val="-1"/>
              </w:rPr>
              <w:t xml:space="preserve">Chief Commercial Officer </w:t>
            </w:r>
          </w:p>
        </w:tc>
        <w:tc>
          <w:tcPr>
            <w:tcW w:w="109"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58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2025</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800,000</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42" w:type="dxa"/>
            <w:tcBorders>
              <w:bottom w:val="single" w:sz="4" w:space="0" w:color="000000"/>
            </w:tcBorders>
            <w:shd w:fill="E6EEF8" w:val="clear"/>
            <w:vAlign w:val="center"/>
          </w:tcPr>
          <w:p>
            <w:pPr>
              <w:pStyle w:val="TableContents"/>
              <w:bidi w:val="0"/>
              <w:spacing w:before="0" w:after="283"/>
              <w:jc w:val="left"/>
              <w:rPr/>
            </w:pPr>
            <w:r>
              <w:rPr/>
              <w:t>​</w:t>
            </w:r>
          </w:p>
        </w:tc>
        <w:tc>
          <w:tcPr>
            <w:tcW w:w="142"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294"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0</w:t>
            </w:r>
          </w:p>
        </w:tc>
        <w:tc>
          <w:tcPr>
            <w:tcW w:w="143"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956,853</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15" w:type="dxa"/>
            <w:tcBorders>
              <w:bottom w:val="single" w:sz="4" w:space="0" w:color="000000"/>
            </w:tcBorders>
            <w:shd w:fill="E6EEF8" w:val="clear"/>
            <w:vAlign w:val="center"/>
          </w:tcPr>
          <w:p>
            <w:pPr>
              <w:pStyle w:val="TableContents"/>
              <w:bidi w:val="0"/>
              <w:spacing w:before="0" w:after="283"/>
              <w:jc w:val="left"/>
              <w:rPr/>
            </w:pPr>
            <w:r>
              <w:rPr/>
              <w:t>​</w:t>
            </w:r>
          </w:p>
        </w:tc>
        <w:tc>
          <w:tcPr>
            <w:tcW w:w="115"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772,410</w:t>
            </w:r>
          </w:p>
        </w:tc>
        <w:tc>
          <w:tcPr>
            <w:tcW w:w="116"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15" w:type="dxa"/>
            <w:tcBorders>
              <w:bottom w:val="single" w:sz="4" w:space="0" w:color="000000"/>
            </w:tcBorders>
            <w:shd w:fill="E6EEF8" w:val="clear"/>
            <w:vAlign w:val="center"/>
          </w:tcPr>
          <w:p>
            <w:pPr>
              <w:pStyle w:val="TableContents"/>
              <w:bidi w:val="0"/>
              <w:spacing w:before="0" w:after="283"/>
              <w:jc w:val="left"/>
              <w:rPr/>
            </w:pPr>
            <w:r>
              <w:rPr/>
              <w:t>​</w:t>
            </w:r>
          </w:p>
        </w:tc>
        <w:tc>
          <w:tcPr>
            <w:tcW w:w="115"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25,030</w:t>
            </w:r>
          </w:p>
        </w:tc>
        <w:tc>
          <w:tcPr>
            <w:tcW w:w="116"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2,554,293</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54" w:type="dxa"/>
            <w:tcBorders>
              <w:bottom w:val="single" w:sz="4"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1252"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586" w:type="dxa"/>
            <w:tcBorders>
              <w:bottom w:val="single" w:sz="6" w:space="0" w:color="000000"/>
            </w:tcBorders>
            <w:shd w:fill="E6EEF8" w:val="clear"/>
            <w:tcMar>
              <w:bottom w:w="85" w:type="dxa"/>
            </w:tcMar>
            <w:vAlign w:val="center"/>
          </w:tcPr>
          <w:p>
            <w:pPr>
              <w:pStyle w:val="TableContents"/>
              <w:bidi w:val="0"/>
              <w:spacing w:before="0" w:after="283"/>
              <w:jc w:val="right"/>
              <w:rPr/>
            </w:pPr>
            <w:r>
              <w:rPr/>
              <w:t>2024</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85" w:type="dxa"/>
            </w:tcMar>
            <w:vAlign w:val="center"/>
          </w:tcPr>
          <w:p>
            <w:pPr>
              <w:pStyle w:val="TableContents"/>
              <w:bidi w:val="0"/>
              <w:spacing w:before="0" w:after="283"/>
              <w:jc w:val="right"/>
              <w:rPr/>
            </w:pPr>
            <w:r>
              <w:rPr/>
              <w:t>700,000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2" w:type="dxa"/>
            <w:tcBorders>
              <w:bottom w:val="single" w:sz="6" w:space="0" w:color="000000"/>
            </w:tcBorders>
            <w:shd w:fill="E6EEF8" w:val="clear"/>
            <w:vAlign w:val="center"/>
          </w:tcPr>
          <w:p>
            <w:pPr>
              <w:pStyle w:val="TableContents"/>
              <w:bidi w:val="0"/>
              <w:spacing w:before="0" w:after="283"/>
              <w:jc w:val="left"/>
              <w:rPr/>
            </w:pPr>
            <w:r>
              <w:rPr/>
              <w:t>​</w:t>
            </w:r>
          </w:p>
        </w:tc>
        <w:tc>
          <w:tcPr>
            <w:tcW w:w="142"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294" w:type="dxa"/>
            <w:tcBorders>
              <w:bottom w:val="single" w:sz="6" w:space="0" w:color="000000"/>
            </w:tcBorders>
            <w:shd w:fill="E6EEF8" w:val="clear"/>
            <w:tcMar>
              <w:bottom w:w="85" w:type="dxa"/>
            </w:tcMar>
            <w:vAlign w:val="center"/>
          </w:tcPr>
          <w:p>
            <w:pPr>
              <w:pStyle w:val="TableContents"/>
              <w:bidi w:val="0"/>
              <w:spacing w:before="0" w:after="283"/>
              <w:jc w:val="right"/>
              <w:rPr/>
            </w:pPr>
            <w:r>
              <w:rPr/>
              <w:t>0</w:t>
            </w:r>
          </w:p>
        </w:tc>
        <w:tc>
          <w:tcPr>
            <w:tcW w:w="143"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85" w:type="dxa"/>
            </w:tcMar>
            <w:vAlign w:val="center"/>
          </w:tcPr>
          <w:p>
            <w:pPr>
              <w:pStyle w:val="TableContents"/>
              <w:bidi w:val="0"/>
              <w:spacing w:before="0" w:after="283"/>
              <w:jc w:val="right"/>
              <w:rPr/>
            </w:pPr>
            <w:r>
              <w:rPr/>
              <w:t>957,407</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5" w:type="dxa"/>
            <w:tcBorders>
              <w:bottom w:val="single" w:sz="6" w:space="0" w:color="000000"/>
            </w:tcBorders>
            <w:shd w:fill="E6EEF8" w:val="clear"/>
            <w:vAlign w:val="center"/>
          </w:tcPr>
          <w:p>
            <w:pPr>
              <w:pStyle w:val="TableContents"/>
              <w:bidi w:val="0"/>
              <w:spacing w:before="0" w:after="283"/>
              <w:jc w:val="left"/>
              <w:rPr/>
            </w:pPr>
            <w:r>
              <w:rPr/>
              <w:t>​</w:t>
            </w:r>
          </w:p>
        </w:tc>
        <w:tc>
          <w:tcPr>
            <w:tcW w:w="115"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25" w:type="dxa"/>
            <w:tcBorders>
              <w:bottom w:val="single" w:sz="6" w:space="0" w:color="000000"/>
            </w:tcBorders>
            <w:shd w:fill="E6EEF8" w:val="clear"/>
            <w:tcMar>
              <w:bottom w:w="85" w:type="dxa"/>
            </w:tcMar>
            <w:vAlign w:val="center"/>
          </w:tcPr>
          <w:p>
            <w:pPr>
              <w:pStyle w:val="TableContents"/>
              <w:bidi w:val="0"/>
              <w:spacing w:before="0" w:after="283"/>
              <w:jc w:val="right"/>
              <w:rPr/>
            </w:pPr>
            <w:r>
              <w:rPr/>
              <w:t>1,093,750</w:t>
            </w:r>
          </w:p>
        </w:tc>
        <w:tc>
          <w:tcPr>
            <w:tcW w:w="11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5" w:type="dxa"/>
            <w:tcBorders>
              <w:bottom w:val="single" w:sz="6" w:space="0" w:color="000000"/>
            </w:tcBorders>
            <w:shd w:fill="E6EEF8" w:val="clear"/>
            <w:vAlign w:val="center"/>
          </w:tcPr>
          <w:p>
            <w:pPr>
              <w:pStyle w:val="TableContents"/>
              <w:bidi w:val="0"/>
              <w:spacing w:before="0" w:after="283"/>
              <w:jc w:val="left"/>
              <w:rPr/>
            </w:pPr>
            <w:r>
              <w:rPr/>
              <w:t>​</w:t>
            </w:r>
          </w:p>
        </w:tc>
        <w:tc>
          <w:tcPr>
            <w:tcW w:w="115"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25" w:type="dxa"/>
            <w:tcBorders>
              <w:bottom w:val="single" w:sz="6" w:space="0" w:color="000000"/>
            </w:tcBorders>
            <w:shd w:fill="E6EEF8" w:val="clear"/>
            <w:tcMar>
              <w:bottom w:w="85" w:type="dxa"/>
            </w:tcMar>
            <w:vAlign w:val="center"/>
          </w:tcPr>
          <w:p>
            <w:pPr>
              <w:pStyle w:val="TableContents"/>
              <w:bidi w:val="0"/>
              <w:spacing w:before="0" w:after="283"/>
              <w:jc w:val="right"/>
              <w:rPr/>
            </w:pPr>
            <w:r>
              <w:rPr/>
              <w:t>7,000</w:t>
            </w:r>
          </w:p>
        </w:tc>
        <w:tc>
          <w:tcPr>
            <w:tcW w:w="11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shd w:fill="E6EEF8" w:val="clear"/>
            <w:tcMar>
              <w:bottom w:w="85" w:type="dxa"/>
            </w:tcMar>
            <w:vAlign w:val="center"/>
          </w:tcPr>
          <w:p>
            <w:pPr>
              <w:pStyle w:val="TableContents"/>
              <w:bidi w:val="0"/>
              <w:spacing w:before="0" w:after="283"/>
              <w:jc w:val="right"/>
              <w:rPr/>
            </w:pPr>
            <w:r>
              <w:rPr/>
              <w:t>2,758,157</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252" w:type="dxa"/>
            <w:vMerge w:val="restart"/>
            <w:tcBorders/>
            <w:tcMar>
              <w:bottom w:w="0" w:type="dxa"/>
            </w:tcMar>
            <w:vAlign w:val="center"/>
          </w:tcPr>
          <w:p>
            <w:pPr>
              <w:pStyle w:val="TableContents"/>
              <w:bidi w:val="0"/>
              <w:spacing w:lineRule="atLeast" w:line="200" w:before="0" w:after="0"/>
              <w:jc w:val="left"/>
              <w:rPr>
                <w:b/>
              </w:rPr>
            </w:pPr>
            <w:r>
              <w:rPr>
                <w:b/>
                <w:color w:val="0055B7"/>
                <w:spacing w:val="0"/>
              </w:rPr>
              <w:t>Stephen L. Miller</w:t>
            </w:r>
            <w:r>
              <w:rPr>
                <w:b/>
              </w:rPr>
              <w:t xml:space="preserve"> </w:t>
              <w:br/>
            </w:r>
            <w:r>
              <w:rPr>
                <w:b w:val="false"/>
                <w:spacing w:val="-1"/>
              </w:rPr>
              <w:t xml:space="preserve">Chief Operating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586" w:type="dxa"/>
            <w:tcBorders>
              <w:bottom w:val="single" w:sz="4" w:space="0" w:color="000000"/>
            </w:tcBorders>
            <w:tcMar>
              <w:bottom w:w="70" w:type="dxa"/>
            </w:tcMar>
            <w:vAlign w:val="center"/>
          </w:tcPr>
          <w:p>
            <w:pPr>
              <w:pStyle w:val="TableContents"/>
              <w:bidi w:val="0"/>
              <w:spacing w:lineRule="atLeast" w:line="200" w:before="0" w:after="283"/>
              <w:jc w:val="right"/>
              <w:rPr/>
            </w:pPr>
            <w:r>
              <w:rPr/>
              <w:t>2025</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lineRule="atLeast" w:line="200" w:before="0" w:after="283"/>
              <w:jc w:val="right"/>
              <w:rPr/>
            </w:pPr>
            <w:r>
              <w:rPr/>
              <w:t>800,000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2" w:type="dxa"/>
            <w:tcBorders>
              <w:bottom w:val="single" w:sz="4" w:space="0" w:color="000000"/>
            </w:tcBorders>
            <w:vAlign w:val="center"/>
          </w:tcPr>
          <w:p>
            <w:pPr>
              <w:pStyle w:val="TableContents"/>
              <w:bidi w:val="0"/>
              <w:spacing w:before="0" w:after="283"/>
              <w:jc w:val="left"/>
              <w:rPr/>
            </w:pPr>
            <w:r>
              <w:rPr/>
              <w:t>​</w:t>
            </w:r>
          </w:p>
        </w:tc>
        <w:tc>
          <w:tcPr>
            <w:tcW w:w="142"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294" w:type="dxa"/>
            <w:tcBorders>
              <w:bottom w:val="single" w:sz="4" w:space="0" w:color="000000"/>
            </w:tcBorders>
            <w:tcMar>
              <w:bottom w:w="70" w:type="dxa"/>
            </w:tcMar>
            <w:vAlign w:val="center"/>
          </w:tcPr>
          <w:p>
            <w:pPr>
              <w:pStyle w:val="TableContents"/>
              <w:bidi w:val="0"/>
              <w:spacing w:lineRule="atLeast" w:line="200" w:before="0" w:after="283"/>
              <w:jc w:val="right"/>
              <w:rPr/>
            </w:pPr>
            <w:r>
              <w:rPr/>
              <w:t>0</w:t>
            </w:r>
          </w:p>
        </w:tc>
        <w:tc>
          <w:tcPr>
            <w:tcW w:w="143"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lineRule="atLeast" w:line="200" w:before="0" w:after="283"/>
              <w:jc w:val="right"/>
              <w:rPr/>
            </w:pPr>
            <w:r>
              <w:rPr/>
              <w:t>956,853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tcMar>
              <w:bottom w:w="70" w:type="dxa"/>
            </w:tcMar>
            <w:vAlign w:val="center"/>
          </w:tcPr>
          <w:p>
            <w:pPr>
              <w:pStyle w:val="TableContents"/>
              <w:bidi w:val="0"/>
              <w:spacing w:lineRule="atLeast" w:line="200" w:before="0" w:after="283"/>
              <w:jc w:val="right"/>
              <w:rPr/>
            </w:pPr>
            <w:r>
              <w:rPr/>
              <w:t>676,781</w:t>
            </w:r>
          </w:p>
        </w:tc>
        <w:tc>
          <w:tcPr>
            <w:tcW w:w="116"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vAlign w:val="center"/>
          </w:tcPr>
          <w:p>
            <w:pPr>
              <w:pStyle w:val="TableContents"/>
              <w:bidi w:val="0"/>
              <w:spacing w:before="0" w:after="283"/>
              <w:jc w:val="left"/>
              <w:rPr/>
            </w:pPr>
            <w:r>
              <w:rPr/>
              <w:t>​</w:t>
            </w:r>
          </w:p>
        </w:tc>
        <w:tc>
          <w:tcPr>
            <w:tcW w:w="115"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25" w:type="dxa"/>
            <w:tcBorders>
              <w:bottom w:val="single" w:sz="4" w:space="0" w:color="000000"/>
            </w:tcBorders>
            <w:tcMar>
              <w:bottom w:w="70" w:type="dxa"/>
            </w:tcMar>
            <w:vAlign w:val="center"/>
          </w:tcPr>
          <w:p>
            <w:pPr>
              <w:pStyle w:val="TableContents"/>
              <w:bidi w:val="0"/>
              <w:spacing w:lineRule="atLeast" w:line="200" w:before="0" w:after="283"/>
              <w:jc w:val="right"/>
              <w:rPr/>
            </w:pPr>
            <w:r>
              <w:rPr/>
              <w:t>9,140</w:t>
            </w:r>
          </w:p>
        </w:tc>
        <w:tc>
          <w:tcPr>
            <w:tcW w:w="116"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lineRule="atLeast" w:line="200" w:before="0" w:after="283"/>
              <w:jc w:val="right"/>
              <w:rPr/>
            </w:pPr>
            <w:r>
              <w:rPr/>
              <w:t>2,442,774</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5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294" w:type="dxa"/>
            <w:tcBorders/>
            <w:tcMar>
              <w:bottom w:w="0" w:type="dxa"/>
            </w:tcMar>
            <w:vAlign w:val="center"/>
          </w:tcPr>
          <w:p>
            <w:pPr>
              <w:pStyle w:val="TableContents"/>
              <w:bidi w:val="0"/>
              <w:spacing w:before="0" w:after="283"/>
              <w:jc w:val="right"/>
              <w:rPr/>
            </w:pPr>
            <w:r>
              <w:rPr/>
              <w:t>0</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2,680,741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903,404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7,000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4,315,145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reported in this column represent the NEO’s base salary earned during the 2025 fiscal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386">
                <wp:simplePos x="0" y="0"/>
                <wp:positionH relativeFrom="column">
                  <wp:align>left</wp:align>
                </wp:positionH>
                <wp:positionV relativeFrom="line">
                  <wp:align>top</wp:align>
                </wp:positionV>
                <wp:extent cx="228600" cy="350520"/>
                <wp:effectExtent l="0" t="0" r="0" b="0"/>
                <wp:wrapSquare wrapText="right"/>
                <wp:docPr id="380" name="Frame2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Amounts reported in this column reflect the fair value of each participating NEO’s 2025 Award under the MIP at the service inception date for the award computed in accordance with ASC Topic 718. The 2025 Awards were initially expressed as “dollars at work,” which are earned based on Company and individual performance against the performance goals specified for 2025 Awards. At the time the MIP for 2025 was established, it was expected that the earned dollars at work would be converted into Incentive Units if the IPO did not occur by the date that the 2025 Awards were expected to be granted in 2026. With the completion of the IPO in December 2025, the Compensation Committee granted time-based RSUs to each NEO (other than Mr. Pigott) in respect of the NEO’s earned dollars at work. The earned dollars at work were multiplied by a Black-Scholes factor of 27.2% and converted into a number of RSUs on March 5, 2026 by dividing such amount by the IPO price of Medline Inc. common stock, which was $29.00. Since the service inception date precedes the RSU grant date, the Company recognizes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2025 Awards reflected in the table, amounts were computed based on the probable outcome of the performance conditions applicable to each award on the service inception date. Assuming maximum achievement of the applicable performance conditions, the fair values of the 2025 Awards granted to eligible NEOs in fiscal year 2025 were as follows: Mr. Boyle: $1,766,497; Mr. Drazin: $1,435,279; Mr. Golwas: $1,435,279; and Mr. Miller $1,435,279. For information regarding the assumptions used in determining the fair value of these awards, please refer to </w:t>
      </w:r>
      <w:r>
        <w:rPr>
          <w:rFonts w:ascii="Arial;Helvetica;sans-serif" w:hAnsi="Arial;Helvetica;sans-serif"/>
          <w:b w:val="false"/>
          <w:i/>
          <w:caps w:val="false"/>
          <w:smallCaps w:val="false"/>
          <w:color w:val="000000"/>
          <w:sz w:val="16"/>
        </w:rPr>
        <w:t>Note 17 — Stock-Based Compensation</w:t>
      </w:r>
      <w:r>
        <w:rPr>
          <w:rFonts w:ascii="Arial;Helvetica;sans-serif" w:hAnsi="Arial;Helvetica;sans-serif"/>
          <w:b w:val="false"/>
          <w:i w:val="false"/>
          <w:caps w:val="false"/>
          <w:smallCaps w:val="false"/>
          <w:color w:val="000000"/>
          <w:spacing w:val="-1"/>
          <w:sz w:val="16"/>
        </w:rPr>
        <w:t xml:space="preserve"> of our audited consolidated financial statements included in our 2025 Annual Report incorporated by reference in this Proxy Statement.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387">
                <wp:simplePos x="0" y="0"/>
                <wp:positionH relativeFrom="column">
                  <wp:align>left</wp:align>
                </wp:positionH>
                <wp:positionV relativeFrom="line">
                  <wp:align>top</wp:align>
                </wp:positionV>
                <wp:extent cx="228600" cy="350520"/>
                <wp:effectExtent l="0" t="0" r="0" b="0"/>
                <wp:wrapSquare wrapText="right"/>
                <wp:docPr id="381" name="Frame2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Amounts reported in this column reflect the NEO’s annual cash incentive awards earned by each NEO pursuant to the AIP. The terms of the AIP described more fully above under </w:t>
      </w:r>
      <w:r>
        <w:rPr>
          <w:rFonts w:ascii="Arial;Helvetica;sans-serif" w:hAnsi="Arial;Helvetica;sans-serif"/>
          <w:b w:val="false"/>
          <w:i/>
          <w:caps w:val="false"/>
          <w:smallCaps w:val="false"/>
          <w:color w:val="000000"/>
          <w:sz w:val="16"/>
        </w:rPr>
        <w:t>2025 Compensation Elements — Annual Incentive Compensation</w:t>
      </w:r>
      <w:r>
        <w:rPr>
          <w:rFonts w:ascii="Arial;Helvetica;sans-serif" w:hAnsi="Arial;Helvetica;sans-serif"/>
          <w:b w:val="false"/>
          <w:i w:val="false"/>
          <w:caps w:val="false"/>
          <w:smallCaps w:val="false"/>
          <w:color w:val="000000"/>
          <w:spacing w:val="-1"/>
          <w:sz w:val="16"/>
        </w:rPr>
        <w: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388">
                <wp:simplePos x="0" y="0"/>
                <wp:positionH relativeFrom="column">
                  <wp:align>left</wp:align>
                </wp:positionH>
                <wp:positionV relativeFrom="line">
                  <wp:align>top</wp:align>
                </wp:positionV>
                <wp:extent cx="228600" cy="350520"/>
                <wp:effectExtent l="0" t="0" r="0" b="0"/>
                <wp:wrapSquare wrapText="right"/>
                <wp:docPr id="382" name="Frame2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Amounts reported in this column for Messrs. Boyle, Drazin, Pigott, Golwas, and Miller include employer contributions to our 401(k) plan in the fiscal year ended December 31, 2025. Amounts for Messrs. Boyle, Drazin, Golwas and Miller also include costs related to personal security services. Amount for Mr. Pigott also includes the value of the accelerated vesting of his time-vesting Incentive Units in the amount of $8,868,337 in accordance with the Pigott Transition Agreement, which is described under </w:t>
      </w:r>
      <w:r>
        <w:rPr>
          <w:rFonts w:ascii="Arial;Helvetica;sans-serif" w:hAnsi="Arial;Helvetica;sans-serif"/>
          <w:b w:val="false"/>
          <w:i/>
          <w:caps w:val="false"/>
          <w:smallCaps w:val="false"/>
          <w:color w:val="000000"/>
          <w:sz w:val="16"/>
        </w:rPr>
        <w:t>Narrative Disclosure to Summary Compensation Table and Grants of Plan-Based Awards Table — Agreements with NEOs — Employment Agreement and Transition and Separation Agreement with Mr. Pigott</w:t>
      </w:r>
      <w:r>
        <w:rPr>
          <w:rFonts w:ascii="Arial;Helvetica;sans-serif" w:hAnsi="Arial;Helvetica;sans-serif"/>
          <w:b w:val="false"/>
          <w:i w:val="false"/>
          <w:caps w:val="false"/>
          <w:smallCaps w:val="false"/>
          <w:color w:val="000000"/>
          <w:spacing w:val="-1"/>
          <w:sz w:val="16"/>
        </w:rPr>
        <w:t>. The actual amounts of these compensations are listed in the chart below.</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89">
                <wp:simplePos x="0" y="0"/>
                <wp:positionH relativeFrom="column">
                  <wp:align>left</wp:align>
                </wp:positionH>
                <wp:positionV relativeFrom="line">
                  <wp:align>top</wp:align>
                </wp:positionV>
                <wp:extent cx="228600" cy="350520"/>
                <wp:effectExtent l="0" t="0" r="0" b="0"/>
                <wp:wrapSquare wrapText="right"/>
                <wp:docPr id="383" name="Frame2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i/>
                              </w:rPr>
                            </w:pPr>
                            <w:r>
                              <w:rPr>
                                <w:i w:val="false"/>
                                <w:caps w:val="false"/>
                                <w:smallCaps w:val="false"/>
                                <w:spacing w:val="-1"/>
                              </w:rPr>
                              <w:t>(4)</w:t>
                            </w:r>
                            <w:r>
                              <w:rPr>
                                <w:i/>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val="false"/>
                          <w:caps w:val="false"/>
                          <w:smallCaps w:val="false"/>
                          <w:spacing w:val="-1"/>
                        </w:rPr>
                        <w:t>(4)</w:t>
                      </w:r>
                      <w:r>
                        <w:rPr>
                          <w:i/>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8464" w:type="dxa"/>
        <w:jc w:val="left"/>
        <w:tblInd w:w="720" w:type="dxa"/>
        <w:tblLayout w:type="fixed"/>
        <w:tblCellMar>
          <w:top w:w="0" w:type="dxa"/>
          <w:left w:w="0" w:type="dxa"/>
          <w:bottom w:w="28" w:type="dxa"/>
          <w:right w:w="0" w:type="dxa"/>
        </w:tblCellMar>
      </w:tblPr>
      <w:tblGrid>
        <w:gridCol w:w="124"/>
        <w:gridCol w:w="2071"/>
        <w:gridCol w:w="109"/>
        <w:gridCol w:w="109"/>
        <w:gridCol w:w="135"/>
        <w:gridCol w:w="135"/>
        <w:gridCol w:w="957"/>
        <w:gridCol w:w="137"/>
        <w:gridCol w:w="109"/>
        <w:gridCol w:w="109"/>
        <w:gridCol w:w="109"/>
        <w:gridCol w:w="109"/>
        <w:gridCol w:w="766"/>
        <w:gridCol w:w="109"/>
        <w:gridCol w:w="109"/>
        <w:gridCol w:w="109"/>
        <w:gridCol w:w="109"/>
        <w:gridCol w:w="109"/>
        <w:gridCol w:w="1066"/>
        <w:gridCol w:w="109"/>
        <w:gridCol w:w="109"/>
        <w:gridCol w:w="109"/>
        <w:gridCol w:w="109"/>
        <w:gridCol w:w="109"/>
        <w:gridCol w:w="1066"/>
        <w:gridCol w:w="109"/>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071"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64"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401(k) </w:t>
              <w:br/>
              <w:t xml:space="preserve">Employer </w:t>
              <w:br/>
              <w:t>Contribution</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Personal </w:t>
              <w:br/>
              <w:t xml:space="preserve">Security </w:t>
              <w:br/>
              <w:t>Services</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Accelerated </w:t>
              <w:br/>
              <w:t xml:space="preserve">Incentive </w:t>
              <w:br/>
              <w:t>Units Value</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07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James M. Boyle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5" w:type="dxa"/>
            <w:tcBorders>
              <w:bottom w:val="single" w:sz="6" w:space="0" w:color="000000"/>
            </w:tcBorders>
            <w:vAlign w:val="center"/>
          </w:tcPr>
          <w:p>
            <w:pPr>
              <w:pStyle w:val="TableContents"/>
              <w:bidi w:val="0"/>
              <w:spacing w:before="0" w:after="283"/>
              <w:jc w:val="left"/>
              <w:rPr/>
            </w:pPr>
            <w:r>
              <w:rPr/>
              <w:t>​</w:t>
            </w:r>
          </w:p>
        </w:tc>
        <w:tc>
          <w:tcPr>
            <w:tcW w:w="135" w:type="dxa"/>
            <w:tcBorders>
              <w:bottom w:val="single" w:sz="6" w:space="0" w:color="000000"/>
            </w:tcBorders>
            <w:tcMar>
              <w:bottom w:w="51" w:type="dxa"/>
            </w:tcMar>
            <w:vAlign w:val="center"/>
          </w:tcPr>
          <w:p>
            <w:pPr>
              <w:pStyle w:val="TableContents"/>
              <w:bidi w:val="0"/>
              <w:spacing w:before="0" w:after="283"/>
              <w:jc w:val="right"/>
              <w:rPr/>
            </w:pPr>
            <w:r>
              <w:rPr/>
              <w:t>​</w:t>
            </w:r>
          </w:p>
        </w:tc>
        <w:tc>
          <w:tcPr>
            <w:tcW w:w="957" w:type="dxa"/>
            <w:tcBorders>
              <w:bottom w:val="single" w:sz="6" w:space="0" w:color="000000"/>
            </w:tcBorders>
            <w:tcMar>
              <w:bottom w:w="51" w:type="dxa"/>
            </w:tcMar>
            <w:vAlign w:val="center"/>
          </w:tcPr>
          <w:p>
            <w:pPr>
              <w:pStyle w:val="TableContents"/>
              <w:bidi w:val="0"/>
              <w:spacing w:before="0" w:after="283"/>
              <w:jc w:val="right"/>
              <w:rPr/>
            </w:pPr>
            <w:r>
              <w:rPr/>
              <w:t>6,646</w:t>
            </w:r>
          </w:p>
        </w:tc>
        <w:tc>
          <w:tcPr>
            <w:tcW w:w="137"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16,701</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23,347</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2071"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Michael B. Drazin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35" w:type="dxa"/>
            <w:tcBorders>
              <w:bottom w:val="single" w:sz="6" w:space="0" w:color="000000"/>
            </w:tcBorders>
            <w:shd w:fill="E6EEF8" w:val="clear"/>
            <w:vAlign w:val="center"/>
          </w:tcPr>
          <w:p>
            <w:pPr>
              <w:pStyle w:val="TableContents"/>
              <w:bidi w:val="0"/>
              <w:spacing w:before="0" w:after="283"/>
              <w:jc w:val="left"/>
              <w:rPr/>
            </w:pPr>
            <w:r>
              <w:rPr/>
              <w:t>​</w:t>
            </w:r>
          </w:p>
        </w:tc>
        <w:tc>
          <w:tcPr>
            <w:tcW w:w="135"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957" w:type="dxa"/>
            <w:tcBorders>
              <w:bottom w:val="single" w:sz="6" w:space="0" w:color="000000"/>
            </w:tcBorders>
            <w:shd w:fill="E6EEF8" w:val="clear"/>
            <w:tcMar>
              <w:bottom w:w="51" w:type="dxa"/>
            </w:tcMar>
            <w:vAlign w:val="center"/>
          </w:tcPr>
          <w:p>
            <w:pPr>
              <w:pStyle w:val="TableContents"/>
              <w:bidi w:val="0"/>
              <w:spacing w:before="0" w:after="283"/>
              <w:jc w:val="right"/>
              <w:rPr/>
            </w:pPr>
            <w:r>
              <w:rPr/>
              <w:t>14,000</w:t>
            </w:r>
          </w:p>
        </w:tc>
        <w:tc>
          <w:tcPr>
            <w:tcW w:w="137"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13,289</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27,289</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071" w:type="dxa"/>
            <w:tcBorders>
              <w:bottom w:val="single" w:sz="6" w:space="0" w:color="000000"/>
            </w:tcBorders>
            <w:tcMar>
              <w:bottom w:w="51" w:type="dxa"/>
            </w:tcMar>
            <w:vAlign w:val="center"/>
          </w:tcPr>
          <w:p>
            <w:pPr>
              <w:pStyle w:val="TableContents"/>
              <w:bidi w:val="0"/>
              <w:spacing w:before="0" w:after="0"/>
              <w:jc w:val="left"/>
              <w:rPr>
                <w:b/>
                <w:spacing w:val="0"/>
              </w:rPr>
            </w:pPr>
            <w:r>
              <w:rPr>
                <w:b/>
                <w:spacing w:val="0"/>
              </w:rPr>
              <w:t xml:space="preserve">James M. Pigott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5" w:type="dxa"/>
            <w:tcBorders>
              <w:bottom w:val="single" w:sz="6" w:space="0" w:color="000000"/>
            </w:tcBorders>
            <w:vAlign w:val="center"/>
          </w:tcPr>
          <w:p>
            <w:pPr>
              <w:pStyle w:val="TableContents"/>
              <w:bidi w:val="0"/>
              <w:spacing w:before="0" w:after="283"/>
              <w:jc w:val="left"/>
              <w:rPr/>
            </w:pPr>
            <w:r>
              <w:rPr/>
              <w:t>​</w:t>
            </w:r>
          </w:p>
        </w:tc>
        <w:tc>
          <w:tcPr>
            <w:tcW w:w="135" w:type="dxa"/>
            <w:tcBorders>
              <w:bottom w:val="single" w:sz="6" w:space="0" w:color="000000"/>
            </w:tcBorders>
            <w:tcMar>
              <w:bottom w:w="51" w:type="dxa"/>
            </w:tcMar>
            <w:vAlign w:val="center"/>
          </w:tcPr>
          <w:p>
            <w:pPr>
              <w:pStyle w:val="TableContents"/>
              <w:bidi w:val="0"/>
              <w:spacing w:before="0" w:after="283"/>
              <w:jc w:val="right"/>
              <w:rPr/>
            </w:pPr>
            <w:r>
              <w:rPr/>
              <w:t>​</w:t>
            </w:r>
          </w:p>
        </w:tc>
        <w:tc>
          <w:tcPr>
            <w:tcW w:w="957" w:type="dxa"/>
            <w:tcBorders>
              <w:bottom w:val="single" w:sz="6" w:space="0" w:color="000000"/>
            </w:tcBorders>
            <w:tcMar>
              <w:bottom w:w="51" w:type="dxa"/>
            </w:tcMar>
            <w:vAlign w:val="center"/>
          </w:tcPr>
          <w:p>
            <w:pPr>
              <w:pStyle w:val="TableContents"/>
              <w:bidi w:val="0"/>
              <w:spacing w:before="0" w:after="283"/>
              <w:jc w:val="right"/>
              <w:rPr/>
            </w:pPr>
            <w:r>
              <w:rPr/>
              <w:t>8,167</w:t>
            </w:r>
          </w:p>
        </w:tc>
        <w:tc>
          <w:tcPr>
            <w:tcW w:w="137"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tcMar>
              <w:bottom w:w="51" w:type="dxa"/>
            </w:tcMar>
            <w:vAlign w:val="center"/>
          </w:tcPr>
          <w:p>
            <w:pPr>
              <w:pStyle w:val="TableContents"/>
              <w:bidi w:val="0"/>
              <w:spacing w:before="0" w:after="283"/>
              <w:jc w:val="right"/>
              <w:rPr/>
            </w:pPr>
            <w:r>
              <w:rPr/>
              <w:t>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8,868,337</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tcMar>
              <w:bottom w:w="51" w:type="dxa"/>
            </w:tcMar>
            <w:vAlign w:val="center"/>
          </w:tcPr>
          <w:p>
            <w:pPr>
              <w:pStyle w:val="TableContents"/>
              <w:bidi w:val="0"/>
              <w:spacing w:before="0" w:after="283"/>
              <w:jc w:val="right"/>
              <w:rPr/>
            </w:pPr>
            <w:r>
              <w:rPr/>
              <w:t>8,876,504</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2071" w:type="dxa"/>
            <w:tcBorders>
              <w:bottom w:val="single" w:sz="6" w:space="0" w:color="000000"/>
            </w:tcBorders>
            <w:shd w:fill="E6EEF8" w:val="clear"/>
            <w:tcMar>
              <w:bottom w:w="51" w:type="dxa"/>
            </w:tcMar>
            <w:vAlign w:val="center"/>
          </w:tcPr>
          <w:p>
            <w:pPr>
              <w:pStyle w:val="TableContents"/>
              <w:bidi w:val="0"/>
              <w:spacing w:before="0" w:after="0"/>
              <w:jc w:val="left"/>
              <w:rPr>
                <w:b/>
                <w:spacing w:val="0"/>
              </w:rPr>
            </w:pPr>
            <w:r>
              <w:rPr>
                <w:b/>
                <w:spacing w:val="0"/>
              </w:rPr>
              <w:t xml:space="preserve">Douglas P. Golwas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35" w:type="dxa"/>
            <w:tcBorders>
              <w:bottom w:val="single" w:sz="6" w:space="0" w:color="000000"/>
            </w:tcBorders>
            <w:shd w:fill="E6EEF8" w:val="clear"/>
            <w:vAlign w:val="center"/>
          </w:tcPr>
          <w:p>
            <w:pPr>
              <w:pStyle w:val="TableContents"/>
              <w:bidi w:val="0"/>
              <w:spacing w:before="0" w:after="283"/>
              <w:jc w:val="left"/>
              <w:rPr/>
            </w:pPr>
            <w:r>
              <w:rPr/>
              <w:t>​</w:t>
            </w:r>
          </w:p>
        </w:tc>
        <w:tc>
          <w:tcPr>
            <w:tcW w:w="135"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957" w:type="dxa"/>
            <w:tcBorders>
              <w:bottom w:val="single" w:sz="6" w:space="0" w:color="000000"/>
            </w:tcBorders>
            <w:shd w:fill="E6EEF8" w:val="clear"/>
            <w:tcMar>
              <w:bottom w:w="51" w:type="dxa"/>
            </w:tcMar>
            <w:vAlign w:val="center"/>
          </w:tcPr>
          <w:p>
            <w:pPr>
              <w:pStyle w:val="TableContents"/>
              <w:bidi w:val="0"/>
              <w:spacing w:before="0" w:after="283"/>
              <w:jc w:val="right"/>
              <w:rPr/>
            </w:pPr>
            <w:r>
              <w:rPr/>
              <w:t>12,589</w:t>
            </w:r>
          </w:p>
        </w:tc>
        <w:tc>
          <w:tcPr>
            <w:tcW w:w="137"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51" w:type="dxa"/>
            </w:tcMar>
            <w:vAlign w:val="center"/>
          </w:tcPr>
          <w:p>
            <w:pPr>
              <w:pStyle w:val="TableContents"/>
              <w:bidi w:val="0"/>
              <w:spacing w:before="0" w:after="283"/>
              <w:jc w:val="right"/>
              <w:rPr/>
            </w:pPr>
            <w:r>
              <w:rPr/>
              <w:t>12,441</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51"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51" w:type="dxa"/>
            </w:tcMar>
            <w:vAlign w:val="center"/>
          </w:tcPr>
          <w:p>
            <w:pPr>
              <w:pStyle w:val="TableContents"/>
              <w:bidi w:val="0"/>
              <w:spacing w:before="0" w:after="283"/>
              <w:jc w:val="right"/>
              <w:rPr/>
            </w:pPr>
            <w:r>
              <w:rPr/>
              <w:t>25,030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071" w:type="dxa"/>
            <w:tcBorders>
              <w:bottom w:val="single" w:sz="6" w:space="0" w:color="000000"/>
            </w:tcBorders>
            <w:tcMar>
              <w:bottom w:w="42" w:type="dxa"/>
            </w:tcMar>
            <w:vAlign w:val="center"/>
          </w:tcPr>
          <w:p>
            <w:pPr>
              <w:pStyle w:val="TableContents"/>
              <w:bidi w:val="0"/>
              <w:spacing w:before="0" w:after="0"/>
              <w:jc w:val="left"/>
              <w:rPr>
                <w:b/>
                <w:spacing w:val="0"/>
              </w:rPr>
            </w:pPr>
            <w:r>
              <w:rPr>
                <w:b/>
                <w:spacing w:val="0"/>
              </w:rPr>
              <w:t xml:space="preserve">Stephen L. Miller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5" w:type="dxa"/>
            <w:tcBorders>
              <w:bottom w:val="single" w:sz="6" w:space="0" w:color="000000"/>
            </w:tcBorders>
            <w:vAlign w:val="center"/>
          </w:tcPr>
          <w:p>
            <w:pPr>
              <w:pStyle w:val="TableContents"/>
              <w:bidi w:val="0"/>
              <w:spacing w:before="0" w:after="283"/>
              <w:jc w:val="left"/>
              <w:rPr/>
            </w:pPr>
            <w:r>
              <w:rPr/>
              <w:t>​</w:t>
            </w:r>
          </w:p>
        </w:tc>
        <w:tc>
          <w:tcPr>
            <w:tcW w:w="135" w:type="dxa"/>
            <w:tcBorders>
              <w:bottom w:val="single" w:sz="6" w:space="0" w:color="000000"/>
            </w:tcBorders>
            <w:tcMar>
              <w:bottom w:w="42" w:type="dxa"/>
            </w:tcMar>
            <w:vAlign w:val="center"/>
          </w:tcPr>
          <w:p>
            <w:pPr>
              <w:pStyle w:val="TableContents"/>
              <w:bidi w:val="0"/>
              <w:spacing w:before="0" w:after="283"/>
              <w:jc w:val="right"/>
              <w:rPr/>
            </w:pPr>
            <w:r>
              <w:rPr/>
              <w:t>​</w:t>
            </w:r>
          </w:p>
        </w:tc>
        <w:tc>
          <w:tcPr>
            <w:tcW w:w="957" w:type="dxa"/>
            <w:tcBorders>
              <w:bottom w:val="single" w:sz="6" w:space="0" w:color="000000"/>
            </w:tcBorders>
            <w:tcMar>
              <w:bottom w:w="42" w:type="dxa"/>
            </w:tcMar>
            <w:vAlign w:val="center"/>
          </w:tcPr>
          <w:p>
            <w:pPr>
              <w:pStyle w:val="TableContents"/>
              <w:bidi w:val="0"/>
              <w:spacing w:before="0" w:after="283"/>
              <w:jc w:val="right"/>
              <w:rPr/>
            </w:pPr>
            <w:r>
              <w:rPr/>
              <w:t>7,667</w:t>
            </w:r>
          </w:p>
        </w:tc>
        <w:tc>
          <w:tcPr>
            <w:tcW w:w="137"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2" w:type="dxa"/>
            </w:tcMar>
            <w:vAlign w:val="center"/>
          </w:tcPr>
          <w:p>
            <w:pPr>
              <w:pStyle w:val="TableContents"/>
              <w:bidi w:val="0"/>
              <w:spacing w:before="0" w:after="283"/>
              <w:jc w:val="right"/>
              <w:rPr/>
            </w:pPr>
            <w:r>
              <w:rPr/>
              <w:t>​</w:t>
            </w:r>
          </w:p>
        </w:tc>
        <w:tc>
          <w:tcPr>
            <w:tcW w:w="766" w:type="dxa"/>
            <w:tcBorders>
              <w:bottom w:val="single" w:sz="6" w:space="0" w:color="000000"/>
            </w:tcBorders>
            <w:tcMar>
              <w:bottom w:w="42" w:type="dxa"/>
            </w:tcMar>
            <w:vAlign w:val="center"/>
          </w:tcPr>
          <w:p>
            <w:pPr>
              <w:pStyle w:val="TableContents"/>
              <w:bidi w:val="0"/>
              <w:spacing w:before="0" w:after="283"/>
              <w:jc w:val="right"/>
              <w:rPr/>
            </w:pPr>
            <w:r>
              <w:rPr/>
              <w:t>1,473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2" w:type="dxa"/>
            </w:tcMar>
            <w:vAlign w:val="center"/>
          </w:tcPr>
          <w:p>
            <w:pPr>
              <w:pStyle w:val="TableContents"/>
              <w:bidi w:val="0"/>
              <w:spacing w:before="0" w:after="283"/>
              <w:jc w:val="right"/>
              <w:rPr/>
            </w:pPr>
            <w:r>
              <w:rPr/>
              <w:t>​</w:t>
            </w:r>
          </w:p>
        </w:tc>
        <w:tc>
          <w:tcPr>
            <w:tcW w:w="1066" w:type="dxa"/>
            <w:tcBorders>
              <w:bottom w:val="single" w:sz="6" w:space="0" w:color="000000"/>
            </w:tcBorders>
            <w:tcMar>
              <w:bottom w:w="42" w:type="dxa"/>
            </w:tcMar>
            <w:vAlign w:val="center"/>
          </w:tcPr>
          <w:p>
            <w:pPr>
              <w:pStyle w:val="TableContents"/>
              <w:bidi w:val="0"/>
              <w:spacing w:before="0" w:after="283"/>
              <w:jc w:val="right"/>
              <w:rPr/>
            </w:pPr>
            <w:r>
              <w:rPr/>
              <w:t>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2" w:type="dxa"/>
            </w:tcMar>
            <w:vAlign w:val="center"/>
          </w:tcPr>
          <w:p>
            <w:pPr>
              <w:pStyle w:val="TableContents"/>
              <w:bidi w:val="0"/>
              <w:spacing w:before="0" w:after="283"/>
              <w:jc w:val="right"/>
              <w:rPr/>
            </w:pPr>
            <w:r>
              <w:rPr/>
              <w:t>​</w:t>
            </w:r>
          </w:p>
        </w:tc>
        <w:tc>
          <w:tcPr>
            <w:tcW w:w="1066" w:type="dxa"/>
            <w:tcBorders>
              <w:bottom w:val="single" w:sz="6" w:space="0" w:color="000000"/>
            </w:tcBorders>
            <w:tcMar>
              <w:bottom w:w="42" w:type="dxa"/>
            </w:tcMar>
            <w:vAlign w:val="center"/>
          </w:tcPr>
          <w:p>
            <w:pPr>
              <w:pStyle w:val="TableContents"/>
              <w:bidi w:val="0"/>
              <w:spacing w:before="0" w:after="283"/>
              <w:jc w:val="right"/>
              <w:rPr/>
            </w:pPr>
            <w:r>
              <w:rPr/>
              <w:t>9,140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58</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240"/>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G</w:t>
      </w:r>
      <w:r>
        <w:rPr>
          <w:rFonts w:ascii="Arial;Helvetica;sans-serif" w:hAnsi="Arial;Helvetica;sans-serif"/>
          <w:b/>
          <w:i w:val="false"/>
          <w:caps w:val="false"/>
          <w:smallCaps w:val="false"/>
          <w:color w:val="0055B7"/>
          <w:spacing w:val="-3"/>
          <w:sz w:val="24"/>
        </w:rPr>
        <w:t>RANTS OF</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LAN-</w:t>
      </w:r>
      <w:r>
        <w:rPr>
          <w:rFonts w:ascii="Arial;Helvetica;sans-serif" w:hAnsi="Arial;Helvetica;sans-serif"/>
          <w:b/>
          <w:i w:val="false"/>
          <w:caps w:val="false"/>
          <w:smallCaps w:val="false"/>
          <w:color w:val="0055B7"/>
          <w:spacing w:val="-3"/>
          <w:sz w:val="24"/>
        </w:rPr>
        <w:t>B</w:t>
      </w:r>
      <w:r>
        <w:rPr>
          <w:rFonts w:ascii="Arial;Helvetica;sans-serif" w:hAnsi="Arial;Helvetica;sans-serif"/>
          <w:b/>
          <w:i w:val="false"/>
          <w:caps w:val="false"/>
          <w:smallCaps w:val="false"/>
          <w:color w:val="0055B7"/>
          <w:spacing w:val="-3"/>
          <w:sz w:val="24"/>
        </w:rPr>
        <w:t>ASED</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WARDS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provides information with respect to grants of plan-based awards to our NEOs during the 2025 fiscal year.</w:t>
      </w:r>
      <w:r>
        <w:rPr>
          <w:rFonts w:ascii="Arial;Helvetica;sans-serif" w:hAnsi="Arial;Helvetica;sans-serif"/>
          <w:b w:val="false"/>
          <w:i w:val="false"/>
          <w:caps w:val="false"/>
          <w:smallCaps w:val="false"/>
          <w:color w:val="000000"/>
          <w:spacing w:val="4"/>
          <w:sz w:val="18"/>
        </w:rPr>
        <w:t xml:space="preserve"> </w:t>
      </w:r>
    </w:p>
    <w:tbl>
      <w:tblPr>
        <w:tblW w:w="16092" w:type="dxa"/>
        <w:jc w:val="left"/>
        <w:tblInd w:w="530" w:type="dxa"/>
        <w:tblLayout w:type="fixed"/>
        <w:tblCellMar>
          <w:top w:w="0" w:type="dxa"/>
          <w:left w:w="0" w:type="dxa"/>
          <w:bottom w:w="28" w:type="dxa"/>
          <w:right w:w="0" w:type="dxa"/>
        </w:tblCellMar>
      </w:tblPr>
      <w:tblGrid>
        <w:gridCol w:w="124"/>
        <w:gridCol w:w="931"/>
        <w:gridCol w:w="109"/>
        <w:gridCol w:w="109"/>
        <w:gridCol w:w="109"/>
        <w:gridCol w:w="109"/>
        <w:gridCol w:w="616"/>
        <w:gridCol w:w="109"/>
        <w:gridCol w:w="109"/>
        <w:gridCol w:w="109"/>
        <w:gridCol w:w="210"/>
        <w:gridCol w:w="210"/>
        <w:gridCol w:w="435"/>
        <w:gridCol w:w="211"/>
        <w:gridCol w:w="109"/>
        <w:gridCol w:w="109"/>
        <w:gridCol w:w="109"/>
        <w:gridCol w:w="109"/>
        <w:gridCol w:w="1066"/>
        <w:gridCol w:w="109"/>
        <w:gridCol w:w="109"/>
        <w:gridCol w:w="109"/>
        <w:gridCol w:w="109"/>
        <w:gridCol w:w="109"/>
        <w:gridCol w:w="10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916"/>
        <w:gridCol w:w="109"/>
        <w:gridCol w:w="109"/>
        <w:gridCol w:w="1186"/>
        <w:gridCol w:w="109"/>
        <w:gridCol w:w="109"/>
        <w:gridCol w:w="916"/>
        <w:gridCol w:w="109"/>
        <w:gridCol w:w="109"/>
        <w:gridCol w:w="109"/>
        <w:gridCol w:w="109"/>
        <w:gridCol w:w="1066"/>
        <w:gridCol w:w="109"/>
        <w:gridCol w:w="154"/>
      </w:tblGrid>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931" w:type="dxa"/>
            <w:vMerge w:val="restart"/>
            <w:tcBorders>
              <w:bottom w:val="single" w:sz="2" w:space="0" w:color="000000"/>
            </w:tcBorders>
            <w:tcMar>
              <w:bottom w:w="43" w:type="dxa"/>
            </w:tcMar>
            <w:vAlign w:val="center"/>
          </w:tcPr>
          <w:p>
            <w:pPr>
              <w:pStyle w:val="TableContents"/>
              <w:bidi w:val="0"/>
              <w:spacing w:lineRule="atLeast" w:line="180" w:before="0" w:after="0"/>
              <w:jc w:val="left"/>
              <w:rPr>
                <w:spacing w:val="0"/>
              </w:rPr>
            </w:pPr>
            <w:r>
              <w:rPr>
                <w:spacing w:val="0"/>
              </w:rPr>
              <w:t xml:space="preserve">Name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943"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Grant </w:t>
              <w:br/>
              <w:t>Date</w:t>
            </w:r>
            <w:r>
              <w:rPr>
                <w:spacing w:val="-2"/>
                <w:sz w:val="10"/>
              </w:rPr>
              <w:t>(1)</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88" w:type="dxa"/>
            <w:gridSpan w:val="16"/>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Estimated Future </w:t>
              <w:br/>
              <w:t xml:space="preserve">Payouts Under Non-Equity </w:t>
              <w:br/>
              <w:t>Incentive Plan Awards</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715" w:type="dxa"/>
            <w:gridSpan w:val="16"/>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Estimated Future </w:t>
              <w:br/>
              <w:t xml:space="preserve">Payouts Under Equity </w:t>
              <w:br/>
              <w:t xml:space="preserve">Incentive Plan Awards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916" w:type="dxa"/>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0"/>
              </w:rPr>
              <w:t xml:space="preserve">All Other </w:t>
              <w:br/>
              <w:t xml:space="preserve">Stock </w:t>
              <w:br/>
              <w:t xml:space="preserve">Awards: </w:t>
              <w:br/>
              <w:t xml:space="preserve">Number </w:t>
              <w:br/>
              <w:t xml:space="preserve">of Shares </w:t>
              <w:br/>
              <w:t xml:space="preserve">of Stock </w:t>
              <w:br/>
              <w:t>or Units</w:t>
            </w:r>
            <w:r>
              <w:rPr/>
              <w:t xml:space="preserve"> </w:t>
              <w:br/>
            </w:r>
            <w:r>
              <w:rPr>
                <w:spacing w:val="-2"/>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186" w:type="dxa"/>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0"/>
              </w:rPr>
              <w:t xml:space="preserve">All Other </w:t>
              <w:br/>
              <w:t xml:space="preserve">Option </w:t>
              <w:br/>
              <w:t xml:space="preserve">Awards: </w:t>
              <w:br/>
              <w:t xml:space="preserve">Number of </w:t>
              <w:br/>
              <w:t xml:space="preserve">Securities </w:t>
              <w:br/>
              <w:t xml:space="preserve">Underlying </w:t>
              <w:br/>
              <w:t xml:space="preserve">Options </w:t>
            </w:r>
            <w:r>
              <w:rPr/>
              <w:br/>
            </w:r>
            <w:r>
              <w:rPr>
                <w:spacing w:val="-2"/>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916" w:type="dxa"/>
            <w:vMerge w:val="restart"/>
            <w:tcBorders>
              <w:bottom w:val="single" w:sz="2" w:space="0" w:color="000000"/>
            </w:tcBorders>
            <w:tcMar>
              <w:bottom w:w="43" w:type="dxa"/>
            </w:tcMar>
            <w:vAlign w:val="center"/>
          </w:tcPr>
          <w:p>
            <w:pPr>
              <w:pStyle w:val="TableContents"/>
              <w:bidi w:val="0"/>
              <w:spacing w:lineRule="atLeast" w:line="180" w:before="0" w:after="0"/>
              <w:jc w:val="center"/>
              <w:rPr>
                <w:spacing w:val="0"/>
              </w:rPr>
            </w:pPr>
            <w:r>
              <w:rPr>
                <w:spacing w:val="0"/>
              </w:rPr>
              <w:t xml:space="preserve">Exercise </w:t>
              <w:br/>
              <w:t xml:space="preserve">or Base </w:t>
              <w:br/>
              <w:t xml:space="preserve">Price of </w:t>
              <w:br/>
              <w:t xml:space="preserve">Option </w:t>
              <w:br/>
              <w:t xml:space="preserve">Awards </w:t>
              <w:br/>
              <w:t xml:space="preserve">($/Sh)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0"/>
              </w:rPr>
              <w:t xml:space="preserve">Grant </w:t>
              <w:br/>
              <w:t xml:space="preserve">Date Fair </w:t>
              <w:br/>
              <w:t xml:space="preserve">Value of </w:t>
              <w:br/>
              <w:t xml:space="preserve">Stock </w:t>
              <w:br/>
              <w:t xml:space="preserve">and </w:t>
              <w:br/>
              <w:t xml:space="preserve">Option </w:t>
              <w:br/>
              <w:t>Awards</w:t>
            </w:r>
            <w:r>
              <w:rPr/>
              <w:t xml:space="preserve"> </w:t>
              <w:br/>
            </w:r>
            <w:r>
              <w:rPr>
                <w:spacing w:val="-2"/>
              </w:rPr>
              <w:t xml:space="preserve">($) </w:t>
            </w:r>
          </w:p>
        </w:tc>
        <w:tc>
          <w:tcPr>
            <w:tcW w:w="154" w:type="dxa"/>
            <w:vMerge w:val="restart"/>
            <w:tcBorders>
              <w:bottom w:val="single" w:sz="2"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943"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2" w:space="0" w:color="000000"/>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continue"/>
            <w:tcBorders>
              <w:bottom w:val="single" w:sz="2" w:space="0" w:color="000000"/>
            </w:tcBorders>
            <w:vAlign w:val="center"/>
          </w:tcPr>
          <w:p>
            <w:pPr>
              <w:pStyle w:val="Normal"/>
              <w:bidi w:val="0"/>
              <w:jc w:val="left"/>
              <w:rPr/>
            </w:pPr>
            <w:r>
              <w:rPr/>
            </w:r>
          </w:p>
        </w:tc>
        <w:tc>
          <w:tcPr>
            <w:tcW w:w="916" w:type="dxa"/>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186" w:type="dxa"/>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916" w:type="dxa"/>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393" w:type="dxa"/>
            <w:gridSpan w:val="4"/>
            <w:vMerge w:val="continue"/>
            <w:tcBorders>
              <w:bottom w:val="single" w:sz="2" w:space="0" w:color="000000"/>
            </w:tcBorders>
            <w:tcMar>
              <w:bottom w:w="43" w:type="dxa"/>
            </w:tcMar>
            <w:vAlign w:val="center"/>
          </w:tcPr>
          <w:p>
            <w:pPr>
              <w:pStyle w:val="Normal"/>
              <w:bidi w:val="0"/>
              <w:jc w:val="left"/>
              <w:rPr/>
            </w:pPr>
            <w:r>
              <w:rPr/>
            </w:r>
          </w:p>
        </w:tc>
        <w:tc>
          <w:tcPr>
            <w:tcW w:w="154" w:type="dxa"/>
            <w:vMerge w:val="continue"/>
            <w:tcBorders>
              <w:bottom w:val="single" w:sz="2" w:space="0" w:color="000000"/>
            </w:tcBorders>
            <w:vAlign w:val="center"/>
          </w:tcPr>
          <w:p>
            <w:pPr>
              <w:pStyle w:val="Normal"/>
              <w:bidi w:val="0"/>
              <w:jc w:val="left"/>
              <w:rPr/>
            </w:pPr>
            <w:r>
              <w:rPr/>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931" w:type="dxa"/>
            <w:tcBorders>
              <w:bottom w:val="single" w:sz="6" w:space="0" w:color="000000"/>
            </w:tcBorders>
            <w:tcMar>
              <w:bottom w:w="49" w:type="dxa"/>
            </w:tcMar>
            <w:vAlign w:val="center"/>
          </w:tcPr>
          <w:p>
            <w:pPr>
              <w:pStyle w:val="TableContents"/>
              <w:bidi w:val="0"/>
              <w:spacing w:before="0" w:after="0"/>
              <w:jc w:val="left"/>
              <w:rPr>
                <w:b/>
                <w:spacing w:val="0"/>
              </w:rPr>
            </w:pPr>
            <w:r>
              <w:rPr>
                <w:b/>
                <w:spacing w:val="0"/>
              </w:rPr>
              <w:t xml:space="preserve">James M. Boyle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616" w:type="dxa"/>
            <w:tcBorders>
              <w:bottom w:val="single" w:sz="6" w:space="0" w:color="000000"/>
            </w:tcBorders>
            <w:tcMar>
              <w:bottom w:w="49" w:type="dxa"/>
            </w:tcMar>
            <w:vAlign w:val="center"/>
          </w:tcPr>
          <w:p>
            <w:pPr>
              <w:pStyle w:val="TableContents"/>
              <w:bidi w:val="0"/>
              <w:spacing w:before="0" w:after="283"/>
              <w:jc w:val="right"/>
              <w:rPr/>
            </w:pPr>
            <w:r>
              <w:rPr/>
              <w:t>4/11/2025</w:t>
            </w:r>
            <w:r>
              <w:rPr>
                <w:sz w:val="11"/>
              </w:rPr>
              <w:t>(3</w:t>
            </w:r>
            <w:r>
              <w:rPr>
                <w:sz w:val="11"/>
              </w:rPr>
              <w:t>)</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0" w:type="dxa"/>
            <w:tcBorders>
              <w:bottom w:val="single" w:sz="6" w:space="0" w:color="000000"/>
            </w:tcBorders>
            <w:vAlign w:val="center"/>
          </w:tcPr>
          <w:p>
            <w:pPr>
              <w:pStyle w:val="TableContents"/>
              <w:bidi w:val="0"/>
              <w:spacing w:before="0" w:after="283"/>
              <w:jc w:val="left"/>
              <w:rPr/>
            </w:pPr>
            <w:r>
              <w:rPr/>
              <w:t>​</w:t>
            </w:r>
          </w:p>
        </w:tc>
        <w:tc>
          <w:tcPr>
            <w:tcW w:w="210" w:type="dxa"/>
            <w:tcBorders>
              <w:bottom w:val="single" w:sz="6" w:space="0" w:color="000000"/>
            </w:tcBorders>
            <w:tcMar>
              <w:bottom w:w="49" w:type="dxa"/>
            </w:tcMar>
            <w:vAlign w:val="center"/>
          </w:tcPr>
          <w:p>
            <w:pPr>
              <w:pStyle w:val="TableContents"/>
              <w:bidi w:val="0"/>
              <w:spacing w:before="0" w:after="283"/>
              <w:jc w:val="right"/>
              <w:rPr/>
            </w:pPr>
            <w:r>
              <w:rPr/>
              <w:t>​</w:t>
            </w:r>
          </w:p>
        </w:tc>
        <w:tc>
          <w:tcPr>
            <w:tcW w:w="435" w:type="dxa"/>
            <w:tcBorders>
              <w:bottom w:val="single" w:sz="6" w:space="0" w:color="000000"/>
            </w:tcBorders>
            <w:tcMar>
              <w:bottom w:w="49" w:type="dxa"/>
            </w:tcMar>
            <w:vAlign w:val="center"/>
          </w:tcPr>
          <w:p>
            <w:pPr>
              <w:pStyle w:val="TableContents"/>
              <w:bidi w:val="0"/>
              <w:spacing w:before="0" w:after="283"/>
              <w:jc w:val="right"/>
              <w:rPr/>
            </w:pPr>
            <w:r>
              <w:rPr/>
              <w:t>0</w:t>
            </w:r>
          </w:p>
        </w:tc>
        <w:tc>
          <w:tcPr>
            <w:tcW w:w="21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tcMar>
              <w:bottom w:w="49" w:type="dxa"/>
            </w:tcMar>
            <w:vAlign w:val="center"/>
          </w:tcPr>
          <w:p>
            <w:pPr>
              <w:pStyle w:val="TableContents"/>
              <w:bidi w:val="0"/>
              <w:spacing w:before="0" w:after="283"/>
              <w:jc w:val="right"/>
              <w:rPr/>
            </w:pPr>
            <w:r>
              <w:rPr/>
              <w:t>1,662,500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tcMar>
              <w:bottom w:w="49" w:type="dxa"/>
            </w:tcMar>
            <w:vAlign w:val="center"/>
          </w:tcPr>
          <w:p>
            <w:pPr>
              <w:pStyle w:val="TableContents"/>
              <w:bidi w:val="0"/>
              <w:spacing w:before="0" w:after="283"/>
              <w:jc w:val="right"/>
              <w:rPr/>
            </w:pPr>
            <w:r>
              <w:rPr/>
              <w:t>2,500,000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tcMar>
              <w:bottom w:w="49" w:type="dxa"/>
            </w:tcMar>
            <w:vAlign w:val="center"/>
          </w:tcPr>
          <w:p>
            <w:pPr>
              <w:pStyle w:val="TableContents"/>
              <w:bidi w:val="0"/>
              <w:spacing w:before="0" w:after="283"/>
              <w:jc w:val="right"/>
              <w:rPr/>
            </w:pPr>
            <w:r>
              <w:rPr/>
              <w:t>20,305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tcMar>
              <w:bottom w:w="49" w:type="dxa"/>
            </w:tcMar>
            <w:vAlign w:val="center"/>
          </w:tcPr>
          <w:p>
            <w:pPr>
              <w:pStyle w:val="TableContents"/>
              <w:bidi w:val="0"/>
              <w:spacing w:before="0" w:after="283"/>
              <w:jc w:val="right"/>
              <w:rPr/>
            </w:pPr>
            <w:r>
              <w:rPr/>
              <w:t>40,609</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tcMar>
              <w:bottom w:w="49" w:type="dxa"/>
            </w:tcMar>
            <w:vAlign w:val="center"/>
          </w:tcPr>
          <w:p>
            <w:pPr>
              <w:pStyle w:val="TableContents"/>
              <w:bidi w:val="0"/>
              <w:spacing w:before="0" w:after="283"/>
              <w:jc w:val="right"/>
              <w:rPr/>
            </w:pPr>
            <w:r>
              <w:rPr/>
              <w:t>60,914</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8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tcMar>
              <w:bottom w:w="49" w:type="dxa"/>
            </w:tcMar>
            <w:vAlign w:val="center"/>
          </w:tcPr>
          <w:p>
            <w:pPr>
              <w:pStyle w:val="TableContents"/>
              <w:bidi w:val="0"/>
              <w:spacing w:before="0" w:after="283"/>
              <w:jc w:val="right"/>
              <w:rPr/>
            </w:pPr>
            <w:r>
              <w:rPr/>
              <w:t>1,177,665</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931" w:type="dxa"/>
            <w:tcBorders>
              <w:bottom w:val="single" w:sz="6" w:space="0" w:color="000000"/>
            </w:tcBorders>
            <w:shd w:fill="E6EEF8" w:val="clear"/>
            <w:tcMar>
              <w:bottom w:w="49" w:type="dxa"/>
            </w:tcMar>
            <w:vAlign w:val="center"/>
          </w:tcPr>
          <w:p>
            <w:pPr>
              <w:pStyle w:val="TableContents"/>
              <w:bidi w:val="0"/>
              <w:spacing w:before="0" w:after="0"/>
              <w:jc w:val="left"/>
              <w:rPr>
                <w:b/>
                <w:spacing w:val="0"/>
              </w:rPr>
            </w:pPr>
            <w:r>
              <w:rPr>
                <w:b/>
                <w:spacing w:val="0"/>
              </w:rPr>
              <w:t xml:space="preserve">Michael B. Drazin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616" w:type="dxa"/>
            <w:tcBorders>
              <w:bottom w:val="single" w:sz="6" w:space="0" w:color="000000"/>
            </w:tcBorders>
            <w:shd w:fill="E6EEF8" w:val="clear"/>
            <w:tcMar>
              <w:bottom w:w="49" w:type="dxa"/>
            </w:tcMar>
            <w:vAlign w:val="center"/>
          </w:tcPr>
          <w:p>
            <w:pPr>
              <w:pStyle w:val="TableContents"/>
              <w:bidi w:val="0"/>
              <w:spacing w:before="0" w:after="283"/>
              <w:jc w:val="right"/>
              <w:rPr/>
            </w:pPr>
            <w:r>
              <w:rPr/>
              <w:t>4/11/2025</w:t>
            </w:r>
            <w:r>
              <w:rPr>
                <w:sz w:val="11"/>
              </w:rPr>
              <w:t>(3</w:t>
            </w:r>
            <w:r>
              <w:rPr>
                <w:sz w:val="11"/>
              </w:rPr>
              <w:t>)</w:t>
            </w:r>
            <w:r>
              <w:rPr/>
              <w:t xml:space="preserve">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210" w:type="dxa"/>
            <w:tcBorders>
              <w:bottom w:val="single" w:sz="6" w:space="0" w:color="000000"/>
            </w:tcBorders>
            <w:shd w:fill="E6EEF8" w:val="clear"/>
            <w:vAlign w:val="center"/>
          </w:tcPr>
          <w:p>
            <w:pPr>
              <w:pStyle w:val="TableContents"/>
              <w:bidi w:val="0"/>
              <w:spacing w:before="0" w:after="283"/>
              <w:jc w:val="left"/>
              <w:rPr/>
            </w:pPr>
            <w:r>
              <w:rPr/>
              <w:t>​</w:t>
            </w:r>
          </w:p>
        </w:tc>
        <w:tc>
          <w:tcPr>
            <w:tcW w:w="210"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435" w:type="dxa"/>
            <w:tcBorders>
              <w:bottom w:val="single" w:sz="6" w:space="0" w:color="000000"/>
            </w:tcBorders>
            <w:shd w:fill="E6EEF8" w:val="clear"/>
            <w:tcMar>
              <w:bottom w:w="49" w:type="dxa"/>
            </w:tcMar>
            <w:vAlign w:val="center"/>
          </w:tcPr>
          <w:p>
            <w:pPr>
              <w:pStyle w:val="TableContents"/>
              <w:bidi w:val="0"/>
              <w:spacing w:before="0" w:after="283"/>
              <w:jc w:val="right"/>
              <w:rPr/>
            </w:pPr>
            <w:r>
              <w:rPr/>
              <w:t>0</w:t>
            </w:r>
          </w:p>
        </w:tc>
        <w:tc>
          <w:tcPr>
            <w:tcW w:w="211"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49" w:type="dxa"/>
            </w:tcMar>
            <w:vAlign w:val="center"/>
          </w:tcPr>
          <w:p>
            <w:pPr>
              <w:pStyle w:val="TableContents"/>
              <w:bidi w:val="0"/>
              <w:spacing w:before="0" w:after="283"/>
              <w:jc w:val="right"/>
              <w:rPr/>
            </w:pPr>
            <w:r>
              <w:rPr/>
              <w:t>810,000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49" w:type="dxa"/>
            </w:tcMar>
            <w:vAlign w:val="center"/>
          </w:tcPr>
          <w:p>
            <w:pPr>
              <w:pStyle w:val="TableContents"/>
              <w:bidi w:val="0"/>
              <w:spacing w:before="0" w:after="283"/>
              <w:jc w:val="right"/>
              <w:rPr/>
            </w:pPr>
            <w:r>
              <w:rPr/>
              <w:t>1,215,000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9" w:type="dxa"/>
            </w:tcMar>
            <w:vAlign w:val="center"/>
          </w:tcPr>
          <w:p>
            <w:pPr>
              <w:pStyle w:val="TableContents"/>
              <w:bidi w:val="0"/>
              <w:spacing w:before="0" w:after="283"/>
              <w:jc w:val="right"/>
              <w:rPr/>
            </w:pPr>
            <w:r>
              <w:rPr/>
              <w:t>16,497</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9" w:type="dxa"/>
            </w:tcMar>
            <w:vAlign w:val="center"/>
          </w:tcPr>
          <w:p>
            <w:pPr>
              <w:pStyle w:val="TableContents"/>
              <w:bidi w:val="0"/>
              <w:spacing w:before="0" w:after="283"/>
              <w:jc w:val="right"/>
              <w:rPr/>
            </w:pPr>
            <w:r>
              <w:rPr/>
              <w:t>32,995</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9" w:type="dxa"/>
            </w:tcMar>
            <w:vAlign w:val="center"/>
          </w:tcPr>
          <w:p>
            <w:pPr>
              <w:pStyle w:val="TableContents"/>
              <w:bidi w:val="0"/>
              <w:spacing w:before="0" w:after="283"/>
              <w:jc w:val="right"/>
              <w:rPr/>
            </w:pPr>
            <w:r>
              <w:rPr/>
              <w:t>49,492</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91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8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91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49" w:type="dxa"/>
            </w:tcMar>
            <w:vAlign w:val="center"/>
          </w:tcPr>
          <w:p>
            <w:pPr>
              <w:pStyle w:val="TableContents"/>
              <w:bidi w:val="0"/>
              <w:spacing w:before="0" w:after="283"/>
              <w:jc w:val="right"/>
              <w:rPr/>
            </w:pPr>
            <w:r>
              <w:rPr/>
              <w:t>956,853</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931" w:type="dxa"/>
            <w:tcBorders>
              <w:bottom w:val="single" w:sz="6" w:space="0" w:color="000000"/>
            </w:tcBorders>
            <w:tcMar>
              <w:bottom w:w="49" w:type="dxa"/>
            </w:tcMar>
            <w:vAlign w:val="center"/>
          </w:tcPr>
          <w:p>
            <w:pPr>
              <w:pStyle w:val="TableContents"/>
              <w:bidi w:val="0"/>
              <w:spacing w:before="0" w:after="0"/>
              <w:jc w:val="left"/>
              <w:rPr>
                <w:b/>
                <w:spacing w:val="0"/>
              </w:rPr>
            </w:pPr>
            <w:r>
              <w:rPr>
                <w:b/>
                <w:spacing w:val="0"/>
              </w:rPr>
              <w:t xml:space="preserve">James M. Pigott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61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0" w:type="dxa"/>
            <w:tcBorders>
              <w:bottom w:val="single" w:sz="6" w:space="0" w:color="000000"/>
            </w:tcBorders>
            <w:vAlign w:val="center"/>
          </w:tcPr>
          <w:p>
            <w:pPr>
              <w:pStyle w:val="TableContents"/>
              <w:bidi w:val="0"/>
              <w:spacing w:before="0" w:after="283"/>
              <w:jc w:val="left"/>
              <w:rPr/>
            </w:pPr>
            <w:r>
              <w:rPr/>
              <w:t>​</w:t>
            </w:r>
          </w:p>
        </w:tc>
        <w:tc>
          <w:tcPr>
            <w:tcW w:w="210" w:type="dxa"/>
            <w:tcBorders>
              <w:bottom w:val="single" w:sz="6" w:space="0" w:color="000000"/>
            </w:tcBorders>
            <w:tcMar>
              <w:bottom w:w="49" w:type="dxa"/>
            </w:tcMar>
            <w:vAlign w:val="center"/>
          </w:tcPr>
          <w:p>
            <w:pPr>
              <w:pStyle w:val="TableContents"/>
              <w:bidi w:val="0"/>
              <w:spacing w:before="0" w:after="283"/>
              <w:jc w:val="right"/>
              <w:rPr/>
            </w:pPr>
            <w:r>
              <w:rPr/>
              <w:t>​</w:t>
            </w:r>
          </w:p>
        </w:tc>
        <w:tc>
          <w:tcPr>
            <w:tcW w:w="435" w:type="dxa"/>
            <w:tcBorders>
              <w:bottom w:val="single" w:sz="6" w:space="0" w:color="000000"/>
            </w:tcBorders>
            <w:tcMar>
              <w:bottom w:w="49" w:type="dxa"/>
            </w:tcMar>
            <w:vAlign w:val="center"/>
          </w:tcPr>
          <w:p>
            <w:pPr>
              <w:pStyle w:val="TableContents"/>
              <w:bidi w:val="0"/>
              <w:spacing w:before="0" w:after="283"/>
              <w:jc w:val="right"/>
              <w:rPr/>
            </w:pPr>
            <w:r>
              <w:rPr/>
              <w:t>0</w:t>
            </w:r>
          </w:p>
        </w:tc>
        <w:tc>
          <w:tcPr>
            <w:tcW w:w="21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tcMar>
              <w:bottom w:w="49" w:type="dxa"/>
            </w:tcMar>
            <w:vAlign w:val="center"/>
          </w:tcPr>
          <w:p>
            <w:pPr>
              <w:pStyle w:val="TableContents"/>
              <w:bidi w:val="0"/>
              <w:spacing w:before="0" w:after="283"/>
              <w:jc w:val="right"/>
              <w:rPr/>
            </w:pPr>
            <w:r>
              <w:rPr/>
              <w:t>1,100,000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tcMar>
              <w:bottom w:w="49" w:type="dxa"/>
            </w:tcMar>
            <w:vAlign w:val="center"/>
          </w:tcPr>
          <w:p>
            <w:pPr>
              <w:pStyle w:val="TableContents"/>
              <w:bidi w:val="0"/>
              <w:spacing w:before="0" w:after="283"/>
              <w:jc w:val="right"/>
              <w:rPr/>
            </w:pPr>
            <w:r>
              <w:rPr/>
              <w:t>1,650,000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76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76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76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8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06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931" w:type="dxa"/>
            <w:tcBorders>
              <w:bottom w:val="single" w:sz="6" w:space="0" w:color="000000"/>
            </w:tcBorders>
            <w:shd w:fill="E6EEF8" w:val="clear"/>
            <w:tcMar>
              <w:bottom w:w="49" w:type="dxa"/>
            </w:tcMar>
            <w:vAlign w:val="center"/>
          </w:tcPr>
          <w:p>
            <w:pPr>
              <w:pStyle w:val="TableContents"/>
              <w:bidi w:val="0"/>
              <w:spacing w:before="0" w:after="0"/>
              <w:jc w:val="left"/>
              <w:rPr>
                <w:b/>
                <w:spacing w:val="0"/>
              </w:rPr>
            </w:pPr>
            <w:r>
              <w:rPr>
                <w:b/>
                <w:spacing w:val="0"/>
              </w:rPr>
              <w:t xml:space="preserve">Douglas P. Golwas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616" w:type="dxa"/>
            <w:tcBorders>
              <w:bottom w:val="single" w:sz="6" w:space="0" w:color="000000"/>
            </w:tcBorders>
            <w:shd w:fill="E6EEF8" w:val="clear"/>
            <w:tcMar>
              <w:bottom w:w="49" w:type="dxa"/>
            </w:tcMar>
            <w:vAlign w:val="center"/>
          </w:tcPr>
          <w:p>
            <w:pPr>
              <w:pStyle w:val="TableContents"/>
              <w:bidi w:val="0"/>
              <w:spacing w:before="0" w:after="283"/>
              <w:jc w:val="right"/>
              <w:rPr/>
            </w:pPr>
            <w:r>
              <w:rPr/>
              <w:t>4/11/2025</w:t>
            </w:r>
            <w:r>
              <w:rPr>
                <w:sz w:val="11"/>
              </w:rPr>
              <w:t>(3</w:t>
            </w:r>
            <w:r>
              <w:rPr>
                <w:sz w:val="11"/>
              </w:rPr>
              <w:t>)</w:t>
            </w:r>
            <w:r>
              <w:rPr/>
              <w:t xml:space="preserve">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210" w:type="dxa"/>
            <w:tcBorders>
              <w:bottom w:val="single" w:sz="6" w:space="0" w:color="000000"/>
            </w:tcBorders>
            <w:shd w:fill="E6EEF8" w:val="clear"/>
            <w:vAlign w:val="center"/>
          </w:tcPr>
          <w:p>
            <w:pPr>
              <w:pStyle w:val="TableContents"/>
              <w:bidi w:val="0"/>
              <w:spacing w:before="0" w:after="283"/>
              <w:jc w:val="left"/>
              <w:rPr/>
            </w:pPr>
            <w:r>
              <w:rPr/>
              <w:t>​</w:t>
            </w:r>
          </w:p>
        </w:tc>
        <w:tc>
          <w:tcPr>
            <w:tcW w:w="210"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435" w:type="dxa"/>
            <w:tcBorders>
              <w:bottom w:val="single" w:sz="6" w:space="0" w:color="000000"/>
            </w:tcBorders>
            <w:shd w:fill="E6EEF8" w:val="clear"/>
            <w:tcMar>
              <w:bottom w:w="49" w:type="dxa"/>
            </w:tcMar>
            <w:vAlign w:val="center"/>
          </w:tcPr>
          <w:p>
            <w:pPr>
              <w:pStyle w:val="TableContents"/>
              <w:bidi w:val="0"/>
              <w:spacing w:before="0" w:after="283"/>
              <w:jc w:val="right"/>
              <w:rPr/>
            </w:pPr>
            <w:r>
              <w:rPr/>
              <w:t>0</w:t>
            </w:r>
          </w:p>
        </w:tc>
        <w:tc>
          <w:tcPr>
            <w:tcW w:w="211"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49" w:type="dxa"/>
            </w:tcMar>
            <w:vAlign w:val="center"/>
          </w:tcPr>
          <w:p>
            <w:pPr>
              <w:pStyle w:val="TableContents"/>
              <w:bidi w:val="0"/>
              <w:spacing w:before="0" w:after="283"/>
              <w:jc w:val="right"/>
              <w:rPr/>
            </w:pPr>
            <w:r>
              <w:rPr/>
              <w:t>800,000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49" w:type="dxa"/>
            </w:tcMar>
            <w:vAlign w:val="center"/>
          </w:tcPr>
          <w:p>
            <w:pPr>
              <w:pStyle w:val="TableContents"/>
              <w:bidi w:val="0"/>
              <w:spacing w:before="0" w:after="283"/>
              <w:jc w:val="right"/>
              <w:rPr/>
            </w:pPr>
            <w:r>
              <w:rPr/>
              <w:t>1,200,000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9" w:type="dxa"/>
            </w:tcMar>
            <w:vAlign w:val="center"/>
          </w:tcPr>
          <w:p>
            <w:pPr>
              <w:pStyle w:val="TableContents"/>
              <w:bidi w:val="0"/>
              <w:spacing w:before="0" w:after="283"/>
              <w:jc w:val="right"/>
              <w:rPr/>
            </w:pPr>
            <w:r>
              <w:rPr/>
              <w:t>16,497</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9" w:type="dxa"/>
            </w:tcMar>
            <w:vAlign w:val="center"/>
          </w:tcPr>
          <w:p>
            <w:pPr>
              <w:pStyle w:val="TableContents"/>
              <w:bidi w:val="0"/>
              <w:spacing w:before="0" w:after="283"/>
              <w:jc w:val="right"/>
              <w:rPr/>
            </w:pPr>
            <w:r>
              <w:rPr/>
              <w:t>32,995</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9" w:type="dxa"/>
            </w:tcMar>
            <w:vAlign w:val="center"/>
          </w:tcPr>
          <w:p>
            <w:pPr>
              <w:pStyle w:val="TableContents"/>
              <w:bidi w:val="0"/>
              <w:spacing w:before="0" w:after="283"/>
              <w:jc w:val="right"/>
              <w:rPr/>
            </w:pPr>
            <w:r>
              <w:rPr/>
              <w:t>49,492</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91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8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916"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9"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49" w:type="dxa"/>
            </w:tcMar>
            <w:vAlign w:val="center"/>
          </w:tcPr>
          <w:p>
            <w:pPr>
              <w:pStyle w:val="TableContents"/>
              <w:bidi w:val="0"/>
              <w:spacing w:before="0" w:after="283"/>
              <w:jc w:val="right"/>
              <w:rPr/>
            </w:pPr>
            <w:r>
              <w:rPr/>
              <w:t>956,853</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931" w:type="dxa"/>
            <w:tcBorders>
              <w:bottom w:val="single" w:sz="6" w:space="0" w:color="000000"/>
            </w:tcBorders>
            <w:tcMar>
              <w:bottom w:w="38" w:type="dxa"/>
            </w:tcMar>
            <w:vAlign w:val="center"/>
          </w:tcPr>
          <w:p>
            <w:pPr>
              <w:pStyle w:val="TableContents"/>
              <w:bidi w:val="0"/>
              <w:spacing w:before="0" w:after="0"/>
              <w:jc w:val="left"/>
              <w:rPr>
                <w:b/>
                <w:spacing w:val="0"/>
              </w:rPr>
            </w:pPr>
            <w:r>
              <w:rPr>
                <w:b/>
                <w:spacing w:val="0"/>
              </w:rPr>
              <w:t xml:space="preserve">Stephen L. Miller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8" w:type="dxa"/>
            </w:tcMar>
            <w:vAlign w:val="center"/>
          </w:tcPr>
          <w:p>
            <w:pPr>
              <w:pStyle w:val="TableContents"/>
              <w:bidi w:val="0"/>
              <w:spacing w:before="0" w:after="283"/>
              <w:jc w:val="right"/>
              <w:rPr/>
            </w:pPr>
            <w:r>
              <w:rPr/>
              <w:t>​</w:t>
            </w:r>
          </w:p>
        </w:tc>
        <w:tc>
          <w:tcPr>
            <w:tcW w:w="616" w:type="dxa"/>
            <w:tcBorders>
              <w:bottom w:val="single" w:sz="6" w:space="0" w:color="000000"/>
            </w:tcBorders>
            <w:tcMar>
              <w:bottom w:w="38" w:type="dxa"/>
            </w:tcMar>
            <w:vAlign w:val="center"/>
          </w:tcPr>
          <w:p>
            <w:pPr>
              <w:pStyle w:val="TableContents"/>
              <w:bidi w:val="0"/>
              <w:spacing w:before="0" w:after="283"/>
              <w:jc w:val="right"/>
              <w:rPr/>
            </w:pPr>
            <w:r>
              <w:rPr/>
              <w:t>4/11/2025</w:t>
            </w:r>
            <w:r>
              <w:rPr>
                <w:sz w:val="11"/>
              </w:rPr>
              <w:t>(3</w:t>
            </w:r>
            <w:r>
              <w:rPr>
                <w:sz w:val="11"/>
              </w:rPr>
              <w:t>)</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0" w:type="dxa"/>
            <w:tcBorders>
              <w:bottom w:val="single" w:sz="6" w:space="0" w:color="000000"/>
            </w:tcBorders>
            <w:vAlign w:val="center"/>
          </w:tcPr>
          <w:p>
            <w:pPr>
              <w:pStyle w:val="TableContents"/>
              <w:bidi w:val="0"/>
              <w:spacing w:before="0" w:after="283"/>
              <w:jc w:val="left"/>
              <w:rPr/>
            </w:pPr>
            <w:r>
              <w:rPr/>
              <w:t>​</w:t>
            </w:r>
          </w:p>
        </w:tc>
        <w:tc>
          <w:tcPr>
            <w:tcW w:w="210" w:type="dxa"/>
            <w:tcBorders>
              <w:bottom w:val="single" w:sz="6" w:space="0" w:color="000000"/>
            </w:tcBorders>
            <w:tcMar>
              <w:bottom w:w="38" w:type="dxa"/>
            </w:tcMar>
            <w:vAlign w:val="center"/>
          </w:tcPr>
          <w:p>
            <w:pPr>
              <w:pStyle w:val="TableContents"/>
              <w:bidi w:val="0"/>
              <w:spacing w:before="0" w:after="283"/>
              <w:jc w:val="right"/>
              <w:rPr/>
            </w:pPr>
            <w:r>
              <w:rPr/>
              <w:t>​</w:t>
            </w:r>
          </w:p>
        </w:tc>
        <w:tc>
          <w:tcPr>
            <w:tcW w:w="435" w:type="dxa"/>
            <w:tcBorders>
              <w:bottom w:val="single" w:sz="6" w:space="0" w:color="000000"/>
            </w:tcBorders>
            <w:tcMar>
              <w:bottom w:w="38" w:type="dxa"/>
            </w:tcMar>
            <w:vAlign w:val="center"/>
          </w:tcPr>
          <w:p>
            <w:pPr>
              <w:pStyle w:val="TableContents"/>
              <w:bidi w:val="0"/>
              <w:spacing w:before="0" w:after="283"/>
              <w:jc w:val="right"/>
              <w:rPr/>
            </w:pPr>
            <w:r>
              <w:rPr/>
              <w:t>0</w:t>
            </w:r>
          </w:p>
        </w:tc>
        <w:tc>
          <w:tcPr>
            <w:tcW w:w="21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8" w:type="dxa"/>
            </w:tcMar>
            <w:vAlign w:val="center"/>
          </w:tcPr>
          <w:p>
            <w:pPr>
              <w:pStyle w:val="TableContents"/>
              <w:bidi w:val="0"/>
              <w:spacing w:before="0" w:after="283"/>
              <w:jc w:val="right"/>
              <w:rPr/>
            </w:pPr>
            <w:r>
              <w:rPr/>
              <w:t>​</w:t>
            </w:r>
          </w:p>
        </w:tc>
        <w:tc>
          <w:tcPr>
            <w:tcW w:w="1066" w:type="dxa"/>
            <w:tcBorders>
              <w:bottom w:val="single" w:sz="6" w:space="0" w:color="000000"/>
            </w:tcBorders>
            <w:tcMar>
              <w:bottom w:w="38" w:type="dxa"/>
            </w:tcMar>
            <w:vAlign w:val="center"/>
          </w:tcPr>
          <w:p>
            <w:pPr>
              <w:pStyle w:val="TableContents"/>
              <w:bidi w:val="0"/>
              <w:spacing w:before="0" w:after="283"/>
              <w:jc w:val="right"/>
              <w:rPr/>
            </w:pPr>
            <w:r>
              <w:rPr/>
              <w:t>800,000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8" w:type="dxa"/>
            </w:tcMar>
            <w:vAlign w:val="center"/>
          </w:tcPr>
          <w:p>
            <w:pPr>
              <w:pStyle w:val="TableContents"/>
              <w:bidi w:val="0"/>
              <w:spacing w:before="0" w:after="283"/>
              <w:jc w:val="right"/>
              <w:rPr/>
            </w:pPr>
            <w:r>
              <w:rPr/>
              <w:t>​</w:t>
            </w:r>
          </w:p>
        </w:tc>
        <w:tc>
          <w:tcPr>
            <w:tcW w:w="1066" w:type="dxa"/>
            <w:tcBorders>
              <w:bottom w:val="single" w:sz="6" w:space="0" w:color="000000"/>
            </w:tcBorders>
            <w:tcMar>
              <w:bottom w:w="38" w:type="dxa"/>
            </w:tcMar>
            <w:vAlign w:val="center"/>
          </w:tcPr>
          <w:p>
            <w:pPr>
              <w:pStyle w:val="TableContents"/>
              <w:bidi w:val="0"/>
              <w:spacing w:before="0" w:after="283"/>
              <w:jc w:val="right"/>
              <w:rPr/>
            </w:pPr>
            <w:r>
              <w:rPr/>
              <w:t>1,200,000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8" w:type="dxa"/>
            </w:tcMar>
            <w:vAlign w:val="center"/>
          </w:tcPr>
          <w:p>
            <w:pPr>
              <w:pStyle w:val="TableContents"/>
              <w:bidi w:val="0"/>
              <w:spacing w:before="0" w:after="283"/>
              <w:jc w:val="right"/>
              <w:rPr/>
            </w:pPr>
            <w:r>
              <w:rPr/>
              <w:t>​</w:t>
            </w:r>
          </w:p>
        </w:tc>
        <w:tc>
          <w:tcPr>
            <w:tcW w:w="766" w:type="dxa"/>
            <w:tcBorders>
              <w:bottom w:val="single" w:sz="6" w:space="0" w:color="000000"/>
            </w:tcBorders>
            <w:tcMar>
              <w:bottom w:w="38" w:type="dxa"/>
            </w:tcMar>
            <w:vAlign w:val="center"/>
          </w:tcPr>
          <w:p>
            <w:pPr>
              <w:pStyle w:val="TableContents"/>
              <w:bidi w:val="0"/>
              <w:spacing w:before="0" w:after="283"/>
              <w:jc w:val="right"/>
              <w:rPr/>
            </w:pPr>
            <w:r>
              <w:rPr/>
              <w:t>16,497</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8" w:type="dxa"/>
            </w:tcMar>
            <w:vAlign w:val="center"/>
          </w:tcPr>
          <w:p>
            <w:pPr>
              <w:pStyle w:val="TableContents"/>
              <w:bidi w:val="0"/>
              <w:spacing w:before="0" w:after="283"/>
              <w:jc w:val="right"/>
              <w:rPr/>
            </w:pPr>
            <w:r>
              <w:rPr/>
              <w:t>​</w:t>
            </w:r>
          </w:p>
        </w:tc>
        <w:tc>
          <w:tcPr>
            <w:tcW w:w="766" w:type="dxa"/>
            <w:tcBorders>
              <w:bottom w:val="single" w:sz="6" w:space="0" w:color="000000"/>
            </w:tcBorders>
            <w:tcMar>
              <w:bottom w:w="38" w:type="dxa"/>
            </w:tcMar>
            <w:vAlign w:val="center"/>
          </w:tcPr>
          <w:p>
            <w:pPr>
              <w:pStyle w:val="TableContents"/>
              <w:bidi w:val="0"/>
              <w:spacing w:before="0" w:after="283"/>
              <w:jc w:val="right"/>
              <w:rPr/>
            </w:pPr>
            <w:r>
              <w:rPr/>
              <w:t>32,995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8" w:type="dxa"/>
            </w:tcMar>
            <w:vAlign w:val="center"/>
          </w:tcPr>
          <w:p>
            <w:pPr>
              <w:pStyle w:val="TableContents"/>
              <w:bidi w:val="0"/>
              <w:spacing w:before="0" w:after="283"/>
              <w:jc w:val="right"/>
              <w:rPr/>
            </w:pPr>
            <w:r>
              <w:rPr/>
              <w:t>​</w:t>
            </w:r>
          </w:p>
        </w:tc>
        <w:tc>
          <w:tcPr>
            <w:tcW w:w="766" w:type="dxa"/>
            <w:tcBorders>
              <w:bottom w:val="single" w:sz="6" w:space="0" w:color="000000"/>
            </w:tcBorders>
            <w:tcMar>
              <w:bottom w:w="38" w:type="dxa"/>
            </w:tcMar>
            <w:vAlign w:val="center"/>
          </w:tcPr>
          <w:p>
            <w:pPr>
              <w:pStyle w:val="TableContents"/>
              <w:bidi w:val="0"/>
              <w:spacing w:before="0" w:after="283"/>
              <w:jc w:val="right"/>
              <w:rPr/>
            </w:pPr>
            <w:r>
              <w:rPr/>
              <w:t>49,492</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86"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8" w:type="dxa"/>
            </w:tcMar>
            <w:vAlign w:val="center"/>
          </w:tcPr>
          <w:p>
            <w:pPr>
              <w:pStyle w:val="TableContents"/>
              <w:bidi w:val="0"/>
              <w:spacing w:before="0" w:after="283"/>
              <w:jc w:val="right"/>
              <w:rPr/>
            </w:pPr>
            <w:r>
              <w:rPr/>
              <w:t>​</w:t>
            </w:r>
          </w:p>
        </w:tc>
        <w:tc>
          <w:tcPr>
            <w:tcW w:w="1066" w:type="dxa"/>
            <w:tcBorders>
              <w:bottom w:val="single" w:sz="6" w:space="0" w:color="000000"/>
            </w:tcBorders>
            <w:tcMar>
              <w:bottom w:w="38" w:type="dxa"/>
            </w:tcMar>
            <w:vAlign w:val="center"/>
          </w:tcPr>
          <w:p>
            <w:pPr>
              <w:pStyle w:val="TableContents"/>
              <w:bidi w:val="0"/>
              <w:spacing w:before="0" w:after="283"/>
              <w:jc w:val="right"/>
              <w:rPr/>
            </w:pPr>
            <w:r>
              <w:rPr/>
              <w:t>956,853</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00" w:before="240" w:after="7011"/>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purposes of this column, the grant date for the awards is the service inception date determined under ASC Topic 718.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228600" cy="350520"/>
                <wp:effectExtent l="0" t="0" r="0" b="0"/>
                <wp:wrapSquare wrapText="right"/>
                <wp:docPr id="384" name="Frame2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(1)</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(1)</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The amounts reported in this column reflect the cash incentive award opportunity range under our AIP, the terms of which are summarized under </w:t>
      </w:r>
      <w:r>
        <w:rPr>
          <w:rFonts w:ascii="Arial;Helvetica;sans-serif" w:hAnsi="Arial;Helvetica;sans-serif"/>
          <w:b w:val="false"/>
          <w:i/>
          <w:caps w:val="false"/>
          <w:smallCaps w:val="false"/>
          <w:color w:val="000000"/>
          <w:sz w:val="16"/>
        </w:rPr>
        <w:t>2025 Compensation Elements — Annual Incentive Compensation</w:t>
      </w:r>
      <w:r>
        <w:rPr>
          <w:rFonts w:ascii="Arial;Helvetica;sans-serif" w:hAnsi="Arial;Helvetica;sans-serif"/>
          <w:b w:val="false"/>
          <w:i w:val="false"/>
          <w:caps w:val="false"/>
          <w:smallCaps w:val="false"/>
          <w:color w:val="000000"/>
          <w:spacing w:val="-1"/>
          <w:sz w:val="16"/>
        </w:rPr>
        <w: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391">
                <wp:simplePos x="0" y="0"/>
                <wp:positionH relativeFrom="column">
                  <wp:align>left</wp:align>
                </wp:positionH>
                <wp:positionV relativeFrom="line">
                  <wp:align>top</wp:align>
                </wp:positionV>
                <wp:extent cx="228600" cy="350520"/>
                <wp:effectExtent l="0" t="0" r="0" b="0"/>
                <wp:wrapSquare wrapText="right"/>
                <wp:docPr id="385" name="Frame2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(2)</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(2)</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2025 MIP Awards were initially expressed as “dollars at work” prior to the completion of our IPO. The 2025 MIP Awards were delivered as RSUs on March 5, 2026, based upon Company performance relative to the 2025 MIP performance goals, as summarized under </w:t>
      </w:r>
      <w:r>
        <w:rPr>
          <w:rFonts w:ascii="Arial;Helvetica;sans-serif" w:hAnsi="Arial;Helvetica;sans-serif"/>
          <w:b w:val="false"/>
          <w:i/>
          <w:caps w:val="false"/>
          <w:smallCaps w:val="false"/>
          <w:color w:val="000000"/>
          <w:sz w:val="16"/>
        </w:rPr>
        <w:t>2025 Compensation Elements — Long-Term Equity Incentive Compensation — 2025 MIP Awards</w:t>
      </w:r>
      <w:r>
        <w:rPr>
          <w:rFonts w:ascii="Arial;Helvetica;sans-serif" w:hAnsi="Arial;Helvetica;sans-serif"/>
          <w:b w:val="false"/>
          <w:i w:val="false"/>
          <w:caps w:val="false"/>
          <w:smallCaps w:val="false"/>
          <w:color w:val="000000"/>
          <w:spacing w:val="-1"/>
          <w:sz w:val="16"/>
        </w:rPr>
        <w:t xml:space="preserve"> and in footnote 2 to the Summary Compensation Table. The earned dollars at work were multiplied by a Black-Scholes factor of 27.2% and converted into a number of RSUs on March 5, 2026 by dividing such amount by the IPO price of Medline Inc. common stock, which was $29.00. The number of RSUs issued to each NEO on March 5, 2026 are set forth in the Outstanding Equity Awards at Fiscal Year End Table. </w:t>
      </w:r>
      <w:r>
        <mc:AlternateContent>
          <mc:Choice Requires="wps">
            <w:drawing>
              <wp:anchor behindDoc="0" distT="50800" distB="0" distL="0" distR="0" simplePos="0" locked="0" layoutInCell="1" allowOverlap="1" relativeHeight="392">
                <wp:simplePos x="0" y="0"/>
                <wp:positionH relativeFrom="column">
                  <wp:align>left</wp:align>
                </wp:positionH>
                <wp:positionV relativeFrom="line">
                  <wp:align>top</wp:align>
                </wp:positionV>
                <wp:extent cx="228600" cy="350520"/>
                <wp:effectExtent l="0" t="0" r="0" b="0"/>
                <wp:wrapSquare wrapText="right"/>
                <wp:docPr id="386" name="Frame2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(3)</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(3)</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59</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70" w:before="400" w:after="28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N</w:t>
      </w:r>
      <w:r>
        <w:rPr>
          <w:rFonts w:ascii="Arial;Helvetica;sans-serif" w:hAnsi="Arial;Helvetica;sans-serif"/>
          <w:b/>
          <w:i w:val="false"/>
          <w:caps w:val="false"/>
          <w:smallCaps w:val="false"/>
          <w:color w:val="0055B7"/>
          <w:spacing w:val="-3"/>
          <w:sz w:val="24"/>
        </w:rPr>
        <w:t>ARRATIVE</w:t>
      </w:r>
      <w:r>
        <w:rPr>
          <w:rFonts w:ascii="Arial;Helvetica;sans-serif" w:hAnsi="Arial;Helvetica;sans-serif"/>
          <w:b/>
          <w:i w:val="false"/>
          <w:caps w:val="false"/>
          <w:smallCaps w:val="false"/>
          <w:color w:val="0055B7"/>
          <w:spacing w:val="-3"/>
          <w:sz w:val="24"/>
        </w:rPr>
        <w:t xml:space="preserve"> D</w:t>
      </w:r>
      <w:r>
        <w:rPr>
          <w:rFonts w:ascii="Arial;Helvetica;sans-serif" w:hAnsi="Arial;Helvetica;sans-serif"/>
          <w:b/>
          <w:i w:val="false"/>
          <w:caps w:val="false"/>
          <w:smallCaps w:val="false"/>
          <w:color w:val="0055B7"/>
          <w:spacing w:val="-3"/>
          <w:sz w:val="24"/>
        </w:rPr>
        <w:t>ISCLOSURE TO</w:t>
      </w:r>
      <w:r>
        <w:rPr>
          <w:rFonts w:ascii="Arial;Helvetica;sans-serif" w:hAnsi="Arial;Helvetica;sans-serif"/>
          <w:b/>
          <w:i w:val="false"/>
          <w:caps w:val="false"/>
          <w:smallCaps w:val="false"/>
          <w:color w:val="0055B7"/>
          <w:spacing w:val="-3"/>
          <w:sz w:val="24"/>
        </w:rPr>
        <w:t xml:space="preserve"> S</w:t>
      </w:r>
      <w:r>
        <w:rPr>
          <w:rFonts w:ascii="Arial;Helvetica;sans-serif" w:hAnsi="Arial;Helvetica;sans-serif"/>
          <w:b/>
          <w:i w:val="false"/>
          <w:caps w:val="false"/>
          <w:smallCaps w:val="false"/>
          <w:color w:val="0055B7"/>
          <w:spacing w:val="-3"/>
          <w:sz w:val="24"/>
        </w:rPr>
        <w:t>UMMARY</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OMPENSATION</w:t>
      </w:r>
      <w:r>
        <w:rPr>
          <w:rFonts w:ascii="Arial;Helvetica;sans-serif" w:hAnsi="Arial;Helvetica;sans-serif"/>
          <w:b/>
          <w:i w:val="false"/>
          <w:caps w:val="false"/>
          <w:smallCaps w:val="false"/>
          <w:color w:val="0055B7"/>
          <w:spacing w:val="-3"/>
          <w:sz w:val="24"/>
        </w:rPr>
        <w:t xml:space="preserve"> T</w:t>
      </w:r>
      <w:r>
        <w:rPr>
          <w:rFonts w:ascii="Arial;Helvetica;sans-serif" w:hAnsi="Arial;Helvetica;sans-serif"/>
          <w:b/>
          <w:i w:val="false"/>
          <w:caps w:val="false"/>
          <w:smallCaps w:val="false"/>
          <w:color w:val="0055B7"/>
          <w:spacing w:val="-3"/>
          <w:sz w:val="24"/>
        </w:rPr>
        <w:t>ABLE AND</w:t>
      </w:r>
      <w:r>
        <w:rPr>
          <w:rFonts w:ascii="Arial;Helvetica;sans-serif" w:hAnsi="Arial;Helvetica;sans-serif"/>
          <w:b/>
          <w:i w:val="false"/>
          <w:caps w:val="false"/>
          <w:smallCaps w:val="false"/>
          <w:color w:val="0055B7"/>
          <w:spacing w:val="-3"/>
          <w:sz w:val="24"/>
        </w:rPr>
        <w:t xml:space="preserve"> G</w:t>
      </w:r>
      <w:r>
        <w:rPr>
          <w:rFonts w:ascii="Arial;Helvetica;sans-serif" w:hAnsi="Arial;Helvetica;sans-serif"/>
          <w:b/>
          <w:i w:val="false"/>
          <w:caps w:val="false"/>
          <w:smallCaps w:val="false"/>
          <w:color w:val="0055B7"/>
          <w:spacing w:val="-3"/>
          <w:sz w:val="24"/>
        </w:rPr>
        <w:t>RANTS OF</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LAN</w:t>
      </w:r>
      <w:r>
        <w:rPr>
          <w:rFonts w:ascii="Arial;Helvetica;sans-serif" w:hAnsi="Arial;Helvetica;sans-serif"/>
          <w:b/>
          <w:i w:val="false"/>
          <w:caps w:val="false"/>
          <w:smallCaps w:val="false"/>
          <w:color w:val="0055B7"/>
          <w:spacing w:val="-3"/>
          <w:sz w:val="24"/>
        </w:rPr>
        <w:t>-B</w:t>
      </w:r>
      <w:r>
        <w:rPr>
          <w:rFonts w:ascii="Arial;Helvetica;sans-serif" w:hAnsi="Arial;Helvetica;sans-serif"/>
          <w:b/>
          <w:i w:val="false"/>
          <w:caps w:val="false"/>
          <w:smallCaps w:val="false"/>
          <w:color w:val="0055B7"/>
          <w:spacing w:val="-3"/>
          <w:sz w:val="24"/>
        </w:rPr>
        <w:t>ASED</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WARDS</w:t>
      </w:r>
      <w:r>
        <w:rPr>
          <w:rFonts w:ascii="Arial;Helvetica;sans-serif" w:hAnsi="Arial;Helvetica;sans-serif"/>
          <w:b/>
          <w:i w:val="false"/>
          <w:caps w:val="false"/>
          <w:smallCaps w:val="false"/>
          <w:color w:val="0055B7"/>
          <w:spacing w:val="-3"/>
          <w:sz w:val="24"/>
        </w:rPr>
        <w:t xml:space="preserve"> T</w:t>
      </w:r>
      <w:r>
        <w:rPr>
          <w:rFonts w:ascii="Arial;Helvetica;sans-serif" w:hAnsi="Arial;Helvetica;sans-serif"/>
          <w:b/>
          <w:i w:val="false"/>
          <w:caps w:val="false"/>
          <w:smallCaps w:val="false"/>
          <w:color w:val="0055B7"/>
          <w:spacing w:val="-3"/>
          <w:sz w:val="24"/>
        </w:rPr>
        <w: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Agreements with NEOs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descriptions of the employment agreements and other agreements with certain NEOs are qualified in their entirety by the full terms and conditions thereof.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55B7"/>
          <w:sz w:val="20"/>
        </w:rPr>
      </w:pPr>
      <w:r>
        <w:rPr>
          <w:rFonts w:ascii="Arial;Helvetica;sans-serif" w:hAnsi="Arial;Helvetica;sans-serif"/>
          <w:b/>
          <w:i w:val="false"/>
          <w:caps w:val="false"/>
          <w:smallCaps w:val="false"/>
          <w:color w:val="0055B7"/>
          <w:spacing w:val="0"/>
          <w:sz w:val="20"/>
        </w:rPr>
        <w:t>Employment Agreement with Mr. Boyle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entered into an employment agreement with James M. Boyle, effective as of October 1, 2023 (the “Boyle Employment Agreement”). The Boyle Employment Agreement provides that Mr. Boyle will serve as our CEO. The Boyle Employment Agreement provides at-will employment and can be terminated by Mr. Boyle or us at any time. The Boyle Employment Agreement also provided for (i) an initial salary of $1,250,000, subject to periodic review for increase, (ii) eligibility to receive an annual bonus, with a target bonus equal to 100% of base salary, and (iii) for each service year during the employment term, eligibility to receive annual equity award grant (initially consisting of Incentive Units of the Aggregator) having a target value of approximately $3,450,000. Mr. Boyle is also entitled to participate in our employee benefit arrangements and to receive reimbursement for business expense in accordance with our business expense policy.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Boyle has waived the severance payments and benefits set forth in the Boyle Employment Agreement and will instead be entitled to the severance payments and benefits set forth in the Severance Plan described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Upon a termination of Mr. Boyle’s employment due to his death or as a result of his disability, Mr. Boyle will be entitled to any prior year bonus.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Boyle Employment Agreement contains restrictive covenants,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Boyle’s employment with us and until the 18-month anniversary of termination of employment for any reason.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55B7"/>
          <w:sz w:val="20"/>
        </w:rPr>
      </w:pPr>
      <w:r>
        <w:rPr>
          <w:rFonts w:ascii="Arial;Helvetica;sans-serif" w:hAnsi="Arial;Helvetica;sans-serif"/>
          <w:b/>
          <w:i w:val="false"/>
          <w:caps w:val="false"/>
          <w:smallCaps w:val="false"/>
          <w:color w:val="0055B7"/>
          <w:spacing w:val="0"/>
          <w:sz w:val="20"/>
        </w:rPr>
        <w:t>Employment Agreement and Transition and Separation Agreement with Mr. Pigott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Effective October 1, 2023, we entered into an employment agreement with James M. Pigott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(the “Pigott Transition Agreement”) relating to Mr. Pigott’s departure from Medline. Mr. Pigott’s retired as President of Medline effective December 31, 2025, and such departure is not the result of any disagreement with management or our board of directors on any matter relating to our operations, policies, or practices.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the terms of the Pigott Transition Agreement, in connection with Mr. Pigott’s departure, he is entitled to receive the following severance payments and benefits, in addition to certain accrued obligations: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 amount equal to $4,125,000, representing 1.5 times the sum of Mr. Pigott’s base salary ($1,100,000) and estimated target annual bonus for 2025 ($1,650,000, at the time the Pigott Transition Agreement was entered into), payable in monthly installments in accordance with our standard payroll practices over a period of 18 months;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93">
                <wp:simplePos x="0" y="0"/>
                <wp:positionH relativeFrom="column">
                  <wp:align>left</wp:align>
                </wp:positionH>
                <wp:positionV relativeFrom="line">
                  <wp:align>top</wp:align>
                </wp:positionV>
                <wp:extent cx="139700" cy="350520"/>
                <wp:effectExtent l="0" t="0" r="0" b="0"/>
                <wp:wrapSquare wrapText="right"/>
                <wp:docPr id="387" name="Frame23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earned annual bonus for calendar year 2025, payable at the same time we generally pay annual bonuses to active employees;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94">
                <wp:simplePos x="0" y="0"/>
                <wp:positionH relativeFrom="column">
                  <wp:align>left</wp:align>
                </wp:positionH>
                <wp:positionV relativeFrom="line">
                  <wp:align>top</wp:align>
                </wp:positionV>
                <wp:extent cx="139700" cy="350520"/>
                <wp:effectExtent l="0" t="0" r="0" b="0"/>
                <wp:wrapSquare wrapText="right"/>
                <wp:docPr id="388" name="Frame23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Continued participation in our medical benefit plans at the premium contribution rate for active employees, for 18 months following termination of employment or, if earlier, until the date on which Mr. Pigott becomes eligible for medical and dental benefits from a subsequent employer;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95">
                <wp:simplePos x="0" y="0"/>
                <wp:positionH relativeFrom="column">
                  <wp:align>left</wp:align>
                </wp:positionH>
                <wp:positionV relativeFrom="line">
                  <wp:align>top</wp:align>
                </wp:positionV>
                <wp:extent cx="139700" cy="350520"/>
                <wp:effectExtent l="0" t="0" r="0" b="0"/>
                <wp:wrapSquare wrapText="right"/>
                <wp:docPr id="389" name="Frame23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76"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Accelerated vesting on the termination date with respect to the following time-vested Incentive Units held by Mr. Pigott: (i) 10% of the Incentive Units granted on October 21, 2021 (i.e., 225,889 Incentive Units), (ii) 15% of the Incentive Units granted on April 1, 2023 (i.e., 51,061 Incentive Units), (iii) 5% of the Incentive Units granted on October 1, 2023 (i.e., 24,565 Incentive Units), and (iv) 15% of the Incentive Units granted on March 29, 2024 (i.e., 37,872 Incentive Units).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139700" distR="0" simplePos="0" locked="0" layoutInCell="1" allowOverlap="1" relativeHeight="396">
                <wp:simplePos x="0" y="0"/>
                <wp:positionH relativeFrom="column">
                  <wp:align>left</wp:align>
                </wp:positionH>
                <wp:positionV relativeFrom="line">
                  <wp:align>top</wp:align>
                </wp:positionV>
                <wp:extent cx="139700" cy="350520"/>
                <wp:effectExtent l="0" t="0" r="0" b="0"/>
                <wp:wrapSquare wrapText="right"/>
                <wp:docPr id="390" name="Frame23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3.8pt;mso-wrap-distance-bottom:0pt;margin-top:3.8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obligation to provide the severance benefits described above are contingent upon Mr. Pigott’s execution and non-revocation of a release of claims in favor of us and our affiliates and continued compliance with restrictive covenants.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60</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20" w:before="4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covenant and the mutual non-disparagement provision have indefinite terms. The non-competition and non-solicitation covenants are effective both during Mr. Pigott’s employment with us and until the 18-month anniversary of his termination.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Severance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May 2025, we adopted the Severance Plan. The purpose of the Severance Plan is to provide severance benefits to certain eligible employees of Medline and its affiliates who experience a termination of employment under the conditions described in the Severance Plan. Each of our NEOs other than Mr. Pigott participates in the Severance Plan. Participants in the Severance Plan are not entitled to severance benefits under any other agreement, plan, program, or policy of Medline, including for Mr. Boyle, the severance payments and benefits set forth in his employment agreement. We amended and restated Severance Plan in connection with our IPO.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the Severance Plan, participants will be eligible to receive severance payments and benefits in connection with a termination without Cause or resignation for Good Reason, each as defined in the Severance Plan (a “Qualifying Separation”).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a Qualifying Separation prior to a Change in Control (as defined in the Severance Plan), the severance payments and benefits consist of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Mr. Boyle: (i) a lump sum cash payment equal to two (2) times the sum of his then-current base salary plus target annual bonus; (ii) any earned but unpaid prior year bonus, paid when bonuses are paid to executives (a “Prior Year Bonus”); (iii) a pro-rata annual bonus for the year in which the Qualifying Separation occurs, based on actual achievement of applicable performance goals and pro-rated for the period of service during the year in which the Qualifying Separation occurs, paid in a lump sum (a “Pro-Rata Bonus”); (iv) a lump sum cash payment equal to the product of 21 times the monthly employer contribution towards the cost of participation in the Company’s employer-subsidized health plans in which he participates in as of the date of the Qualifying Separation; and (v) outplacement services for up to 12 months (the “Outplacement Benefit”).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139700" distR="0" simplePos="0" locked="0" layoutInCell="1" allowOverlap="1" relativeHeight="397">
                <wp:simplePos x="0" y="0"/>
                <wp:positionH relativeFrom="column">
                  <wp:align>left</wp:align>
                </wp:positionH>
                <wp:positionV relativeFrom="line">
                  <wp:align>top</wp:align>
                </wp:positionV>
                <wp:extent cx="139700" cy="350520"/>
                <wp:effectExtent l="0" t="0" r="0" b="0"/>
                <wp:wrapSquare wrapText="right"/>
                <wp:docPr id="391" name="Frame23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2pt;mso-wrap-distance-bottom:0pt;margin-top:4.2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each of Messrs. Drazin, Miller, and Golwas: (i) a lump sum cash payment equal to one and one-half (1.5) times the sum of his then-current base salary plus target annual bonus; (ii) the Prior 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139700" distR="0" simplePos="0" locked="0" layoutInCell="1" allowOverlap="1" relativeHeight="398">
                <wp:simplePos x="0" y="0"/>
                <wp:positionH relativeFrom="column">
                  <wp:align>left</wp:align>
                </wp:positionH>
                <wp:positionV relativeFrom="line">
                  <wp:align>top</wp:align>
                </wp:positionV>
                <wp:extent cx="139700" cy="350520"/>
                <wp:effectExtent l="0" t="0" r="0" b="0"/>
                <wp:wrapSquare wrapText="right"/>
                <wp:docPr id="392" name="Frame240"/>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2pt;mso-wrap-distance-bottom:0pt;margin-top:4.2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a Qualifying Separation occurring upon or within 24 months (for Mr. Boyle) or 18 months (for Messrs. Drazin, Miller, and Golwas) following a Change in Control, the severance benefits and payments consist of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Mr. Boyle: (i) a lump sum cash payment equal to three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medical plan in which he participates in as of the date of the Qualifying Separation (the “CIC COBRA Benefit”); and (v) the Outplacement Benefit.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139700" distR="0" simplePos="0" locked="0" layoutInCell="1" allowOverlap="1" relativeHeight="399">
                <wp:simplePos x="0" y="0"/>
                <wp:positionH relativeFrom="column">
                  <wp:align>left</wp:align>
                </wp:positionH>
                <wp:positionV relativeFrom="line">
                  <wp:align>top</wp:align>
                </wp:positionV>
                <wp:extent cx="139700" cy="350520"/>
                <wp:effectExtent l="0" t="0" r="0" b="0"/>
                <wp:wrapSquare wrapText="right"/>
                <wp:docPr id="393" name="Frame24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2pt;mso-wrap-distance-bottom:0pt;margin-top:4.2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each of Messrs. Drazin, Miller, and Golwas: (i) a lump sum cash payment equal to two (2) times the sum of his then-current base salary plus target annual bonus; (ii) the Prior Year Bonus; (iii) the Pro-Rata Bonus; (iv) the CIC COBRA Benefit; and (v) the Outplacement Benefit.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2070" distB="0" distL="139700" distR="0" simplePos="0" locked="0" layoutInCell="1" allowOverlap="1" relativeHeight="400">
                <wp:simplePos x="0" y="0"/>
                <wp:positionH relativeFrom="column">
                  <wp:align>left</wp:align>
                </wp:positionH>
                <wp:positionV relativeFrom="line">
                  <wp:align>top</wp:align>
                </wp:positionV>
                <wp:extent cx="139700" cy="350520"/>
                <wp:effectExtent l="0" t="0" r="0" b="0"/>
                <wp:wrapSquare wrapText="right"/>
                <wp:docPr id="394" name="Frame24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1pt;mso-wrap-distance-bottom:0pt;margin-top:4.1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a condition to receiving severance benefits under the Severance Plan (other than any accrued obligations), the participant must execute, deliver and not revoke a separation agreement and release of claims in favor of Medline and continue to comply with any applicable restrictive covenant obligations. Payments under the Severance Plan (other than any accrued obligations) are subject to recoupment in accordance with any clawback policy in effect from time to time (including pursuant to the Incentive Compensation Clawback Policy or otherwise) if a participant breaches any restrictive covenant obligations or otherwise fails to comply with the terms of the Severance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40" w:before="400" w:after="8060"/>
        <w:ind w:left="720" w:right="0" w:hanging="0"/>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Equity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2021, in connection with our acquisition by our Sponsors, we adopted the MIP, pursuant to which we granted the NEOs and other employees awards of Class B Units of the Aggregator. In 2024, the Incentive Units granted to our NEOs consisted of time-vested Incentive Units (“Time-Vested Units”) and, for Mr. Miller, performance-based Incentive Units (“Performance-Vested Units”). For each Incentive Unit of the Aggregator issued, Medline Holdings issues a Class B Unit in Medline Holdings to Medline Management Aggregator LLC on a one-for-one basis. The Time-Vested Units vest 20% per year on each of the first five anniversaries of the vesting commencement date, subject to the NEO’s continued employment with us through each applicable vesting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55B7"/>
          <w:sz w:val="20"/>
        </w:rPr>
      </w:pPr>
      <w:r>
        <w:rPr>
          <w:rFonts w:ascii="Arial;Helvetica;sans-serif" w:hAnsi="Arial;Helvetica;sans-serif"/>
          <w:b/>
          <w:i w:val="false"/>
          <w:caps w:val="false"/>
          <w:smallCaps w:val="false"/>
          <w:color w:val="0055B7"/>
          <w:spacing w:val="0"/>
          <w:sz w:val="20"/>
        </w:rPr>
        <w:t>Call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each award agreement, the Aggregator has the right to repurchase vested Incentive Units held by each NEO in connection with any termination of employment (or, for Messrs. Boyle and Pigott, in connection with certain termination events) or breach of restrictive covenants applicable to the NEO (the “Call Right”). For Messrs. Boyle and Pigott, the Call Right applies only in connection with a termination by us for cause, due to the executive’s death or disability, the executive’s resignation without good reason, or a restrictive covenant violation by the executive.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55B7"/>
          <w:sz w:val="20"/>
        </w:rPr>
      </w:pPr>
      <w:r>
        <w:rPr>
          <w:rFonts w:ascii="Arial;Helvetica;sans-serif" w:hAnsi="Arial;Helvetica;sans-serif"/>
          <w:b/>
          <w:i w:val="false"/>
          <w:caps w:val="false"/>
          <w:smallCaps w:val="false"/>
          <w:color w:val="0055B7"/>
          <w:spacing w:val="0"/>
          <w:sz w:val="20"/>
        </w:rPr>
        <w:t>Acceleration; Forfeiture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Except for accelerated vesting that may occur in connection with certain termination events for Messrs. Boyle and Pigott, all unvested Incentive Units are forfeited upon a termination of employment. Upon the occurrence of a sale transaction (defined as described below), certain Time-Vested Units held by certain of our NEOs will become fully vested. For a description of the terms of potential acceleration of Incentive Units for certain of our NEOs, see </w:t>
      </w:r>
      <w:r>
        <w:rPr>
          <w:rFonts w:ascii="Arial;Helvetica;sans-serif" w:hAnsi="Arial;Helvetica;sans-serif"/>
          <w:b w:val="false"/>
          <w:i/>
          <w:caps w:val="false"/>
          <w:smallCaps w:val="false"/>
          <w:color w:val="000000"/>
          <w:sz w:val="18"/>
        </w:rPr>
        <w:t>Potential Payments Upon Termination or Change in Control</w:t>
      </w:r>
      <w:r>
        <w:rPr>
          <w:rFonts w:ascii="Arial;Helvetica;sans-serif" w:hAnsi="Arial;Helvetica;sans-serif"/>
          <w:b w:val="false"/>
          <w:i w:val="false"/>
          <w:caps w:val="false"/>
          <w:smallCaps w:val="false"/>
          <w:color w:val="000000"/>
          <w:spacing w:val="-1"/>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28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O</w:t>
      </w:r>
      <w:r>
        <w:rPr>
          <w:rFonts w:ascii="Arial;Helvetica;sans-serif" w:hAnsi="Arial;Helvetica;sans-serif"/>
          <w:b/>
          <w:i w:val="false"/>
          <w:caps w:val="false"/>
          <w:smallCaps w:val="false"/>
          <w:color w:val="0055B7"/>
          <w:spacing w:val="-3"/>
          <w:sz w:val="24"/>
        </w:rPr>
        <w:t>UTSTANDING</w:t>
      </w:r>
      <w:r>
        <w:rPr>
          <w:rFonts w:ascii="Arial;Helvetica;sans-serif" w:hAnsi="Arial;Helvetica;sans-serif"/>
          <w:b/>
          <w:i w:val="false"/>
          <w:caps w:val="false"/>
          <w:smallCaps w:val="false"/>
          <w:color w:val="0055B7"/>
          <w:spacing w:val="-3"/>
          <w:sz w:val="24"/>
        </w:rPr>
        <w:t xml:space="preserve"> E</w:t>
      </w:r>
      <w:r>
        <w:rPr>
          <w:rFonts w:ascii="Arial;Helvetica;sans-serif" w:hAnsi="Arial;Helvetica;sans-serif"/>
          <w:b/>
          <w:i w:val="false"/>
          <w:caps w:val="false"/>
          <w:smallCaps w:val="false"/>
          <w:color w:val="0055B7"/>
          <w:spacing w:val="-3"/>
          <w:sz w:val="24"/>
        </w:rPr>
        <w:t>QUITY</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WARDS AT</w:t>
      </w:r>
      <w:r>
        <w:rPr>
          <w:rFonts w:ascii="Arial;Helvetica;sans-serif" w:hAnsi="Arial;Helvetica;sans-serif"/>
          <w:b/>
          <w:i w:val="false"/>
          <w:caps w:val="false"/>
          <w:smallCaps w:val="false"/>
          <w:color w:val="0055B7"/>
          <w:spacing w:val="-3"/>
          <w:sz w:val="24"/>
        </w:rPr>
        <w:t xml:space="preserve"> F</w:t>
      </w:r>
      <w:r>
        <w:rPr>
          <w:rFonts w:ascii="Arial;Helvetica;sans-serif" w:hAnsi="Arial;Helvetica;sans-serif"/>
          <w:b/>
          <w:i w:val="false"/>
          <w:caps w:val="false"/>
          <w:smallCaps w:val="false"/>
          <w:color w:val="0055B7"/>
          <w:spacing w:val="-3"/>
          <w:sz w:val="24"/>
        </w:rPr>
        <w:t>ISCAL</w:t>
      </w:r>
      <w:r>
        <w:rPr>
          <w:rFonts w:ascii="Arial;Helvetica;sans-serif" w:hAnsi="Arial;Helvetica;sans-serif"/>
          <w:b/>
          <w:i w:val="false"/>
          <w:caps w:val="false"/>
          <w:smallCaps w:val="false"/>
          <w:color w:val="0055B7"/>
          <w:spacing w:val="-3"/>
          <w:sz w:val="24"/>
        </w:rPr>
        <w:t xml:space="preserve"> Y</w:t>
      </w:r>
      <w:r>
        <w:rPr>
          <w:rFonts w:ascii="Arial;Helvetica;sans-serif" w:hAnsi="Arial;Helvetica;sans-serif"/>
          <w:b/>
          <w:i w:val="false"/>
          <w:caps w:val="false"/>
          <w:smallCaps w:val="false"/>
          <w:color w:val="0055B7"/>
          <w:spacing w:val="-3"/>
          <w:sz w:val="24"/>
        </w:rPr>
        <w:t>EAR</w:t>
      </w:r>
      <w:r>
        <w:rPr>
          <w:rFonts w:ascii="Arial;Helvetica;sans-serif" w:hAnsi="Arial;Helvetica;sans-serif"/>
          <w:b/>
          <w:i w:val="false"/>
          <w:caps w:val="false"/>
          <w:smallCaps w:val="false"/>
          <w:color w:val="0055B7"/>
          <w:spacing w:val="-3"/>
          <w:sz w:val="24"/>
        </w:rPr>
        <w:t xml:space="preserve"> E</w:t>
      </w:r>
      <w:r>
        <w:rPr>
          <w:rFonts w:ascii="Arial;Helvetica;sans-serif" w:hAnsi="Arial;Helvetica;sans-serif"/>
          <w:b/>
          <w:i w:val="false"/>
          <w:caps w:val="false"/>
          <w:smallCaps w:val="false"/>
          <w:color w:val="0055B7"/>
          <w:spacing w:val="-3"/>
          <w:sz w:val="24"/>
        </w:rPr>
        <w:t>ND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includes certain information with respect to outstanding equity awards held by our NEOs as of December 31, 2025.</w:t>
      </w:r>
      <w:r>
        <w:rPr>
          <w:rFonts w:ascii="Arial;Helvetica;sans-serif" w:hAnsi="Arial;Helvetica;sans-serif"/>
          <w:b w:val="false"/>
          <w:i w:val="false"/>
          <w:caps w:val="false"/>
          <w:smallCaps w:val="false"/>
          <w:color w:val="000000"/>
          <w:spacing w:val="4"/>
          <w:sz w:val="18"/>
        </w:rPr>
        <w:t xml:space="preserve"> </w:t>
      </w:r>
    </w:p>
    <w:tbl>
      <w:tblPr>
        <w:tblW w:w="9843" w:type="dxa"/>
        <w:jc w:val="left"/>
        <w:tblInd w:w="720" w:type="dxa"/>
        <w:tblLayout w:type="fixed"/>
        <w:tblCellMar>
          <w:top w:w="0" w:type="dxa"/>
          <w:left w:w="0" w:type="dxa"/>
          <w:bottom w:w="28" w:type="dxa"/>
          <w:right w:w="0" w:type="dxa"/>
        </w:tblCellMar>
      </w:tblPr>
      <w:tblGrid>
        <w:gridCol w:w="124"/>
        <w:gridCol w:w="931"/>
        <w:gridCol w:w="109"/>
        <w:gridCol w:w="109"/>
        <w:gridCol w:w="109"/>
        <w:gridCol w:w="109"/>
        <w:gridCol w:w="664"/>
        <w:gridCol w:w="109"/>
        <w:gridCol w:w="109"/>
        <w:gridCol w:w="109"/>
        <w:gridCol w:w="109"/>
        <w:gridCol w:w="109"/>
        <w:gridCol w:w="616"/>
        <w:gridCol w:w="109"/>
        <w:gridCol w:w="109"/>
        <w:gridCol w:w="109"/>
        <w:gridCol w:w="109"/>
        <w:gridCol w:w="109"/>
        <w:gridCol w:w="916"/>
        <w:gridCol w:w="109"/>
        <w:gridCol w:w="109"/>
        <w:gridCol w:w="109"/>
        <w:gridCol w:w="109"/>
        <w:gridCol w:w="109"/>
        <w:gridCol w:w="1186"/>
        <w:gridCol w:w="109"/>
        <w:gridCol w:w="109"/>
        <w:gridCol w:w="109"/>
        <w:gridCol w:w="109"/>
        <w:gridCol w:w="109"/>
        <w:gridCol w:w="916"/>
        <w:gridCol w:w="109"/>
        <w:gridCol w:w="109"/>
        <w:gridCol w:w="109"/>
        <w:gridCol w:w="109"/>
        <w:gridCol w:w="109"/>
        <w:gridCol w:w="106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64"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1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046" w:type="dxa"/>
            <w:gridSpan w:val="22"/>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931"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91"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Service </w:t>
              <w:br/>
              <w:t xml:space="preserve">Inception </w:t>
              <w:br/>
              <w:t xml:space="preserve">Date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43"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Grant </w:t>
              <w:br/>
              <w:t xml:space="preserve">Date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Number </w:t>
              <w:br/>
              <w:t xml:space="preserve">of Shares </w:t>
              <w:br/>
              <w:t xml:space="preserve">or Units </w:t>
              <w:br/>
              <w:t xml:space="preserve">of Stock </w:t>
              <w:br/>
              <w:t xml:space="preserve">That Have </w:t>
              <w:br/>
              <w:t>Not Vested</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Market </w:t>
              <w:br/>
              <w:t xml:space="preserve">Value of </w:t>
              <w:br/>
              <w:t xml:space="preserve">Shares or </w:t>
              <w:br/>
              <w:t xml:space="preserve">Units of </w:t>
              <w:br/>
              <w:t xml:space="preserve">Stock That </w:t>
              <w:br/>
              <w:t xml:space="preserve">Have Not </w:t>
              <w:br/>
              <w:t>Vested</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Vested</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Equity </w:t>
              <w:br/>
              <w:t xml:space="preserve">Incentive </w:t>
              <w:br/>
              <w:t xml:space="preserve">Plan Awards: </w:t>
              <w:br/>
              <w:t xml:space="preserve">Market or </w:t>
              <w:br/>
              <w:t xml:space="preserve">Payout Value </w:t>
              <w:br/>
              <w:t xml:space="preserve">of Unearned </w:t>
              <w:br/>
              <w:t xml:space="preserve">Shares, Units </w:t>
              <w:br/>
              <w:t xml:space="preserve">or Other </w:t>
              <w:br/>
              <w:t xml:space="preserve">Rights That </w:t>
              <w:br/>
              <w:t xml:space="preserve">Have Not </w:t>
              <w:br/>
              <w:t>Vested</w:t>
            </w:r>
            <w:r>
              <w:rPr/>
              <w:t xml:space="preserve"> </w:t>
              <w:br/>
            </w:r>
            <w:r>
              <w:rPr>
                <w:spacing w:val="-2"/>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931" w:type="dxa"/>
            <w:vMerge w:val="restart"/>
            <w:tcBorders>
              <w:bottom w:val="single" w:sz="2" w:space="0" w:color="000000"/>
            </w:tcBorders>
            <w:tcMar>
              <w:bottom w:w="70" w:type="dxa"/>
            </w:tcMar>
            <w:vAlign w:val="center"/>
          </w:tcPr>
          <w:p>
            <w:pPr>
              <w:pStyle w:val="TableContents"/>
              <w:bidi w:val="0"/>
              <w:spacing w:lineRule="atLeast" w:line="200" w:before="0" w:after="0"/>
              <w:jc w:val="left"/>
              <w:rPr>
                <w:b/>
                <w:color w:val="0055B7"/>
              </w:rPr>
            </w:pPr>
            <w:r>
              <w:rPr>
                <w:b/>
                <w:color w:val="0055B7"/>
                <w:spacing w:val="0"/>
              </w:rPr>
              <w:t>James M. Boyle</w:t>
            </w:r>
            <w:r>
              <w:rPr>
                <w:b/>
                <w:color w:val="0055B7"/>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lineRule="atLeast" w:line="200" w:before="0" w:after="283"/>
              <w:jc w:val="right"/>
              <w:rPr/>
            </w:pPr>
            <w:r>
              <w:rPr/>
              <w:t>10/21/2021</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lineRule="atLeast" w:line="200" w:before="0" w:after="283"/>
              <w:jc w:val="right"/>
              <w:rPr/>
            </w:pPr>
            <w:r>
              <w:rPr/>
              <w:t>10/21/2021</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lineRule="atLeast" w:line="200" w:before="0" w:after="283"/>
              <w:jc w:val="right"/>
              <w:rPr/>
            </w:pPr>
            <w:r>
              <w:rPr/>
              <w:t>451,779</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lineRule="atLeast" w:line="200" w:before="0" w:after="283"/>
              <w:jc w:val="right"/>
              <w:rPr/>
            </w:pPr>
            <w:r>
              <w:rPr/>
              <w:t>12,008,015</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4/1/2022</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4/1/2023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204,244</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5,467,857</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10/1/2023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10/1/2023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687,827</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17,548,737</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10/1/2023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10/1/2023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382,126</w:t>
            </w:r>
            <w:r>
              <w:rPr>
                <w:sz w:val="10"/>
              </w:rPr>
              <w:t>(3)</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9,749,301</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10/1/2023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10/1/2023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382,126</w:t>
            </w:r>
            <w:r>
              <w:rPr>
                <w:sz w:val="10"/>
              </w:rPr>
              <w:t>(4)</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9,749,301</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10/1/2023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10/1/2023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382,126</w:t>
            </w:r>
            <w:r>
              <w:rPr>
                <w:sz w:val="10"/>
              </w:rPr>
              <w:t>(5)</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9,749,301</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3/29/2023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3/29/2024</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201,985</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4,643,352</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2/13/2024</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3/28/2025</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183,699</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2,629,908</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664" w:type="dxa"/>
            <w:tcBorders>
              <w:bottom w:val="single" w:sz="6" w:space="0" w:color="000000"/>
            </w:tcBorders>
            <w:tcMar>
              <w:bottom w:w="85" w:type="dxa"/>
            </w:tcMar>
            <w:vAlign w:val="center"/>
          </w:tcPr>
          <w:p>
            <w:pPr>
              <w:pStyle w:val="TableContents"/>
              <w:bidi w:val="0"/>
              <w:spacing w:before="0" w:after="283"/>
              <w:jc w:val="right"/>
              <w:rPr/>
            </w:pPr>
            <w:r>
              <w:rPr/>
              <w:t>4/11/2025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616" w:type="dxa"/>
            <w:tcBorders>
              <w:bottom w:val="single" w:sz="6" w:space="0" w:color="000000"/>
            </w:tcBorders>
            <w:tcMar>
              <w:bottom w:w="85" w:type="dxa"/>
            </w:tcMar>
            <w:vAlign w:val="center"/>
          </w:tcPr>
          <w:p>
            <w:pPr>
              <w:pStyle w:val="TableContents"/>
              <w:bidi w:val="0"/>
              <w:spacing w:before="0" w:after="283"/>
              <w:jc w:val="right"/>
              <w:rPr/>
            </w:pPr>
            <w:r>
              <w:rPr/>
              <w:t>3/5/2026</w:t>
            </w:r>
            <w:r>
              <w:rPr>
                <w:sz w:val="10"/>
              </w:rPr>
              <w:t>(2)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916" w:type="dxa"/>
            <w:tcBorders>
              <w:bottom w:val="single" w:sz="6" w:space="0" w:color="000000"/>
            </w:tcBorders>
            <w:tcMar>
              <w:bottom w:w="85" w:type="dxa"/>
            </w:tcMar>
            <w:vAlign w:val="center"/>
          </w:tcPr>
          <w:p>
            <w:pPr>
              <w:pStyle w:val="TableContents"/>
              <w:bidi w:val="0"/>
              <w:spacing w:before="0" w:after="283"/>
              <w:jc w:val="right"/>
              <w:rPr/>
            </w:pPr>
            <w:r>
              <w:rPr/>
              <w:t>31,739</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tcMar>
              <w:bottom w:w="85" w:type="dxa"/>
            </w:tcMar>
            <w:vAlign w:val="center"/>
          </w:tcPr>
          <w:p>
            <w:pPr>
              <w:pStyle w:val="TableContents"/>
              <w:bidi w:val="0"/>
              <w:spacing w:before="0" w:after="283"/>
              <w:jc w:val="right"/>
              <w:rPr/>
            </w:pPr>
            <w:r>
              <w:rPr/>
              <w:t>1,333,038</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91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06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931" w:type="dxa"/>
            <w:vMerge w:val="restart"/>
            <w:tcBorders>
              <w:bottom w:val="single" w:sz="2" w:space="0" w:color="000000"/>
            </w:tcBorders>
            <w:shd w:fill="E6EEF8" w:val="clear"/>
            <w:tcMar>
              <w:bottom w:w="70" w:type="dxa"/>
            </w:tcMar>
            <w:vAlign w:val="center"/>
          </w:tcPr>
          <w:p>
            <w:pPr>
              <w:pStyle w:val="TableContents"/>
              <w:bidi w:val="0"/>
              <w:spacing w:lineRule="atLeast" w:line="200" w:before="0" w:after="0"/>
              <w:jc w:val="left"/>
              <w:rPr>
                <w:b/>
                <w:color w:val="0055B7"/>
              </w:rPr>
            </w:pPr>
            <w:r>
              <w:rPr>
                <w:b/>
                <w:color w:val="0055B7"/>
                <w:spacing w:val="0"/>
              </w:rPr>
              <w:t>Michael B. Drazin</w:t>
            </w:r>
            <w:r>
              <w:rPr>
                <w:b/>
                <w:color w:val="0055B7"/>
              </w:rPr>
              <w:t xml:space="preserve"> </w:t>
            </w:r>
          </w:p>
        </w:tc>
        <w:tc>
          <w:tcPr>
            <w:tcW w:w="109"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664"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10/21/2021</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61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10/21/2021</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91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406,601</w:t>
            </w:r>
            <w:r>
              <w:rPr>
                <w:sz w:val="10"/>
              </w:rPr>
              <w:t>(1)</w:t>
            </w:r>
            <w:r>
              <w:rPr/>
              <w:t xml:space="preserve"> </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10,807,211</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91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6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54" w:type="dxa"/>
            <w:tcBorders>
              <w:bottom w:val="single" w:sz="4"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4/1/2022</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4/1/2023</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164,269</w:t>
            </w:r>
            <w:r>
              <w:rPr>
                <w:sz w:val="10"/>
              </w:rPr>
              <w:t>(1)</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4,397,678</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3/29/2023</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182,222</w:t>
            </w:r>
            <w:r>
              <w:rPr>
                <w:sz w:val="10"/>
              </w:rPr>
              <w:t>(1)</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4,189,029</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2/13/2024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3/28/2025</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157,133</w:t>
            </w:r>
            <w:r>
              <w:rPr>
                <w:sz w:val="10"/>
              </w:rPr>
              <w:t>(1)</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2,249,579</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664" w:type="dxa"/>
            <w:tcBorders>
              <w:bottom w:val="single" w:sz="6" w:space="0" w:color="000000"/>
            </w:tcBorders>
            <w:shd w:fill="E6EEF8" w:val="clear"/>
            <w:tcMar>
              <w:bottom w:w="85" w:type="dxa"/>
            </w:tcMar>
            <w:vAlign w:val="center"/>
          </w:tcPr>
          <w:p>
            <w:pPr>
              <w:pStyle w:val="TableContents"/>
              <w:bidi w:val="0"/>
              <w:spacing w:before="0" w:after="283"/>
              <w:jc w:val="right"/>
              <w:rPr/>
            </w:pPr>
            <w:r>
              <w:rPr/>
              <w:t>4/11/2025</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616" w:type="dxa"/>
            <w:tcBorders>
              <w:bottom w:val="single" w:sz="6" w:space="0" w:color="000000"/>
            </w:tcBorders>
            <w:shd w:fill="E6EEF8" w:val="clear"/>
            <w:tcMar>
              <w:bottom w:w="85" w:type="dxa"/>
            </w:tcMar>
            <w:vAlign w:val="center"/>
          </w:tcPr>
          <w:p>
            <w:pPr>
              <w:pStyle w:val="TableContents"/>
              <w:bidi w:val="0"/>
              <w:spacing w:before="0" w:after="283"/>
              <w:jc w:val="right"/>
              <w:rPr/>
            </w:pPr>
            <w:r>
              <w:rPr/>
              <w:t>3/5/2026</w:t>
            </w:r>
            <w:r>
              <w:rPr>
                <w:sz w:val="10"/>
              </w:rPr>
              <w:t>(2)</w:t>
            </w:r>
            <w:r>
              <w:rPr/>
              <w:t xml:space="preserve">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916" w:type="dxa"/>
            <w:tcBorders>
              <w:bottom w:val="single" w:sz="6" w:space="0" w:color="000000"/>
            </w:tcBorders>
            <w:shd w:fill="E6EEF8" w:val="clear"/>
            <w:tcMar>
              <w:bottom w:w="85" w:type="dxa"/>
            </w:tcMar>
            <w:vAlign w:val="center"/>
          </w:tcPr>
          <w:p>
            <w:pPr>
              <w:pStyle w:val="TableContents"/>
              <w:bidi w:val="0"/>
              <w:spacing w:before="0" w:after="283"/>
              <w:jc w:val="right"/>
              <w:rPr/>
            </w:pPr>
            <w:r>
              <w:rPr/>
              <w:t>25,788</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shd w:fill="E6EEF8" w:val="clear"/>
            <w:tcMar>
              <w:bottom w:w="85" w:type="dxa"/>
            </w:tcMar>
            <w:vAlign w:val="center"/>
          </w:tcPr>
          <w:p>
            <w:pPr>
              <w:pStyle w:val="TableContents"/>
              <w:bidi w:val="0"/>
              <w:spacing w:before="0" w:after="283"/>
              <w:jc w:val="right"/>
              <w:rPr/>
            </w:pPr>
            <w:r>
              <w:rPr/>
              <w:t>1,083,096</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right"/>
              <w:rPr/>
            </w:pPr>
            <w:r>
              <w:rPr/>
              <w:t>​</w:t>
            </w:r>
          </w:p>
        </w:tc>
        <w:tc>
          <w:tcPr>
            <w:tcW w:w="916" w:type="dxa"/>
            <w:tcBorders>
              <w:bottom w:val="single" w:sz="6" w:space="0" w:color="000000"/>
            </w:tcBorders>
            <w:shd w:fill="E6EEF8" w:val="clear"/>
            <w:vAlign w:val="center"/>
          </w:tcPr>
          <w:p>
            <w:pPr>
              <w:pStyle w:val="TableContents"/>
              <w:bidi w:val="0"/>
              <w:spacing w:before="0" w:after="283"/>
              <w:jc w:val="righ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right"/>
              <w:rPr/>
            </w:pPr>
            <w:r>
              <w:rPr/>
              <w:t>​</w:t>
            </w:r>
          </w:p>
        </w:tc>
        <w:tc>
          <w:tcPr>
            <w:tcW w:w="1066" w:type="dxa"/>
            <w:tcBorders>
              <w:bottom w:val="single" w:sz="6" w:space="0" w:color="000000"/>
            </w:tcBorders>
            <w:shd w:fill="E6EEF8" w:val="clear"/>
            <w:vAlign w:val="center"/>
          </w:tcPr>
          <w:p>
            <w:pPr>
              <w:pStyle w:val="TableContents"/>
              <w:bidi w:val="0"/>
              <w:spacing w:before="0" w:after="283"/>
              <w:jc w:val="righ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931" w:type="dxa"/>
            <w:vMerge w:val="restart"/>
            <w:tcBorders>
              <w:bottom w:val="single" w:sz="2" w:space="0" w:color="000000"/>
            </w:tcBorders>
            <w:tcMar>
              <w:bottom w:w="70" w:type="dxa"/>
            </w:tcMar>
            <w:vAlign w:val="center"/>
          </w:tcPr>
          <w:p>
            <w:pPr>
              <w:pStyle w:val="TableContents"/>
              <w:bidi w:val="0"/>
              <w:spacing w:lineRule="atLeast" w:line="200" w:before="0" w:after="0"/>
              <w:jc w:val="left"/>
              <w:rPr>
                <w:b/>
                <w:color w:val="0055B7"/>
              </w:rPr>
            </w:pPr>
            <w:r>
              <w:rPr>
                <w:b/>
                <w:color w:val="0055B7"/>
                <w:spacing w:val="0"/>
              </w:rPr>
              <w:t>Douglas P. Golwas</w:t>
            </w:r>
            <w:r>
              <w:rPr>
                <w:b/>
                <w:color w:val="0055B7"/>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lineRule="atLeast" w:line="200" w:before="0" w:after="283"/>
              <w:jc w:val="right"/>
              <w:rPr/>
            </w:pPr>
            <w:r>
              <w:rPr/>
              <w:t>10/21/2021</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lineRule="atLeast" w:line="200" w:before="0" w:after="283"/>
              <w:jc w:val="right"/>
              <w:rPr/>
            </w:pPr>
            <w:r>
              <w:rPr/>
              <w:t>10/21/2021</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lineRule="atLeast" w:line="200" w:before="0" w:after="283"/>
              <w:jc w:val="right"/>
              <w:rPr/>
            </w:pPr>
            <w:r>
              <w:rPr/>
              <w:t>282,362</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lineRule="atLeast" w:line="200" w:before="0" w:after="283"/>
              <w:jc w:val="right"/>
              <w:rPr/>
            </w:pPr>
            <w:r>
              <w:rPr/>
              <w:t>7,505,013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4/1/2022</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4/1/2023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127,653</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3,417,424</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3/29/2023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3/29/2024</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126,240</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2,902,081</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64" w:type="dxa"/>
            <w:tcBorders>
              <w:bottom w:val="single" w:sz="4" w:space="0" w:color="000000"/>
            </w:tcBorders>
            <w:tcMar>
              <w:bottom w:w="70" w:type="dxa"/>
            </w:tcMar>
            <w:vAlign w:val="center"/>
          </w:tcPr>
          <w:p>
            <w:pPr>
              <w:pStyle w:val="TableContents"/>
              <w:bidi w:val="0"/>
              <w:spacing w:before="0" w:after="283"/>
              <w:jc w:val="right"/>
              <w:rPr/>
            </w:pPr>
            <w:r>
              <w:rPr/>
              <w:t>2/13/2024</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616" w:type="dxa"/>
            <w:tcBorders>
              <w:bottom w:val="single" w:sz="4" w:space="0" w:color="000000"/>
            </w:tcBorders>
            <w:tcMar>
              <w:bottom w:w="70" w:type="dxa"/>
            </w:tcMar>
            <w:vAlign w:val="center"/>
          </w:tcPr>
          <w:p>
            <w:pPr>
              <w:pStyle w:val="TableContents"/>
              <w:bidi w:val="0"/>
              <w:spacing w:before="0" w:after="283"/>
              <w:jc w:val="right"/>
              <w:rPr/>
            </w:pPr>
            <w:r>
              <w:rPr/>
              <w:t>3/28/2025</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149,005</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2,133,215</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9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6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664" w:type="dxa"/>
            <w:tcBorders>
              <w:bottom w:val="single" w:sz="6" w:space="0" w:color="000000"/>
            </w:tcBorders>
            <w:tcMar>
              <w:bottom w:w="85" w:type="dxa"/>
            </w:tcMar>
            <w:vAlign w:val="center"/>
          </w:tcPr>
          <w:p>
            <w:pPr>
              <w:pStyle w:val="TableContents"/>
              <w:bidi w:val="0"/>
              <w:spacing w:before="0" w:after="283"/>
              <w:jc w:val="right"/>
              <w:rPr/>
            </w:pPr>
            <w:r>
              <w:rPr/>
              <w:t>4/11/2025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616" w:type="dxa"/>
            <w:tcBorders>
              <w:bottom w:val="single" w:sz="6" w:space="0" w:color="000000"/>
            </w:tcBorders>
            <w:tcMar>
              <w:bottom w:w="85" w:type="dxa"/>
            </w:tcMar>
            <w:vAlign w:val="center"/>
          </w:tcPr>
          <w:p>
            <w:pPr>
              <w:pStyle w:val="TableContents"/>
              <w:bidi w:val="0"/>
              <w:spacing w:before="0" w:after="283"/>
              <w:jc w:val="right"/>
              <w:rPr/>
            </w:pPr>
            <w:r>
              <w:rPr/>
              <w:t>3/5/2026</w:t>
            </w:r>
            <w:r>
              <w:rPr>
                <w:sz w:val="10"/>
              </w:rPr>
              <w:t>(2)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916" w:type="dxa"/>
            <w:tcBorders>
              <w:bottom w:val="single" w:sz="6" w:space="0" w:color="000000"/>
            </w:tcBorders>
            <w:tcMar>
              <w:bottom w:w="85" w:type="dxa"/>
            </w:tcMar>
            <w:vAlign w:val="center"/>
          </w:tcPr>
          <w:p>
            <w:pPr>
              <w:pStyle w:val="TableContents"/>
              <w:bidi w:val="0"/>
              <w:spacing w:before="0" w:after="283"/>
              <w:jc w:val="right"/>
              <w:rPr/>
            </w:pPr>
            <w:r>
              <w:rPr/>
              <w:t>25,788</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tcMar>
              <w:bottom w:w="85" w:type="dxa"/>
            </w:tcMar>
            <w:vAlign w:val="center"/>
          </w:tcPr>
          <w:p>
            <w:pPr>
              <w:pStyle w:val="TableContents"/>
              <w:bidi w:val="0"/>
              <w:spacing w:before="0" w:after="283"/>
              <w:jc w:val="right"/>
              <w:rPr/>
            </w:pPr>
            <w:r>
              <w:rPr/>
              <w:t>1,083,096</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91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06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shd w:fill="E6EEF8" w:val="clear"/>
            <w:tcMar>
              <w:bottom w:w="0" w:type="dxa"/>
            </w:tcMar>
            <w:vAlign w:val="center"/>
          </w:tcPr>
          <w:p>
            <w:pPr>
              <w:pStyle w:val="TableContents"/>
              <w:bidi w:val="0"/>
              <w:spacing w:before="0" w:after="283"/>
              <w:jc w:val="left"/>
              <w:rPr/>
            </w:pPr>
            <w:r>
              <w:rPr/>
              <w:t>​</w:t>
            </w:r>
          </w:p>
        </w:tc>
        <w:tc>
          <w:tcPr>
            <w:tcW w:w="931" w:type="dxa"/>
            <w:vMerge w:val="restart"/>
            <w:tcBorders/>
            <w:shd w:fill="E6EEF8" w:val="clear"/>
            <w:tcMar>
              <w:bottom w:w="0" w:type="dxa"/>
            </w:tcMar>
            <w:vAlign w:val="center"/>
          </w:tcPr>
          <w:p>
            <w:pPr>
              <w:pStyle w:val="TableContents"/>
              <w:bidi w:val="0"/>
              <w:spacing w:lineRule="atLeast" w:line="200" w:before="0" w:after="0"/>
              <w:jc w:val="left"/>
              <w:rPr>
                <w:b/>
                <w:color w:val="0055B7"/>
              </w:rPr>
            </w:pPr>
            <w:r>
              <w:rPr>
                <w:b/>
                <w:color w:val="0055B7"/>
                <w:spacing w:val="0"/>
              </w:rPr>
              <w:t>Stephen L. Miller</w:t>
            </w:r>
            <w:r>
              <w:rPr>
                <w:b/>
                <w:color w:val="0055B7"/>
              </w:rPr>
              <w:t xml:space="preserve"> </w:t>
            </w:r>
          </w:p>
        </w:tc>
        <w:tc>
          <w:tcPr>
            <w:tcW w:w="109" w:type="dxa"/>
            <w:vMerge w:val="restart"/>
            <w:tcBorders/>
            <w:shd w:fill="E6EEF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7/1/2022</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7/1/2022</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277,106</w:t>
            </w:r>
            <w:r>
              <w:rPr>
                <w:sz w:val="10"/>
              </w:rPr>
              <w:t>(1)</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7,598,440</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shd w:fill="E6EEF8" w:val="clear"/>
            <w:tcMar>
              <w:bottom w:w="0" w:type="dxa"/>
            </w:tcMar>
            <w:vAlign w:val="center"/>
          </w:tcPr>
          <w:p>
            <w:pPr>
              <w:pStyle w:val="Normal"/>
              <w:bidi w:val="0"/>
              <w:jc w:val="left"/>
              <w:rPr/>
            </w:pPr>
            <w:r>
              <w:rPr/>
            </w:r>
          </w:p>
        </w:tc>
        <w:tc>
          <w:tcPr>
            <w:tcW w:w="931" w:type="dxa"/>
            <w:vMerge w:val="continue"/>
            <w:tcBorders/>
            <w:shd w:fill="E6EEF8" w:val="clear"/>
            <w:tcMar>
              <w:bottom w:w="0" w:type="dxa"/>
            </w:tcMar>
            <w:vAlign w:val="center"/>
          </w:tcPr>
          <w:p>
            <w:pPr>
              <w:pStyle w:val="Normal"/>
              <w:bidi w:val="0"/>
              <w:jc w:val="left"/>
              <w:rPr/>
            </w:pPr>
            <w:r>
              <w:rPr/>
            </w:r>
          </w:p>
        </w:tc>
        <w:tc>
          <w:tcPr>
            <w:tcW w:w="109" w:type="dxa"/>
            <w:vMerge w:val="continue"/>
            <w:tcBorders/>
            <w:shd w:fill="E6EEF8" w:val="clear"/>
            <w:tcMar>
              <w:bottom w:w="0" w:type="dxa"/>
            </w:tcM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4/1/2022</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4/1/2023</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63,826</w:t>
            </w:r>
            <w:r>
              <w:rPr>
                <w:sz w:val="10"/>
              </w:rPr>
              <w:t>(1)</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1,708,699</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shd w:fill="E6EEF8" w:val="clear"/>
            <w:tcMar>
              <w:bottom w:w="0" w:type="dxa"/>
            </w:tcMar>
            <w:vAlign w:val="center"/>
          </w:tcPr>
          <w:p>
            <w:pPr>
              <w:pStyle w:val="Normal"/>
              <w:bidi w:val="0"/>
              <w:jc w:val="left"/>
              <w:rPr/>
            </w:pPr>
            <w:r>
              <w:rPr/>
            </w:r>
          </w:p>
        </w:tc>
        <w:tc>
          <w:tcPr>
            <w:tcW w:w="931" w:type="dxa"/>
            <w:vMerge w:val="continue"/>
            <w:tcBorders/>
            <w:shd w:fill="E6EEF8" w:val="clear"/>
            <w:tcMar>
              <w:bottom w:w="0" w:type="dxa"/>
            </w:tcMar>
            <w:vAlign w:val="center"/>
          </w:tcPr>
          <w:p>
            <w:pPr>
              <w:pStyle w:val="Normal"/>
              <w:bidi w:val="0"/>
              <w:jc w:val="left"/>
              <w:rPr/>
            </w:pPr>
            <w:r>
              <w:rPr/>
            </w:r>
          </w:p>
        </w:tc>
        <w:tc>
          <w:tcPr>
            <w:tcW w:w="109" w:type="dxa"/>
            <w:vMerge w:val="continue"/>
            <w:tcBorders/>
            <w:shd w:fill="E6EEF8" w:val="clear"/>
            <w:tcMar>
              <w:bottom w:w="0" w:type="dxa"/>
            </w:tcM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3/29/2023</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170,424</w:t>
            </w:r>
            <w:r>
              <w:rPr>
                <w:sz w:val="10"/>
              </w:rPr>
              <w:t>(1)</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3,917,809</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shd w:fill="E6EEF8" w:val="clear"/>
            <w:tcMar>
              <w:bottom w:w="0" w:type="dxa"/>
            </w:tcMar>
            <w:vAlign w:val="center"/>
          </w:tcPr>
          <w:p>
            <w:pPr>
              <w:pStyle w:val="Normal"/>
              <w:bidi w:val="0"/>
              <w:jc w:val="left"/>
              <w:rPr/>
            </w:pPr>
            <w:r>
              <w:rPr/>
            </w:r>
          </w:p>
        </w:tc>
        <w:tc>
          <w:tcPr>
            <w:tcW w:w="931" w:type="dxa"/>
            <w:vMerge w:val="continue"/>
            <w:tcBorders/>
            <w:shd w:fill="E6EEF8" w:val="clear"/>
            <w:tcMar>
              <w:bottom w:w="0" w:type="dxa"/>
            </w:tcMar>
            <w:vAlign w:val="center"/>
          </w:tcPr>
          <w:p>
            <w:pPr>
              <w:pStyle w:val="Normal"/>
              <w:bidi w:val="0"/>
              <w:jc w:val="left"/>
              <w:rPr/>
            </w:pPr>
            <w:r>
              <w:rPr/>
            </w:r>
          </w:p>
        </w:tc>
        <w:tc>
          <w:tcPr>
            <w:tcW w:w="109" w:type="dxa"/>
            <w:vMerge w:val="continue"/>
            <w:tcBorders/>
            <w:shd w:fill="E6EEF8" w:val="clear"/>
            <w:tcMar>
              <w:bottom w:w="0" w:type="dxa"/>
            </w:tcM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210,401</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4,836,824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shd w:fill="E6EEF8" w:val="clear"/>
            <w:tcMar>
              <w:bottom w:w="0" w:type="dxa"/>
            </w:tcMar>
            <w:vAlign w:val="center"/>
          </w:tcPr>
          <w:p>
            <w:pPr>
              <w:pStyle w:val="Normal"/>
              <w:bidi w:val="0"/>
              <w:jc w:val="left"/>
              <w:rPr/>
            </w:pPr>
            <w:r>
              <w:rPr/>
            </w:r>
          </w:p>
        </w:tc>
        <w:tc>
          <w:tcPr>
            <w:tcW w:w="931" w:type="dxa"/>
            <w:vMerge w:val="continue"/>
            <w:tcBorders/>
            <w:shd w:fill="E6EEF8" w:val="clear"/>
            <w:tcMar>
              <w:bottom w:w="0" w:type="dxa"/>
            </w:tcMar>
            <w:vAlign w:val="center"/>
          </w:tcPr>
          <w:p>
            <w:pPr>
              <w:pStyle w:val="Normal"/>
              <w:bidi w:val="0"/>
              <w:jc w:val="left"/>
              <w:rPr/>
            </w:pPr>
            <w:r>
              <w:rPr/>
            </w:r>
          </w:p>
        </w:tc>
        <w:tc>
          <w:tcPr>
            <w:tcW w:w="109" w:type="dxa"/>
            <w:vMerge w:val="continue"/>
            <w:tcBorders/>
            <w:shd w:fill="E6EEF8" w:val="clear"/>
            <w:tcMar>
              <w:bottom w:w="0" w:type="dxa"/>
            </w:tcM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43,833</w:t>
            </w:r>
            <w:r>
              <w:rPr>
                <w:sz w:val="10"/>
              </w:rPr>
              <w:t>(3)</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1,007,670</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shd w:fill="E6EEF8" w:val="clear"/>
            <w:tcMar>
              <w:bottom w:w="0" w:type="dxa"/>
            </w:tcMar>
            <w:vAlign w:val="center"/>
          </w:tcPr>
          <w:p>
            <w:pPr>
              <w:pStyle w:val="Normal"/>
              <w:bidi w:val="0"/>
              <w:jc w:val="left"/>
              <w:rPr/>
            </w:pPr>
            <w:r>
              <w:rPr/>
            </w:r>
          </w:p>
        </w:tc>
        <w:tc>
          <w:tcPr>
            <w:tcW w:w="931" w:type="dxa"/>
            <w:vMerge w:val="continue"/>
            <w:tcBorders/>
            <w:shd w:fill="E6EEF8" w:val="clear"/>
            <w:tcMar>
              <w:bottom w:w="0" w:type="dxa"/>
            </w:tcMar>
            <w:vAlign w:val="center"/>
          </w:tcPr>
          <w:p>
            <w:pPr>
              <w:pStyle w:val="Normal"/>
              <w:bidi w:val="0"/>
              <w:jc w:val="left"/>
              <w:rPr/>
            </w:pPr>
            <w:r>
              <w:rPr/>
            </w:r>
          </w:p>
        </w:tc>
        <w:tc>
          <w:tcPr>
            <w:tcW w:w="109" w:type="dxa"/>
            <w:vMerge w:val="continue"/>
            <w:tcBorders/>
            <w:shd w:fill="E6EEF8" w:val="clear"/>
            <w:tcMar>
              <w:bottom w:w="0" w:type="dxa"/>
            </w:tcM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43,833</w:t>
            </w:r>
            <w:r>
              <w:rPr>
                <w:sz w:val="10"/>
              </w:rPr>
              <w:t>(4)</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1,007,670</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shd w:fill="E6EEF8" w:val="clear"/>
            <w:tcMar>
              <w:bottom w:w="0" w:type="dxa"/>
            </w:tcMar>
            <w:vAlign w:val="center"/>
          </w:tcPr>
          <w:p>
            <w:pPr>
              <w:pStyle w:val="Normal"/>
              <w:bidi w:val="0"/>
              <w:jc w:val="left"/>
              <w:rPr/>
            </w:pPr>
            <w:r>
              <w:rPr/>
            </w:r>
          </w:p>
        </w:tc>
        <w:tc>
          <w:tcPr>
            <w:tcW w:w="931" w:type="dxa"/>
            <w:vMerge w:val="continue"/>
            <w:tcBorders/>
            <w:shd w:fill="E6EEF8" w:val="clear"/>
            <w:tcMar>
              <w:bottom w:w="0" w:type="dxa"/>
            </w:tcMar>
            <w:vAlign w:val="center"/>
          </w:tcPr>
          <w:p>
            <w:pPr>
              <w:pStyle w:val="Normal"/>
              <w:bidi w:val="0"/>
              <w:jc w:val="left"/>
              <w:rPr/>
            </w:pPr>
            <w:r>
              <w:rPr/>
            </w:r>
          </w:p>
        </w:tc>
        <w:tc>
          <w:tcPr>
            <w:tcW w:w="109" w:type="dxa"/>
            <w:vMerge w:val="continue"/>
            <w:tcBorders/>
            <w:shd w:fill="E6EEF8" w:val="clear"/>
            <w:tcMar>
              <w:bottom w:w="0" w:type="dxa"/>
            </w:tcM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3/29/2024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43,833</w:t>
            </w:r>
            <w:r>
              <w:rPr>
                <w:sz w:val="10"/>
              </w:rPr>
              <w:t>(5)</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1,007,670</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shd w:fill="E6EEF8" w:val="clear"/>
            <w:tcMar>
              <w:bottom w:w="0" w:type="dxa"/>
            </w:tcMar>
            <w:vAlign w:val="center"/>
          </w:tcPr>
          <w:p>
            <w:pPr>
              <w:pStyle w:val="Normal"/>
              <w:bidi w:val="0"/>
              <w:jc w:val="left"/>
              <w:rPr/>
            </w:pPr>
            <w:r>
              <w:rPr/>
            </w:r>
          </w:p>
        </w:tc>
        <w:tc>
          <w:tcPr>
            <w:tcW w:w="931" w:type="dxa"/>
            <w:vMerge w:val="continue"/>
            <w:tcBorders/>
            <w:shd w:fill="E6EEF8" w:val="clear"/>
            <w:tcMar>
              <w:bottom w:w="0" w:type="dxa"/>
            </w:tcMar>
            <w:vAlign w:val="center"/>
          </w:tcPr>
          <w:p>
            <w:pPr>
              <w:pStyle w:val="Normal"/>
              <w:bidi w:val="0"/>
              <w:jc w:val="left"/>
              <w:rPr/>
            </w:pPr>
            <w:r>
              <w:rPr/>
            </w:r>
          </w:p>
        </w:tc>
        <w:tc>
          <w:tcPr>
            <w:tcW w:w="109" w:type="dxa"/>
            <w:vMerge w:val="continue"/>
            <w:tcBorders/>
            <w:shd w:fill="E6EEF8" w:val="clear"/>
            <w:tcMar>
              <w:bottom w:w="0" w:type="dxa"/>
            </w:tcM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64" w:type="dxa"/>
            <w:tcBorders>
              <w:bottom w:val="single" w:sz="2" w:space="0" w:color="000000"/>
            </w:tcBorders>
            <w:shd w:fill="E6EEF8" w:val="clear"/>
            <w:tcMar>
              <w:bottom w:w="70" w:type="dxa"/>
            </w:tcMar>
            <w:vAlign w:val="center"/>
          </w:tcPr>
          <w:p>
            <w:pPr>
              <w:pStyle w:val="TableContents"/>
              <w:bidi w:val="0"/>
              <w:spacing w:before="0" w:after="283"/>
              <w:jc w:val="right"/>
              <w:rPr/>
            </w:pPr>
            <w:r>
              <w:rPr/>
              <w:t>2/13/2024</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616" w:type="dxa"/>
            <w:tcBorders>
              <w:bottom w:val="single" w:sz="2" w:space="0" w:color="000000"/>
            </w:tcBorders>
            <w:shd w:fill="E6EEF8" w:val="clear"/>
            <w:tcMar>
              <w:bottom w:w="70" w:type="dxa"/>
            </w:tcMar>
            <w:vAlign w:val="center"/>
          </w:tcPr>
          <w:p>
            <w:pPr>
              <w:pStyle w:val="TableContents"/>
              <w:bidi w:val="0"/>
              <w:spacing w:before="0" w:after="283"/>
              <w:jc w:val="right"/>
              <w:rPr/>
            </w:pPr>
            <w:r>
              <w:rPr/>
              <w:t>3/28/2025</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272,725</w:t>
            </w:r>
            <w:r>
              <w:rPr>
                <w:sz w:val="10"/>
              </w:rPr>
              <w:t>(1)</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3,904,440</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9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6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shd w:fill="E6EEF8" w:val="clear"/>
            <w:tcMar>
              <w:bottom w:w="0" w:type="dxa"/>
            </w:tcMar>
            <w:vAlign w:val="center"/>
          </w:tcPr>
          <w:p>
            <w:pPr>
              <w:pStyle w:val="Normal"/>
              <w:bidi w:val="0"/>
              <w:jc w:val="left"/>
              <w:rPr/>
            </w:pPr>
            <w:r>
              <w:rPr/>
            </w:r>
          </w:p>
        </w:tc>
        <w:tc>
          <w:tcPr>
            <w:tcW w:w="931" w:type="dxa"/>
            <w:vMerge w:val="continue"/>
            <w:tcBorders/>
            <w:shd w:fill="E6EEF8" w:val="clear"/>
            <w:tcMar>
              <w:bottom w:w="0" w:type="dxa"/>
            </w:tcMar>
            <w:vAlign w:val="center"/>
          </w:tcPr>
          <w:p>
            <w:pPr>
              <w:pStyle w:val="Normal"/>
              <w:bidi w:val="0"/>
              <w:jc w:val="left"/>
              <w:rPr/>
            </w:pPr>
            <w:r>
              <w:rPr/>
            </w:r>
          </w:p>
        </w:tc>
        <w:tc>
          <w:tcPr>
            <w:tcW w:w="109" w:type="dxa"/>
            <w:vMerge w:val="continue"/>
            <w:tcBorders/>
            <w:shd w:fill="E6EEF8" w:val="clear"/>
            <w:tcMar>
              <w:bottom w:w="0" w:type="dxa"/>
            </w:tcMar>
            <w:vAlign w:val="center"/>
          </w:tcPr>
          <w:p>
            <w:pPr>
              <w:pStyle w:val="Normal"/>
              <w:bidi w:val="0"/>
              <w:jc w:val="left"/>
              <w:rPr/>
            </w:pPr>
            <w:r>
              <w:rPr/>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right"/>
              <w:rPr/>
            </w:pPr>
            <w:r>
              <w:rPr/>
              <w:t>​</w:t>
            </w:r>
          </w:p>
        </w:tc>
        <w:tc>
          <w:tcPr>
            <w:tcW w:w="664" w:type="dxa"/>
            <w:tcBorders/>
            <w:shd w:fill="E6EEF8" w:val="clear"/>
            <w:tcMar>
              <w:bottom w:w="0" w:type="dxa"/>
            </w:tcMar>
            <w:vAlign w:val="center"/>
          </w:tcPr>
          <w:p>
            <w:pPr>
              <w:pStyle w:val="TableContents"/>
              <w:bidi w:val="0"/>
              <w:spacing w:before="0" w:after="283"/>
              <w:jc w:val="right"/>
              <w:rPr/>
            </w:pPr>
            <w:r>
              <w:rPr/>
              <w:t>4/11/2025</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right"/>
              <w:rPr/>
            </w:pPr>
            <w:r>
              <w:rPr/>
              <w:t>​</w:t>
            </w:r>
          </w:p>
        </w:tc>
        <w:tc>
          <w:tcPr>
            <w:tcW w:w="616" w:type="dxa"/>
            <w:tcBorders/>
            <w:shd w:fill="E6EEF8" w:val="clear"/>
            <w:tcMar>
              <w:bottom w:w="0" w:type="dxa"/>
            </w:tcMar>
            <w:vAlign w:val="center"/>
          </w:tcPr>
          <w:p>
            <w:pPr>
              <w:pStyle w:val="TableContents"/>
              <w:bidi w:val="0"/>
              <w:spacing w:before="0" w:after="283"/>
              <w:jc w:val="right"/>
              <w:rPr/>
            </w:pPr>
            <w:r>
              <w:rPr/>
              <w:t>3/5/2026</w:t>
            </w:r>
            <w:r>
              <w:rPr>
                <w:sz w:val="10"/>
              </w:rPr>
              <w:t>(2)</w:t>
            </w:r>
            <w:r>
              <w:rPr/>
              <w:t xml:space="preserve"> </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right"/>
              <w:rPr/>
            </w:pPr>
            <w:r>
              <w:rPr/>
              <w:t>​</w:t>
            </w:r>
          </w:p>
        </w:tc>
        <w:tc>
          <w:tcPr>
            <w:tcW w:w="916" w:type="dxa"/>
            <w:tcBorders/>
            <w:shd w:fill="E6EEF8" w:val="clear"/>
            <w:tcMar>
              <w:bottom w:w="0" w:type="dxa"/>
            </w:tcMar>
            <w:vAlign w:val="center"/>
          </w:tcPr>
          <w:p>
            <w:pPr>
              <w:pStyle w:val="TableContents"/>
              <w:bidi w:val="0"/>
              <w:spacing w:before="0" w:after="283"/>
              <w:jc w:val="right"/>
              <w:rPr/>
            </w:pPr>
            <w:r>
              <w:rPr/>
              <w:t>25,788</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right"/>
              <w:rPr/>
            </w:pPr>
            <w:r>
              <w:rPr/>
              <w:t>​</w:t>
            </w:r>
          </w:p>
        </w:tc>
        <w:tc>
          <w:tcPr>
            <w:tcW w:w="1186" w:type="dxa"/>
            <w:tcBorders/>
            <w:shd w:fill="E6EEF8" w:val="clear"/>
            <w:tcMar>
              <w:bottom w:w="0" w:type="dxa"/>
            </w:tcMar>
            <w:vAlign w:val="center"/>
          </w:tcPr>
          <w:p>
            <w:pPr>
              <w:pStyle w:val="TableContents"/>
              <w:bidi w:val="0"/>
              <w:spacing w:before="0" w:after="283"/>
              <w:jc w:val="right"/>
              <w:rPr/>
            </w:pPr>
            <w:r>
              <w:rPr/>
              <w:t>1,083,096</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right"/>
              <w:rPr/>
            </w:pPr>
            <w:r>
              <w:rPr/>
              <w:t>​</w:t>
            </w:r>
          </w:p>
        </w:tc>
        <w:tc>
          <w:tcPr>
            <w:tcW w:w="916" w:type="dxa"/>
            <w:tcBorders/>
            <w:shd w:fill="E6EEF8" w:val="clear"/>
            <w:tcMar>
              <w:bottom w:w="0" w:type="dxa"/>
            </w:tcMar>
            <w:vAlign w:val="center"/>
          </w:tcPr>
          <w:p>
            <w:pPr>
              <w:pStyle w:val="TableContents"/>
              <w:bidi w:val="0"/>
              <w:spacing w:before="0" w:after="283"/>
              <w:jc w:val="righ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09" w:type="dxa"/>
            <w:tcBorders/>
            <w:shd w:fill="E6EEF8" w:val="clear"/>
            <w:tcMar>
              <w:bottom w:w="0" w:type="dxa"/>
            </w:tcMar>
            <w:vAlign w:val="center"/>
          </w:tcPr>
          <w:p>
            <w:pPr>
              <w:pStyle w:val="TableContents"/>
              <w:bidi w:val="0"/>
              <w:spacing w:before="0" w:after="283"/>
              <w:jc w:val="right"/>
              <w:rPr/>
            </w:pPr>
            <w:r>
              <w:rPr/>
              <w:t>​</w:t>
            </w:r>
          </w:p>
        </w:tc>
        <w:tc>
          <w:tcPr>
            <w:tcW w:w="1066" w:type="dxa"/>
            <w:tcBorders/>
            <w:shd w:fill="E6EEF8" w:val="clear"/>
            <w:tcMar>
              <w:bottom w:w="0" w:type="dxa"/>
            </w:tcMar>
            <w:vAlign w:val="center"/>
          </w:tcPr>
          <w:p>
            <w:pPr>
              <w:pStyle w:val="TableContents"/>
              <w:bidi w:val="0"/>
              <w:spacing w:before="0" w:after="283"/>
              <w:jc w:val="right"/>
              <w:rPr/>
            </w:pPr>
            <w:r>
              <w:rPr/>
              <w:t>​</w:t>
            </w:r>
          </w:p>
        </w:tc>
        <w:tc>
          <w:tcPr>
            <w:tcW w:w="109" w:type="dxa"/>
            <w:tcBorders/>
            <w:shd w:fill="E6EEF8" w:val="clear"/>
            <w:tcMar>
              <w:bottom w:w="0" w:type="dxa"/>
            </w:tcMar>
            <w:vAlign w:val="center"/>
          </w:tcPr>
          <w:p>
            <w:pPr>
              <w:pStyle w:val="TableContents"/>
              <w:bidi w:val="0"/>
              <w:spacing w:before="0" w:after="283"/>
              <w:jc w:val="left"/>
              <w:rPr/>
            </w:pPr>
            <w:r>
              <w:rPr/>
              <w:t>​</w:t>
            </w:r>
          </w:p>
        </w:tc>
        <w:tc>
          <w:tcPr>
            <w:tcW w:w="154" w:type="dxa"/>
            <w:tcBorders/>
            <w:shd w:fill="E6EEF8" w:val="clear"/>
            <w:tcMar>
              <w:bottom w:w="0"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10" w:after="0"/>
        <w:ind w:left="108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Reflects Time-Vested Units that vest over 5 years, with 20% vesting on the 12-month anniversary of the vesting commencement date, which is the same as the grant date, and an additional 20% vesting every year thereafter. For Messrs. Boyle and Pigott, a portion of Time-Vested Units will accelerate upon a termination by us without Cause, by the executive for Good Reason, or due to disability. If such termination occurs prior to the first anniversary of the vesting commencement date, 20% of the Time-Vested Units will become vested. If such termination occurs after the first anniversary of the vesting commencement date, the number of Time-Vested Units that will become vested will be calculated </w:t>
      </w:r>
      <w:r>
        <mc:AlternateContent>
          <mc:Choice Requires="wps">
            <w:drawing>
              <wp:anchor behindDoc="0" distT="69850" distB="0" distL="0" distR="0" simplePos="0" locked="0" layoutInCell="1" allowOverlap="1" relativeHeight="401">
                <wp:simplePos x="0" y="0"/>
                <wp:positionH relativeFrom="column">
                  <wp:align>left</wp:align>
                </wp:positionH>
                <wp:positionV relativeFrom="line">
                  <wp:align>top</wp:align>
                </wp:positionV>
                <wp:extent cx="228600" cy="350520"/>
                <wp:effectExtent l="0" t="0" r="0" b="0"/>
                <wp:wrapSquare wrapText="right"/>
                <wp:docPr id="395" name="Frame2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00" w:before="400" w:after="570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by multiplying (x) 20% of the Time-Vested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Management Incentive Plan Awards, which awards are initially expressed as “dollars at work” and converted into a number of Time-Vested Units in the fiscal year following the service inception date based on Company and individual performance against the performance goals specified in the Management Incentive Plan. For additional details, see </w:t>
      </w:r>
      <w:r>
        <w:rPr>
          <w:rFonts w:ascii="Arial;Helvetica;sans-serif" w:hAnsi="Arial;Helvetica;sans-serif"/>
          <w:b w:val="false"/>
          <w:i/>
          <w:caps w:val="false"/>
          <w:smallCaps w:val="false"/>
          <w:color w:val="000000"/>
          <w:sz w:val="16"/>
        </w:rPr>
        <w:t>2025 Compensation Elements — Long-Term Equity Incentive Compensation — 2025 MIP Awards</w:t>
      </w:r>
      <w:r>
        <w:rPr>
          <w:rFonts w:ascii="Arial;Helvetica;sans-serif" w:hAnsi="Arial;Helvetica;sans-serif"/>
          <w:b w:val="false"/>
          <w:i w:val="false"/>
          <w:caps w:val="false"/>
          <w:smallCaps w:val="false"/>
          <w:color w:val="000000"/>
          <w:spacing w:val="-1"/>
          <w:sz w:val="16"/>
        </w:rPr>
        <w:t xml:space="preserve"> and footnote 3 to the </w:t>
      </w:r>
      <w:r>
        <w:rPr>
          <w:rFonts w:ascii="Arial;Helvetica;sans-serif" w:hAnsi="Arial;Helvetica;sans-serif"/>
          <w:b w:val="false"/>
          <w:i/>
          <w:caps w:val="false"/>
          <w:smallCaps w:val="false"/>
          <w:color w:val="000000"/>
          <w:sz w:val="16"/>
        </w:rPr>
        <w:t>Summary Compensation Table</w:t>
      </w:r>
      <w:r>
        <w:rPr>
          <w:rFonts w:ascii="Arial;Helvetica;sans-serif" w:hAnsi="Arial;Helvetica;sans-serif"/>
          <w:b w:val="false"/>
          <w:i w:val="false"/>
          <w:caps w:val="false"/>
          <w:smallCaps w:val="false"/>
          <w:color w:val="000000"/>
          <w:spacing w:val="-1"/>
          <w:sz w:val="16"/>
        </w:rPr>
        <w:t>.</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Reflects 2025 MIP Awards based on actual performance through December 31, 2025. Values are based on $42.00, the closing price of Medline Inc. common stock on December 31, 2025. The earned dollars at work were multiplied by a Black-Scholes factor of 27.2% and converted into a number of RSUs on March 5, 2026 by dividing such amount by the IPO price of Medline Inc. common stock, which was $29.00. For additional details, see </w:t>
      </w:r>
      <w:r>
        <w:rPr>
          <w:rFonts w:ascii="Arial;Helvetica;sans-serif" w:hAnsi="Arial;Helvetica;sans-serif"/>
          <w:b w:val="false"/>
          <w:i/>
          <w:caps w:val="false"/>
          <w:smallCaps w:val="false"/>
          <w:color w:val="000000"/>
          <w:sz w:val="16"/>
        </w:rPr>
        <w:t>2025 Compensation Elements — Long-Term Equity Incentive Compensation — 2025 MIP Awards</w:t>
      </w:r>
      <w:r>
        <w:rPr>
          <w:rFonts w:ascii="Arial;Helvetica;sans-serif" w:hAnsi="Arial;Helvetica;sans-serif"/>
          <w:b w:val="false"/>
          <w:i w:val="false"/>
          <w:caps w:val="false"/>
          <w:smallCaps w:val="false"/>
          <w:color w:val="000000"/>
          <w:spacing w:val="-1"/>
          <w:sz w:val="16"/>
        </w:rPr>
        <w:t xml:space="preserve"> and footnote 2 to the </w:t>
      </w:r>
      <w:r>
        <w:rPr>
          <w:rFonts w:ascii="Arial;Helvetica;sans-serif" w:hAnsi="Arial;Helvetica;sans-serif"/>
          <w:b w:val="false"/>
          <w:i/>
          <w:caps w:val="false"/>
          <w:smallCaps w:val="false"/>
          <w:color w:val="000000"/>
          <w:sz w:val="16"/>
        </w:rPr>
        <w:t>Summary Compensation Table</w:t>
      </w:r>
      <w:r>
        <w:rPr>
          <w:rFonts w:ascii="Arial;Helvetica;sans-serif" w:hAnsi="Arial;Helvetica;sans-serif"/>
          <w:b w:val="false"/>
          <w:i w:val="false"/>
          <w:caps w:val="false"/>
          <w:smallCaps w:val="false"/>
          <w:color w:val="000000"/>
          <w:spacing w:val="-1"/>
          <w:sz w:val="16"/>
        </w:rPr>
        <w: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02">
                <wp:simplePos x="0" y="0"/>
                <wp:positionH relativeFrom="column">
                  <wp:align>left</wp:align>
                </wp:positionH>
                <wp:positionV relativeFrom="line">
                  <wp:align>top</wp:align>
                </wp:positionV>
                <wp:extent cx="228600" cy="350520"/>
                <wp:effectExtent l="0" t="0" r="0" b="0"/>
                <wp:wrapSquare wrapText="right"/>
                <wp:docPr id="396" name="Frame2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Performance-Vested Units that vest based on achievement of performance metrics tied to multiples of our Sponsors’ invested capital in Holdings (2.25x MOIC). The value of our business had not appreciated to a level that would have created value in the Performance-Vested Units as of the date of the Company’s most recent valuation prior to December 31, 2025. Therefore, we believe the market value of the Performance-Vested Units was zero on that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03">
                <wp:simplePos x="0" y="0"/>
                <wp:positionH relativeFrom="column">
                  <wp:align>left</wp:align>
                </wp:positionH>
                <wp:positionV relativeFrom="line">
                  <wp:align>top</wp:align>
                </wp:positionV>
                <wp:extent cx="228600" cy="350520"/>
                <wp:effectExtent l="0" t="0" r="0" b="0"/>
                <wp:wrapSquare wrapText="right"/>
                <wp:docPr id="397" name="Frame2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Performance-Vested Units that vest based on achievement of performance metrics tied to multiples of our Sponsors’ invested capital in Holdings (2.50x MOIC). The value of our business had not appreciated to a level that would have created value in the Performance-Vested Units as of the date of the Company’s most recent valuation prior to December 31, 2025. Therefore, we believe the market value of the Performance-Vested Units was zero on that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04">
                <wp:simplePos x="0" y="0"/>
                <wp:positionH relativeFrom="column">
                  <wp:align>left</wp:align>
                </wp:positionH>
                <wp:positionV relativeFrom="line">
                  <wp:align>top</wp:align>
                </wp:positionV>
                <wp:extent cx="228600" cy="350520"/>
                <wp:effectExtent l="0" t="0" r="0" b="0"/>
                <wp:wrapSquare wrapText="right"/>
                <wp:docPr id="398" name="Frame2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Performance-Vested Units that vest based on achievement of performance metrics tied to multiples of our Sponsors’ invested capital in Holdings (2.75x MOIC). The value of our business had not appreciated to a level that would have created value in the Performance-Vested Units as of the date of the Company’s most recent valuation prior to December 31, 2025. Therefore, we believe the market value of the Performance-Vested Units was zero on that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05">
                <wp:simplePos x="0" y="0"/>
                <wp:positionH relativeFrom="column">
                  <wp:align>left</wp:align>
                </wp:positionH>
                <wp:positionV relativeFrom="line">
                  <wp:align>top</wp:align>
                </wp:positionV>
                <wp:extent cx="228600" cy="350520"/>
                <wp:effectExtent l="0" t="0" r="0" b="0"/>
                <wp:wrapSquare wrapText="right"/>
                <wp:docPr id="399" name="Frame2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Time-Vested Units that vest over 5 years, with 20% vesting on the 12-month anniversary of the vesting commencement date and an additional 20% vesting every year thereafter.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06">
                <wp:simplePos x="0" y="0"/>
                <wp:positionH relativeFrom="column">
                  <wp:align>left</wp:align>
                </wp:positionH>
                <wp:positionV relativeFrom="line">
                  <wp:align>top</wp:align>
                </wp:positionV>
                <wp:extent cx="228600" cy="350520"/>
                <wp:effectExtent l="0" t="0" r="0" b="0"/>
                <wp:wrapSquare wrapText="right"/>
                <wp:docPr id="400" name="Frame2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(6)</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In accordance with the Pigott Transition Agreement, Mr. Pigott was entitled to accelerated vesting of certain time-vesting Incentive Units upon his retirement on December 31, 2025. All of Mr. Pigott’s remaining unvested time-vested and performance-vested Incentive Units were cancelled and forfeited for no consideration on Mr. Pigott’s termination date. As such, Mr. Pigott held no outstanding equity awards on December 31, 2025. See </w:t>
      </w:r>
      <w:r>
        <w:rPr>
          <w:rFonts w:ascii="Arial;Helvetica;sans-serif" w:hAnsi="Arial;Helvetica;sans-serif"/>
          <w:b w:val="false"/>
          <w:i/>
          <w:caps w:val="false"/>
          <w:smallCaps w:val="false"/>
          <w:color w:val="000000"/>
          <w:sz w:val="18"/>
        </w:rPr>
        <w:t>Narrative Disclosure to Summary Compensation Table and Grants of Plan-Based Awards Table — Agreements with Named Executive Officers — Employment Agreement and Transition and Separation Agreement with Mr. Pigott</w:t>
      </w:r>
      <w:r>
        <w:rPr>
          <w:rFonts w:ascii="Arial;Helvetica;sans-serif" w:hAnsi="Arial;Helvetica;sans-serif"/>
          <w:b w:val="false"/>
          <w:i/>
          <w:caps w:val="false"/>
          <w:smallCaps w:val="false"/>
          <w:color w:val="000000"/>
          <w:spacing w:val="-1"/>
          <w:sz w:val="18"/>
        </w:rPr>
        <w:t xml:space="preserve"> </w:t>
      </w:r>
      <w:r>
        <w:rPr>
          <w:rFonts w:ascii="Arial;Helvetica;sans-serif" w:hAnsi="Arial;Helvetica;sans-serif"/>
          <w:b w:val="false"/>
          <w:i w:val="false"/>
          <w:caps w:val="false"/>
          <w:smallCaps w:val="false"/>
          <w:color w:val="000000"/>
          <w:spacing w:val="-1"/>
          <w:sz w:val="18"/>
        </w:rPr>
        <w:t xml:space="preserve">and </w:t>
      </w:r>
      <w:r>
        <w:rPr>
          <w:rFonts w:ascii="Arial;Helvetica;sans-serif" w:hAnsi="Arial;Helvetica;sans-serif"/>
          <w:b w:val="false"/>
          <w:i/>
          <w:caps w:val="false"/>
          <w:smallCaps w:val="false"/>
          <w:color w:val="000000"/>
          <w:sz w:val="18"/>
        </w:rPr>
        <w:t>Potential Payments Upon Termination or Change in Control — Accelerated Vesting of Equity Awards</w:t>
      </w:r>
      <w:r>
        <w:rPr>
          <w:rFonts w:ascii="Arial;Helvetica;sans-serif" w:hAnsi="Arial;Helvetica;sans-serif"/>
          <w:b w:val="false"/>
          <w:i/>
          <w:caps w:val="false"/>
          <w:smallCaps w:val="false"/>
          <w:color w:val="000000"/>
          <w:spacing w:val="-1"/>
          <w:sz w:val="18"/>
        </w:rPr>
        <w:t xml:space="preserve"> </w:t>
      </w:r>
      <w:r>
        <w:rPr>
          <w:rFonts w:ascii="Arial;Helvetica;sans-serif" w:hAnsi="Arial;Helvetica;sans-serif"/>
          <w:b w:val="false"/>
          <w:i w:val="false"/>
          <w:caps w:val="false"/>
          <w:smallCaps w:val="false"/>
          <w:color w:val="000000"/>
          <w:spacing w:val="-1"/>
          <w:sz w:val="18"/>
        </w:rPr>
        <w:t xml:space="preserve">for additional information.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8370"/>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O</w:t>
      </w:r>
      <w:r>
        <w:rPr>
          <w:rFonts w:ascii="Arial;Helvetica;sans-serif" w:hAnsi="Arial;Helvetica;sans-serif"/>
          <w:b/>
          <w:i w:val="false"/>
          <w:caps w:val="false"/>
          <w:smallCaps w:val="false"/>
          <w:color w:val="0055B7"/>
          <w:spacing w:val="-3"/>
          <w:sz w:val="24"/>
        </w:rPr>
        <w:t>PTION</w:t>
      </w:r>
      <w:r>
        <w:rPr>
          <w:rFonts w:ascii="Arial;Helvetica;sans-serif" w:hAnsi="Arial;Helvetica;sans-serif"/>
          <w:b/>
          <w:i w:val="false"/>
          <w:caps w:val="false"/>
          <w:smallCaps w:val="false"/>
          <w:color w:val="0055B7"/>
          <w:spacing w:val="-3"/>
          <w:sz w:val="24"/>
        </w:rPr>
        <w:t xml:space="preserve"> E</w:t>
      </w:r>
      <w:r>
        <w:rPr>
          <w:rFonts w:ascii="Arial;Helvetica;sans-serif" w:hAnsi="Arial;Helvetica;sans-serif"/>
          <w:b/>
          <w:i w:val="false"/>
          <w:caps w:val="false"/>
          <w:smallCaps w:val="false"/>
          <w:color w:val="0055B7"/>
          <w:spacing w:val="-3"/>
          <w:sz w:val="24"/>
        </w:rPr>
        <w:t>XERCISES AND</w:t>
      </w:r>
      <w:r>
        <w:rPr>
          <w:rFonts w:ascii="Arial;Helvetica;sans-serif" w:hAnsi="Arial;Helvetica;sans-serif"/>
          <w:b/>
          <w:i w:val="false"/>
          <w:caps w:val="false"/>
          <w:smallCaps w:val="false"/>
          <w:color w:val="0055B7"/>
          <w:spacing w:val="-3"/>
          <w:sz w:val="24"/>
        </w:rPr>
        <w:t xml:space="preserve"> S</w:t>
      </w:r>
      <w:r>
        <w:rPr>
          <w:rFonts w:ascii="Arial;Helvetica;sans-serif" w:hAnsi="Arial;Helvetica;sans-serif"/>
          <w:b/>
          <w:i w:val="false"/>
          <w:caps w:val="false"/>
          <w:smallCaps w:val="false"/>
          <w:color w:val="0055B7"/>
          <w:spacing w:val="-3"/>
          <w:sz w:val="24"/>
        </w:rPr>
        <w:t>TOCK</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ESTED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provides information regarding the amounts received by our NEOs upon exercise of options or similar instruments or the vesting of stock or similar instruments during the fiscal year ended December 31, 2025.</w:t>
      </w:r>
      <w:r>
        <w:rPr>
          <w:rFonts w:ascii="Arial;Helvetica;sans-serif" w:hAnsi="Arial;Helvetica;sans-serif"/>
          <w:b w:val="false"/>
          <w:i w:val="false"/>
          <w:caps w:val="false"/>
          <w:smallCaps w:val="false"/>
          <w:color w:val="000000"/>
          <w:spacing w:val="4"/>
          <w:sz w:val="18"/>
        </w:rPr>
        <w:t xml:space="preserve"> </w:t>
      </w:r>
    </w:p>
    <w:tbl>
      <w:tblPr>
        <w:tblW w:w="5691" w:type="dxa"/>
        <w:jc w:val="left"/>
        <w:tblInd w:w="720" w:type="dxa"/>
        <w:tblLayout w:type="fixed"/>
        <w:tblCellMar>
          <w:top w:w="0" w:type="dxa"/>
          <w:left w:w="0" w:type="dxa"/>
          <w:bottom w:w="28" w:type="dxa"/>
          <w:right w:w="0" w:type="dxa"/>
        </w:tblCellMar>
      </w:tblPr>
      <w:tblGrid>
        <w:gridCol w:w="124"/>
        <w:gridCol w:w="2071"/>
        <w:gridCol w:w="109"/>
        <w:gridCol w:w="109"/>
        <w:gridCol w:w="109"/>
        <w:gridCol w:w="109"/>
        <w:gridCol w:w="1066"/>
        <w:gridCol w:w="109"/>
        <w:gridCol w:w="109"/>
        <w:gridCol w:w="109"/>
        <w:gridCol w:w="109"/>
        <w:gridCol w:w="109"/>
        <w:gridCol w:w="118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124" w:type="dxa"/>
            <w:gridSpan w:val="10"/>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071"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Number of </w:t>
              <w:br/>
              <w:t xml:space="preserve">Shares </w:t>
              <w:br/>
              <w:t xml:space="preserve">Acquired on </w:t>
              <w:br/>
              <w:t>Vesting</w:t>
            </w:r>
            <w:r>
              <w:rPr/>
              <w:t xml:space="preserve"> </w:t>
              <w:br/>
            </w:r>
            <w:r>
              <w:rPr>
                <w:spacing w:val="-2"/>
              </w:rPr>
              <w:t>(#)</w:t>
            </w:r>
            <w:r>
              <w:rPr>
                <w:spacing w:val="-2"/>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Value </w:t>
              <w:br/>
              <w:t xml:space="preserve">Realized on </w:t>
              <w:br/>
              <w:t>Vesting</w:t>
            </w:r>
            <w:r>
              <w:rPr/>
              <w:t xml:space="preserve"> </w:t>
              <w:br/>
            </w:r>
            <w:r>
              <w:rPr>
                <w:spacing w:val="-2"/>
              </w:rPr>
              <w:t>($)</w:t>
            </w:r>
            <w:r>
              <w:rPr>
                <w:spacing w:val="-2"/>
                <w:sz w:val="10"/>
              </w:rPr>
              <w:t>(2)</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071" w:type="dxa"/>
            <w:tcBorders>
              <w:bottom w:val="single" w:sz="6" w:space="0" w:color="000000"/>
            </w:tcBorders>
            <w:tcMar>
              <w:bottom w:w="45" w:type="dxa"/>
            </w:tcMar>
            <w:vAlign w:val="center"/>
          </w:tcPr>
          <w:p>
            <w:pPr>
              <w:pStyle w:val="TableContents"/>
              <w:bidi w:val="0"/>
              <w:spacing w:before="0" w:after="0"/>
              <w:jc w:val="left"/>
              <w:rPr>
                <w:b/>
                <w:spacing w:val="0"/>
              </w:rPr>
            </w:pPr>
            <w:r>
              <w:rPr>
                <w:b/>
                <w:spacing w:val="0"/>
              </w:rPr>
              <w:t xml:space="preserve">James M. Boyle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066" w:type="dxa"/>
            <w:tcBorders>
              <w:bottom w:val="single" w:sz="6" w:space="0" w:color="000000"/>
            </w:tcBorders>
            <w:tcMar>
              <w:bottom w:w="45" w:type="dxa"/>
            </w:tcMar>
            <w:vAlign w:val="center"/>
          </w:tcPr>
          <w:p>
            <w:pPr>
              <w:pStyle w:val="TableContents"/>
              <w:bidi w:val="0"/>
              <w:spacing w:before="0" w:after="283"/>
              <w:jc w:val="right"/>
              <w:rPr/>
            </w:pPr>
            <w:r>
              <w:rPr/>
              <w:t>799,632</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45" w:type="dxa"/>
            </w:tcMar>
            <w:vAlign w:val="center"/>
          </w:tcPr>
          <w:p>
            <w:pPr>
              <w:pStyle w:val="TableContents"/>
              <w:bidi w:val="0"/>
              <w:spacing w:before="0" w:after="283"/>
              <w:jc w:val="right"/>
              <w:rPr/>
            </w:pPr>
            <w:r>
              <w:rPr/>
              <w:t>11,777,744</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2071" w:type="dxa"/>
            <w:tcBorders>
              <w:bottom w:val="single" w:sz="6" w:space="0" w:color="000000"/>
            </w:tcBorders>
            <w:shd w:fill="E6EEF8" w:val="clear"/>
            <w:tcMar>
              <w:bottom w:w="45" w:type="dxa"/>
            </w:tcMar>
            <w:vAlign w:val="center"/>
          </w:tcPr>
          <w:p>
            <w:pPr>
              <w:pStyle w:val="TableContents"/>
              <w:bidi w:val="0"/>
              <w:spacing w:before="0" w:after="0"/>
              <w:jc w:val="left"/>
              <w:rPr>
                <w:b/>
                <w:spacing w:val="0"/>
              </w:rPr>
            </w:pPr>
            <w:r>
              <w:rPr>
                <w:b/>
                <w:spacing w:val="0"/>
              </w:rPr>
              <w:t xml:space="preserve">Michael B. Drazin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45" w:type="dxa"/>
            </w:tcMar>
            <w:vAlign w:val="center"/>
          </w:tcPr>
          <w:p>
            <w:pPr>
              <w:pStyle w:val="TableContents"/>
              <w:bidi w:val="0"/>
              <w:spacing w:before="0" w:after="283"/>
              <w:jc w:val="right"/>
              <w:rPr/>
            </w:pPr>
            <w:r>
              <w:rPr/>
              <w:t>506,913</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186" w:type="dxa"/>
            <w:tcBorders>
              <w:bottom w:val="single" w:sz="6" w:space="0" w:color="000000"/>
            </w:tcBorders>
            <w:shd w:fill="E6EEF8" w:val="clear"/>
            <w:tcMar>
              <w:bottom w:w="45" w:type="dxa"/>
            </w:tcMar>
            <w:vAlign w:val="center"/>
          </w:tcPr>
          <w:p>
            <w:pPr>
              <w:pStyle w:val="TableContents"/>
              <w:bidi w:val="0"/>
              <w:spacing w:before="0" w:after="283"/>
              <w:jc w:val="right"/>
              <w:rPr/>
            </w:pPr>
            <w:r>
              <w:rPr/>
              <w:t>7,848,576</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071" w:type="dxa"/>
            <w:tcBorders>
              <w:bottom w:val="single" w:sz="6" w:space="0" w:color="000000"/>
            </w:tcBorders>
            <w:tcMar>
              <w:bottom w:w="45" w:type="dxa"/>
            </w:tcMar>
            <w:vAlign w:val="center"/>
          </w:tcPr>
          <w:p>
            <w:pPr>
              <w:pStyle w:val="TableContents"/>
              <w:bidi w:val="0"/>
              <w:spacing w:before="0" w:after="0"/>
              <w:jc w:val="left"/>
              <w:rPr>
                <w:b/>
                <w:spacing w:val="0"/>
              </w:rPr>
            </w:pPr>
            <w:r>
              <w:rPr>
                <w:b/>
                <w:spacing w:val="0"/>
              </w:rPr>
              <w:t xml:space="preserve">James M. Pigott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066" w:type="dxa"/>
            <w:tcBorders>
              <w:bottom w:val="single" w:sz="6" w:space="0" w:color="000000"/>
            </w:tcBorders>
            <w:tcMar>
              <w:bottom w:w="45" w:type="dxa"/>
            </w:tcMar>
            <w:vAlign w:val="center"/>
          </w:tcPr>
          <w:p>
            <w:pPr>
              <w:pStyle w:val="TableContents"/>
              <w:bidi w:val="0"/>
              <w:spacing w:before="0" w:after="283"/>
              <w:jc w:val="right"/>
              <w:rPr/>
            </w:pPr>
            <w:r>
              <w:rPr/>
              <w:t>1,008,005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45" w:type="dxa"/>
            </w:tcMar>
            <w:vAlign w:val="center"/>
          </w:tcPr>
          <w:p>
            <w:pPr>
              <w:pStyle w:val="TableContents"/>
              <w:bidi w:val="0"/>
              <w:spacing w:before="0" w:after="283"/>
              <w:jc w:val="right"/>
              <w:rPr/>
            </w:pPr>
            <w:r>
              <w:rPr/>
              <w:t>18,947,619</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2071" w:type="dxa"/>
            <w:tcBorders>
              <w:bottom w:val="single" w:sz="6" w:space="0" w:color="000000"/>
            </w:tcBorders>
            <w:shd w:fill="E6EEF8" w:val="clear"/>
            <w:tcMar>
              <w:bottom w:w="45" w:type="dxa"/>
            </w:tcMar>
            <w:vAlign w:val="center"/>
          </w:tcPr>
          <w:p>
            <w:pPr>
              <w:pStyle w:val="TableContents"/>
              <w:bidi w:val="0"/>
              <w:spacing w:before="0" w:after="0"/>
              <w:jc w:val="left"/>
              <w:rPr>
                <w:b/>
                <w:spacing w:val="0"/>
              </w:rPr>
            </w:pPr>
            <w:r>
              <w:rPr>
                <w:b/>
                <w:spacing w:val="0"/>
              </w:rPr>
              <w:t xml:space="preserve">Douglas P. Golwas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066" w:type="dxa"/>
            <w:tcBorders>
              <w:bottom w:val="single" w:sz="6" w:space="0" w:color="000000"/>
            </w:tcBorders>
            <w:shd w:fill="E6EEF8" w:val="clear"/>
            <w:tcMar>
              <w:bottom w:w="45" w:type="dxa"/>
            </w:tcMar>
            <w:vAlign w:val="center"/>
          </w:tcPr>
          <w:p>
            <w:pPr>
              <w:pStyle w:val="TableContents"/>
              <w:bidi w:val="0"/>
              <w:spacing w:before="0" w:after="283"/>
              <w:jc w:val="right"/>
              <w:rPr/>
            </w:pPr>
            <w:r>
              <w:rPr/>
              <w:t>356,473</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186" w:type="dxa"/>
            <w:tcBorders>
              <w:bottom w:val="single" w:sz="6" w:space="0" w:color="000000"/>
            </w:tcBorders>
            <w:shd w:fill="E6EEF8" w:val="clear"/>
            <w:tcMar>
              <w:bottom w:w="45" w:type="dxa"/>
            </w:tcMar>
            <w:vAlign w:val="center"/>
          </w:tcPr>
          <w:p>
            <w:pPr>
              <w:pStyle w:val="TableContents"/>
              <w:bidi w:val="0"/>
              <w:spacing w:before="0" w:after="283"/>
              <w:jc w:val="right"/>
              <w:rPr/>
            </w:pPr>
            <w:r>
              <w:rPr/>
              <w:t>5,503,398</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071" w:type="dxa"/>
            <w:tcBorders>
              <w:bottom w:val="single" w:sz="6" w:space="0" w:color="000000"/>
            </w:tcBorders>
            <w:tcMar>
              <w:bottom w:w="30" w:type="dxa"/>
            </w:tcMar>
            <w:vAlign w:val="center"/>
          </w:tcPr>
          <w:p>
            <w:pPr>
              <w:pStyle w:val="TableContents"/>
              <w:bidi w:val="0"/>
              <w:spacing w:before="0" w:after="0"/>
              <w:jc w:val="left"/>
              <w:rPr>
                <w:b/>
                <w:spacing w:val="0"/>
              </w:rPr>
            </w:pPr>
            <w:r>
              <w:rPr>
                <w:b/>
                <w:spacing w:val="0"/>
              </w:rPr>
              <w:t xml:space="preserve">Stephen L. Miller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0" w:type="dxa"/>
            </w:tcMar>
            <w:vAlign w:val="center"/>
          </w:tcPr>
          <w:p>
            <w:pPr>
              <w:pStyle w:val="TableContents"/>
              <w:bidi w:val="0"/>
              <w:spacing w:before="0" w:after="283"/>
              <w:jc w:val="right"/>
              <w:rPr/>
            </w:pPr>
            <w:r>
              <w:rPr/>
              <w:t>​</w:t>
            </w:r>
          </w:p>
        </w:tc>
        <w:tc>
          <w:tcPr>
            <w:tcW w:w="1066" w:type="dxa"/>
            <w:tcBorders>
              <w:bottom w:val="single" w:sz="6" w:space="0" w:color="000000"/>
            </w:tcBorders>
            <w:tcMar>
              <w:bottom w:w="30" w:type="dxa"/>
            </w:tcMar>
            <w:vAlign w:val="center"/>
          </w:tcPr>
          <w:p>
            <w:pPr>
              <w:pStyle w:val="TableContents"/>
              <w:bidi w:val="0"/>
              <w:spacing w:before="0" w:after="283"/>
              <w:jc w:val="right"/>
              <w:rPr/>
            </w:pPr>
            <w:r>
              <w:rPr/>
              <w:t>255,035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30" w:type="dxa"/>
            </w:tcMar>
            <w:vAlign w:val="center"/>
          </w:tcPr>
          <w:p>
            <w:pPr>
              <w:pStyle w:val="TableContents"/>
              <w:bidi w:val="0"/>
              <w:spacing w:before="0" w:after="283"/>
              <w:jc w:val="right"/>
              <w:rPr/>
            </w:pPr>
            <w:r>
              <w:rPr/>
              <w:t>​</w:t>
            </w:r>
          </w:p>
        </w:tc>
        <w:tc>
          <w:tcPr>
            <w:tcW w:w="1186" w:type="dxa"/>
            <w:tcBorders>
              <w:bottom w:val="single" w:sz="6" w:space="0" w:color="000000"/>
            </w:tcBorders>
            <w:tcMar>
              <w:bottom w:w="30" w:type="dxa"/>
            </w:tcMar>
            <w:vAlign w:val="center"/>
          </w:tcPr>
          <w:p>
            <w:pPr>
              <w:pStyle w:val="TableContents"/>
              <w:bidi w:val="0"/>
              <w:spacing w:before="0" w:after="283"/>
              <w:jc w:val="right"/>
              <w:rPr/>
            </w:pPr>
            <w:r>
              <w:rPr/>
              <w:t>2,876,222</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time-vested Incentive Units that vested during fiscal year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407">
                <wp:simplePos x="0" y="0"/>
                <wp:positionH relativeFrom="column">
                  <wp:align>left</wp:align>
                </wp:positionH>
                <wp:positionV relativeFrom="line">
                  <wp:align>top</wp:align>
                </wp:positionV>
                <wp:extent cx="228600" cy="254000"/>
                <wp:effectExtent l="0" t="0" r="0" b="0"/>
                <wp:wrapSquare wrapText="right"/>
                <wp:docPr id="401" name="Frame249"/>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Amounts reported are based upon the appreciation in the value of our business from and after the date of grant through the applicable vesting date based on the most recent valuation prior to the applicable vesting date. </w:t>
      </w:r>
      <w:r>
        <mc:AlternateContent>
          <mc:Choice Requires="wps">
            <w:drawing>
              <wp:anchor behindDoc="0" distT="50800" distB="0" distL="0" distR="0" simplePos="0" locked="0" layoutInCell="1" allowOverlap="1" relativeHeight="408">
                <wp:simplePos x="0" y="0"/>
                <wp:positionH relativeFrom="column">
                  <wp:align>left</wp:align>
                </wp:positionH>
                <wp:positionV relativeFrom="line">
                  <wp:align>top</wp:align>
                </wp:positionV>
                <wp:extent cx="228600" cy="254000"/>
                <wp:effectExtent l="0" t="0" r="0" b="0"/>
                <wp:wrapSquare wrapText="right"/>
                <wp:docPr id="402" name="Frame250"/>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65</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1313"/>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P</w:t>
      </w:r>
      <w:r>
        <w:rPr>
          <w:rFonts w:ascii="Arial;Helvetica;sans-serif" w:hAnsi="Arial;Helvetica;sans-serif"/>
          <w:b/>
          <w:i w:val="false"/>
          <w:caps w:val="false"/>
          <w:smallCaps w:val="false"/>
          <w:color w:val="0055B7"/>
          <w:spacing w:val="-3"/>
          <w:sz w:val="24"/>
        </w:rPr>
        <w:t>OTENTIAL</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AYMENTS</w:t>
      </w:r>
      <w:r>
        <w:rPr>
          <w:rFonts w:ascii="Arial;Helvetica;sans-serif" w:hAnsi="Arial;Helvetica;sans-serif"/>
          <w:b/>
          <w:i w:val="false"/>
          <w:caps w:val="false"/>
          <w:smallCaps w:val="false"/>
          <w:color w:val="0055B7"/>
          <w:spacing w:val="-3"/>
          <w:sz w:val="24"/>
        </w:rPr>
        <w:t xml:space="preserve"> U</w:t>
      </w:r>
      <w:r>
        <w:rPr>
          <w:rFonts w:ascii="Arial;Helvetica;sans-serif" w:hAnsi="Arial;Helvetica;sans-serif"/>
          <w:b/>
          <w:i w:val="false"/>
          <w:caps w:val="false"/>
          <w:smallCaps w:val="false"/>
          <w:color w:val="0055B7"/>
          <w:spacing w:val="-3"/>
          <w:sz w:val="24"/>
        </w:rPr>
        <w:t>PON</w:t>
      </w:r>
      <w:r>
        <w:rPr>
          <w:rFonts w:ascii="Arial;Helvetica;sans-serif" w:hAnsi="Arial;Helvetica;sans-serif"/>
          <w:b/>
          <w:i w:val="false"/>
          <w:caps w:val="false"/>
          <w:smallCaps w:val="false"/>
          <w:color w:val="0055B7"/>
          <w:spacing w:val="-3"/>
          <w:sz w:val="24"/>
        </w:rPr>
        <w:t xml:space="preserve"> T</w:t>
      </w:r>
      <w:r>
        <w:rPr>
          <w:rFonts w:ascii="Arial;Helvetica;sans-serif" w:hAnsi="Arial;Helvetica;sans-serif"/>
          <w:b/>
          <w:i w:val="false"/>
          <w:caps w:val="false"/>
          <w:smallCaps w:val="false"/>
          <w:color w:val="0055B7"/>
          <w:spacing w:val="-3"/>
          <w:sz w:val="24"/>
        </w:rPr>
        <w:t>ERMINATION OR</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HANGE IN</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ONTROL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Severance Benefits Upon Termination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Each of our NEOs other than Mr. Pigott is entitled to severance payments and benefits as set forth in the Severance Plan. The severance payments and benefits payable to Mr. Pigott in connection with his departure are set forth in his transition agreement. These severance payments and benefits are summarized under </w:t>
      </w:r>
      <w:r>
        <w:rPr>
          <w:rFonts w:ascii="Arial;Helvetica;sans-serif" w:hAnsi="Arial;Helvetica;sans-serif"/>
          <w:b w:val="false"/>
          <w:i/>
          <w:caps w:val="false"/>
          <w:smallCaps w:val="false"/>
          <w:color w:val="000000"/>
          <w:sz w:val="18"/>
        </w:rPr>
        <w:t>Narrative Disclosure to Summary Compensation Table and Grants of Plan-Based Awards Table — Agreements with NEOs — Employment Agreement and Transition and Separation Agreement with Mr. Pigott</w:t>
      </w:r>
      <w:r>
        <w:rPr>
          <w:rFonts w:ascii="Arial;Helvetica;sans-serif" w:hAnsi="Arial;Helvetica;sans-serif"/>
          <w:b w:val="false"/>
          <w:i/>
          <w:caps w:val="false"/>
          <w:smallCaps w:val="false"/>
          <w:color w:val="000000"/>
          <w:spacing w:val="-1"/>
          <w:sz w:val="18"/>
        </w:rPr>
        <w:t xml:space="preserve"> </w:t>
      </w:r>
      <w:r>
        <w:rPr>
          <w:rFonts w:ascii="Arial;Helvetica;sans-serif" w:hAnsi="Arial;Helvetica;sans-serif"/>
          <w:b w:val="false"/>
          <w:i w:val="false"/>
          <w:caps w:val="false"/>
          <w:smallCaps w:val="false"/>
          <w:color w:val="000000"/>
          <w:spacing w:val="-1"/>
          <w:sz w:val="18"/>
        </w:rPr>
        <w:t>and — </w:t>
      </w:r>
      <w:r>
        <w:rPr>
          <w:rFonts w:ascii="Arial;Helvetica;sans-serif" w:hAnsi="Arial;Helvetica;sans-serif"/>
          <w:b w:val="false"/>
          <w:i/>
          <w:caps w:val="false"/>
          <w:smallCaps w:val="false"/>
          <w:color w:val="000000"/>
          <w:sz w:val="18"/>
        </w:rPr>
        <w:t>Narrative Disclosure to Summary Compensation Table and Grants of Plan-Based Awards Table — Severance Plan</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Accelerated Vesting of Equity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Mr. Boyle’s termination by us without “cause,” by him for “good reason” or due to disability after October 1, 2023 (a “Qualifying Termination”), provided that Mr. Boyle executes and does not revoke a release of claims, a pro-rata portion of each award of Time-Vested Units granted to him that would vest on the next anniversary of the applicable vesting commencement date occurring after the Qualifying Termination will become vested upon such Qualifying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Mr. Pigott’s retirement on December 31, 2025, a pro-rata portion of each award of time-vested Incentive Units granted to him that would vest on the next anniversary of the applicable vesting commencement date occurring after the termination date became vested. The number of time-vested Incentive Units that vested was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Mr. Pigott’s retirement, and the denominator of which is 4. For the time-vested Incentive Units granted to Mr. Pigott in October 2021, in addition to the pro-rata portion of the Time-Based Units that vest, another 5% of the time-vested Incentive Units vested upon his retirement. All of Mr. Pigott’s remaining unvested time-vested and performance-vested Incentive Units were cancelled and forfeited for no consideration on Mr. Pigott’s termination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Upon any other termination with respect to Messrs. Boyle and Pigott, all unvested Time-Vested Units and unvested Performance-Vested Units will, in each case, terminate and be forfeited immediately for no consideration. Upon any termination with respect to Messrs. Drazin, Miller, and Golwas, all unvested Time-Vested Units (and, for Mr. Miller, all unvested Performance-Vested Units) will terminate and be forfeited immediately for no consideration.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the event of a sale transaction (defined as described below), certain outstanding Time-Vested Unit awards held by certain of our NEOs will become fully vested. Specifically, all Time-Vested Units granted to Messrs. Boyle, Drazin, Pigott, and Golwas in October 2021 will become fully vested upon a sale transaction occurring while the NEO is employed. In addition, the Time-Vested Units granted to Messrs. Boyle and Pigott in October 2023 and the Time-Vested Units granted to Mr. Miller in connection with his Key Talent Award will become fully vested upon a sale transaction occurring while the NEO is employed. For purposes of accelerated vesting of certain Time-Vested Units, a sale transaction generally means 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Assuming a termination of employment effective as of December 31, 2025 (i) by us without cause, (ii) by the executive for good reason or (iii) due to the executive’s death or disability, each of the specified NEOs would have received the severance payments and benefits set forth in the table below. In addition, assuming the occurrence of a sale transaction effective on December 31, 2025, each of the specified NEOs would have realized the value in respect of accelerated vesting of certain Time-Vested Units set forth in the table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66</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tbl>
      <w:tblPr>
        <w:tblW w:w="9736" w:type="dxa"/>
        <w:jc w:val="left"/>
        <w:tblInd w:w="720" w:type="dxa"/>
        <w:tblLayout w:type="fixed"/>
        <w:tblCellMar>
          <w:top w:w="0" w:type="dxa"/>
          <w:left w:w="0" w:type="dxa"/>
          <w:bottom w:w="28" w:type="dxa"/>
          <w:right w:w="0" w:type="dxa"/>
        </w:tblCellMar>
      </w:tblPr>
      <w:tblGrid>
        <w:gridCol w:w="124"/>
        <w:gridCol w:w="931"/>
        <w:gridCol w:w="109"/>
        <w:gridCol w:w="109"/>
        <w:gridCol w:w="1415"/>
        <w:gridCol w:w="109"/>
        <w:gridCol w:w="109"/>
        <w:gridCol w:w="109"/>
        <w:gridCol w:w="109"/>
        <w:gridCol w:w="1186"/>
        <w:gridCol w:w="109"/>
        <w:gridCol w:w="109"/>
        <w:gridCol w:w="109"/>
        <w:gridCol w:w="109"/>
        <w:gridCol w:w="109"/>
        <w:gridCol w:w="1216"/>
        <w:gridCol w:w="109"/>
        <w:gridCol w:w="109"/>
        <w:gridCol w:w="109"/>
        <w:gridCol w:w="109"/>
        <w:gridCol w:w="109"/>
        <w:gridCol w:w="1096"/>
        <w:gridCol w:w="109"/>
        <w:gridCol w:w="109"/>
        <w:gridCol w:w="109"/>
        <w:gridCol w:w="109"/>
        <w:gridCol w:w="109"/>
        <w:gridCol w:w="1216"/>
        <w:gridCol w:w="109"/>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931"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15" w:type="dxa"/>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Payment Type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Termination </w:t>
              <w:br/>
              <w:t xml:space="preserve">Without Cause </w:t>
              <w:br/>
              <w:t xml:space="preserve">or for Good </w:t>
              <w:br/>
              <w:t xml:space="preserve">Reason – </w:t>
              <w:br/>
              <w:t>Non-CIC</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Termination </w:t>
              <w:br/>
              <w:t xml:space="preserve">Without Cause </w:t>
              <w:br/>
              <w:t xml:space="preserve">or for Good </w:t>
              <w:br/>
              <w:t>Reason</w:t>
            </w:r>
            <w:r>
              <w:rPr>
                <w:spacing w:val="-2"/>
              </w:rPr>
              <w:t xml:space="preserve"> – CIC </w:t>
              <w:b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2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Termination </w:t>
              <w:br/>
              <w:t xml:space="preserve">Due to </w:t>
              <w:br/>
              <w:t xml:space="preserve">Death or </w:t>
              <w:br/>
              <w:t>Disability</w:t>
            </w:r>
            <w:r>
              <w:rPr/>
              <w:t xml:space="preserve"> </w:t>
              <w:br/>
            </w:r>
            <w:r>
              <w:rPr>
                <w:spacing w:val="-2"/>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Sale </w:t>
              <w:br/>
              <w:t>Transaction</w:t>
            </w:r>
            <w:r>
              <w:rPr/>
              <w:t xml:space="preserve"> </w:t>
              <w:br/>
            </w:r>
            <w:r>
              <w:rPr>
                <w:spacing w:val="-2"/>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931" w:type="dxa"/>
            <w:vMerge w:val="restart"/>
            <w:tcBorders>
              <w:bottom w:val="single" w:sz="2" w:space="0" w:color="000000"/>
            </w:tcBorders>
            <w:tcMar>
              <w:bottom w:w="70" w:type="dxa"/>
            </w:tcMar>
            <w:vAlign w:val="center"/>
          </w:tcPr>
          <w:p>
            <w:pPr>
              <w:pStyle w:val="TableContents"/>
              <w:bidi w:val="0"/>
              <w:spacing w:lineRule="atLeast" w:line="200" w:before="0" w:after="0"/>
              <w:jc w:val="left"/>
              <w:rPr>
                <w:b/>
                <w:color w:val="0055B7"/>
              </w:rPr>
            </w:pPr>
            <w:r>
              <w:rPr>
                <w:b/>
                <w:color w:val="0055B7"/>
                <w:spacing w:val="0"/>
              </w:rPr>
              <w:t>James M. Boyle</w:t>
            </w:r>
            <w:r>
              <w:rPr>
                <w:b/>
                <w:color w:val="0055B7"/>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lineRule="atLeast" w:line="200" w:before="0" w:after="0"/>
              <w:jc w:val="left"/>
              <w:rPr>
                <w:spacing w:val="-1"/>
              </w:rPr>
            </w:pPr>
            <w:r>
              <w:rPr>
                <w:spacing w:val="-1"/>
              </w:rPr>
              <w:t xml:space="preserve">Cash Severance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lineRule="atLeast" w:line="200" w:before="0" w:after="283"/>
              <w:jc w:val="right"/>
              <w:rPr/>
            </w:pPr>
            <w:r>
              <w:rPr/>
              <w:t>7,487,500</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lineRule="atLeast" w:line="200" w:before="0" w:after="283"/>
              <w:jc w:val="right"/>
              <w:rPr/>
            </w:pPr>
            <w:r>
              <w:rPr/>
              <w:t>10,400,000</w:t>
            </w:r>
            <w:r>
              <w:rPr>
                <w:sz w:val="10"/>
              </w:rPr>
              <w:t>(8)</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Prior Year Bonus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Health Benefits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52,732</w:t>
            </w:r>
            <w:r>
              <w:rPr>
                <w:sz w:val="10"/>
              </w:rPr>
              <w:t>(3)</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60,266</w:t>
            </w:r>
            <w:r>
              <w:rPr>
                <w:sz w:val="10"/>
              </w:rPr>
              <w:t>(9)</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Outplacement Benefits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8,000</w:t>
            </w:r>
            <w:r>
              <w:rPr>
                <w:sz w:val="10"/>
              </w:rPr>
              <w:t>(4)</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8,000</w:t>
            </w:r>
            <w:r>
              <w:rPr>
                <w:sz w:val="10"/>
              </w:rPr>
              <w:t>(4)</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Incentive Unit Vesting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7,518,183</w:t>
            </w:r>
            <w:r>
              <w:rPr>
                <w:sz w:val="10"/>
              </w:rPr>
              <w:t>(5)</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7,518,183</w:t>
            </w:r>
            <w:r>
              <w:rPr>
                <w:sz w:val="10"/>
              </w:rPr>
              <w:t>(5)</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7,518,183</w:t>
            </w:r>
            <w:r>
              <w:rPr>
                <w:sz w:val="10"/>
              </w:rPr>
              <w:t>(5)</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29,556,751</w:t>
            </w:r>
            <w:r>
              <w:rPr>
                <w:sz w:val="10"/>
              </w:rPr>
              <w:t>(6)</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415" w:type="dxa"/>
            <w:tcBorders>
              <w:bottom w:val="single" w:sz="6" w:space="0" w:color="000000"/>
            </w:tcBorders>
            <w:tcMar>
              <w:bottom w:w="85" w:type="dxa"/>
            </w:tcMar>
            <w:vAlign w:val="center"/>
          </w:tcPr>
          <w:p>
            <w:pPr>
              <w:pStyle w:val="TableContents"/>
              <w:bidi w:val="0"/>
              <w:spacing w:before="0" w:after="283"/>
              <w:jc w:val="left"/>
              <w:rPr/>
            </w:pPr>
            <w:r>
              <w:rPr>
                <w:spacing w:val="0"/>
              </w:rPr>
              <w:t>Total</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tcMar>
              <w:bottom w:w="85" w:type="dxa"/>
            </w:tcMar>
            <w:vAlign w:val="center"/>
          </w:tcPr>
          <w:p>
            <w:pPr>
              <w:pStyle w:val="TableContents"/>
              <w:bidi w:val="0"/>
              <w:spacing w:before="0" w:after="283"/>
              <w:jc w:val="right"/>
              <w:rPr/>
            </w:pPr>
            <w:r>
              <w:rPr/>
              <w:t>15,066,415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216" w:type="dxa"/>
            <w:tcBorders>
              <w:bottom w:val="single" w:sz="6" w:space="0" w:color="000000"/>
            </w:tcBorders>
            <w:tcMar>
              <w:bottom w:w="85" w:type="dxa"/>
            </w:tcMar>
            <w:vAlign w:val="center"/>
          </w:tcPr>
          <w:p>
            <w:pPr>
              <w:pStyle w:val="TableContents"/>
              <w:bidi w:val="0"/>
              <w:spacing w:before="0" w:after="283"/>
              <w:jc w:val="right"/>
              <w:rPr/>
            </w:pPr>
            <w:r>
              <w:rPr/>
              <w:t>17,986,449</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096" w:type="dxa"/>
            <w:tcBorders>
              <w:bottom w:val="single" w:sz="6" w:space="0" w:color="000000"/>
            </w:tcBorders>
            <w:tcMar>
              <w:bottom w:w="85" w:type="dxa"/>
            </w:tcMar>
            <w:vAlign w:val="center"/>
          </w:tcPr>
          <w:p>
            <w:pPr>
              <w:pStyle w:val="TableContents"/>
              <w:bidi w:val="0"/>
              <w:spacing w:before="0" w:after="283"/>
              <w:jc w:val="right"/>
              <w:rPr/>
            </w:pPr>
            <w:r>
              <w:rPr/>
              <w:t>7,518,183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216" w:type="dxa"/>
            <w:tcBorders>
              <w:bottom w:val="single" w:sz="6" w:space="0" w:color="000000"/>
            </w:tcBorders>
            <w:tcMar>
              <w:bottom w:w="85" w:type="dxa"/>
            </w:tcMar>
            <w:vAlign w:val="center"/>
          </w:tcPr>
          <w:p>
            <w:pPr>
              <w:pStyle w:val="TableContents"/>
              <w:bidi w:val="0"/>
              <w:spacing w:before="0" w:after="283"/>
              <w:jc w:val="right"/>
              <w:rPr/>
            </w:pPr>
            <w:r>
              <w:rPr/>
              <w:t>29,556,751</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931" w:type="dxa"/>
            <w:vMerge w:val="restart"/>
            <w:tcBorders>
              <w:bottom w:val="single" w:sz="2" w:space="0" w:color="000000"/>
            </w:tcBorders>
            <w:shd w:fill="E6EEF8" w:val="clear"/>
            <w:tcMar>
              <w:bottom w:w="70" w:type="dxa"/>
            </w:tcMar>
            <w:vAlign w:val="center"/>
          </w:tcPr>
          <w:p>
            <w:pPr>
              <w:pStyle w:val="TableContents"/>
              <w:bidi w:val="0"/>
              <w:spacing w:lineRule="atLeast" w:line="200" w:before="0" w:after="0"/>
              <w:jc w:val="left"/>
              <w:rPr>
                <w:b/>
                <w:color w:val="0055B7"/>
              </w:rPr>
            </w:pPr>
            <w:r>
              <w:rPr>
                <w:b/>
                <w:color w:val="0055B7"/>
                <w:spacing w:val="0"/>
              </w:rPr>
              <w:t>Michael B. Drazin</w:t>
            </w:r>
            <w:r>
              <w:rPr>
                <w:b/>
                <w:color w:val="0055B7"/>
              </w:rPr>
              <w:t xml:space="preserve"> </w:t>
            </w:r>
          </w:p>
        </w:tc>
        <w:tc>
          <w:tcPr>
            <w:tcW w:w="109"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415" w:type="dxa"/>
            <w:tcBorders>
              <w:bottom w:val="single" w:sz="4" w:space="0" w:color="000000"/>
            </w:tcBorders>
            <w:shd w:fill="E6EEF8" w:val="clear"/>
            <w:tcMar>
              <w:bottom w:w="70" w:type="dxa"/>
            </w:tcMar>
            <w:vAlign w:val="center"/>
          </w:tcPr>
          <w:p>
            <w:pPr>
              <w:pStyle w:val="TableContents"/>
              <w:bidi w:val="0"/>
              <w:spacing w:lineRule="atLeast" w:line="200" w:before="0" w:after="0"/>
              <w:jc w:val="left"/>
              <w:rPr>
                <w:spacing w:val="-1"/>
              </w:rPr>
            </w:pPr>
            <w:r>
              <w:rPr>
                <w:spacing w:val="-1"/>
              </w:rPr>
              <w:t xml:space="preserve">Cash Severance </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3,240,000</w:t>
            </w:r>
            <w:r>
              <w:rPr>
                <w:sz w:val="10"/>
              </w:rPr>
              <w:t>(1)</w:t>
            </w:r>
            <w:r>
              <w:rPr/>
              <w:t xml:space="preserve"> </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21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4,050,000</w:t>
            </w:r>
            <w:r>
              <w:rPr>
                <w:sz w:val="10"/>
              </w:rPr>
              <w:t>(8)</w:t>
            </w:r>
            <w:r>
              <w:rPr/>
              <w:t xml:space="preserve"> </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21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54" w:type="dxa"/>
            <w:tcBorders>
              <w:bottom w:val="single" w:sz="4"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415" w:type="dxa"/>
            <w:tcBorders>
              <w:bottom w:val="single" w:sz="2" w:space="0" w:color="000000"/>
            </w:tcBorders>
            <w:shd w:fill="E6EEF8" w:val="clear"/>
            <w:tcMar>
              <w:bottom w:w="70" w:type="dxa"/>
            </w:tcMar>
            <w:vAlign w:val="center"/>
          </w:tcPr>
          <w:p>
            <w:pPr>
              <w:pStyle w:val="TableContents"/>
              <w:bidi w:val="0"/>
              <w:spacing w:before="0" w:after="283"/>
              <w:jc w:val="left"/>
              <w:rPr>
                <w:spacing w:val="-1"/>
              </w:rPr>
            </w:pPr>
            <w:r>
              <w:rPr>
                <w:spacing w:val="-1"/>
              </w:rPr>
              <w:t xml:space="preserve">Prior Year Bonus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415" w:type="dxa"/>
            <w:tcBorders>
              <w:bottom w:val="single" w:sz="2" w:space="0" w:color="000000"/>
            </w:tcBorders>
            <w:shd w:fill="E6EEF8" w:val="clear"/>
            <w:tcMar>
              <w:bottom w:w="70" w:type="dxa"/>
            </w:tcMar>
            <w:vAlign w:val="center"/>
          </w:tcPr>
          <w:p>
            <w:pPr>
              <w:pStyle w:val="TableContents"/>
              <w:bidi w:val="0"/>
              <w:spacing w:before="0" w:after="283"/>
              <w:jc w:val="left"/>
              <w:rPr>
                <w:spacing w:val="-1"/>
              </w:rPr>
            </w:pPr>
            <w:r>
              <w:rPr>
                <w:spacing w:val="-1"/>
              </w:rPr>
              <w:t xml:space="preserve">Health Benefits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45,199</w:t>
            </w:r>
            <w:r>
              <w:rPr>
                <w:sz w:val="10"/>
              </w:rPr>
              <w:t>(3)</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60,266</w:t>
            </w:r>
            <w:r>
              <w:rPr>
                <w:sz w:val="10"/>
              </w:rPr>
              <w:t>(9)</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415" w:type="dxa"/>
            <w:tcBorders>
              <w:bottom w:val="single" w:sz="2" w:space="0" w:color="000000"/>
            </w:tcBorders>
            <w:shd w:fill="E6EEF8" w:val="clear"/>
            <w:tcMar>
              <w:bottom w:w="70" w:type="dxa"/>
            </w:tcMar>
            <w:vAlign w:val="center"/>
          </w:tcPr>
          <w:p>
            <w:pPr>
              <w:pStyle w:val="TableContents"/>
              <w:bidi w:val="0"/>
              <w:spacing w:before="0" w:after="283"/>
              <w:jc w:val="left"/>
              <w:rPr>
                <w:spacing w:val="-1"/>
              </w:rPr>
            </w:pPr>
            <w:r>
              <w:rPr>
                <w:spacing w:val="-1"/>
              </w:rPr>
              <w:t xml:space="preserve">Outplacement benefits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8,000</w:t>
            </w:r>
            <w:r>
              <w:rPr>
                <w:sz w:val="10"/>
              </w:rPr>
              <w:t>(4)</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8,000</w:t>
            </w:r>
            <w:r>
              <w:rPr>
                <w:sz w:val="10"/>
              </w:rPr>
              <w:t>(4)</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415" w:type="dxa"/>
            <w:tcBorders>
              <w:bottom w:val="single" w:sz="2" w:space="0" w:color="000000"/>
            </w:tcBorders>
            <w:shd w:fill="E6EEF8" w:val="clear"/>
            <w:tcMar>
              <w:bottom w:w="70" w:type="dxa"/>
            </w:tcMar>
            <w:vAlign w:val="center"/>
          </w:tcPr>
          <w:p>
            <w:pPr>
              <w:pStyle w:val="TableContents"/>
              <w:bidi w:val="0"/>
              <w:spacing w:before="0" w:after="283"/>
              <w:jc w:val="left"/>
              <w:rPr>
                <w:spacing w:val="-1"/>
              </w:rPr>
            </w:pPr>
            <w:r>
              <w:rPr>
                <w:spacing w:val="-1"/>
              </w:rPr>
              <w:t xml:space="preserve">Incentive Unit Vesting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10,807,211</w:t>
            </w:r>
            <w:r>
              <w:rPr>
                <w:sz w:val="10"/>
              </w:rPr>
              <w:t>(6)</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15" w:type="dxa"/>
            <w:tcBorders>
              <w:bottom w:val="single" w:sz="6" w:space="0" w:color="000000"/>
            </w:tcBorders>
            <w:shd w:fill="E6EEF8" w:val="clear"/>
            <w:tcMar>
              <w:bottom w:w="85" w:type="dxa"/>
            </w:tcMar>
            <w:vAlign w:val="center"/>
          </w:tcPr>
          <w:p>
            <w:pPr>
              <w:pStyle w:val="TableContents"/>
              <w:bidi w:val="0"/>
              <w:spacing w:before="0" w:after="283"/>
              <w:jc w:val="left"/>
              <w:rPr/>
            </w:pPr>
            <w:r>
              <w:rPr>
                <w:spacing w:val="0"/>
              </w:rPr>
              <w:t>Total</w:t>
            </w:r>
            <w:r>
              <w:rPr/>
              <w:t xml:space="preserve">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shd w:fill="E6EEF8" w:val="clear"/>
            <w:tcMar>
              <w:bottom w:w="85" w:type="dxa"/>
            </w:tcMar>
            <w:vAlign w:val="center"/>
          </w:tcPr>
          <w:p>
            <w:pPr>
              <w:pStyle w:val="TableContents"/>
              <w:bidi w:val="0"/>
              <w:spacing w:before="0" w:after="283"/>
              <w:jc w:val="right"/>
              <w:rPr/>
            </w:pPr>
            <w:r>
              <w:rPr/>
              <w:t>3,293,199</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216" w:type="dxa"/>
            <w:tcBorders>
              <w:bottom w:val="single" w:sz="6" w:space="0" w:color="000000"/>
            </w:tcBorders>
            <w:shd w:fill="E6EEF8" w:val="clear"/>
            <w:tcMar>
              <w:bottom w:w="85" w:type="dxa"/>
            </w:tcMar>
            <w:vAlign w:val="center"/>
          </w:tcPr>
          <w:p>
            <w:pPr>
              <w:pStyle w:val="TableContents"/>
              <w:bidi w:val="0"/>
              <w:spacing w:before="0" w:after="283"/>
              <w:jc w:val="right"/>
              <w:rPr/>
            </w:pPr>
            <w:r>
              <w:rPr/>
              <w:t>4,118,266</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right"/>
              <w:rPr/>
            </w:pPr>
            <w:r>
              <w:rPr/>
              <w:t>​</w:t>
            </w:r>
          </w:p>
        </w:tc>
        <w:tc>
          <w:tcPr>
            <w:tcW w:w="1096" w:type="dxa"/>
            <w:tcBorders>
              <w:bottom w:val="single" w:sz="6" w:space="0" w:color="000000"/>
            </w:tcBorders>
            <w:shd w:fill="E6EEF8" w:val="clear"/>
            <w:vAlign w:val="center"/>
          </w:tcPr>
          <w:p>
            <w:pPr>
              <w:pStyle w:val="TableContents"/>
              <w:bidi w:val="0"/>
              <w:spacing w:before="0" w:after="283"/>
              <w:jc w:val="righ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216" w:type="dxa"/>
            <w:tcBorders>
              <w:bottom w:val="single" w:sz="6" w:space="0" w:color="000000"/>
            </w:tcBorders>
            <w:shd w:fill="E6EEF8" w:val="clear"/>
            <w:tcMar>
              <w:bottom w:w="85" w:type="dxa"/>
            </w:tcMar>
            <w:vAlign w:val="center"/>
          </w:tcPr>
          <w:p>
            <w:pPr>
              <w:pStyle w:val="TableContents"/>
              <w:bidi w:val="0"/>
              <w:spacing w:before="0" w:after="283"/>
              <w:jc w:val="right"/>
              <w:rPr/>
            </w:pPr>
            <w:r>
              <w:rPr/>
              <w:t>10,807,211</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931" w:type="dxa"/>
            <w:vMerge w:val="restart"/>
            <w:tcBorders>
              <w:bottom w:val="single" w:sz="2" w:space="0" w:color="000000"/>
            </w:tcBorders>
            <w:tcMar>
              <w:bottom w:w="70" w:type="dxa"/>
            </w:tcMar>
            <w:vAlign w:val="center"/>
          </w:tcPr>
          <w:p>
            <w:pPr>
              <w:pStyle w:val="TableContents"/>
              <w:bidi w:val="0"/>
              <w:spacing w:lineRule="atLeast" w:line="200" w:before="0" w:after="0"/>
              <w:jc w:val="left"/>
              <w:rPr>
                <w:b/>
                <w:color w:val="0055B7"/>
              </w:rPr>
            </w:pPr>
            <w:r>
              <w:rPr>
                <w:b/>
                <w:color w:val="0055B7"/>
                <w:spacing w:val="0"/>
              </w:rPr>
              <w:t>James M. Pigott</w:t>
            </w:r>
            <w:r>
              <w:rPr>
                <w:b/>
                <w:color w:val="0055B7"/>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lineRule="atLeast" w:line="200" w:before="0" w:after="0"/>
              <w:jc w:val="left"/>
              <w:rPr/>
            </w:pPr>
            <w:r>
              <w:rPr>
                <w:spacing w:val="-1"/>
              </w:rPr>
              <w:t>Cash Severance</w:t>
            </w:r>
            <w:r>
              <w:rPr>
                <w:spacing w:val="-1"/>
                <w:sz w:val="10"/>
              </w:rPr>
              <w:t>(7)</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lineRule="atLeast" w:line="200" w:before="0" w:after="283"/>
              <w:jc w:val="right"/>
              <w:rPr/>
            </w:pPr>
            <w:r>
              <w:rPr/>
              <w:t>5,225,000</w:t>
            </w:r>
            <w:r>
              <w:rPr>
                <w:sz w:val="10"/>
              </w:rPr>
              <w:t>(7)</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Health Benefits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Outplacement Benefits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45,199</w:t>
            </w:r>
            <w:r>
              <w:rPr>
                <w:sz w:val="10"/>
              </w:rPr>
              <w:t>(3)</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Incentive Unit Vesting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8,868,337</w:t>
            </w:r>
            <w:r>
              <w:rPr>
                <w:sz w:val="10"/>
              </w:rPr>
              <w:t>(5)</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931" w:type="dxa"/>
            <w:vMerge w:val="continue"/>
            <w:tcBorders>
              <w:bottom w:val="single" w:sz="2" w:space="0" w:color="000000"/>
            </w:tcBorders>
            <w:tcMar>
              <w:bottom w:w="7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415" w:type="dxa"/>
            <w:tcBorders>
              <w:bottom w:val="single" w:sz="6" w:space="0" w:color="000000"/>
            </w:tcBorders>
            <w:tcMar>
              <w:bottom w:w="85" w:type="dxa"/>
            </w:tcMar>
            <w:vAlign w:val="center"/>
          </w:tcPr>
          <w:p>
            <w:pPr>
              <w:pStyle w:val="TableContents"/>
              <w:bidi w:val="0"/>
              <w:spacing w:before="0" w:after="283"/>
              <w:jc w:val="left"/>
              <w:rPr/>
            </w:pPr>
            <w:r>
              <w:rPr>
                <w:spacing w:val="0"/>
              </w:rPr>
              <w:t>Total</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tcMar>
              <w:bottom w:w="85" w:type="dxa"/>
            </w:tcMar>
            <w:vAlign w:val="center"/>
          </w:tcPr>
          <w:p>
            <w:pPr>
              <w:pStyle w:val="TableContents"/>
              <w:bidi w:val="0"/>
              <w:spacing w:before="0" w:after="283"/>
              <w:jc w:val="right"/>
              <w:rPr/>
            </w:pPr>
            <w:r>
              <w:rPr/>
              <w:t>14,138,536</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21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09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21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931" w:type="dxa"/>
            <w:vMerge w:val="restart"/>
            <w:tcBorders>
              <w:bottom w:val="single" w:sz="2" w:space="0" w:color="000000"/>
            </w:tcBorders>
            <w:shd w:fill="E6EEF8" w:val="clear"/>
            <w:tcMar>
              <w:bottom w:w="70" w:type="dxa"/>
            </w:tcMar>
            <w:vAlign w:val="center"/>
          </w:tcPr>
          <w:p>
            <w:pPr>
              <w:pStyle w:val="TableContents"/>
              <w:bidi w:val="0"/>
              <w:spacing w:lineRule="atLeast" w:line="200" w:before="0" w:after="0"/>
              <w:jc w:val="left"/>
              <w:rPr>
                <w:b/>
                <w:color w:val="0055B7"/>
              </w:rPr>
            </w:pPr>
            <w:r>
              <w:rPr>
                <w:b/>
                <w:color w:val="0055B7"/>
                <w:spacing w:val="0"/>
              </w:rPr>
              <w:t>Douglas P. Golwas</w:t>
            </w:r>
            <w:r>
              <w:rPr>
                <w:b/>
                <w:color w:val="0055B7"/>
              </w:rPr>
              <w:t xml:space="preserve"> </w:t>
            </w:r>
          </w:p>
        </w:tc>
        <w:tc>
          <w:tcPr>
            <w:tcW w:w="109" w:type="dxa"/>
            <w:vMerge w:val="restart"/>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415" w:type="dxa"/>
            <w:tcBorders>
              <w:bottom w:val="single" w:sz="4" w:space="0" w:color="000000"/>
            </w:tcBorders>
            <w:shd w:fill="E6EEF8" w:val="clear"/>
            <w:tcMar>
              <w:bottom w:w="70" w:type="dxa"/>
            </w:tcMar>
            <w:vAlign w:val="center"/>
          </w:tcPr>
          <w:p>
            <w:pPr>
              <w:pStyle w:val="TableContents"/>
              <w:bidi w:val="0"/>
              <w:spacing w:lineRule="atLeast" w:line="200" w:before="0" w:after="0"/>
              <w:jc w:val="left"/>
              <w:rPr>
                <w:spacing w:val="-1"/>
              </w:rPr>
            </w:pPr>
            <w:r>
              <w:rPr>
                <w:spacing w:val="-1"/>
              </w:rPr>
              <w:t xml:space="preserve">Cash Severance </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3,200,000</w:t>
            </w:r>
            <w:r>
              <w:rPr>
                <w:sz w:val="10"/>
              </w:rPr>
              <w:t>(1)</w:t>
            </w:r>
            <w:r>
              <w:rPr/>
              <w:t xml:space="preserve"> </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21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4,000,000</w:t>
            </w:r>
            <w:r>
              <w:rPr>
                <w:sz w:val="10"/>
              </w:rPr>
              <w:t>(8)</w:t>
            </w:r>
            <w:r>
              <w:rPr/>
              <w:t xml:space="preserve"> </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09"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216" w:type="dxa"/>
            <w:tcBorders>
              <w:bottom w:val="single" w:sz="4" w:space="0" w:color="000000"/>
            </w:tcBorders>
            <w:shd w:fill="E6EEF8" w:val="clear"/>
            <w:tcMar>
              <w:bottom w:w="70" w:type="dxa"/>
            </w:tcMar>
            <w:vAlign w:val="center"/>
          </w:tcPr>
          <w:p>
            <w:pPr>
              <w:pStyle w:val="TableContents"/>
              <w:bidi w:val="0"/>
              <w:spacing w:lineRule="atLeast" w:line="200" w:before="0" w:after="283"/>
              <w:jc w:val="right"/>
              <w:rPr/>
            </w:pPr>
            <w:r>
              <w:rPr/>
              <w:t>​</w:t>
            </w:r>
          </w:p>
        </w:tc>
        <w:tc>
          <w:tcPr>
            <w:tcW w:w="109" w:type="dxa"/>
            <w:tcBorders>
              <w:bottom w:val="single" w:sz="4" w:space="0" w:color="000000"/>
            </w:tcBorders>
            <w:shd w:fill="E6EEF8" w:val="clear"/>
            <w:vAlign w:val="center"/>
          </w:tcPr>
          <w:p>
            <w:pPr>
              <w:pStyle w:val="TableContents"/>
              <w:bidi w:val="0"/>
              <w:spacing w:before="0" w:after="283"/>
              <w:jc w:val="left"/>
              <w:rPr/>
            </w:pPr>
            <w:r>
              <w:rPr/>
              <w:t>​</w:t>
            </w:r>
          </w:p>
        </w:tc>
        <w:tc>
          <w:tcPr>
            <w:tcW w:w="154" w:type="dxa"/>
            <w:tcBorders>
              <w:bottom w:val="single" w:sz="4"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415" w:type="dxa"/>
            <w:tcBorders>
              <w:bottom w:val="single" w:sz="2" w:space="0" w:color="000000"/>
            </w:tcBorders>
            <w:shd w:fill="E6EEF8" w:val="clear"/>
            <w:tcMar>
              <w:bottom w:w="70" w:type="dxa"/>
            </w:tcMar>
            <w:vAlign w:val="center"/>
          </w:tcPr>
          <w:p>
            <w:pPr>
              <w:pStyle w:val="TableContents"/>
              <w:bidi w:val="0"/>
              <w:spacing w:before="0" w:after="283"/>
              <w:jc w:val="left"/>
              <w:rPr>
                <w:spacing w:val="-1"/>
              </w:rPr>
            </w:pPr>
            <w:r>
              <w:rPr>
                <w:spacing w:val="-1"/>
              </w:rPr>
              <w:t xml:space="preserve">Prior Year Bonus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415" w:type="dxa"/>
            <w:tcBorders>
              <w:bottom w:val="single" w:sz="2" w:space="0" w:color="000000"/>
            </w:tcBorders>
            <w:shd w:fill="E6EEF8" w:val="clear"/>
            <w:tcMar>
              <w:bottom w:w="70" w:type="dxa"/>
            </w:tcMar>
            <w:vAlign w:val="center"/>
          </w:tcPr>
          <w:p>
            <w:pPr>
              <w:pStyle w:val="TableContents"/>
              <w:bidi w:val="0"/>
              <w:spacing w:before="0" w:after="283"/>
              <w:jc w:val="left"/>
              <w:rPr>
                <w:spacing w:val="-1"/>
              </w:rPr>
            </w:pPr>
            <w:r>
              <w:rPr>
                <w:spacing w:val="-1"/>
              </w:rPr>
              <w:t xml:space="preserve">Health Benefits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45,199</w:t>
            </w:r>
            <w:r>
              <w:rPr>
                <w:sz w:val="10"/>
              </w:rPr>
              <w:t>(3)</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60,266</w:t>
            </w:r>
            <w:r>
              <w:rPr>
                <w:sz w:val="10"/>
              </w:rPr>
              <w:t>(9)</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415" w:type="dxa"/>
            <w:tcBorders>
              <w:bottom w:val="single" w:sz="2" w:space="0" w:color="000000"/>
            </w:tcBorders>
            <w:shd w:fill="E6EEF8" w:val="clear"/>
            <w:tcMar>
              <w:bottom w:w="70" w:type="dxa"/>
            </w:tcMar>
            <w:vAlign w:val="center"/>
          </w:tcPr>
          <w:p>
            <w:pPr>
              <w:pStyle w:val="TableContents"/>
              <w:bidi w:val="0"/>
              <w:spacing w:before="0" w:after="283"/>
              <w:jc w:val="left"/>
              <w:rPr>
                <w:spacing w:val="-1"/>
              </w:rPr>
            </w:pPr>
            <w:r>
              <w:rPr>
                <w:spacing w:val="-1"/>
              </w:rPr>
              <w:t xml:space="preserve">Outplacement Benefits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8,000</w:t>
            </w:r>
            <w:r>
              <w:rPr>
                <w:sz w:val="10"/>
              </w:rPr>
              <w:t>(4)</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8,000</w:t>
            </w:r>
            <w:r>
              <w:rPr>
                <w:sz w:val="10"/>
              </w:rPr>
              <w:t>(4)</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415" w:type="dxa"/>
            <w:tcBorders>
              <w:bottom w:val="single" w:sz="2" w:space="0" w:color="000000"/>
            </w:tcBorders>
            <w:shd w:fill="E6EEF8" w:val="clear"/>
            <w:tcMar>
              <w:bottom w:w="70" w:type="dxa"/>
            </w:tcMar>
            <w:vAlign w:val="center"/>
          </w:tcPr>
          <w:p>
            <w:pPr>
              <w:pStyle w:val="TableContents"/>
              <w:bidi w:val="0"/>
              <w:spacing w:before="0" w:after="283"/>
              <w:jc w:val="left"/>
              <w:rPr>
                <w:spacing w:val="-1"/>
              </w:rPr>
            </w:pPr>
            <w:r>
              <w:rPr>
                <w:spacing w:val="-1"/>
              </w:rPr>
              <w:t xml:space="preserve">Incentive Unit Vesting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18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6"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09" w:type="dxa"/>
            <w:tcBorders>
              <w:bottom w:val="single" w:sz="2" w:space="0" w:color="000000"/>
            </w:tcBorders>
            <w:shd w:fill="E6EEF8" w:val="clear"/>
            <w:tcMar>
              <w:bottom w:w="70" w:type="dxa"/>
            </w:tcMar>
            <w:vAlign w:val="center"/>
          </w:tcPr>
          <w:p>
            <w:pPr>
              <w:pStyle w:val="TableContents"/>
              <w:bidi w:val="0"/>
              <w:spacing w:before="0" w:after="283"/>
              <w:jc w:val="right"/>
              <w:rPr/>
            </w:pPr>
            <w:r>
              <w:rPr/>
              <w:t>​</w:t>
            </w:r>
          </w:p>
        </w:tc>
        <w:tc>
          <w:tcPr>
            <w:tcW w:w="1216" w:type="dxa"/>
            <w:tcBorders>
              <w:bottom w:val="single" w:sz="2" w:space="0" w:color="000000"/>
            </w:tcBorders>
            <w:shd w:fill="E6EEF8" w:val="clear"/>
            <w:tcMar>
              <w:bottom w:w="70" w:type="dxa"/>
            </w:tcMar>
            <w:vAlign w:val="center"/>
          </w:tcPr>
          <w:p>
            <w:pPr>
              <w:pStyle w:val="TableContents"/>
              <w:bidi w:val="0"/>
              <w:spacing w:before="0" w:after="283"/>
              <w:jc w:val="right"/>
              <w:rPr/>
            </w:pPr>
            <w:r>
              <w:rPr/>
              <w:t>7,505,013</w:t>
            </w:r>
            <w:r>
              <w:rPr>
                <w:sz w:val="10"/>
              </w:rPr>
              <w:t>(6)</w:t>
            </w:r>
            <w:r>
              <w:rPr/>
              <w:t xml:space="preserve"> </w:t>
            </w:r>
          </w:p>
        </w:tc>
        <w:tc>
          <w:tcPr>
            <w:tcW w:w="109" w:type="dxa"/>
            <w:tcBorders>
              <w:bottom w:val="single" w:sz="2" w:space="0" w:color="000000"/>
            </w:tcBorders>
            <w:shd w:fill="E6EEF8" w:val="clear"/>
            <w:vAlign w:val="center"/>
          </w:tcPr>
          <w:p>
            <w:pPr>
              <w:pStyle w:val="TableContents"/>
              <w:bidi w:val="0"/>
              <w:spacing w:before="0" w:after="283"/>
              <w:jc w:val="left"/>
              <w:rPr/>
            </w:pPr>
            <w:r>
              <w:rPr/>
              <w:t>​</w:t>
            </w:r>
          </w:p>
        </w:tc>
        <w:tc>
          <w:tcPr>
            <w:tcW w:w="154" w:type="dxa"/>
            <w:tcBorders>
              <w:bottom w:val="single" w:sz="2" w:space="0" w:color="000000"/>
            </w:tcBorders>
            <w:shd w:fill="E6EEF8"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6EEF8" w:val="clear"/>
            <w:vAlign w:val="center"/>
          </w:tcPr>
          <w:p>
            <w:pPr>
              <w:pStyle w:val="Normal"/>
              <w:bidi w:val="0"/>
              <w:jc w:val="left"/>
              <w:rPr/>
            </w:pPr>
            <w:r>
              <w:rPr/>
            </w:r>
          </w:p>
        </w:tc>
        <w:tc>
          <w:tcPr>
            <w:tcW w:w="931" w:type="dxa"/>
            <w:vMerge w:val="continue"/>
            <w:tcBorders>
              <w:bottom w:val="single" w:sz="2" w:space="0" w:color="000000"/>
            </w:tcBorders>
            <w:shd w:fill="E6EEF8" w:val="clear"/>
            <w:tcMar>
              <w:bottom w:w="70" w:type="dxa"/>
            </w:tcMar>
            <w:vAlign w:val="center"/>
          </w:tcPr>
          <w:p>
            <w:pPr>
              <w:pStyle w:val="Normal"/>
              <w:bidi w:val="0"/>
              <w:jc w:val="left"/>
              <w:rPr/>
            </w:pPr>
            <w:r>
              <w:rPr/>
            </w:r>
          </w:p>
        </w:tc>
        <w:tc>
          <w:tcPr>
            <w:tcW w:w="109" w:type="dxa"/>
            <w:vMerge w:val="continue"/>
            <w:tcBorders>
              <w:bottom w:val="single" w:sz="2" w:space="0" w:color="000000"/>
            </w:tcBorders>
            <w:shd w:fill="E6EEF8" w:val="clear"/>
            <w:vAlign w:val="center"/>
          </w:tcPr>
          <w:p>
            <w:pPr>
              <w:pStyle w:val="Normal"/>
              <w:bidi w:val="0"/>
              <w:jc w:val="left"/>
              <w:rPr/>
            </w:pPr>
            <w:r>
              <w:rPr/>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15" w:type="dxa"/>
            <w:tcBorders>
              <w:bottom w:val="single" w:sz="6" w:space="0" w:color="000000"/>
            </w:tcBorders>
            <w:shd w:fill="E6EEF8" w:val="clear"/>
            <w:tcMar>
              <w:bottom w:w="85" w:type="dxa"/>
            </w:tcMar>
            <w:vAlign w:val="center"/>
          </w:tcPr>
          <w:p>
            <w:pPr>
              <w:pStyle w:val="TableContents"/>
              <w:bidi w:val="0"/>
              <w:spacing w:before="0" w:after="283"/>
              <w:jc w:val="left"/>
              <w:rPr/>
            </w:pPr>
            <w:r>
              <w:rPr>
                <w:spacing w:val="0"/>
              </w:rPr>
              <w:t>Total</w:t>
            </w:r>
            <w:r>
              <w:rPr/>
              <w:t xml:space="preserve">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186" w:type="dxa"/>
            <w:tcBorders>
              <w:bottom w:val="single" w:sz="6" w:space="0" w:color="000000"/>
            </w:tcBorders>
            <w:shd w:fill="E6EEF8" w:val="clear"/>
            <w:tcMar>
              <w:bottom w:w="85" w:type="dxa"/>
            </w:tcMar>
            <w:vAlign w:val="center"/>
          </w:tcPr>
          <w:p>
            <w:pPr>
              <w:pStyle w:val="TableContents"/>
              <w:bidi w:val="0"/>
              <w:spacing w:before="0" w:after="283"/>
              <w:jc w:val="right"/>
              <w:rPr/>
            </w:pPr>
            <w:r>
              <w:rPr/>
              <w:t>3,253,199</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216" w:type="dxa"/>
            <w:tcBorders>
              <w:bottom w:val="single" w:sz="6" w:space="0" w:color="000000"/>
            </w:tcBorders>
            <w:shd w:fill="E6EEF8" w:val="clear"/>
            <w:tcMar>
              <w:bottom w:w="85" w:type="dxa"/>
            </w:tcMar>
            <w:vAlign w:val="center"/>
          </w:tcPr>
          <w:p>
            <w:pPr>
              <w:pStyle w:val="TableContents"/>
              <w:bidi w:val="0"/>
              <w:spacing w:before="0" w:after="283"/>
              <w:jc w:val="right"/>
              <w:rPr/>
            </w:pPr>
            <w:r>
              <w:rPr/>
              <w:t>4,068,266</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right"/>
              <w:rPr/>
            </w:pPr>
            <w:r>
              <w:rPr/>
              <w:t>​</w:t>
            </w:r>
          </w:p>
        </w:tc>
        <w:tc>
          <w:tcPr>
            <w:tcW w:w="1096" w:type="dxa"/>
            <w:tcBorders>
              <w:bottom w:val="single" w:sz="6" w:space="0" w:color="000000"/>
            </w:tcBorders>
            <w:shd w:fill="E6EEF8" w:val="clear"/>
            <w:vAlign w:val="center"/>
          </w:tcPr>
          <w:p>
            <w:pPr>
              <w:pStyle w:val="TableContents"/>
              <w:bidi w:val="0"/>
              <w:spacing w:before="0" w:after="283"/>
              <w:jc w:val="righ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5" w:type="dxa"/>
            </w:tcMar>
            <w:vAlign w:val="center"/>
          </w:tcPr>
          <w:p>
            <w:pPr>
              <w:pStyle w:val="TableContents"/>
              <w:bidi w:val="0"/>
              <w:spacing w:before="0" w:after="283"/>
              <w:jc w:val="right"/>
              <w:rPr/>
            </w:pPr>
            <w:r>
              <w:rPr/>
              <w:t>​</w:t>
            </w:r>
          </w:p>
        </w:tc>
        <w:tc>
          <w:tcPr>
            <w:tcW w:w="1216" w:type="dxa"/>
            <w:tcBorders>
              <w:bottom w:val="single" w:sz="6" w:space="0" w:color="000000"/>
            </w:tcBorders>
            <w:shd w:fill="E6EEF8" w:val="clear"/>
            <w:tcMar>
              <w:bottom w:w="85" w:type="dxa"/>
            </w:tcMar>
            <w:vAlign w:val="center"/>
          </w:tcPr>
          <w:p>
            <w:pPr>
              <w:pStyle w:val="TableContents"/>
              <w:bidi w:val="0"/>
              <w:spacing w:before="0" w:after="283"/>
              <w:jc w:val="right"/>
              <w:rPr/>
            </w:pPr>
            <w:r>
              <w:rPr/>
              <w:t>7,505,013</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931" w:type="dxa"/>
            <w:vMerge w:val="restart"/>
            <w:tcBorders/>
            <w:tcMar>
              <w:bottom w:w="0" w:type="dxa"/>
            </w:tcMar>
            <w:vAlign w:val="center"/>
          </w:tcPr>
          <w:p>
            <w:pPr>
              <w:pStyle w:val="TableContents"/>
              <w:bidi w:val="0"/>
              <w:spacing w:lineRule="atLeast" w:line="200" w:before="0" w:after="0"/>
              <w:jc w:val="left"/>
              <w:rPr>
                <w:b/>
                <w:color w:val="0055B7"/>
              </w:rPr>
            </w:pPr>
            <w:r>
              <w:rPr>
                <w:b/>
                <w:color w:val="0055B7"/>
                <w:spacing w:val="0"/>
              </w:rPr>
              <w:t>Stephen L. Miller</w:t>
            </w:r>
            <w:r>
              <w:rPr>
                <w:b/>
                <w:color w:val="0055B7"/>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lineRule="atLeast" w:line="200" w:before="0" w:after="0"/>
              <w:jc w:val="left"/>
              <w:rPr>
                <w:spacing w:val="-1"/>
              </w:rPr>
            </w:pPr>
            <w:r>
              <w:rPr>
                <w:spacing w:val="-1"/>
              </w:rPr>
              <w:t xml:space="preserve">Cash Severance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lineRule="atLeast" w:line="200" w:before="0" w:after="283"/>
              <w:jc w:val="right"/>
              <w:rPr/>
            </w:pPr>
            <w:r>
              <w:rPr/>
              <w:t>3,200,000</w:t>
            </w:r>
            <w:r>
              <w:rPr>
                <w:sz w:val="10"/>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lineRule="atLeast" w:line="200"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lineRule="atLeast" w:line="200" w:before="0" w:after="283"/>
              <w:jc w:val="right"/>
              <w:rPr/>
            </w:pPr>
            <w:r>
              <w:rPr/>
              <w:t>4,000,000</w:t>
            </w:r>
            <w:r>
              <w:rPr>
                <w:sz w:val="10"/>
              </w:rPr>
              <w:t>(8)</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3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Prior Year Bonus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0</w:t>
            </w:r>
            <w:r>
              <w:rPr>
                <w:sz w:val="10"/>
              </w:rPr>
              <w:t>(2)</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3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Health Benefits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45,199</w:t>
            </w:r>
            <w:r>
              <w:rPr>
                <w:sz w:val="10"/>
              </w:rPr>
              <w:t>(3)</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60,266</w:t>
            </w:r>
            <w:r>
              <w:rPr>
                <w:sz w:val="10"/>
              </w:rPr>
              <w:t>(9)</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3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Outplacement Benefits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8,000</w:t>
            </w:r>
            <w:r>
              <w:rPr>
                <w:sz w:val="10"/>
              </w:rPr>
              <w:t>(4)</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8,000</w:t>
            </w:r>
            <w:r>
              <w:rPr>
                <w:sz w:val="10"/>
              </w:rPr>
              <w:t>(4)</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3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15" w:type="dxa"/>
            <w:tcBorders>
              <w:bottom w:val="single" w:sz="4" w:space="0" w:color="000000"/>
            </w:tcBorders>
            <w:tcMar>
              <w:bottom w:w="70" w:type="dxa"/>
            </w:tcMar>
            <w:vAlign w:val="center"/>
          </w:tcPr>
          <w:p>
            <w:pPr>
              <w:pStyle w:val="TableContents"/>
              <w:bidi w:val="0"/>
              <w:spacing w:before="0" w:after="283"/>
              <w:jc w:val="left"/>
              <w:rPr>
                <w:spacing w:val="-1"/>
              </w:rPr>
            </w:pPr>
            <w:r>
              <w:rPr>
                <w:spacing w:val="-1"/>
              </w:rPr>
              <w:t xml:space="preserve">Incentive Unit Vesting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18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096" w:type="dxa"/>
            <w:tcBorders>
              <w:bottom w:val="single" w:sz="4" w:space="0" w:color="000000"/>
            </w:tcBorders>
            <w:tcMar>
              <w:bottom w:w="70" w:type="dxa"/>
            </w:tcMar>
            <w:vAlign w:val="center"/>
          </w:tcPr>
          <w:p>
            <w:pPr>
              <w:pStyle w:val="TableContents"/>
              <w:bidi w:val="0"/>
              <w:spacing w:before="0" w:after="283"/>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0" w:type="dxa"/>
            </w:tcMar>
            <w:vAlign w:val="center"/>
          </w:tcPr>
          <w:p>
            <w:pPr>
              <w:pStyle w:val="TableContents"/>
              <w:bidi w:val="0"/>
              <w:spacing w:before="0" w:after="283"/>
              <w:jc w:val="right"/>
              <w:rPr/>
            </w:pPr>
            <w:r>
              <w:rPr/>
              <w:t>​</w:t>
            </w:r>
          </w:p>
        </w:tc>
        <w:tc>
          <w:tcPr>
            <w:tcW w:w="1216" w:type="dxa"/>
            <w:tcBorders>
              <w:bottom w:val="single" w:sz="4" w:space="0" w:color="000000"/>
            </w:tcBorders>
            <w:tcMar>
              <w:bottom w:w="70" w:type="dxa"/>
            </w:tcMar>
            <w:vAlign w:val="center"/>
          </w:tcPr>
          <w:p>
            <w:pPr>
              <w:pStyle w:val="TableContents"/>
              <w:bidi w:val="0"/>
              <w:spacing w:before="0" w:after="283"/>
              <w:jc w:val="right"/>
              <w:rPr/>
            </w:pPr>
            <w:r>
              <w:rPr/>
              <w:t>4,836,824</w:t>
            </w:r>
            <w:r>
              <w:rPr>
                <w:sz w:val="10"/>
              </w:rPr>
              <w:t>(6)</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3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5" w:type="dxa"/>
            <w:tcBorders/>
            <w:tcMar>
              <w:bottom w:w="0" w:type="dxa"/>
            </w:tcMar>
            <w:vAlign w:val="center"/>
          </w:tcPr>
          <w:p>
            <w:pPr>
              <w:pStyle w:val="TableContents"/>
              <w:bidi w:val="0"/>
              <w:spacing w:before="0" w:after="283"/>
              <w:jc w:val="left"/>
              <w:rPr/>
            </w:pPr>
            <w:r>
              <w:rPr>
                <w:spacing w:val="0"/>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3,253,199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4,068,266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4,836,824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1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 reported for Mr. Boyle reflects a cash severance payment consisting of the sum of (A) two times the sum of his annual base salary ($1,250,000) and target bonus for 2025 ($1,662,500) and (B) annual bonus earned for 2025, pro-rated for the period of service during 2025, paid in a lump sum. The amounts reported for Messrs. Drazin, Golwas and Miller reflect a cash severance payment consisting of the sum of (A) one and one-half times each individual’s base salary ($810,000, $800,000 and $800,000, respectively) and target bonus for 2025 ($810,000, $800,000 and $800,000, respectively) and (B) annual bonus earned for 2025, pro-rated for the period of service during 2025, paid in a lump sum.</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9850" distB="0" distL="0" distR="0" simplePos="0" locked="0" layoutInCell="1" allowOverlap="1" relativeHeight="409">
                <wp:simplePos x="0" y="0"/>
                <wp:positionH relativeFrom="column">
                  <wp:align>left</wp:align>
                </wp:positionH>
                <wp:positionV relativeFrom="line">
                  <wp:align>top</wp:align>
                </wp:positionV>
                <wp:extent cx="228600" cy="350520"/>
                <wp:effectExtent l="0" t="0" r="0" b="0"/>
                <wp:wrapSquare wrapText="right"/>
                <wp:docPr id="403" name="Frame25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5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reported reflect each Named Executive Officer’s annual bonus earned but unpaid for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10">
                <wp:simplePos x="0" y="0"/>
                <wp:positionH relativeFrom="column">
                  <wp:align>left</wp:align>
                </wp:positionH>
                <wp:positionV relativeFrom="line">
                  <wp:align>top</wp:align>
                </wp:positionV>
                <wp:extent cx="228600" cy="350520"/>
                <wp:effectExtent l="0" t="0" r="0" b="0"/>
                <wp:wrapSquare wrapText="right"/>
                <wp:docPr id="404" name="Frame25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5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the cost of providing the Named Executive Officer with continued medical insurance under COBRA for a period of 21 months (for Mr. Boyle) and 18 months (for Messrs. Drazin, Miller and Golwas) based on monthly COBRA rates in effect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11">
                <wp:simplePos x="0" y="0"/>
                <wp:positionH relativeFrom="column">
                  <wp:align>left</wp:align>
                </wp:positionH>
                <wp:positionV relativeFrom="line">
                  <wp:align>top</wp:align>
                </wp:positionV>
                <wp:extent cx="228600" cy="350520"/>
                <wp:effectExtent l="0" t="0" r="0" b="0"/>
                <wp:wrapSquare wrapText="right"/>
                <wp:docPr id="405" name="Frame25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6pt;mso-wrap-distance-bottom:0pt;margin-top:2.6pt;mso-position-vertical:top;mso-position-vertical-relative:text;margin-left:18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5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the cost of outplacement services for a period of 12 months.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12">
                <wp:simplePos x="0" y="0"/>
                <wp:positionH relativeFrom="column">
                  <wp:align>left</wp:align>
                </wp:positionH>
                <wp:positionV relativeFrom="line">
                  <wp:align>top</wp:align>
                </wp:positionV>
                <wp:extent cx="228600" cy="350520"/>
                <wp:effectExtent l="0" t="0" r="0" b="0"/>
                <wp:wrapSquare wrapText="right"/>
                <wp:docPr id="406" name="Frame25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5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Mr. Boyle, the amounts reported reflect partial accelerated vesting of time-vested Incentive Units in the event of termination by us without cause, by Mr. Boyle for good reason, and due to disability. For Mr. Pigott, the amount reported reflects partial accelerated vesting of the time-vested Incentive Units in accordance with the Pigott Transition Agreement. The amounts reported for the time-vested Incentive Units are based upon the appreciation in the value of our business from and after the date of grant through the date of our most recent valuation prior to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13">
                <wp:simplePos x="0" y="0"/>
                <wp:positionH relativeFrom="column">
                  <wp:align>left</wp:align>
                </wp:positionH>
                <wp:positionV relativeFrom="line">
                  <wp:align>top</wp:align>
                </wp:positionV>
                <wp:extent cx="228600" cy="350520"/>
                <wp:effectExtent l="0" t="0" r="0" b="0"/>
                <wp:wrapSquare wrapText="right"/>
                <wp:docPr id="407" name="Frame2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6pt;mso-wrap-distance-bottom:0pt;margin-top:2.6pt;mso-position-vertical:top;mso-position-vertical-relative:text;margin-left:18pt;mso-position-horizontal:left;mso-position-horizontal-relative:text">
                <v:textbox>
                  <w:txbxContent>
                    <w:p>
                      <w:pPr>
                        <w:pStyle w:val="TextBody"/>
                        <w:bidi w:val="0"/>
                        <w:spacing w:lineRule="atLeast" w:line="20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67</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PVPD"/>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00" w:before="400" w:after="24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reported reflect the value of accelerated vesting of time-vested Incentive Units in the event of a sale transaction. The amounts reported for the time-vested Incentive Units are based upon the appreciation in the value of our business from and after the date of grant through the date of our most recent valuation prior to December 31, 2025. For Mr. Boyle, the value of accelerated vesting consists of $12,008,015 for time-vested Incentive Units granted in October 2021 and $17,548,737 for time-vested Incentive Units granted in October 2023. For Messrs. Drazin and Golwas, the value of accelerated vesting relates to time-vested Incentive Units granted in October 2021. For Mr. Miller, the value of accelerated vesting relates to time-vested Incentive Units granted in connection with his Key Talent Award.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228600" cy="350520"/>
                <wp:effectExtent l="0" t="0" r="0" b="0"/>
                <wp:wrapSquare wrapText="right"/>
                <wp:docPr id="408" name="Frame2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(6)</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(6)</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 reported reflects the cash severance payable to Mr. Pigott pursuant to the Pigott Transition Agreement, consisting of the sum of (A) one and one-half times the sum of his base salary ($1,100,000) and estimated target annual bonus for 2025 ($1,650,000, at the time the Pigott Transition Agreement was entered into), which is paid over 18 months, and (B) annual bonus earned for 2025 (at target of $1,100,000), which is paid when annual bonuses are generally paid to active employees, in each case subject to Mr. Pigott’s compliance with restrictive covenants.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15">
                <wp:simplePos x="0" y="0"/>
                <wp:positionH relativeFrom="column">
                  <wp:align>left</wp:align>
                </wp:positionH>
                <wp:positionV relativeFrom="line">
                  <wp:align>top</wp:align>
                </wp:positionV>
                <wp:extent cx="228600" cy="350520"/>
                <wp:effectExtent l="0" t="0" r="0" b="0"/>
                <wp:wrapSquare wrapText="right"/>
                <wp:docPr id="409" name="Frame2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(7)</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(7)</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 reported for Mr. Boyle reflects a cash severance payment consisting of the sum of (A) three times the sum of his annual base salary ($1,250,000) and target bonus for 2025 ($1,662,500) and (B) annual bonus earned for 2025, pro-rated for the period of service during 2025, paid in a lump sum. The amounts reported for Messrs. Drazin, Golwas and Miller reflect a cash severance payment consisting of the sum of (A) two times each individual’s base salary ($810,000, $800,000, and $800,000, respectively) and target bonus for 2025 ($810,000, $800,000, and $800,000, respectively) and (B) annual bonus earned for 2025, pro-rated for the period of service during 2025, paid in a lump sum.</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16">
                <wp:simplePos x="0" y="0"/>
                <wp:positionH relativeFrom="column">
                  <wp:align>left</wp:align>
                </wp:positionH>
                <wp:positionV relativeFrom="line">
                  <wp:align>top</wp:align>
                </wp:positionV>
                <wp:extent cx="228600" cy="350520"/>
                <wp:effectExtent l="0" t="0" r="0" b="0"/>
                <wp:wrapSquare wrapText="right"/>
                <wp:docPr id="410" name="Frame2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(8)</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(8)</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reported reflect the cost of providing each Named Executive Officer with continued medical insurance under COBRA for a period of 24 months based on monthly COBRA rates in effect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17">
                <wp:simplePos x="0" y="0"/>
                <wp:positionH relativeFrom="column">
                  <wp:align>left</wp:align>
                </wp:positionH>
                <wp:positionV relativeFrom="line">
                  <wp:align>top</wp:align>
                </wp:positionV>
                <wp:extent cx="228600" cy="350520"/>
                <wp:effectExtent l="0" t="0" r="0" b="0"/>
                <wp:wrapSquare wrapText="right"/>
                <wp:docPr id="411" name="Frame2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(9)</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(9)</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P</w:t>
      </w:r>
      <w:r>
        <w:rPr>
          <w:rFonts w:ascii="Arial;Helvetica;sans-serif" w:hAnsi="Arial;Helvetica;sans-serif"/>
          <w:b/>
          <w:i w:val="false"/>
          <w:caps w:val="false"/>
          <w:smallCaps w:val="false"/>
          <w:color w:val="003CA6"/>
          <w:spacing w:val="-4"/>
          <w:sz w:val="28"/>
        </w:rPr>
        <w:t>AY</w:t>
      </w:r>
      <w:r>
        <w:rPr>
          <w:rFonts w:ascii="Arial;Helvetica;sans-serif" w:hAnsi="Arial;Helvetica;sans-serif"/>
          <w:b/>
          <w:i w:val="false"/>
          <w:caps w:val="false"/>
          <w:smallCaps w:val="false"/>
          <w:color w:val="003CA6"/>
          <w:spacing w:val="-4"/>
          <w:sz w:val="28"/>
        </w:rPr>
        <w:t xml:space="preserve"> V</w:t>
      </w:r>
      <w:r>
        <w:rPr>
          <w:rFonts w:ascii="Arial;Helvetica;sans-serif" w:hAnsi="Arial;Helvetica;sans-serif"/>
          <w:b/>
          <w:i w:val="false"/>
          <w:caps w:val="false"/>
          <w:smallCaps w:val="false"/>
          <w:color w:val="003CA6"/>
          <w:spacing w:val="-4"/>
          <w:sz w:val="28"/>
        </w:rPr>
        <w:t>ERSUS</w:t>
      </w:r>
      <w:r>
        <w:rPr>
          <w:rFonts w:ascii="Arial;Helvetica;sans-serif" w:hAnsi="Arial;Helvetica;sans-serif"/>
          <w:b/>
          <w:i w:val="false"/>
          <w:caps w:val="false"/>
          <w:smallCaps w:val="false"/>
          <w:color w:val="003CA6"/>
          <w:spacing w:val="-4"/>
          <w:sz w:val="28"/>
        </w:rPr>
        <w:t xml:space="preserve"> P</w:t>
      </w:r>
      <w:r>
        <w:rPr>
          <w:rFonts w:ascii="Arial;Helvetica;sans-serif" w:hAnsi="Arial;Helvetica;sans-serif"/>
          <w:b/>
          <w:i w:val="false"/>
          <w:caps w:val="false"/>
          <w:smallCaps w:val="false"/>
          <w:color w:val="003CA6"/>
          <w:spacing w:val="-4"/>
          <w:sz w:val="28"/>
        </w:rPr>
        <w:t>ERFORMANCE</w:t>
      </w:r>
      <w:r>
        <w:rPr>
          <w:rFonts w:ascii="Arial;Helvetica;sans-serif" w:hAnsi="Arial;Helvetica;sans-serif"/>
          <w:b/>
          <w:i w:val="false"/>
          <w:caps w:val="false"/>
          <w:smallCaps w:val="false"/>
          <w:color w:val="003CA6"/>
          <w:spacing w:val="-4"/>
          <w:sz w:val="28"/>
        </w:rPr>
        <w:t xml:space="preserve"> D</w:t>
      </w:r>
      <w:r>
        <w:rPr>
          <w:rFonts w:ascii="Arial;Helvetica;sans-serif" w:hAnsi="Arial;Helvetica;sans-serif"/>
          <w:b/>
          <w:i w:val="false"/>
          <w:caps w:val="false"/>
          <w:smallCaps w:val="false"/>
          <w:color w:val="003CA6"/>
          <w:spacing w:val="-4"/>
          <w:sz w:val="28"/>
        </w:rPr>
        <w:t>ISCLOSURE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As required by Section 953(a) of the Dodd-Frank Wall Street Reform and Consumer Protection Act, and Item 402(v) of Regulation S-K, we are providing the following information about the relationship between executive compensation actually paid (“CAP”) and certain financial performance of the Company. For further information concerning the Company’s pay for performance philosophy and how the Company aligns executive compensation with the Company’s performance, see </w:t>
      </w:r>
      <w:r>
        <w:rPr>
          <w:rFonts w:ascii="Arial;Helvetica;sans-serif" w:hAnsi="Arial;Helvetica;sans-serif"/>
          <w:b w:val="false"/>
          <w:i/>
          <w:caps w:val="false"/>
          <w:smallCaps w:val="false"/>
          <w:color w:val="000000"/>
          <w:sz w:val="18"/>
        </w:rPr>
        <w:t>Compensation Discussion and Analysis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P</w:t>
      </w:r>
      <w:r>
        <w:rPr>
          <w:rFonts w:ascii="Arial;Helvetica;sans-serif" w:hAnsi="Arial;Helvetica;sans-serif"/>
          <w:b/>
          <w:i w:val="false"/>
          <w:caps w:val="false"/>
          <w:smallCaps w:val="false"/>
          <w:color w:val="0055B7"/>
          <w:spacing w:val="-3"/>
          <w:sz w:val="24"/>
        </w:rPr>
        <w:t>AY</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ERSUS</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ERFORMANCE</w:t>
      </w:r>
      <w:r>
        <w:rPr>
          <w:rFonts w:ascii="Arial;Helvetica;sans-serif" w:hAnsi="Arial;Helvetica;sans-serif"/>
          <w:b/>
          <w:i w:val="false"/>
          <w:caps w:val="false"/>
          <w:smallCaps w:val="false"/>
          <w:color w:val="0055B7"/>
          <w:spacing w:val="-3"/>
          <w:sz w:val="24"/>
        </w:rPr>
        <w:t xml:space="preserve"> T</w:t>
      </w:r>
      <w:r>
        <w:rPr>
          <w:rFonts w:ascii="Arial;Helvetica;sans-serif" w:hAnsi="Arial;Helvetica;sans-serif"/>
          <w:b/>
          <w:i w:val="false"/>
          <w:caps w:val="false"/>
          <w:smallCaps w:val="false"/>
          <w:color w:val="0055B7"/>
          <w:spacing w:val="-3"/>
          <w:sz w:val="24"/>
        </w:rPr>
        <w:t>ABLE</w:t>
      </w:r>
      <w:r>
        <w:rPr>
          <w:rFonts w:ascii="Arial;Helvetica;sans-serif" w:hAnsi="Arial;Helvetica;sans-serif"/>
          <w:b/>
          <w:i w:val="false"/>
          <w:caps w:val="false"/>
          <w:smallCaps w:val="false"/>
          <w:color w:val="000000"/>
          <w:spacing w:val="5"/>
          <w:sz w:val="24"/>
        </w:rPr>
        <w:t xml:space="preserve"> </w:t>
      </w:r>
    </w:p>
    <w:tbl>
      <w:tblPr>
        <w:tblW w:w="14394" w:type="dxa"/>
        <w:jc w:val="left"/>
        <w:tblInd w:w="530" w:type="dxa"/>
        <w:tblLayout w:type="fixed"/>
        <w:tblCellMar>
          <w:top w:w="0" w:type="dxa"/>
          <w:left w:w="0" w:type="dxa"/>
          <w:bottom w:w="28" w:type="dxa"/>
          <w:right w:w="0" w:type="dxa"/>
        </w:tblCellMar>
      </w:tblPr>
      <w:tblGrid>
        <w:gridCol w:w="124"/>
        <w:gridCol w:w="580"/>
        <w:gridCol w:w="109"/>
        <w:gridCol w:w="109"/>
        <w:gridCol w:w="109"/>
        <w:gridCol w:w="226"/>
        <w:gridCol w:w="1066"/>
        <w:gridCol w:w="109"/>
        <w:gridCol w:w="109"/>
        <w:gridCol w:w="109"/>
        <w:gridCol w:w="109"/>
        <w:gridCol w:w="226"/>
        <w:gridCol w:w="1186"/>
        <w:gridCol w:w="109"/>
        <w:gridCol w:w="109"/>
        <w:gridCol w:w="109"/>
        <w:gridCol w:w="109"/>
        <w:gridCol w:w="226"/>
        <w:gridCol w:w="1066"/>
        <w:gridCol w:w="109"/>
        <w:gridCol w:w="109"/>
        <w:gridCol w:w="109"/>
        <w:gridCol w:w="109"/>
        <w:gridCol w:w="226"/>
        <w:gridCol w:w="1186"/>
        <w:gridCol w:w="109"/>
        <w:gridCol w:w="109"/>
        <w:gridCol w:w="109"/>
        <w:gridCol w:w="112"/>
        <w:gridCol w:w="232"/>
        <w:gridCol w:w="788"/>
        <w:gridCol w:w="114"/>
        <w:gridCol w:w="109"/>
        <w:gridCol w:w="109"/>
        <w:gridCol w:w="109"/>
        <w:gridCol w:w="226"/>
        <w:gridCol w:w="802"/>
        <w:gridCol w:w="109"/>
        <w:gridCol w:w="109"/>
        <w:gridCol w:w="109"/>
        <w:gridCol w:w="109"/>
        <w:gridCol w:w="226"/>
        <w:gridCol w:w="1066"/>
        <w:gridCol w:w="109"/>
        <w:gridCol w:w="109"/>
        <w:gridCol w:w="109"/>
        <w:gridCol w:w="109"/>
        <w:gridCol w:w="226"/>
        <w:gridCol w:w="1066"/>
        <w:gridCol w:w="109"/>
        <w:gridCol w:w="154"/>
      </w:tblGrid>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580" w:type="dxa"/>
            <w:vMerge w:val="restart"/>
            <w:tcBorders>
              <w:bottom w:val="single" w:sz="2" w:space="0" w:color="000000"/>
            </w:tcBorders>
            <w:tcMar>
              <w:bottom w:w="43" w:type="dxa"/>
            </w:tcMar>
            <w:vAlign w:val="center"/>
          </w:tcPr>
          <w:p>
            <w:pPr>
              <w:pStyle w:val="TableContents"/>
              <w:bidi w:val="0"/>
              <w:spacing w:lineRule="atLeast" w:line="180" w:before="0" w:after="0"/>
              <w:jc w:val="left"/>
              <w:rPr>
                <w:spacing w:val="0"/>
              </w:rPr>
            </w:pPr>
            <w:r>
              <w:rPr>
                <w:spacing w:val="0"/>
              </w:rPr>
              <w:t xml:space="preserve">Year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Summary </w:t>
              <w:br/>
              <w:t xml:space="preserve">Compensation </w:t>
              <w:br/>
              <w:t xml:space="preserve">Table Total </w:t>
              <w:br/>
              <w:t>for CEO</w:t>
            </w:r>
            <w:r>
              <w:rPr>
                <w:spacing w:val="-2"/>
                <w:sz w:val="10"/>
              </w:rPr>
              <w:t>(1)</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Compensation </w:t>
              <w:br/>
              <w:t xml:space="preserve">Actually </w:t>
              <w:br/>
              <w:t>Paid to</w:t>
            </w:r>
            <w:r>
              <w:rPr/>
              <w:t xml:space="preserve"> </w:t>
              <w:br/>
            </w:r>
            <w:r>
              <w:rPr>
                <w:spacing w:val="-2"/>
              </w:rPr>
              <w:t>CEO</w:t>
            </w:r>
            <w:r>
              <w:rPr>
                <w:spacing w:val="-2"/>
                <w:sz w:val="10"/>
              </w:rPr>
              <w:t>(3)</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Average </w:t>
              <w:br/>
              <w:t xml:space="preserve">Summary </w:t>
              <w:br/>
              <w:t xml:space="preserve">Compensation </w:t>
              <w:br/>
              <w:t xml:space="preserve">Table Total </w:t>
              <w:br/>
              <w:t xml:space="preserve">for Non-CEO </w:t>
              <w:br/>
              <w:t>NEOs</w:t>
            </w:r>
            <w:r>
              <w:rPr>
                <w:spacing w:val="-2"/>
                <w:sz w:val="10"/>
              </w:rPr>
              <w:t>(2)</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Average </w:t>
              <w:br/>
              <w:t xml:space="preserve">Compensation </w:t>
              <w:br/>
              <w:t xml:space="preserve">Actually </w:t>
              <w:br/>
              <w:t xml:space="preserve">Paid to </w:t>
              <w:br/>
              <w:t xml:space="preserve">Non-CEO </w:t>
              <w:br/>
              <w:t>NEOs</w:t>
            </w:r>
            <w:r>
              <w:rPr>
                <w:spacing w:val="-2"/>
                <w:sz w:val="10"/>
              </w:rPr>
              <w:t>(3)</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710" w:type="dxa"/>
            <w:gridSpan w:val="10"/>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Value of Initial Fixed </w:t>
              <w:br/>
              <w:t xml:space="preserve">$100 Investment </w:t>
              <w:br/>
              <w:t>Based On:</w:t>
            </w:r>
            <w:r>
              <w:rPr>
                <w:spacing w:val="-2"/>
                <w:sz w:val="10"/>
              </w:rPr>
              <w:t>(4)</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Net Income </w:t>
              <w:br/>
              <w:t>($ in millions)</w:t>
            </w:r>
            <w:r>
              <w:rPr>
                <w:spacing w:val="-2"/>
                <w:sz w:val="10"/>
              </w:rPr>
              <w:t>(6)</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Plan </w:t>
              <w:br/>
              <w:t>Adjusted</w:t>
            </w:r>
            <w:r>
              <w:rPr/>
              <w:t xml:space="preserve"> </w:t>
              <w:br/>
            </w:r>
            <w:r>
              <w:rPr>
                <w:spacing w:val="-2"/>
              </w:rPr>
              <w:t>EBITDA</w:t>
            </w:r>
            <w:r>
              <w:rPr/>
              <w:t xml:space="preserve"> </w:t>
              <w:br/>
            </w:r>
            <w:r>
              <w:rPr>
                <w:spacing w:val="0"/>
              </w:rPr>
              <w:t>($ in millions)</w:t>
            </w:r>
            <w:r>
              <w:rPr>
                <w:spacing w:val="-2"/>
                <w:sz w:val="10"/>
              </w:rPr>
              <w:t>(7)</w:t>
            </w:r>
            <w:r>
              <w:rPr/>
              <w:t xml:space="preserve"> </w:t>
            </w:r>
          </w:p>
        </w:tc>
        <w:tc>
          <w:tcPr>
            <w:tcW w:w="154" w:type="dxa"/>
            <w:vMerge w:val="restart"/>
            <w:tcBorders>
              <w:bottom w:val="single" w:sz="2"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580" w:type="dxa"/>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510"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630"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510"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630"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2" w:space="0" w:color="000000"/>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Total </w:t>
              <w:br/>
              <w:t xml:space="preserve">Shareholder </w:t>
              <w:br/>
              <w:t xml:space="preserve">Return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Peer Group </w:t>
              <w:br/>
              <w:t xml:space="preserve">Total </w:t>
              <w:br/>
              <w:t xml:space="preserve">Shareholder </w:t>
              <w:br/>
              <w:t>Return</w:t>
            </w:r>
            <w:r>
              <w:rPr>
                <w:spacing w:val="-2"/>
                <w:sz w:val="10"/>
              </w:rPr>
              <w:t>(5)</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continue"/>
            <w:tcBorders>
              <w:bottom w:val="single" w:sz="2" w:space="0" w:color="000000"/>
            </w:tcBorders>
            <w:vAlign w:val="center"/>
          </w:tcPr>
          <w:p>
            <w:pPr>
              <w:pStyle w:val="Normal"/>
              <w:bidi w:val="0"/>
              <w:jc w:val="left"/>
              <w:rPr/>
            </w:pPr>
            <w:r>
              <w:rPr/>
            </w:r>
          </w:p>
        </w:tc>
        <w:tc>
          <w:tcPr>
            <w:tcW w:w="1510"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510" w:type="dxa"/>
            <w:gridSpan w:val="4"/>
            <w:vMerge w:val="continue"/>
            <w:tcBorders>
              <w:bottom w:val="single" w:sz="2" w:space="0" w:color="000000"/>
            </w:tcBorders>
            <w:tcMar>
              <w:bottom w:w="43" w:type="dxa"/>
            </w:tcMar>
            <w:vAlign w:val="center"/>
          </w:tcPr>
          <w:p>
            <w:pPr>
              <w:pStyle w:val="Normal"/>
              <w:bidi w:val="0"/>
              <w:jc w:val="left"/>
              <w:rPr/>
            </w:pPr>
            <w:r>
              <w:rPr/>
            </w:r>
          </w:p>
        </w:tc>
        <w:tc>
          <w:tcPr>
            <w:tcW w:w="154" w:type="dxa"/>
            <w:vMerge w:val="continue"/>
            <w:tcBorders>
              <w:bottom w:val="single" w:sz="2" w:space="0" w:color="000000"/>
            </w:tcBorders>
            <w:vAlign w:val="center"/>
          </w:tcPr>
          <w:p>
            <w:pPr>
              <w:pStyle w:val="Normal"/>
              <w:bidi w:val="0"/>
              <w:jc w:val="left"/>
              <w:rPr/>
            </w:pPr>
            <w:r>
              <w:rPr/>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80" w:type="dxa"/>
            <w:tcBorders>
              <w:bottom w:val="single" w:sz="6" w:space="0" w:color="000000"/>
            </w:tcBorders>
            <w:tcMar>
              <w:bottom w:w="36" w:type="dxa"/>
            </w:tcMar>
            <w:vAlign w:val="center"/>
          </w:tcPr>
          <w:p>
            <w:pPr>
              <w:pStyle w:val="TableContents"/>
              <w:bidi w:val="0"/>
              <w:spacing w:before="0" w:after="0"/>
              <w:jc w:val="left"/>
              <w:rPr>
                <w:b/>
                <w:color w:val="0055B7"/>
              </w:rPr>
            </w:pPr>
            <w:r>
              <w:rPr>
                <w:b/>
                <w:color w:val="0055B7"/>
                <w:spacing w:val="-2"/>
              </w:rPr>
              <w:t>2025</w:t>
            </w:r>
            <w:r>
              <w:rPr>
                <w:b/>
                <w:color w:val="0055B7"/>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36" w:type="dxa"/>
            </w:tcMar>
            <w:vAlign w:val="center"/>
          </w:tcPr>
          <w:p>
            <w:pPr>
              <w:pStyle w:val="TableContents"/>
              <w:bidi w:val="0"/>
              <w:spacing w:before="0" w:after="283"/>
              <w:jc w:val="right"/>
              <w:rPr/>
            </w:pPr>
            <w:r>
              <w:rPr/>
              <w:t>$</w:t>
            </w:r>
          </w:p>
        </w:tc>
        <w:tc>
          <w:tcPr>
            <w:tcW w:w="1066" w:type="dxa"/>
            <w:tcBorders>
              <w:bottom w:val="single" w:sz="6" w:space="0" w:color="000000"/>
            </w:tcBorders>
            <w:tcMar>
              <w:bottom w:w="36" w:type="dxa"/>
            </w:tcMar>
            <w:vAlign w:val="center"/>
          </w:tcPr>
          <w:p>
            <w:pPr>
              <w:pStyle w:val="TableContents"/>
              <w:bidi w:val="0"/>
              <w:spacing w:before="0" w:after="283"/>
              <w:jc w:val="right"/>
              <w:rPr/>
            </w:pPr>
            <w:r>
              <w:rPr/>
              <w:t>3,860,972</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36" w:type="dxa"/>
            </w:tcMar>
            <w:vAlign w:val="center"/>
          </w:tcPr>
          <w:p>
            <w:pPr>
              <w:pStyle w:val="TableContents"/>
              <w:bidi w:val="0"/>
              <w:spacing w:before="0" w:after="283"/>
              <w:jc w:val="right"/>
              <w:rPr/>
            </w:pPr>
            <w:r>
              <w:rPr/>
              <w:t>$</w:t>
            </w:r>
          </w:p>
        </w:tc>
        <w:tc>
          <w:tcPr>
            <w:tcW w:w="1186" w:type="dxa"/>
            <w:tcBorders>
              <w:bottom w:val="single" w:sz="6" w:space="0" w:color="000000"/>
            </w:tcBorders>
            <w:tcMar>
              <w:bottom w:w="36" w:type="dxa"/>
            </w:tcMar>
            <w:vAlign w:val="center"/>
          </w:tcPr>
          <w:p>
            <w:pPr>
              <w:pStyle w:val="TableContents"/>
              <w:bidi w:val="0"/>
              <w:spacing w:before="0" w:after="283"/>
              <w:jc w:val="right"/>
              <w:rPr/>
            </w:pPr>
            <w:r>
              <w:rPr/>
              <w:t>61,843,777</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36" w:type="dxa"/>
            </w:tcMar>
            <w:vAlign w:val="center"/>
          </w:tcPr>
          <w:p>
            <w:pPr>
              <w:pStyle w:val="TableContents"/>
              <w:bidi w:val="0"/>
              <w:spacing w:before="0" w:after="283"/>
              <w:jc w:val="right"/>
              <w:rPr/>
            </w:pPr>
            <w:r>
              <w:rPr/>
              <w:t>$</w:t>
            </w:r>
          </w:p>
        </w:tc>
        <w:tc>
          <w:tcPr>
            <w:tcW w:w="1066" w:type="dxa"/>
            <w:tcBorders>
              <w:bottom w:val="single" w:sz="6" w:space="0" w:color="000000"/>
            </w:tcBorders>
            <w:tcMar>
              <w:bottom w:w="36" w:type="dxa"/>
            </w:tcMar>
            <w:vAlign w:val="center"/>
          </w:tcPr>
          <w:p>
            <w:pPr>
              <w:pStyle w:val="TableContents"/>
              <w:bidi w:val="0"/>
              <w:spacing w:before="0" w:after="283"/>
              <w:jc w:val="right"/>
              <w:rPr/>
            </w:pPr>
            <w:r>
              <w:rPr/>
              <w:t>4,615,351</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36" w:type="dxa"/>
            </w:tcMar>
            <w:vAlign w:val="center"/>
          </w:tcPr>
          <w:p>
            <w:pPr>
              <w:pStyle w:val="TableContents"/>
              <w:bidi w:val="0"/>
              <w:spacing w:before="0" w:after="283"/>
              <w:jc w:val="right"/>
              <w:rPr/>
            </w:pPr>
            <w:r>
              <w:rPr/>
              <w:t>$</w:t>
            </w:r>
          </w:p>
        </w:tc>
        <w:tc>
          <w:tcPr>
            <w:tcW w:w="1186" w:type="dxa"/>
            <w:tcBorders>
              <w:bottom w:val="single" w:sz="6" w:space="0" w:color="000000"/>
            </w:tcBorders>
            <w:tcMar>
              <w:bottom w:w="36" w:type="dxa"/>
            </w:tcMar>
            <w:vAlign w:val="center"/>
          </w:tcPr>
          <w:p>
            <w:pPr>
              <w:pStyle w:val="TableContents"/>
              <w:bidi w:val="0"/>
              <w:spacing w:before="0" w:after="283"/>
              <w:jc w:val="right"/>
              <w:rPr/>
            </w:pPr>
            <w:r>
              <w:rPr/>
              <w:t>14,336,193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232" w:type="dxa"/>
            <w:tcBorders>
              <w:bottom w:val="single" w:sz="6" w:space="0" w:color="000000"/>
            </w:tcBorders>
            <w:tcMar>
              <w:bottom w:w="36" w:type="dxa"/>
            </w:tcMar>
            <w:vAlign w:val="center"/>
          </w:tcPr>
          <w:p>
            <w:pPr>
              <w:pStyle w:val="TableContents"/>
              <w:bidi w:val="0"/>
              <w:spacing w:before="0" w:after="283"/>
              <w:jc w:val="right"/>
              <w:rPr/>
            </w:pPr>
            <w:r>
              <w:rPr/>
              <w:t>$</w:t>
            </w:r>
          </w:p>
        </w:tc>
        <w:tc>
          <w:tcPr>
            <w:tcW w:w="788" w:type="dxa"/>
            <w:tcBorders>
              <w:bottom w:val="single" w:sz="6" w:space="0" w:color="000000"/>
            </w:tcBorders>
            <w:tcMar>
              <w:bottom w:w="36" w:type="dxa"/>
            </w:tcMar>
            <w:vAlign w:val="center"/>
          </w:tcPr>
          <w:p>
            <w:pPr>
              <w:pStyle w:val="TableContents"/>
              <w:bidi w:val="0"/>
              <w:spacing w:before="0" w:after="283"/>
              <w:jc w:val="right"/>
              <w:rPr/>
            </w:pPr>
            <w:r>
              <w:rPr/>
              <w:t>102.44</w:t>
            </w:r>
          </w:p>
        </w:tc>
        <w:tc>
          <w:tcPr>
            <w:tcW w:w="11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36" w:type="dxa"/>
            </w:tcMar>
            <w:vAlign w:val="center"/>
          </w:tcPr>
          <w:p>
            <w:pPr>
              <w:pStyle w:val="TableContents"/>
              <w:bidi w:val="0"/>
              <w:spacing w:before="0" w:after="283"/>
              <w:jc w:val="right"/>
              <w:rPr/>
            </w:pPr>
            <w:r>
              <w:rPr/>
              <w:t>$</w:t>
            </w:r>
          </w:p>
        </w:tc>
        <w:tc>
          <w:tcPr>
            <w:tcW w:w="802" w:type="dxa"/>
            <w:tcBorders>
              <w:bottom w:val="single" w:sz="6" w:space="0" w:color="000000"/>
            </w:tcBorders>
            <w:tcMar>
              <w:bottom w:w="36" w:type="dxa"/>
            </w:tcMar>
            <w:vAlign w:val="center"/>
          </w:tcPr>
          <w:p>
            <w:pPr>
              <w:pStyle w:val="TableContents"/>
              <w:bidi w:val="0"/>
              <w:spacing w:before="0" w:after="283"/>
              <w:jc w:val="right"/>
              <w:rPr/>
            </w:pPr>
            <w:r>
              <w:rPr/>
              <w:t xml:space="preserve">101.10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36" w:type="dxa"/>
            </w:tcMar>
            <w:vAlign w:val="center"/>
          </w:tcPr>
          <w:p>
            <w:pPr>
              <w:pStyle w:val="TableContents"/>
              <w:bidi w:val="0"/>
              <w:spacing w:before="0" w:after="283"/>
              <w:jc w:val="right"/>
              <w:rPr/>
            </w:pPr>
            <w:r>
              <w:rPr/>
              <w:t>$</w:t>
            </w:r>
          </w:p>
        </w:tc>
        <w:tc>
          <w:tcPr>
            <w:tcW w:w="1066" w:type="dxa"/>
            <w:tcBorders>
              <w:bottom w:val="single" w:sz="6" w:space="0" w:color="000000"/>
            </w:tcBorders>
            <w:tcMar>
              <w:bottom w:w="36" w:type="dxa"/>
            </w:tcMar>
            <w:vAlign w:val="center"/>
          </w:tcPr>
          <w:p>
            <w:pPr>
              <w:pStyle w:val="TableContents"/>
              <w:bidi w:val="0"/>
              <w:spacing w:before="0" w:after="283"/>
              <w:jc w:val="right"/>
              <w:rPr/>
            </w:pPr>
            <w:r>
              <w:rPr/>
              <w:t>1,157,000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36" w:type="dxa"/>
            </w:tcMar>
            <w:vAlign w:val="center"/>
          </w:tcPr>
          <w:p>
            <w:pPr>
              <w:pStyle w:val="TableContents"/>
              <w:bidi w:val="0"/>
              <w:spacing w:before="0" w:after="283"/>
              <w:jc w:val="right"/>
              <w:rPr/>
            </w:pPr>
            <w:r>
              <w:rPr/>
              <w:t>$</w:t>
            </w:r>
          </w:p>
        </w:tc>
        <w:tc>
          <w:tcPr>
            <w:tcW w:w="1066" w:type="dxa"/>
            <w:tcBorders>
              <w:bottom w:val="single" w:sz="6" w:space="0" w:color="000000"/>
            </w:tcBorders>
            <w:tcMar>
              <w:bottom w:w="36" w:type="dxa"/>
            </w:tcMar>
            <w:vAlign w:val="center"/>
          </w:tcPr>
          <w:p>
            <w:pPr>
              <w:pStyle w:val="TableContents"/>
              <w:bidi w:val="0"/>
              <w:spacing w:before="0" w:after="283"/>
              <w:jc w:val="right"/>
              <w:rPr/>
            </w:pPr>
            <w:r>
              <w:rPr/>
              <w:t>3,559,000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00" w:before="2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amounts reported in this column reflects the total compensation reported in the Summary Compensation Table for Mr. Boyle, our CEO.</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228600" cy="350520"/>
                <wp:effectExtent l="0" t="0" r="0" b="0"/>
                <wp:wrapSquare wrapText="right"/>
                <wp:docPr id="412" name="Frame2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(1)</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(1)</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amounts reported in this column reflect the average of the total compensation reported in the Summary Compensation Table for the following NEOs (the “Non-CEO NEOs”): Mr. Drazin, Mr. Pigott, Mr. Miller and Mr. Golwas.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19">
                <wp:simplePos x="0" y="0"/>
                <wp:positionH relativeFrom="column">
                  <wp:align>left</wp:align>
                </wp:positionH>
                <wp:positionV relativeFrom="line">
                  <wp:align>top</wp:align>
                </wp:positionV>
                <wp:extent cx="228600" cy="350520"/>
                <wp:effectExtent l="0" t="0" r="0" b="0"/>
                <wp:wrapSquare wrapText="right"/>
                <wp:docPr id="413" name="Frame2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(2)</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(2)</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amounts reported in these columns represent the CAP to the CEO and the average CAP to the Non-CEO NEOs for the corresponding fiscal year. The dollar amounts do not reflect the actual amount of compensation earned by or paid to the NEOs during the applicable year but rather are amounts determined in accordance with Item 402 of Regulation S-K under the Exchange Act. Valuation assumptions and methodology used to calculate fair values did not materially differ from those used to calculate the grant date fair value as reflected in the Summary Compensation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20">
                <wp:simplePos x="0" y="0"/>
                <wp:positionH relativeFrom="column">
                  <wp:align>left</wp:align>
                </wp:positionH>
                <wp:positionV relativeFrom="line">
                  <wp:align>top</wp:align>
                </wp:positionV>
                <wp:extent cx="228600" cy="350520"/>
                <wp:effectExtent l="0" t="0" r="0" b="0"/>
                <wp:wrapSquare wrapText="right"/>
                <wp:docPr id="414" name="Frame26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b w:val="false"/>
                              </w:rPr>
                            </w:pPr>
                            <w:r>
                              <w:rPr>
                                <w:b w:val="false"/>
                                <w:spacing w:val="-1"/>
                              </w:rPr>
                              <w:t>(3)</w:t>
                            </w:r>
                            <w:r>
                              <w:rPr>
                                <w:b w:val="false"/>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1"/>
                        </w:rPr>
                        <w:t>(3)</w:t>
                      </w:r>
                      <w:r>
                        <w:rPr>
                          <w:b w:val="false"/>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28" w:type="dxa"/>
          <w:right w:w="0" w:type="dxa"/>
        </w:tblCellMar>
      </w:tblPr>
      <w:tblGrid>
        <w:gridCol w:w="124"/>
        <w:gridCol w:w="5566"/>
        <w:gridCol w:w="109"/>
        <w:gridCol w:w="109"/>
        <w:gridCol w:w="109"/>
        <w:gridCol w:w="109"/>
        <w:gridCol w:w="1202"/>
        <w:gridCol w:w="109"/>
        <w:gridCol w:w="109"/>
        <w:gridCol w:w="109"/>
        <w:gridCol w:w="119"/>
        <w:gridCol w:w="119"/>
        <w:gridCol w:w="1317"/>
        <w:gridCol w:w="119"/>
        <w:gridCol w:w="156"/>
      </w:tblGrid>
      <w:tr>
        <w:trPr/>
        <w:tc>
          <w:tcPr>
            <w:tcW w:w="124" w:type="dxa"/>
            <w:tcBorders>
              <w:bottom w:val="single" w:sz="2" w:space="0" w:color="000000"/>
            </w:tcBorders>
            <w:vAlign w:val="center"/>
          </w:tcPr>
          <w:p>
            <w:pPr>
              <w:pStyle w:val="TableContents"/>
              <w:bidi w:val="0"/>
              <w:spacing w:before="0" w:after="283"/>
              <w:jc w:val="left"/>
              <w:rPr/>
            </w:pPr>
            <w:r>
              <w:rPr/>
              <w:t>​</w:t>
            </w:r>
          </w:p>
        </w:tc>
        <w:tc>
          <w:tcPr>
            <w:tcW w:w="5566" w:type="dxa"/>
            <w:tcBorders>
              <w:bottom w:val="single" w:sz="2" w:space="0" w:color="000000"/>
            </w:tcBorders>
            <w:tcMar>
              <w:bottom w:w="30"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29" w:type="dxa"/>
            <w:gridSpan w:val="4"/>
            <w:tcBorders>
              <w:bottom w:val="single" w:sz="2" w:space="0" w:color="000000"/>
            </w:tcBorders>
            <w:tcMar>
              <w:bottom w:w="30" w:type="dxa"/>
            </w:tcMar>
            <w:vAlign w:val="center"/>
          </w:tcPr>
          <w:p>
            <w:pPr>
              <w:pStyle w:val="TableContents"/>
              <w:bidi w:val="0"/>
              <w:spacing w:before="0" w:after="0"/>
              <w:jc w:val="center"/>
              <w:rPr>
                <w:color w:val="0055B7"/>
              </w:rPr>
            </w:pPr>
            <w:r>
              <w:rPr>
                <w:color w:val="0055B7"/>
                <w:spacing w:val="-2"/>
              </w:rPr>
              <w:t>2025</w:t>
            </w:r>
            <w:r>
              <w:rPr>
                <w:color w:val="0055B7"/>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74" w:type="dxa"/>
            <w:gridSpan w:val="4"/>
            <w:tcBorders>
              <w:bottom w:val="single" w:sz="2" w:space="0" w:color="000000"/>
            </w:tcBorders>
            <w:tcMar>
              <w:bottom w:w="30" w:type="dxa"/>
            </w:tcMar>
            <w:vAlign w:val="center"/>
          </w:tcPr>
          <w:p>
            <w:pPr>
              <w:pStyle w:val="TableContents"/>
              <w:bidi w:val="0"/>
              <w:spacing w:before="0" w:after="0"/>
              <w:jc w:val="center"/>
              <w:rPr>
                <w:color w:val="0055B7"/>
              </w:rPr>
            </w:pPr>
            <w:r>
              <w:rPr>
                <w:color w:val="0055B7"/>
                <w:spacing w:val="-2"/>
              </w:rPr>
              <w:t>2025</w:t>
            </w:r>
            <w:r>
              <w:rPr>
                <w:color w:val="0055B7"/>
              </w:rPr>
              <w:t xml:space="preserve">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5566" w:type="dxa"/>
            <w:tcBorders>
              <w:bottom w:val="single" w:sz="2" w:space="0" w:color="000000"/>
            </w:tcBorders>
            <w:vAlign w:val="center"/>
          </w:tcPr>
          <w:p>
            <w:pPr>
              <w:pStyle w:val="TableContents"/>
              <w:bidi w:val="0"/>
              <w:spacing w:before="0" w:after="0"/>
              <w:jc w:val="left"/>
              <w:rPr>
                <w:spacing w:val="0"/>
              </w:rPr>
            </w:pPr>
            <w:r>
              <w:rPr>
                <w:spacing w:val="0"/>
              </w:rPr>
              <w:t xml:space="preserve">CAP Reconciliation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29"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CEO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74"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Average of </w:t>
              <w:br/>
              <w:t xml:space="preserve">Non-CEO NEOs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566" w:type="dxa"/>
            <w:tcBorders>
              <w:bottom w:val="single" w:sz="6" w:space="0" w:color="000000"/>
            </w:tcBorders>
            <w:vAlign w:val="center"/>
          </w:tcPr>
          <w:p>
            <w:pPr>
              <w:pStyle w:val="TableContents"/>
              <w:bidi w:val="0"/>
              <w:spacing w:before="0" w:after="283"/>
              <w:jc w:val="left"/>
              <w:rPr>
                <w:spacing w:val="-1"/>
              </w:rPr>
            </w:pPr>
            <w:r>
              <w:rPr>
                <w:spacing w:val="-1"/>
              </w:rPr>
              <w:t xml:space="preserve">SCT Total Compensation ($)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202" w:type="dxa"/>
            <w:tcBorders>
              <w:bottom w:val="single" w:sz="6" w:space="0" w:color="000000"/>
            </w:tcBorders>
            <w:vAlign w:val="center"/>
          </w:tcPr>
          <w:p>
            <w:pPr>
              <w:pStyle w:val="TableContents"/>
              <w:bidi w:val="0"/>
              <w:spacing w:before="0" w:after="283"/>
              <w:jc w:val="right"/>
              <w:rPr/>
            </w:pPr>
            <w:r>
              <w:rPr/>
              <w:t>3,860,972</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9" w:type="dxa"/>
            <w:tcBorders>
              <w:bottom w:val="single" w:sz="6" w:space="0" w:color="000000"/>
            </w:tcBorders>
            <w:vAlign w:val="center"/>
          </w:tcPr>
          <w:p>
            <w:pPr>
              <w:pStyle w:val="TableContents"/>
              <w:bidi w:val="0"/>
              <w:spacing w:before="0" w:after="283"/>
              <w:jc w:val="left"/>
              <w:rPr/>
            </w:pPr>
            <w:r>
              <w:rPr/>
              <w:t>​</w:t>
            </w:r>
          </w:p>
        </w:tc>
        <w:tc>
          <w:tcPr>
            <w:tcW w:w="119" w:type="dxa"/>
            <w:tcBorders>
              <w:bottom w:val="single" w:sz="6" w:space="0" w:color="000000"/>
            </w:tcBorders>
            <w:vAlign w:val="center"/>
          </w:tcPr>
          <w:p>
            <w:pPr>
              <w:pStyle w:val="TableContents"/>
              <w:bidi w:val="0"/>
              <w:spacing w:before="0" w:after="283"/>
              <w:jc w:val="right"/>
              <w:rPr/>
            </w:pPr>
            <w:r>
              <w:rPr/>
              <w:t>​</w:t>
            </w:r>
          </w:p>
        </w:tc>
        <w:tc>
          <w:tcPr>
            <w:tcW w:w="1317" w:type="dxa"/>
            <w:tcBorders>
              <w:bottom w:val="single" w:sz="6" w:space="0" w:color="000000"/>
            </w:tcBorders>
            <w:vAlign w:val="center"/>
          </w:tcPr>
          <w:p>
            <w:pPr>
              <w:pStyle w:val="TableContents"/>
              <w:bidi w:val="0"/>
              <w:spacing w:before="0" w:after="283"/>
              <w:jc w:val="right"/>
              <w:rPr/>
            </w:pPr>
            <w:r>
              <w:rPr/>
              <w:t>4,615,351</w:t>
            </w:r>
          </w:p>
        </w:tc>
        <w:tc>
          <w:tcPr>
            <w:tcW w:w="119" w:type="dxa"/>
            <w:tcBorders>
              <w:bottom w:val="single" w:sz="6" w:space="0" w:color="000000"/>
            </w:tcBorders>
            <w:vAlign w:val="center"/>
          </w:tcPr>
          <w:p>
            <w:pPr>
              <w:pStyle w:val="TableContents"/>
              <w:bidi w:val="0"/>
              <w:spacing w:before="0" w:after="283"/>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5566" w:type="dxa"/>
            <w:tcBorders>
              <w:bottom w:val="single" w:sz="6" w:space="0" w:color="000000"/>
            </w:tcBorders>
            <w:shd w:fill="E6EEF8" w:val="clear"/>
            <w:vAlign w:val="center"/>
          </w:tcPr>
          <w:p>
            <w:pPr>
              <w:pStyle w:val="TableContents"/>
              <w:bidi w:val="0"/>
              <w:spacing w:before="0" w:after="283"/>
              <w:jc w:val="left"/>
              <w:rPr>
                <w:spacing w:val="-1"/>
              </w:rPr>
            </w:pPr>
            <w:r>
              <w:rPr>
                <w:spacing w:val="-1"/>
              </w:rPr>
              <w:t xml:space="preserve">Less: value of Stock Awards reported in SCT ($)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right"/>
              <w:rPr/>
            </w:pPr>
            <w:r>
              <w:rPr/>
              <w:t>​</w:t>
            </w:r>
          </w:p>
        </w:tc>
        <w:tc>
          <w:tcPr>
            <w:tcW w:w="1202" w:type="dxa"/>
            <w:tcBorders>
              <w:bottom w:val="single" w:sz="6" w:space="0" w:color="000000"/>
            </w:tcBorders>
            <w:shd w:fill="E6EEF8" w:val="clear"/>
            <w:vAlign w:val="center"/>
          </w:tcPr>
          <w:p>
            <w:pPr>
              <w:pStyle w:val="TableContents"/>
              <w:bidi w:val="0"/>
              <w:spacing w:before="0" w:after="283"/>
              <w:jc w:val="right"/>
              <w:rPr/>
            </w:pPr>
            <w:r>
              <w:rPr/>
              <w:t>(1,177,665)</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9" w:type="dxa"/>
            <w:tcBorders>
              <w:bottom w:val="single" w:sz="6" w:space="0" w:color="000000"/>
            </w:tcBorders>
            <w:shd w:fill="E6EEF8" w:val="clear"/>
            <w:vAlign w:val="center"/>
          </w:tcPr>
          <w:p>
            <w:pPr>
              <w:pStyle w:val="TableContents"/>
              <w:bidi w:val="0"/>
              <w:spacing w:before="0" w:after="283"/>
              <w:jc w:val="left"/>
              <w:rPr/>
            </w:pPr>
            <w:r>
              <w:rPr/>
              <w:t>​</w:t>
            </w:r>
          </w:p>
        </w:tc>
        <w:tc>
          <w:tcPr>
            <w:tcW w:w="119" w:type="dxa"/>
            <w:tcBorders>
              <w:bottom w:val="single" w:sz="6" w:space="0" w:color="000000"/>
            </w:tcBorders>
            <w:shd w:fill="E6EEF8" w:val="clear"/>
            <w:vAlign w:val="center"/>
          </w:tcPr>
          <w:p>
            <w:pPr>
              <w:pStyle w:val="TableContents"/>
              <w:bidi w:val="0"/>
              <w:spacing w:before="0" w:after="283"/>
              <w:jc w:val="right"/>
              <w:rPr/>
            </w:pPr>
            <w:r>
              <w:rPr/>
              <w:t>​</w:t>
            </w:r>
          </w:p>
        </w:tc>
        <w:tc>
          <w:tcPr>
            <w:tcW w:w="1317" w:type="dxa"/>
            <w:tcBorders>
              <w:bottom w:val="single" w:sz="6" w:space="0" w:color="000000"/>
            </w:tcBorders>
            <w:shd w:fill="E6EEF8" w:val="clear"/>
            <w:vAlign w:val="center"/>
          </w:tcPr>
          <w:p>
            <w:pPr>
              <w:pStyle w:val="TableContents"/>
              <w:bidi w:val="0"/>
              <w:spacing w:before="0" w:after="283"/>
              <w:jc w:val="right"/>
              <w:rPr/>
            </w:pPr>
            <w:r>
              <w:rPr/>
              <w:t>(717,640)</w:t>
            </w:r>
          </w:p>
        </w:tc>
        <w:tc>
          <w:tcPr>
            <w:tcW w:w="119" w:type="dxa"/>
            <w:tcBorders>
              <w:bottom w:val="single" w:sz="6" w:space="0" w:color="000000"/>
            </w:tcBorders>
            <w:shd w:fill="E6EEF8" w:val="clear"/>
            <w:vAlign w:val="center"/>
          </w:tcPr>
          <w:p>
            <w:pPr>
              <w:pStyle w:val="TableContents"/>
              <w:bidi w:val="0"/>
              <w:spacing w:before="0" w:after="283"/>
              <w:jc w:val="left"/>
              <w:rPr/>
            </w:pPr>
            <w:r>
              <w:rPr/>
              <w:t>​</w:t>
            </w:r>
          </w:p>
        </w:tc>
        <w:tc>
          <w:tcPr>
            <w:tcW w:w="156"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566" w:type="dxa"/>
            <w:tcBorders>
              <w:bottom w:val="single" w:sz="6" w:space="0" w:color="000000"/>
            </w:tcBorders>
            <w:vAlign w:val="center"/>
          </w:tcPr>
          <w:p>
            <w:pPr>
              <w:pStyle w:val="TableContents"/>
              <w:bidi w:val="0"/>
              <w:spacing w:before="0" w:after="0"/>
              <w:ind w:left="180" w:right="0" w:hanging="180"/>
              <w:jc w:val="left"/>
              <w:rPr>
                <w:spacing w:val="-1"/>
              </w:rPr>
            </w:pPr>
            <w:r>
              <w:rPr>
                <w:spacing w:val="-1"/>
              </w:rPr>
              <w:t xml:space="preserve">Plus: Year-End value of Awards Granted in Fiscal Year that are Unvested and Outstanding ($)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202" w:type="dxa"/>
            <w:tcBorders>
              <w:bottom w:val="single" w:sz="6" w:space="0" w:color="000000"/>
            </w:tcBorders>
            <w:vAlign w:val="center"/>
          </w:tcPr>
          <w:p>
            <w:pPr>
              <w:pStyle w:val="TableContents"/>
              <w:bidi w:val="0"/>
              <w:spacing w:before="0" w:after="283"/>
              <w:jc w:val="right"/>
              <w:rPr/>
            </w:pPr>
            <w:r>
              <w:rPr/>
              <w:t>1,333,038</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9" w:type="dxa"/>
            <w:tcBorders>
              <w:bottom w:val="single" w:sz="6" w:space="0" w:color="000000"/>
            </w:tcBorders>
            <w:vAlign w:val="center"/>
          </w:tcPr>
          <w:p>
            <w:pPr>
              <w:pStyle w:val="TableContents"/>
              <w:bidi w:val="0"/>
              <w:spacing w:before="0" w:after="283"/>
              <w:jc w:val="left"/>
              <w:rPr/>
            </w:pPr>
            <w:r>
              <w:rPr/>
              <w:t>​</w:t>
            </w:r>
          </w:p>
        </w:tc>
        <w:tc>
          <w:tcPr>
            <w:tcW w:w="119" w:type="dxa"/>
            <w:tcBorders>
              <w:bottom w:val="single" w:sz="6" w:space="0" w:color="000000"/>
            </w:tcBorders>
            <w:vAlign w:val="center"/>
          </w:tcPr>
          <w:p>
            <w:pPr>
              <w:pStyle w:val="TableContents"/>
              <w:bidi w:val="0"/>
              <w:spacing w:before="0" w:after="283"/>
              <w:jc w:val="right"/>
              <w:rPr/>
            </w:pPr>
            <w:r>
              <w:rPr/>
              <w:t>​</w:t>
            </w:r>
          </w:p>
        </w:tc>
        <w:tc>
          <w:tcPr>
            <w:tcW w:w="1317" w:type="dxa"/>
            <w:tcBorders>
              <w:bottom w:val="single" w:sz="6" w:space="0" w:color="000000"/>
            </w:tcBorders>
            <w:vAlign w:val="center"/>
          </w:tcPr>
          <w:p>
            <w:pPr>
              <w:pStyle w:val="TableContents"/>
              <w:bidi w:val="0"/>
              <w:spacing w:before="0" w:after="283"/>
              <w:jc w:val="right"/>
              <w:rPr/>
            </w:pPr>
            <w:r>
              <w:rPr/>
              <w:t>812,322</w:t>
            </w:r>
          </w:p>
        </w:tc>
        <w:tc>
          <w:tcPr>
            <w:tcW w:w="119" w:type="dxa"/>
            <w:tcBorders>
              <w:bottom w:val="single" w:sz="6" w:space="0" w:color="000000"/>
            </w:tcBorders>
            <w:vAlign w:val="center"/>
          </w:tcPr>
          <w:p>
            <w:pPr>
              <w:pStyle w:val="TableContents"/>
              <w:bidi w:val="0"/>
              <w:spacing w:before="0" w:after="283"/>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5566" w:type="dxa"/>
            <w:tcBorders>
              <w:bottom w:val="single" w:sz="6" w:space="0" w:color="000000"/>
            </w:tcBorders>
            <w:shd w:fill="E6EEF8" w:val="clear"/>
            <w:vAlign w:val="center"/>
          </w:tcPr>
          <w:p>
            <w:pPr>
              <w:pStyle w:val="TableContents"/>
              <w:bidi w:val="0"/>
              <w:spacing w:before="0" w:after="283"/>
              <w:jc w:val="left"/>
              <w:rPr>
                <w:spacing w:val="-1"/>
              </w:rPr>
            </w:pPr>
            <w:r>
              <w:rPr>
                <w:spacing w:val="-1"/>
              </w:rPr>
              <w:t xml:space="preserve">Plus: Change in Fair Value of Outstanding Unvested Stock Awards from Prior Years ($)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right"/>
              <w:rPr/>
            </w:pPr>
            <w:r>
              <w:rPr/>
              <w:t>​</w:t>
            </w:r>
          </w:p>
        </w:tc>
        <w:tc>
          <w:tcPr>
            <w:tcW w:w="1202" w:type="dxa"/>
            <w:tcBorders>
              <w:bottom w:val="single" w:sz="6" w:space="0" w:color="000000"/>
            </w:tcBorders>
            <w:shd w:fill="E6EEF8" w:val="clear"/>
            <w:vAlign w:val="center"/>
          </w:tcPr>
          <w:p>
            <w:pPr>
              <w:pStyle w:val="TableContents"/>
              <w:bidi w:val="0"/>
              <w:spacing w:before="0" w:after="283"/>
              <w:jc w:val="right"/>
              <w:rPr/>
            </w:pPr>
            <w:r>
              <w:rPr/>
              <w:t>56,109,431</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9" w:type="dxa"/>
            <w:tcBorders>
              <w:bottom w:val="single" w:sz="6" w:space="0" w:color="000000"/>
            </w:tcBorders>
            <w:shd w:fill="E6EEF8" w:val="clear"/>
            <w:vAlign w:val="center"/>
          </w:tcPr>
          <w:p>
            <w:pPr>
              <w:pStyle w:val="TableContents"/>
              <w:bidi w:val="0"/>
              <w:spacing w:before="0" w:after="283"/>
              <w:jc w:val="left"/>
              <w:rPr/>
            </w:pPr>
            <w:r>
              <w:rPr/>
              <w:t>​</w:t>
            </w:r>
          </w:p>
        </w:tc>
        <w:tc>
          <w:tcPr>
            <w:tcW w:w="119" w:type="dxa"/>
            <w:tcBorders>
              <w:bottom w:val="single" w:sz="6" w:space="0" w:color="000000"/>
            </w:tcBorders>
            <w:shd w:fill="E6EEF8" w:val="clear"/>
            <w:vAlign w:val="center"/>
          </w:tcPr>
          <w:p>
            <w:pPr>
              <w:pStyle w:val="TableContents"/>
              <w:bidi w:val="0"/>
              <w:spacing w:before="0" w:after="283"/>
              <w:jc w:val="right"/>
              <w:rPr/>
            </w:pPr>
            <w:r>
              <w:rPr/>
              <w:t>​</w:t>
            </w:r>
          </w:p>
        </w:tc>
        <w:tc>
          <w:tcPr>
            <w:tcW w:w="1317" w:type="dxa"/>
            <w:tcBorders>
              <w:bottom w:val="single" w:sz="6" w:space="0" w:color="000000"/>
            </w:tcBorders>
            <w:shd w:fill="E6EEF8" w:val="clear"/>
            <w:vAlign w:val="center"/>
          </w:tcPr>
          <w:p>
            <w:pPr>
              <w:pStyle w:val="TableContents"/>
              <w:bidi w:val="0"/>
              <w:spacing w:before="0" w:after="283"/>
              <w:jc w:val="right"/>
              <w:rPr/>
            </w:pPr>
            <w:r>
              <w:rPr/>
              <w:t>10,348,578</w:t>
            </w:r>
          </w:p>
        </w:tc>
        <w:tc>
          <w:tcPr>
            <w:tcW w:w="119" w:type="dxa"/>
            <w:tcBorders>
              <w:bottom w:val="single" w:sz="6" w:space="0" w:color="000000"/>
            </w:tcBorders>
            <w:shd w:fill="E6EEF8" w:val="clear"/>
            <w:vAlign w:val="center"/>
          </w:tcPr>
          <w:p>
            <w:pPr>
              <w:pStyle w:val="TableContents"/>
              <w:bidi w:val="0"/>
              <w:spacing w:before="0" w:after="283"/>
              <w:jc w:val="left"/>
              <w:rPr/>
            </w:pPr>
            <w:r>
              <w:rPr/>
              <w:t>​</w:t>
            </w:r>
          </w:p>
        </w:tc>
        <w:tc>
          <w:tcPr>
            <w:tcW w:w="156"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566" w:type="dxa"/>
            <w:tcBorders>
              <w:bottom w:val="single" w:sz="6" w:space="0" w:color="000000"/>
            </w:tcBorders>
            <w:vAlign w:val="center"/>
          </w:tcPr>
          <w:p>
            <w:pPr>
              <w:pStyle w:val="TableContents"/>
              <w:bidi w:val="0"/>
              <w:spacing w:before="0" w:after="283"/>
              <w:jc w:val="left"/>
              <w:rPr>
                <w:spacing w:val="-1"/>
              </w:rPr>
            </w:pPr>
            <w:r>
              <w:rPr>
                <w:spacing w:val="-1"/>
              </w:rPr>
              <w:t xml:space="preserve">Plus: Fair Value for Awards Granted and Vested in the Covered Year ($)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202"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9" w:type="dxa"/>
            <w:tcBorders>
              <w:bottom w:val="single" w:sz="6" w:space="0" w:color="000000"/>
            </w:tcBorders>
            <w:vAlign w:val="center"/>
          </w:tcPr>
          <w:p>
            <w:pPr>
              <w:pStyle w:val="TableContents"/>
              <w:bidi w:val="0"/>
              <w:spacing w:before="0" w:after="283"/>
              <w:jc w:val="left"/>
              <w:rPr/>
            </w:pPr>
            <w:r>
              <w:rPr/>
              <w:t>​</w:t>
            </w:r>
          </w:p>
        </w:tc>
        <w:tc>
          <w:tcPr>
            <w:tcW w:w="119" w:type="dxa"/>
            <w:tcBorders>
              <w:bottom w:val="single" w:sz="6" w:space="0" w:color="000000"/>
            </w:tcBorders>
            <w:vAlign w:val="center"/>
          </w:tcPr>
          <w:p>
            <w:pPr>
              <w:pStyle w:val="TableContents"/>
              <w:bidi w:val="0"/>
              <w:spacing w:before="0" w:after="283"/>
              <w:jc w:val="right"/>
              <w:rPr/>
            </w:pPr>
            <w:r>
              <w:rPr/>
              <w:t>​</w:t>
            </w:r>
          </w:p>
        </w:tc>
        <w:tc>
          <w:tcPr>
            <w:tcW w:w="1317" w:type="dxa"/>
            <w:tcBorders>
              <w:bottom w:val="single" w:sz="6" w:space="0" w:color="000000"/>
            </w:tcBorders>
            <w:vAlign w:val="center"/>
          </w:tcPr>
          <w:p>
            <w:pPr>
              <w:pStyle w:val="TableContents"/>
              <w:bidi w:val="0"/>
              <w:spacing w:before="0" w:after="283"/>
              <w:jc w:val="right"/>
              <w:rPr/>
            </w:pPr>
            <w:r>
              <w:rPr/>
              <w:t>—</w:t>
            </w:r>
          </w:p>
        </w:tc>
        <w:tc>
          <w:tcPr>
            <w:tcW w:w="119" w:type="dxa"/>
            <w:tcBorders>
              <w:bottom w:val="single" w:sz="6" w:space="0" w:color="000000"/>
            </w:tcBorders>
            <w:vAlign w:val="center"/>
          </w:tcPr>
          <w:p>
            <w:pPr>
              <w:pStyle w:val="TableContents"/>
              <w:bidi w:val="0"/>
              <w:spacing w:before="0" w:after="283"/>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5566" w:type="dxa"/>
            <w:tcBorders>
              <w:bottom w:val="single" w:sz="6" w:space="0" w:color="000000"/>
            </w:tcBorders>
            <w:shd w:fill="E6EEF8" w:val="clear"/>
            <w:vAlign w:val="center"/>
          </w:tcPr>
          <w:p>
            <w:pPr>
              <w:pStyle w:val="TableContents"/>
              <w:bidi w:val="0"/>
              <w:spacing w:before="0" w:after="0"/>
              <w:ind w:left="180" w:right="0" w:hanging="180"/>
              <w:jc w:val="left"/>
              <w:rPr>
                <w:spacing w:val="-1"/>
              </w:rPr>
            </w:pPr>
            <w:r>
              <w:rPr>
                <w:spacing w:val="-1"/>
              </w:rPr>
              <w:t xml:space="preserve">Plus: Change in Fair Value (from prior year-end) of Prior Year awards that Vested this year ($)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right"/>
              <w:rPr/>
            </w:pPr>
            <w:r>
              <w:rPr/>
              <w:t>​</w:t>
            </w:r>
          </w:p>
        </w:tc>
        <w:tc>
          <w:tcPr>
            <w:tcW w:w="1202" w:type="dxa"/>
            <w:tcBorders>
              <w:bottom w:val="single" w:sz="6" w:space="0" w:color="000000"/>
            </w:tcBorders>
            <w:shd w:fill="E6EEF8" w:val="clear"/>
            <w:vAlign w:val="center"/>
          </w:tcPr>
          <w:p>
            <w:pPr>
              <w:pStyle w:val="TableContents"/>
              <w:bidi w:val="0"/>
              <w:spacing w:before="0" w:after="283"/>
              <w:jc w:val="right"/>
              <w:rPr/>
            </w:pPr>
            <w:r>
              <w:rPr/>
              <w:t>1,718,001</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9" w:type="dxa"/>
            <w:tcBorders>
              <w:bottom w:val="single" w:sz="6" w:space="0" w:color="000000"/>
            </w:tcBorders>
            <w:shd w:fill="E6EEF8" w:val="clear"/>
            <w:vAlign w:val="center"/>
          </w:tcPr>
          <w:p>
            <w:pPr>
              <w:pStyle w:val="TableContents"/>
              <w:bidi w:val="0"/>
              <w:spacing w:before="0" w:after="283"/>
              <w:jc w:val="left"/>
              <w:rPr/>
            </w:pPr>
            <w:r>
              <w:rPr/>
              <w:t>​</w:t>
            </w:r>
          </w:p>
        </w:tc>
        <w:tc>
          <w:tcPr>
            <w:tcW w:w="119" w:type="dxa"/>
            <w:tcBorders>
              <w:bottom w:val="single" w:sz="6" w:space="0" w:color="000000"/>
            </w:tcBorders>
            <w:shd w:fill="E6EEF8" w:val="clear"/>
            <w:vAlign w:val="center"/>
          </w:tcPr>
          <w:p>
            <w:pPr>
              <w:pStyle w:val="TableContents"/>
              <w:bidi w:val="0"/>
              <w:spacing w:before="0" w:after="283"/>
              <w:jc w:val="right"/>
              <w:rPr/>
            </w:pPr>
            <w:r>
              <w:rPr/>
              <w:t>​</w:t>
            </w:r>
          </w:p>
        </w:tc>
        <w:tc>
          <w:tcPr>
            <w:tcW w:w="1317" w:type="dxa"/>
            <w:tcBorders>
              <w:bottom w:val="single" w:sz="6" w:space="0" w:color="000000"/>
            </w:tcBorders>
            <w:shd w:fill="E6EEF8" w:val="clear"/>
            <w:vAlign w:val="center"/>
          </w:tcPr>
          <w:p>
            <w:pPr>
              <w:pStyle w:val="TableContents"/>
              <w:bidi w:val="0"/>
              <w:spacing w:before="0" w:after="283"/>
              <w:jc w:val="right"/>
              <w:rPr/>
            </w:pPr>
            <w:r>
              <w:rPr/>
              <w:t>1,926,796</w:t>
            </w:r>
          </w:p>
        </w:tc>
        <w:tc>
          <w:tcPr>
            <w:tcW w:w="119" w:type="dxa"/>
            <w:tcBorders>
              <w:bottom w:val="single" w:sz="6" w:space="0" w:color="000000"/>
            </w:tcBorders>
            <w:shd w:fill="E6EEF8" w:val="clear"/>
            <w:vAlign w:val="center"/>
          </w:tcPr>
          <w:p>
            <w:pPr>
              <w:pStyle w:val="TableContents"/>
              <w:bidi w:val="0"/>
              <w:spacing w:before="0" w:after="283"/>
              <w:jc w:val="left"/>
              <w:rPr/>
            </w:pPr>
            <w:r>
              <w:rPr/>
              <w:t>​</w:t>
            </w:r>
          </w:p>
        </w:tc>
        <w:tc>
          <w:tcPr>
            <w:tcW w:w="156"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566" w:type="dxa"/>
            <w:tcBorders>
              <w:bottom w:val="single" w:sz="6" w:space="0" w:color="000000"/>
            </w:tcBorders>
            <w:vAlign w:val="center"/>
          </w:tcPr>
          <w:p>
            <w:pPr>
              <w:pStyle w:val="TableContents"/>
              <w:bidi w:val="0"/>
              <w:spacing w:before="0" w:after="283"/>
              <w:jc w:val="left"/>
              <w:rPr>
                <w:spacing w:val="-1"/>
              </w:rPr>
            </w:pPr>
            <w:r>
              <w:rPr>
                <w:spacing w:val="-1"/>
              </w:rPr>
              <w:t xml:space="preserve">Less: Fair Value of Stock Awards Forfeited during the Covered Year ($)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202"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9" w:type="dxa"/>
            <w:tcBorders>
              <w:bottom w:val="single" w:sz="6" w:space="0" w:color="000000"/>
            </w:tcBorders>
            <w:vAlign w:val="center"/>
          </w:tcPr>
          <w:p>
            <w:pPr>
              <w:pStyle w:val="TableContents"/>
              <w:bidi w:val="0"/>
              <w:spacing w:before="0" w:after="283"/>
              <w:jc w:val="left"/>
              <w:rPr/>
            </w:pPr>
            <w:r>
              <w:rPr/>
              <w:t>​</w:t>
            </w:r>
          </w:p>
        </w:tc>
        <w:tc>
          <w:tcPr>
            <w:tcW w:w="119" w:type="dxa"/>
            <w:tcBorders>
              <w:bottom w:val="single" w:sz="6" w:space="0" w:color="000000"/>
            </w:tcBorders>
            <w:vAlign w:val="center"/>
          </w:tcPr>
          <w:p>
            <w:pPr>
              <w:pStyle w:val="TableContents"/>
              <w:bidi w:val="0"/>
              <w:spacing w:before="0" w:after="283"/>
              <w:jc w:val="right"/>
              <w:rPr/>
            </w:pPr>
            <w:r>
              <w:rPr/>
              <w:t>​</w:t>
            </w:r>
          </w:p>
        </w:tc>
        <w:tc>
          <w:tcPr>
            <w:tcW w:w="1317" w:type="dxa"/>
            <w:tcBorders>
              <w:bottom w:val="single" w:sz="6" w:space="0" w:color="000000"/>
            </w:tcBorders>
            <w:vAlign w:val="center"/>
          </w:tcPr>
          <w:p>
            <w:pPr>
              <w:pStyle w:val="TableContents"/>
              <w:bidi w:val="0"/>
              <w:spacing w:before="0" w:after="283"/>
              <w:jc w:val="right"/>
              <w:rPr/>
            </w:pPr>
            <w:r>
              <w:rPr/>
              <w:t>(2,649,214)</w:t>
            </w:r>
          </w:p>
        </w:tc>
        <w:tc>
          <w:tcPr>
            <w:tcW w:w="119" w:type="dxa"/>
            <w:tcBorders>
              <w:bottom w:val="single" w:sz="6" w:space="0" w:color="000000"/>
            </w:tcBorders>
            <w:vAlign w:val="center"/>
          </w:tcPr>
          <w:p>
            <w:pPr>
              <w:pStyle w:val="TableContents"/>
              <w:bidi w:val="0"/>
              <w:spacing w:before="0" w:after="283"/>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5566" w:type="dxa"/>
            <w:tcBorders>
              <w:bottom w:val="single" w:sz="6" w:space="0" w:color="000000"/>
            </w:tcBorders>
            <w:shd w:fill="E6EEF8" w:val="clear"/>
            <w:tcMar>
              <w:bottom w:w="30" w:type="dxa"/>
            </w:tcMar>
            <w:vAlign w:val="center"/>
          </w:tcPr>
          <w:p>
            <w:pPr>
              <w:pStyle w:val="TableContents"/>
              <w:bidi w:val="0"/>
              <w:spacing w:before="0" w:after="283"/>
              <w:jc w:val="left"/>
              <w:rPr/>
            </w:pPr>
            <w:r>
              <w:rPr>
                <w:spacing w:val="0"/>
              </w:rPr>
              <w:t>Compensation Actually Paid ($)</w:t>
            </w:r>
            <w:r>
              <w:rPr/>
              <w:t xml:space="preserve">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1202" w:type="dxa"/>
            <w:tcBorders>
              <w:bottom w:val="single" w:sz="6" w:space="0" w:color="000000"/>
            </w:tcBorders>
            <w:shd w:fill="E6EEF8" w:val="clear"/>
            <w:tcMar>
              <w:bottom w:w="30" w:type="dxa"/>
            </w:tcMar>
            <w:vAlign w:val="center"/>
          </w:tcPr>
          <w:p>
            <w:pPr>
              <w:pStyle w:val="TableContents"/>
              <w:bidi w:val="0"/>
              <w:spacing w:before="0" w:after="283"/>
              <w:jc w:val="right"/>
              <w:rPr/>
            </w:pPr>
            <w:r>
              <w:rPr/>
              <w:t>61,843,777</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19" w:type="dxa"/>
            <w:tcBorders>
              <w:bottom w:val="single" w:sz="6" w:space="0" w:color="000000"/>
            </w:tcBorders>
            <w:shd w:fill="E6EEF8" w:val="clear"/>
            <w:vAlign w:val="center"/>
          </w:tcPr>
          <w:p>
            <w:pPr>
              <w:pStyle w:val="TableContents"/>
              <w:bidi w:val="0"/>
              <w:spacing w:before="0" w:after="283"/>
              <w:jc w:val="left"/>
              <w:rPr/>
            </w:pPr>
            <w:r>
              <w:rPr/>
              <w:t>​</w:t>
            </w:r>
          </w:p>
        </w:tc>
        <w:tc>
          <w:tcPr>
            <w:tcW w:w="119"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1317" w:type="dxa"/>
            <w:tcBorders>
              <w:bottom w:val="single" w:sz="6" w:space="0" w:color="000000"/>
            </w:tcBorders>
            <w:shd w:fill="E6EEF8" w:val="clear"/>
            <w:tcMar>
              <w:bottom w:w="30" w:type="dxa"/>
            </w:tcMar>
            <w:vAlign w:val="center"/>
          </w:tcPr>
          <w:p>
            <w:pPr>
              <w:pStyle w:val="TableContents"/>
              <w:bidi w:val="0"/>
              <w:spacing w:before="0" w:after="283"/>
              <w:jc w:val="right"/>
              <w:rPr/>
            </w:pPr>
            <w:r>
              <w:rPr/>
              <w:t>14,336,193</w:t>
            </w:r>
          </w:p>
        </w:tc>
        <w:tc>
          <w:tcPr>
            <w:tcW w:w="119" w:type="dxa"/>
            <w:tcBorders>
              <w:bottom w:val="single" w:sz="6" w:space="0" w:color="000000"/>
            </w:tcBorders>
            <w:shd w:fill="E6EEF8" w:val="clear"/>
            <w:vAlign w:val="center"/>
          </w:tcPr>
          <w:p>
            <w:pPr>
              <w:pStyle w:val="TableContents"/>
              <w:bidi w:val="0"/>
              <w:spacing w:before="0" w:after="283"/>
              <w:jc w:val="left"/>
              <w:rPr/>
            </w:pPr>
            <w:r>
              <w:rPr/>
              <w:t>​</w:t>
            </w:r>
          </w:p>
        </w:tc>
        <w:tc>
          <w:tcPr>
            <w:tcW w:w="156" w:type="dxa"/>
            <w:tcBorders>
              <w:bottom w:val="single" w:sz="6" w:space="0" w:color="000000"/>
            </w:tcBorders>
            <w:shd w:fill="E6EEF8" w:val="cle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68</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00" w:before="400" w:after="1064"/>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Total shareholder return is calculated by dividing (a) the sum of (i) the cumulative amount of dividends for the measurement period, assuming dividend reinvestment, and (ii) the difference between the company’s share price at the end of each fiscal year shown and the beginning of the measurement period, and the beginning of the measurement period by (b) the company’s share price at the beginning of the measurement period. The beginning of the measurement period for each year in the table is December 17, 2025, the date of the IPO.</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228600" cy="254000"/>
                <wp:effectExtent l="0" t="0" r="0" b="0"/>
                <wp:wrapSquare wrapText="right"/>
                <wp:docPr id="415" name="Frame263"/>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(4)</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peer group used for this purpose is S&amp;P 500 Health Care Index.</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22">
                <wp:simplePos x="0" y="0"/>
                <wp:positionH relativeFrom="column">
                  <wp:align>left</wp:align>
                </wp:positionH>
                <wp:positionV relativeFrom="line">
                  <wp:align>top</wp:align>
                </wp:positionV>
                <wp:extent cx="228600" cy="254000"/>
                <wp:effectExtent l="0" t="0" r="0" b="0"/>
                <wp:wrapSquare wrapText="right"/>
                <wp:docPr id="416" name="Frame264"/>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(5)</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amounts reported in this column represent the amount of net income reflected in the Company’s audited financial statements for the applicable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23">
                <wp:simplePos x="0" y="0"/>
                <wp:positionH relativeFrom="column">
                  <wp:align>left</wp:align>
                </wp:positionH>
                <wp:positionV relativeFrom="line">
                  <wp:align>top</wp:align>
                </wp:positionV>
                <wp:extent cx="228600" cy="254000"/>
                <wp:effectExtent l="0" t="0" r="0" b="0"/>
                <wp:wrapSquare wrapText="right"/>
                <wp:docPr id="417" name="Frame265"/>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(6)</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080" w:right="0" w:hanging="0"/>
        <w:jc w:val="left"/>
        <w:rPr>
          <w:rFonts w:ascii="Arial;Helvetica;sans-serif" w:hAnsi="Arial;Helvetica;sans-serif"/>
          <w:b w:val="false"/>
          <w:i/>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Plan Adjusted EBITDA is a non-GAAP financial measure. Plan Adjusted EBITDA is calculated as set forth in </w:t>
      </w:r>
      <w:r>
        <w:rPr>
          <w:rFonts w:ascii="Arial;Helvetica;sans-serif" w:hAnsi="Arial;Helvetica;sans-serif"/>
          <w:b w:val="false"/>
          <w:i/>
          <w:caps w:val="false"/>
          <w:smallCaps w:val="false"/>
          <w:color w:val="000000"/>
          <w:sz w:val="16"/>
        </w:rPr>
        <w:t>Compensation Discussion and Analysis — 2025 Compensation Framework — Process for Determining 2025 Compensation — Non-GAAP Financial Measures for 2025 Compensation</w:t>
      </w:r>
      <w:r>
        <w:rPr>
          <w:rFonts w:ascii="Arial;Helvetica;sans-serif" w:hAnsi="Arial;Helvetica;sans-serif"/>
          <w:b w:val="false"/>
          <w:i w:val="false"/>
          <w:caps w:val="false"/>
          <w:smallCaps w:val="false"/>
          <w:color w:val="000000"/>
          <w:spacing w:val="-1"/>
          <w:sz w:val="16"/>
        </w:rPr>
        <w:t>.</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66040" distB="0" distL="0" distR="0" simplePos="0" locked="0" layoutInCell="1" allowOverlap="1" relativeHeight="424">
                <wp:simplePos x="0" y="0"/>
                <wp:positionH relativeFrom="column">
                  <wp:align>left</wp:align>
                </wp:positionH>
                <wp:positionV relativeFrom="line">
                  <wp:align>top</wp:align>
                </wp:positionV>
                <wp:extent cx="228600" cy="254000"/>
                <wp:effectExtent l="0" t="0" r="0" b="0"/>
                <wp:wrapSquare wrapText="right"/>
                <wp:docPr id="418" name="Frame266"/>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i/>
                                <w:sz w:val="16"/>
                              </w:rPr>
                            </w:pPr>
                            <w:r>
                              <w:rPr>
                                <w:i w:val="false"/>
                                <w:caps w:val="false"/>
                                <w:smallCaps w:val="false"/>
                                <w:spacing w:val="-1"/>
                                <w:sz w:val="16"/>
                              </w:rPr>
                              <w:t>(7)</w:t>
                            </w:r>
                            <w:r>
                              <w:rPr>
                                <w:i/>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i/>
                          <w:sz w:val="16"/>
                        </w:rPr>
                      </w:pPr>
                      <w:r>
                        <w:rPr>
                          <w:i w:val="false"/>
                          <w:caps w:val="false"/>
                          <w:smallCaps w:val="false"/>
                          <w:spacing w:val="-1"/>
                          <w:sz w:val="16"/>
                        </w:rPr>
                        <w:t>(7)</w:t>
                      </w:r>
                      <w:r>
                        <w:rPr>
                          <w:i/>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L</w:t>
      </w:r>
      <w:r>
        <w:rPr>
          <w:rFonts w:ascii="Arial;Helvetica;sans-serif" w:hAnsi="Arial;Helvetica;sans-serif"/>
          <w:b/>
          <w:i w:val="false"/>
          <w:caps w:val="false"/>
          <w:smallCaps w:val="false"/>
          <w:color w:val="0055B7"/>
          <w:spacing w:val="-3"/>
          <w:sz w:val="24"/>
        </w:rPr>
        <w:t>IST OF</w:t>
      </w:r>
      <w:r>
        <w:rPr>
          <w:rFonts w:ascii="Arial;Helvetica;sans-serif" w:hAnsi="Arial;Helvetica;sans-serif"/>
          <w:b/>
          <w:i w:val="false"/>
          <w:caps w:val="false"/>
          <w:smallCaps w:val="false"/>
          <w:color w:val="0055B7"/>
          <w:spacing w:val="-3"/>
          <w:sz w:val="24"/>
        </w:rPr>
        <w:t xml:space="preserve"> F</w:t>
      </w:r>
      <w:r>
        <w:rPr>
          <w:rFonts w:ascii="Arial;Helvetica;sans-serif" w:hAnsi="Arial;Helvetica;sans-serif"/>
          <w:b/>
          <w:i w:val="false"/>
          <w:caps w:val="false"/>
          <w:smallCaps w:val="false"/>
          <w:color w:val="0055B7"/>
          <w:spacing w:val="-3"/>
          <w:sz w:val="24"/>
        </w:rPr>
        <w:t>INANCIAL</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ERFORMANCE</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EASURES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following represent the most important metrics we used to determine CAP for 2025, as further detailed in the </w:t>
      </w:r>
      <w:r>
        <w:rPr>
          <w:rFonts w:ascii="Arial;Helvetica;sans-serif" w:hAnsi="Arial;Helvetica;sans-serif"/>
          <w:b w:val="false"/>
          <w:i/>
          <w:caps w:val="false"/>
          <w:smallCaps w:val="false"/>
          <w:color w:val="000000"/>
          <w:sz w:val="18"/>
        </w:rPr>
        <w:t>Compensation Discussion and Analysis</w:t>
      </w:r>
      <w:r>
        <w:rPr>
          <w:rFonts w:ascii="Arial;Helvetica;sans-serif" w:hAnsi="Arial;Helvetica;sans-serif"/>
          <w:b w:val="false"/>
          <w:i w:val="false"/>
          <w:caps w:val="false"/>
          <w:smallCaps w:val="false"/>
          <w:color w:val="000000"/>
          <w:spacing w:val="-1"/>
          <w:sz w:val="18"/>
        </w:rPr>
        <w:t xml:space="preserve"> of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Plan Adjusted EBITDA</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139700" distR="0" simplePos="0" locked="0" layoutInCell="1" allowOverlap="1" relativeHeight="425">
                <wp:simplePos x="0" y="0"/>
                <wp:positionH relativeFrom="column">
                  <wp:align>left</wp:align>
                </wp:positionH>
                <wp:positionV relativeFrom="line">
                  <wp:align>top</wp:align>
                </wp:positionV>
                <wp:extent cx="139700" cy="350520"/>
                <wp:effectExtent l="0" t="0" r="0" b="0"/>
                <wp:wrapSquare wrapText="right"/>
                <wp:docPr id="419" name="Frame26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5.2pt;mso-wrap-distance-bottom:0pt;margin-top:5.2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Net Sales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139700" distR="0" simplePos="0" locked="0" layoutInCell="1" allowOverlap="1" relativeHeight="426">
                <wp:simplePos x="0" y="0"/>
                <wp:positionH relativeFrom="column">
                  <wp:align>left</wp:align>
                </wp:positionH>
                <wp:positionV relativeFrom="line">
                  <wp:align>top</wp:align>
                </wp:positionV>
                <wp:extent cx="139700" cy="350520"/>
                <wp:effectExtent l="0" t="0" r="0" b="0"/>
                <wp:wrapSquare wrapText="right"/>
                <wp:docPr id="420" name="Frame26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5.2pt;mso-wrap-distance-bottom:0pt;margin-top:5.2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Adjusted Gross Margin less Expense Year over Year Growth (Commercial)</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139700" distR="0" simplePos="0" locked="0" layoutInCell="1" allowOverlap="1" relativeHeight="427">
                <wp:simplePos x="0" y="0"/>
                <wp:positionH relativeFrom="column">
                  <wp:align>left</wp:align>
                </wp:positionH>
                <wp:positionV relativeFrom="line">
                  <wp:align>top</wp:align>
                </wp:positionV>
                <wp:extent cx="139700" cy="350520"/>
                <wp:effectExtent l="0" t="0" r="0" b="0"/>
                <wp:wrapSquare wrapText="right"/>
                <wp:docPr id="421" name="Frame26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5.2pt;mso-wrap-distance-bottom:0pt;margin-top:5.2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C</w:t>
      </w:r>
      <w:r>
        <w:rPr>
          <w:rFonts w:ascii="Arial;Helvetica;sans-serif" w:hAnsi="Arial;Helvetica;sans-serif"/>
          <w:b/>
          <w:i w:val="false"/>
          <w:caps w:val="false"/>
          <w:smallCaps w:val="false"/>
          <w:color w:val="0055B7"/>
          <w:spacing w:val="-3"/>
          <w:sz w:val="24"/>
        </w:rPr>
        <w:t>OMPENSATION</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CTUALLY</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AID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CAP Versus Company Cumulative TSR and Peer Group TSR</w:t>
      </w:r>
      <w:r>
        <w:rPr>
          <w:rFonts w:ascii="Arial;Helvetica;sans-serif" w:hAnsi="Arial;Helvetica;san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353175" cy="2638425"/>
            <wp:effectExtent l="0" t="0" r="0" b="0"/>
            <wp:docPr id="42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37" descr=""/>
                    <pic:cNvPicPr>
                      <a:picLocks noChangeAspect="1" noChangeArrowheads="1"/>
                    </pic:cNvPicPr>
                  </pic:nvPicPr>
                  <pic:blipFill>
                    <a:blip r:embed="rId154"/>
                    <a:stretch>
                      <a:fillRect/>
                    </a:stretch>
                  </pic:blipFill>
                  <pic:spPr bwMode="auto">
                    <a:xfrm>
                      <a:off x="0" y="0"/>
                      <a:ext cx="6353175" cy="26384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4"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We consider the S&amp;P 500 Health Care our peer group under Regulation S-K Item 201(e), as presented in our 2025 Annual Report. Companies included in the S&amp;P 500 Health Care Index change periodically and are presented on the basis of the index as it is comprised on December 31, 2025. The peer group used for this pay versus performance disclosure differ from the peer groups we use for compensation and the TSR performance measure in our PSU awards. For additional information on our compensation and performance peer groups, see under </w:t>
      </w:r>
      <w:r>
        <w:rPr>
          <w:rFonts w:ascii="Arial;Helvetica;sans-serif" w:hAnsi="Arial;Helvetica;sans-serif"/>
          <w:b w:val="false"/>
          <w:i/>
          <w:caps w:val="false"/>
          <w:smallCaps w:val="false"/>
          <w:color w:val="000000"/>
          <w:sz w:val="18"/>
        </w:rPr>
        <w:t>Compensation Discussion and Analysis — Process for Determining 2025 Compensation</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CAP to our CEO and other NEOs is aligned with the Company’s TSR, which was significantly impacted by our IPO on December 17, 2025, the measurement start date. This is due primarily to the Company’s compensation philosophy of meritocracy and the significance of equity-based compensation in our compensation program, which aligns equity to the Company’s financial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69</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ECPI"/>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40" w:before="400" w:after="283"/>
        <w:ind w:left="720" w:right="0" w:hanging="0"/>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CAP Versus Net Income</w:t>
      </w:r>
      <w:r>
        <w:rPr>
          <w:rFonts w:ascii="Arial;Helvetica;sans-serif" w:hAnsi="Arial;Helvetica;san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334125" cy="2505075"/>
            <wp:effectExtent l="0" t="0" r="0" b="0"/>
            <wp:docPr id="42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38" descr=""/>
                    <pic:cNvPicPr>
                      <a:picLocks noChangeAspect="1" noChangeArrowheads="1"/>
                    </pic:cNvPicPr>
                  </pic:nvPicPr>
                  <pic:blipFill>
                    <a:blip r:embed="rId155"/>
                    <a:stretch>
                      <a:fillRect/>
                    </a:stretch>
                  </pic:blipFill>
                  <pic:spPr bwMode="auto">
                    <a:xfrm>
                      <a:off x="0" y="0"/>
                      <a:ext cx="6334125" cy="2505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jc w:val="left"/>
        <w:rPr>
          <w:rFonts w:ascii="Arial;Helvetica;sans-serif" w:hAnsi="Arial;Helvetica;sans-serif"/>
          <w:b/>
          <w:i w:val="false"/>
          <w:caps w:val="false"/>
          <w:smallCaps w:val="false"/>
          <w:color w:val="0070CD"/>
          <w:sz w:val="20"/>
        </w:rPr>
      </w:pPr>
      <w:r>
        <w:rPr>
          <w:rFonts w:ascii="Arial;Helvetica;sans-serif" w:hAnsi="Arial;Helvetica;sans-serif"/>
          <w:b/>
          <w:i w:val="false"/>
          <w:caps w:val="false"/>
          <w:smallCaps w:val="false"/>
          <w:color w:val="0070CD"/>
          <w:spacing w:val="0"/>
          <w:sz w:val="20"/>
        </w:rPr>
        <w:t>CAP Versus Plan Adjusted EBITDA</w:t>
      </w:r>
      <w:r>
        <w:rPr>
          <w:rFonts w:ascii="Arial;Helvetica;sans-serif" w:hAnsi="Arial;Helvetica;san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467475" cy="2638425"/>
            <wp:effectExtent l="0" t="0" r="0" b="0"/>
            <wp:docPr id="42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39" descr=""/>
                    <pic:cNvPicPr>
                      <a:picLocks noChangeAspect="1" noChangeArrowheads="1"/>
                    </pic:cNvPicPr>
                  </pic:nvPicPr>
                  <pic:blipFill>
                    <a:blip r:embed="rId156"/>
                    <a:stretch>
                      <a:fillRect/>
                    </a:stretch>
                  </pic:blipFill>
                  <pic:spPr bwMode="auto">
                    <a:xfrm>
                      <a:off x="0" y="0"/>
                      <a:ext cx="6467475" cy="26384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E</w:t>
      </w:r>
      <w:r>
        <w:rPr>
          <w:rFonts w:ascii="Arial;Helvetica;sans-serif" w:hAnsi="Arial;Helvetica;sans-serif"/>
          <w:b/>
          <w:i w:val="false"/>
          <w:caps w:val="false"/>
          <w:smallCaps w:val="false"/>
          <w:color w:val="003CA6"/>
          <w:spacing w:val="-4"/>
          <w:sz w:val="28"/>
        </w:rPr>
        <w:t>QUITY</w:t>
      </w:r>
      <w:r>
        <w:rPr>
          <w:rFonts w:ascii="Arial;Helvetica;sans-serif" w:hAnsi="Arial;Helvetica;sans-serif"/>
          <w:b/>
          <w:i w:val="false"/>
          <w:caps w:val="false"/>
          <w:smallCaps w:val="false"/>
          <w:color w:val="003CA6"/>
          <w:spacing w:val="-4"/>
          <w:sz w:val="28"/>
        </w:rPr>
        <w:t xml:space="preserve"> C</w:t>
      </w:r>
      <w:r>
        <w:rPr>
          <w:rFonts w:ascii="Arial;Helvetica;sans-serif" w:hAnsi="Arial;Helvetica;sans-serif"/>
          <w:b/>
          <w:i w:val="false"/>
          <w:caps w:val="false"/>
          <w:smallCaps w:val="false"/>
          <w:color w:val="003CA6"/>
          <w:spacing w:val="-4"/>
          <w:sz w:val="28"/>
        </w:rPr>
        <w:t>OMPENSATION</w:t>
      </w:r>
      <w:r>
        <w:rPr>
          <w:rFonts w:ascii="Arial;Helvetica;sans-serif" w:hAnsi="Arial;Helvetica;sans-serif"/>
          <w:b/>
          <w:i w:val="false"/>
          <w:caps w:val="false"/>
          <w:smallCaps w:val="false"/>
          <w:color w:val="003CA6"/>
          <w:spacing w:val="-4"/>
          <w:sz w:val="28"/>
        </w:rPr>
        <w:t xml:space="preserve"> P</w:t>
      </w:r>
      <w:r>
        <w:rPr>
          <w:rFonts w:ascii="Arial;Helvetica;sans-serif" w:hAnsi="Arial;Helvetica;sans-serif"/>
          <w:b/>
          <w:i w:val="false"/>
          <w:caps w:val="false"/>
          <w:smallCaps w:val="false"/>
          <w:color w:val="003CA6"/>
          <w:spacing w:val="-4"/>
          <w:sz w:val="28"/>
        </w:rPr>
        <w:t>LAN</w:t>
      </w:r>
      <w:r>
        <w:rPr>
          <w:rFonts w:ascii="Arial;Helvetica;sans-serif" w:hAnsi="Arial;Helvetica;sans-serif"/>
          <w:b/>
          <w:i w:val="false"/>
          <w:caps w:val="false"/>
          <w:smallCaps w:val="false"/>
          <w:color w:val="003CA6"/>
          <w:spacing w:val="-4"/>
          <w:sz w:val="28"/>
        </w:rPr>
        <w:t xml:space="preserve"> I</w:t>
      </w:r>
      <w:r>
        <w:rPr>
          <w:rFonts w:ascii="Arial;Helvetica;sans-serif" w:hAnsi="Arial;Helvetica;sans-serif"/>
          <w:b/>
          <w:i w:val="false"/>
          <w:caps w:val="false"/>
          <w:smallCaps w:val="false"/>
          <w:color w:val="003CA6"/>
          <w:spacing w:val="-4"/>
          <w:sz w:val="28"/>
        </w:rPr>
        <w:t>NFORMATION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number of shares to be issued upon exercise or vesting of awards issued under, and the number of shares remaining available for future issuance under our equity compensation plans at December 31, 2025 were:</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3221"/>
        <w:gridCol w:w="109"/>
        <w:gridCol w:w="109"/>
        <w:gridCol w:w="140"/>
        <w:gridCol w:w="140"/>
        <w:gridCol w:w="1377"/>
        <w:gridCol w:w="140"/>
        <w:gridCol w:w="109"/>
        <w:gridCol w:w="109"/>
        <w:gridCol w:w="166"/>
        <w:gridCol w:w="346"/>
        <w:gridCol w:w="990"/>
        <w:gridCol w:w="168"/>
        <w:gridCol w:w="109"/>
        <w:gridCol w:w="109"/>
        <w:gridCol w:w="131"/>
        <w:gridCol w:w="131"/>
        <w:gridCol w:w="1465"/>
        <w:gridCol w:w="131"/>
        <w:gridCol w:w="161"/>
      </w:tblGrid>
      <w:tr>
        <w:trPr/>
        <w:tc>
          <w:tcPr>
            <w:tcW w:w="124" w:type="dxa"/>
            <w:tcBorders>
              <w:bottom w:val="single" w:sz="2" w:space="0" w:color="000000"/>
            </w:tcBorders>
            <w:vAlign w:val="center"/>
          </w:tcPr>
          <w:p>
            <w:pPr>
              <w:pStyle w:val="TableContents"/>
              <w:bidi w:val="0"/>
              <w:spacing w:before="0" w:after="283"/>
              <w:jc w:val="left"/>
              <w:rPr/>
            </w:pPr>
            <w:r>
              <w:rPr/>
              <w:t>​</w:t>
            </w:r>
          </w:p>
        </w:tc>
        <w:tc>
          <w:tcPr>
            <w:tcW w:w="3221"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Plan Category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97"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Number of securities to </w:t>
              <w:br/>
              <w:t xml:space="preserve">be issued upon exercise </w:t>
              <w:br/>
              <w:t xml:space="preserve">of outstanding options, </w:t>
              <w:br/>
              <w:t xml:space="preserve">warrants and rights </w:t>
              <w:br/>
              <w:t xml:space="preserve">(a)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70"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Weighted average </w:t>
              <w:br/>
              <w:t xml:space="preserve">exercise price per share </w:t>
              <w:br/>
              <w:t xml:space="preserve">of outstanding options, </w:t>
              <w:br/>
              <w:t xml:space="preserve">warrants and rights </w:t>
              <w:br/>
              <w:t xml:space="preserve">(b)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858"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Number of securities </w:t>
              <w:br/>
              <w:t xml:space="preserve">remaining available </w:t>
              <w:br/>
              <w:t xml:space="preserve">for future issuance </w:t>
              <w:br/>
              <w:t xml:space="preserve">under equity </w:t>
              <w:br/>
              <w:t xml:space="preserve">compensation plans </w:t>
              <w:br/>
              <w:t xml:space="preserve">(excluding securities </w:t>
              <w:br/>
              <w:t xml:space="preserve">reflected in column (a)) </w:t>
              <w:br/>
              <w:t xml:space="preserve">(c) </w:t>
            </w:r>
          </w:p>
        </w:tc>
        <w:tc>
          <w:tcPr>
            <w:tcW w:w="161"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221" w:type="dxa"/>
            <w:tcBorders>
              <w:bottom w:val="single" w:sz="6" w:space="0" w:color="000000"/>
            </w:tcBorders>
            <w:tcMar>
              <w:bottom w:w="45" w:type="dxa"/>
            </w:tcMar>
            <w:vAlign w:val="center"/>
          </w:tcPr>
          <w:p>
            <w:pPr>
              <w:pStyle w:val="TableContents"/>
              <w:bidi w:val="0"/>
              <w:spacing w:before="0" w:after="0"/>
              <w:ind w:left="180" w:right="0" w:hanging="180"/>
              <w:jc w:val="left"/>
              <w:rPr/>
            </w:pPr>
            <w:r>
              <w:rPr>
                <w:spacing w:val="-1"/>
              </w:rPr>
              <w:t>Equity compensation plans approved by security holders</w:t>
            </w:r>
            <w:r>
              <w:rPr>
                <w:bCs/>
                <w:spacing w:val="-2"/>
                <w:szCs w:val="11"/>
              </w:rPr>
              <w:t>﻿</w:t>
            </w:r>
            <w:r>
              <w:rPr>
                <w:b/>
                <w:spacing w:val="-2"/>
                <w:sz w:val="11"/>
              </w:rPr>
              <w:t>(1)(2)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0" w:type="dxa"/>
            <w:tcBorders>
              <w:bottom w:val="single" w:sz="6" w:space="0" w:color="000000"/>
            </w:tcBorders>
            <w:vAlign w:val="center"/>
          </w:tcPr>
          <w:p>
            <w:pPr>
              <w:pStyle w:val="TableContents"/>
              <w:bidi w:val="0"/>
              <w:spacing w:before="0" w:after="283"/>
              <w:jc w:val="left"/>
              <w:rPr/>
            </w:pPr>
            <w:r>
              <w:rPr/>
              <w:t>​</w:t>
            </w:r>
          </w:p>
        </w:tc>
        <w:tc>
          <w:tcPr>
            <w:tcW w:w="140" w:type="dxa"/>
            <w:tcBorders>
              <w:bottom w:val="single" w:sz="6" w:space="0" w:color="000000"/>
            </w:tcBorders>
            <w:tcMar>
              <w:bottom w:w="45" w:type="dxa"/>
            </w:tcMar>
            <w:vAlign w:val="center"/>
          </w:tcPr>
          <w:p>
            <w:pPr>
              <w:pStyle w:val="TableContents"/>
              <w:bidi w:val="0"/>
              <w:spacing w:before="0" w:after="283"/>
              <w:jc w:val="right"/>
              <w:rPr/>
            </w:pPr>
            <w:r>
              <w:rPr/>
              <w:t>​</w:t>
            </w:r>
          </w:p>
        </w:tc>
        <w:tc>
          <w:tcPr>
            <w:tcW w:w="1377" w:type="dxa"/>
            <w:tcBorders>
              <w:bottom w:val="single" w:sz="6" w:space="0" w:color="000000"/>
            </w:tcBorders>
            <w:tcMar>
              <w:bottom w:w="45" w:type="dxa"/>
            </w:tcMar>
            <w:vAlign w:val="center"/>
          </w:tcPr>
          <w:p>
            <w:pPr>
              <w:pStyle w:val="TableContents"/>
              <w:bidi w:val="0"/>
              <w:spacing w:before="0" w:after="283"/>
              <w:jc w:val="right"/>
              <w:rPr/>
            </w:pPr>
            <w:r>
              <w:rPr/>
              <w:t>7,294,237</w:t>
            </w:r>
          </w:p>
        </w:tc>
        <w:tc>
          <w:tcPr>
            <w:tcW w:w="14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6" w:type="dxa"/>
            <w:tcBorders>
              <w:bottom w:val="single" w:sz="6" w:space="0" w:color="000000"/>
            </w:tcBorders>
            <w:vAlign w:val="center"/>
          </w:tcPr>
          <w:p>
            <w:pPr>
              <w:pStyle w:val="TableContents"/>
              <w:bidi w:val="0"/>
              <w:spacing w:before="0" w:after="283"/>
              <w:jc w:val="left"/>
              <w:rPr/>
            </w:pPr>
            <w:r>
              <w:rPr/>
              <w:t>​</w:t>
            </w:r>
          </w:p>
        </w:tc>
        <w:tc>
          <w:tcPr>
            <w:tcW w:w="346" w:type="dxa"/>
            <w:tcBorders>
              <w:bottom w:val="single" w:sz="6" w:space="0" w:color="000000"/>
            </w:tcBorders>
            <w:tcMar>
              <w:bottom w:w="45" w:type="dxa"/>
            </w:tcMar>
            <w:vAlign w:val="center"/>
          </w:tcPr>
          <w:p>
            <w:pPr>
              <w:pStyle w:val="TableContents"/>
              <w:bidi w:val="0"/>
              <w:spacing w:before="0" w:after="283"/>
              <w:jc w:val="right"/>
              <w:rPr/>
            </w:pPr>
            <w:r>
              <w:rPr/>
              <w:t>$</w:t>
            </w:r>
          </w:p>
        </w:tc>
        <w:tc>
          <w:tcPr>
            <w:tcW w:w="990" w:type="dxa"/>
            <w:tcBorders>
              <w:bottom w:val="single" w:sz="6" w:space="0" w:color="000000"/>
            </w:tcBorders>
            <w:tcMar>
              <w:bottom w:w="45" w:type="dxa"/>
            </w:tcMar>
            <w:vAlign w:val="center"/>
          </w:tcPr>
          <w:p>
            <w:pPr>
              <w:pStyle w:val="TableContents"/>
              <w:bidi w:val="0"/>
              <w:spacing w:before="0" w:after="283"/>
              <w:jc w:val="right"/>
              <w:rPr/>
            </w:pPr>
            <w:r>
              <w:rPr/>
              <w:t>29.00</w:t>
            </w:r>
          </w:p>
        </w:tc>
        <w:tc>
          <w:tcPr>
            <w:tcW w:w="16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1" w:type="dxa"/>
            <w:tcBorders>
              <w:bottom w:val="single" w:sz="6" w:space="0" w:color="000000"/>
            </w:tcBorders>
            <w:vAlign w:val="center"/>
          </w:tcPr>
          <w:p>
            <w:pPr>
              <w:pStyle w:val="TableContents"/>
              <w:bidi w:val="0"/>
              <w:spacing w:before="0" w:after="283"/>
              <w:jc w:val="left"/>
              <w:rPr/>
            </w:pPr>
            <w:r>
              <w:rPr/>
              <w:t>​</w:t>
            </w:r>
          </w:p>
        </w:tc>
        <w:tc>
          <w:tcPr>
            <w:tcW w:w="131" w:type="dxa"/>
            <w:tcBorders>
              <w:bottom w:val="single" w:sz="6" w:space="0" w:color="000000"/>
            </w:tcBorders>
            <w:tcMar>
              <w:bottom w:w="45" w:type="dxa"/>
            </w:tcMar>
            <w:vAlign w:val="center"/>
          </w:tcPr>
          <w:p>
            <w:pPr>
              <w:pStyle w:val="TableContents"/>
              <w:bidi w:val="0"/>
              <w:spacing w:before="0" w:after="283"/>
              <w:jc w:val="right"/>
              <w:rPr/>
            </w:pPr>
            <w:r>
              <w:rPr/>
              <w:t>​</w:t>
            </w:r>
          </w:p>
        </w:tc>
        <w:tc>
          <w:tcPr>
            <w:tcW w:w="1465" w:type="dxa"/>
            <w:tcBorders>
              <w:bottom w:val="single" w:sz="6" w:space="0" w:color="000000"/>
            </w:tcBorders>
            <w:tcMar>
              <w:bottom w:w="45" w:type="dxa"/>
            </w:tcMar>
            <w:vAlign w:val="center"/>
          </w:tcPr>
          <w:p>
            <w:pPr>
              <w:pStyle w:val="TableContents"/>
              <w:bidi w:val="0"/>
              <w:spacing w:before="0" w:after="283"/>
              <w:jc w:val="right"/>
              <w:rPr/>
            </w:pPr>
            <w:r>
              <w:rPr/>
              <w:t xml:space="preserve">80,000,000 </w:t>
            </w:r>
          </w:p>
        </w:tc>
        <w:tc>
          <w:tcPr>
            <w:tcW w:w="131" w:type="dxa"/>
            <w:tcBorders>
              <w:bottom w:val="single" w:sz="6" w:space="0" w:color="000000"/>
            </w:tcBorders>
            <w:vAlign w:val="center"/>
          </w:tcPr>
          <w:p>
            <w:pPr>
              <w:pStyle w:val="TableContents"/>
              <w:bidi w:val="0"/>
              <w:spacing w:before="0" w:after="283"/>
              <w:jc w:val="left"/>
              <w:rPr/>
            </w:pPr>
            <w:r>
              <w:rPr/>
              <w:t>​</w:t>
            </w:r>
          </w:p>
        </w:tc>
        <w:tc>
          <w:tcPr>
            <w:tcW w:w="161"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6EEF8" w:val="clear"/>
            <w:vAlign w:val="center"/>
          </w:tcPr>
          <w:p>
            <w:pPr>
              <w:pStyle w:val="TableContents"/>
              <w:bidi w:val="0"/>
              <w:spacing w:before="0" w:after="283"/>
              <w:jc w:val="left"/>
              <w:rPr/>
            </w:pPr>
            <w:r>
              <w:rPr/>
              <w:t>​</w:t>
            </w:r>
          </w:p>
        </w:tc>
        <w:tc>
          <w:tcPr>
            <w:tcW w:w="3221" w:type="dxa"/>
            <w:tcBorders>
              <w:bottom w:val="single" w:sz="6" w:space="0" w:color="000000"/>
            </w:tcBorders>
            <w:shd w:fill="E6EEF8" w:val="clear"/>
            <w:tcMar>
              <w:bottom w:w="45" w:type="dxa"/>
            </w:tcMar>
            <w:vAlign w:val="center"/>
          </w:tcPr>
          <w:p>
            <w:pPr>
              <w:pStyle w:val="TableContents"/>
              <w:bidi w:val="0"/>
              <w:spacing w:before="0" w:after="0"/>
              <w:ind w:left="180" w:right="0" w:hanging="180"/>
              <w:jc w:val="left"/>
              <w:rPr>
                <w:spacing w:val="-1"/>
              </w:rPr>
            </w:pPr>
            <w:r>
              <w:rPr>
                <w:spacing w:val="-1"/>
              </w:rPr>
              <w:t xml:space="preserve">Equity compensation plans not approved by security holders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0" w:type="dxa"/>
            <w:tcBorders>
              <w:bottom w:val="single" w:sz="6" w:space="0" w:color="000000"/>
            </w:tcBorders>
            <w:shd w:fill="E6EEF8" w:val="clear"/>
            <w:vAlign w:val="center"/>
          </w:tcPr>
          <w:p>
            <w:pPr>
              <w:pStyle w:val="TableContents"/>
              <w:bidi w:val="0"/>
              <w:spacing w:before="0" w:after="283"/>
              <w:jc w:val="left"/>
              <w:rPr/>
            </w:pPr>
            <w:r>
              <w:rPr/>
              <w:t>​</w:t>
            </w:r>
          </w:p>
        </w:tc>
        <w:tc>
          <w:tcPr>
            <w:tcW w:w="14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7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0"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66" w:type="dxa"/>
            <w:tcBorders>
              <w:bottom w:val="single" w:sz="6" w:space="0" w:color="000000"/>
            </w:tcBorders>
            <w:shd w:fill="E6EEF8" w:val="clear"/>
            <w:vAlign w:val="center"/>
          </w:tcPr>
          <w:p>
            <w:pPr>
              <w:pStyle w:val="TableContents"/>
              <w:bidi w:val="0"/>
              <w:spacing w:before="0" w:after="283"/>
              <w:jc w:val="left"/>
              <w:rPr/>
            </w:pPr>
            <w:r>
              <w:rPr/>
              <w:t>​</w:t>
            </w:r>
          </w:p>
        </w:tc>
        <w:tc>
          <w:tcPr>
            <w:tcW w:w="34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99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68"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31" w:type="dxa"/>
            <w:tcBorders>
              <w:bottom w:val="single" w:sz="6" w:space="0" w:color="000000"/>
            </w:tcBorders>
            <w:shd w:fill="E6EEF8" w:val="clear"/>
            <w:vAlign w:val="center"/>
          </w:tcPr>
          <w:p>
            <w:pPr>
              <w:pStyle w:val="TableContents"/>
              <w:bidi w:val="0"/>
              <w:spacing w:before="0" w:after="283"/>
              <w:jc w:val="left"/>
              <w:rPr/>
            </w:pPr>
            <w:r>
              <w:rPr/>
              <w:t>​</w:t>
            </w:r>
          </w:p>
        </w:tc>
        <w:tc>
          <w:tcPr>
            <w:tcW w:w="131"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46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31" w:type="dxa"/>
            <w:tcBorders>
              <w:bottom w:val="single" w:sz="6" w:space="0" w:color="000000"/>
            </w:tcBorders>
            <w:shd w:fill="E6EEF8" w:val="clear"/>
            <w:vAlign w:val="center"/>
          </w:tcPr>
          <w:p>
            <w:pPr>
              <w:pStyle w:val="TableContents"/>
              <w:bidi w:val="0"/>
              <w:spacing w:before="0" w:after="283"/>
              <w:jc w:val="left"/>
              <w:rPr/>
            </w:pPr>
            <w:r>
              <w:rPr/>
              <w:t>​</w:t>
            </w:r>
          </w:p>
        </w:tc>
        <w:tc>
          <w:tcPr>
            <w:tcW w:w="161" w:type="dxa"/>
            <w:tcBorders>
              <w:bottom w:val="single" w:sz="6" w:space="0" w:color="000000"/>
            </w:tcBorders>
            <w:shd w:fill="E6EEF8"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221" w:type="dxa"/>
            <w:tcBorders>
              <w:bottom w:val="single" w:sz="6" w:space="0" w:color="000000"/>
            </w:tcBorders>
            <w:tcMar>
              <w:bottom w:w="30"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0" w:type="dxa"/>
            <w:tcBorders>
              <w:bottom w:val="single" w:sz="6" w:space="0" w:color="000000"/>
            </w:tcBorders>
            <w:vAlign w:val="center"/>
          </w:tcPr>
          <w:p>
            <w:pPr>
              <w:pStyle w:val="TableContents"/>
              <w:bidi w:val="0"/>
              <w:spacing w:before="0" w:after="283"/>
              <w:jc w:val="left"/>
              <w:rPr/>
            </w:pPr>
            <w:r>
              <w:rPr/>
              <w:t>​</w:t>
            </w:r>
          </w:p>
        </w:tc>
        <w:tc>
          <w:tcPr>
            <w:tcW w:w="140" w:type="dxa"/>
            <w:tcBorders>
              <w:bottom w:val="single" w:sz="6" w:space="0" w:color="000000"/>
            </w:tcBorders>
            <w:tcMar>
              <w:bottom w:w="30" w:type="dxa"/>
            </w:tcMar>
            <w:vAlign w:val="center"/>
          </w:tcPr>
          <w:p>
            <w:pPr>
              <w:pStyle w:val="TableContents"/>
              <w:bidi w:val="0"/>
              <w:spacing w:before="0" w:after="283"/>
              <w:jc w:val="right"/>
              <w:rPr/>
            </w:pPr>
            <w:r>
              <w:rPr/>
              <w:t>​</w:t>
            </w:r>
          </w:p>
        </w:tc>
        <w:tc>
          <w:tcPr>
            <w:tcW w:w="1377" w:type="dxa"/>
            <w:tcBorders>
              <w:bottom w:val="single" w:sz="6" w:space="0" w:color="000000"/>
            </w:tcBorders>
            <w:tcMar>
              <w:bottom w:w="30" w:type="dxa"/>
            </w:tcMar>
            <w:vAlign w:val="center"/>
          </w:tcPr>
          <w:p>
            <w:pPr>
              <w:pStyle w:val="TableContents"/>
              <w:bidi w:val="0"/>
              <w:spacing w:before="0" w:after="283"/>
              <w:jc w:val="right"/>
              <w:rPr/>
            </w:pPr>
            <w:r>
              <w:rPr/>
              <w:t>7,294,237</w:t>
            </w:r>
          </w:p>
        </w:tc>
        <w:tc>
          <w:tcPr>
            <w:tcW w:w="14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6" w:type="dxa"/>
            <w:tcBorders>
              <w:bottom w:val="single" w:sz="6" w:space="0" w:color="000000"/>
            </w:tcBorders>
            <w:vAlign w:val="center"/>
          </w:tcPr>
          <w:p>
            <w:pPr>
              <w:pStyle w:val="TableContents"/>
              <w:bidi w:val="0"/>
              <w:spacing w:before="0" w:after="283"/>
              <w:jc w:val="left"/>
              <w:rPr/>
            </w:pPr>
            <w:r>
              <w:rPr/>
              <w:t>​</w:t>
            </w:r>
          </w:p>
        </w:tc>
        <w:tc>
          <w:tcPr>
            <w:tcW w:w="346" w:type="dxa"/>
            <w:tcBorders>
              <w:bottom w:val="single" w:sz="6" w:space="0" w:color="000000"/>
            </w:tcBorders>
            <w:tcMar>
              <w:bottom w:w="30" w:type="dxa"/>
            </w:tcMar>
            <w:vAlign w:val="center"/>
          </w:tcPr>
          <w:p>
            <w:pPr>
              <w:pStyle w:val="TableContents"/>
              <w:bidi w:val="0"/>
              <w:spacing w:before="0" w:after="283"/>
              <w:jc w:val="right"/>
              <w:rPr/>
            </w:pPr>
            <w:r>
              <w:rPr/>
              <w:t>​</w:t>
            </w:r>
          </w:p>
        </w:tc>
        <w:tc>
          <w:tcPr>
            <w:tcW w:w="990" w:type="dxa"/>
            <w:tcBorders>
              <w:bottom w:val="single" w:sz="6" w:space="0" w:color="000000"/>
            </w:tcBorders>
            <w:tcMar>
              <w:bottom w:w="30" w:type="dxa"/>
            </w:tcMar>
            <w:vAlign w:val="center"/>
          </w:tcPr>
          <w:p>
            <w:pPr>
              <w:pStyle w:val="TableContents"/>
              <w:bidi w:val="0"/>
              <w:spacing w:before="0" w:after="283"/>
              <w:jc w:val="right"/>
              <w:rPr/>
            </w:pPr>
            <w:r>
              <w:rPr/>
              <w:t>​</w:t>
            </w:r>
          </w:p>
        </w:tc>
        <w:tc>
          <w:tcPr>
            <w:tcW w:w="16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1" w:type="dxa"/>
            <w:tcBorders>
              <w:bottom w:val="single" w:sz="6" w:space="0" w:color="000000"/>
            </w:tcBorders>
            <w:vAlign w:val="center"/>
          </w:tcPr>
          <w:p>
            <w:pPr>
              <w:pStyle w:val="TableContents"/>
              <w:bidi w:val="0"/>
              <w:spacing w:before="0" w:after="283"/>
              <w:jc w:val="left"/>
              <w:rPr/>
            </w:pPr>
            <w:r>
              <w:rPr/>
              <w:t>​</w:t>
            </w:r>
          </w:p>
        </w:tc>
        <w:tc>
          <w:tcPr>
            <w:tcW w:w="131" w:type="dxa"/>
            <w:tcBorders>
              <w:bottom w:val="single" w:sz="6" w:space="0" w:color="000000"/>
            </w:tcBorders>
            <w:tcMar>
              <w:bottom w:w="30" w:type="dxa"/>
            </w:tcMar>
            <w:vAlign w:val="center"/>
          </w:tcPr>
          <w:p>
            <w:pPr>
              <w:pStyle w:val="TableContents"/>
              <w:bidi w:val="0"/>
              <w:spacing w:before="0" w:after="283"/>
              <w:jc w:val="right"/>
              <w:rPr/>
            </w:pPr>
            <w:r>
              <w:rPr/>
              <w:t>​</w:t>
            </w:r>
          </w:p>
        </w:tc>
        <w:tc>
          <w:tcPr>
            <w:tcW w:w="1465" w:type="dxa"/>
            <w:tcBorders>
              <w:bottom w:val="single" w:sz="6" w:space="0" w:color="000000"/>
            </w:tcBorders>
            <w:tcMar>
              <w:bottom w:w="30" w:type="dxa"/>
            </w:tcMar>
            <w:vAlign w:val="center"/>
          </w:tcPr>
          <w:p>
            <w:pPr>
              <w:pStyle w:val="TableContents"/>
              <w:bidi w:val="0"/>
              <w:spacing w:before="0" w:after="283"/>
              <w:jc w:val="right"/>
              <w:rPr/>
            </w:pPr>
            <w:r>
              <w:rPr/>
              <w:t>80,000,000</w:t>
            </w:r>
          </w:p>
        </w:tc>
        <w:tc>
          <w:tcPr>
            <w:tcW w:w="131" w:type="dxa"/>
            <w:tcBorders>
              <w:bottom w:val="single" w:sz="6" w:space="0" w:color="000000"/>
            </w:tcBorders>
            <w:vAlign w:val="center"/>
          </w:tcPr>
          <w:p>
            <w:pPr>
              <w:pStyle w:val="TableContents"/>
              <w:bidi w:val="0"/>
              <w:spacing w:before="0" w:after="283"/>
              <w:jc w:val="left"/>
              <w:rPr/>
            </w:pPr>
            <w:r>
              <w:rPr/>
              <w:t>​</w:t>
            </w:r>
          </w:p>
        </w:tc>
        <w:tc>
          <w:tcPr>
            <w:tcW w:w="161"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70</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Compensation Discussion and Analysis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00" w:before="400" w:after="988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These plans consist of: (a) the Omnibus Plan; and (b) the Medline Inc. 2025 Employee Stock Purchase Plan (the “ESPP”). The total in column (a) includes outstanding RSUs and options under the Omnibus Plan as of December 31, 2025. No shares have been issued under the ESPP. The weighted average exercise price in column (b) applies only to stock options, as there is no exercise price for RSUs. As of December 31, 2025, 60,000,000 shares were available for future issuance under the Omnibus Plan and 20,000,000 shares were available for future issuance under the ESPP.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228600" cy="350520"/>
                <wp:effectExtent l="0" t="0" r="0" b="0"/>
                <wp:wrapSquare wrapText="right"/>
                <wp:docPr id="425" name="Frame2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Both the Omnibus Plan and the ESPP provide for annual evergreen increases to the number of shares subject to each plan. Beginning January 1, 2026, the Omnibus Plan absolute share limit will increase in an amount equal to the least of (a) 54,000,000 shares of common stock, (b) 4% of the total number of shares of common stock outstanding on the last day of the immediately preceding fiscal year, and (c) a lower number of shares of common stock as determined by the Board. Such increase will occur for the subsequent nine anniversaries of the initial January 1, 2026 increase.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29">
                <wp:simplePos x="0" y="0"/>
                <wp:positionH relativeFrom="column">
                  <wp:align>left</wp:align>
                </wp:positionH>
                <wp:positionV relativeFrom="line">
                  <wp:align>top</wp:align>
                </wp:positionV>
                <wp:extent cx="228600" cy="350520"/>
                <wp:effectExtent l="0" t="0" r="0" b="0"/>
                <wp:wrapSquare wrapText="right"/>
                <wp:docPr id="426" name="Frame2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Beginning January 1, 2026, the ESPP share reserve will increase in an amount equal to the least of (a) 14,000,000 shares of common stock, (b) 1% of the total number of shares of common stock outstanding on the last day of the immediately preceding fiscal year, and (c) a lower number of shares of common stock as determined by the Board. Such increase will occur for the subsequent nine anniversaries of the initial January 1, 2026 increase.</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PRO3"/>
      <w:bookmarkEnd w:id="48"/>
      <w:r>
        <w:rPr>
          <w:rFonts w:ascii="calibri;arial;sans-serif" w:hAnsi="calibri;arial;sans-serif"/>
          <w:b w:val="false"/>
          <w:i w:val="false"/>
          <w:caps w:val="false"/>
          <w:smallCaps w:val="false"/>
          <w:color w:val="000000"/>
          <w:sz w:val="16"/>
        </w:rPr>
        <w:t>​</w:t>
      </w:r>
      <w:bookmarkStart w:id="49" w:name="tSOIA"/>
      <w:bookmarkEnd w:id="49"/>
      <w:r>
        <w:rPr>
          <w:rFonts w:ascii="calibri;arial;sans-serif" w:hAnsi="calibri;arial;sans-serif"/>
          <w:b w:val="false"/>
          <w:i w:val="false"/>
          <w:caps w:val="false"/>
          <w:smallCaps w:val="false"/>
          <w:color w:val="000000"/>
          <w:sz w:val="16"/>
        </w:rPr>
        <w:t>​</w:t>
      </w:r>
      <w:bookmarkStart w:id="50" w:name="tIAFA"/>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Audit Matters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283"/>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Audit Matters</w:t>
      </w:r>
      <w:r>
        <w:rPr>
          <w:rFonts w:ascii="Arial;Helvetica;sans-serif" w:hAnsi="Arial;Helvetica;sans-serif"/>
          <w:b/>
          <w:i w:val="false"/>
          <w:caps w:val="false"/>
          <w:smallCaps w:val="false"/>
          <w:color w:val="000000"/>
          <w:spacing w:val="9"/>
          <w:sz w:val="44"/>
        </w:rPr>
        <w:t xml:space="preserve"> </w:t>
      </w:r>
    </w:p>
    <w:tbl>
      <w:tblPr>
        <w:tblW w:w="9485" w:type="dxa"/>
        <w:jc w:val="left"/>
        <w:tblInd w:w="720" w:type="dxa"/>
        <w:tblLayout w:type="fixed"/>
        <w:tblCellMar>
          <w:top w:w="0" w:type="dxa"/>
          <w:left w:w="0" w:type="dxa"/>
          <w:bottom w:w="0" w:type="dxa"/>
          <w:right w:w="0" w:type="dxa"/>
        </w:tblCellMar>
      </w:tblPr>
      <w:tblGrid>
        <w:gridCol w:w="124"/>
        <w:gridCol w:w="1753"/>
        <w:gridCol w:w="109"/>
        <w:gridCol w:w="109"/>
        <w:gridCol w:w="579"/>
        <w:gridCol w:w="120"/>
        <w:gridCol w:w="120"/>
        <w:gridCol w:w="6414"/>
        <w:gridCol w:w="157"/>
      </w:tblGrid>
      <w:tr>
        <w:trPr/>
        <w:tc>
          <w:tcPr>
            <w:tcW w:w="124" w:type="dxa"/>
            <w:vMerge w:val="restart"/>
            <w:tcBorders/>
            <w:shd w:fill="0055B7" w:val="clear"/>
            <w:vAlign w:val="center"/>
          </w:tcPr>
          <w:p>
            <w:pPr>
              <w:pStyle w:val="TableContents"/>
              <w:bidi w:val="0"/>
              <w:spacing w:before="0" w:after="283"/>
              <w:jc w:val="left"/>
              <w:rPr/>
            </w:pPr>
            <w:r>
              <w:rPr/>
              <w:t>​</w:t>
            </w:r>
          </w:p>
        </w:tc>
        <w:tc>
          <w:tcPr>
            <w:tcW w:w="1753" w:type="dxa"/>
            <w:vMerge w:val="restart"/>
            <w:tcBorders/>
            <w:shd w:fill="0055B7" w:val="clear"/>
            <w:tcMar>
              <w:top w:w="28" w:type="dxa"/>
              <w:left w:w="28" w:type="dxa"/>
              <w:bottom w:w="28" w:type="dxa"/>
              <w:right w:w="28" w:type="dxa"/>
            </w:tcMar>
            <w:vAlign w:val="center"/>
          </w:tcPr>
          <w:p>
            <w:pPr>
              <w:pStyle w:val="TableContents"/>
              <w:bidi w:val="0"/>
              <w:spacing w:lineRule="atLeast" w:line="360" w:before="0" w:after="0"/>
              <w:jc w:val="center"/>
              <w:rPr>
                <w:sz w:val="32"/>
              </w:rPr>
            </w:pPr>
            <w:r>
              <w:rPr>
                <w:spacing w:val="-4"/>
                <w:sz w:val="32"/>
              </w:rPr>
              <w:t>PROPOSAL</w:t>
            </w:r>
            <w:r>
              <w:rPr>
                <w:sz w:val="32"/>
              </w:rPr>
              <w:t xml:space="preserve"> </w:t>
            </w:r>
          </w:p>
          <w:p>
            <w:pPr>
              <w:pStyle w:val="TableContents"/>
              <w:bidi w:val="0"/>
              <w:spacing w:before="120" w:after="283"/>
              <w:jc w:val="center"/>
              <w:rPr>
                <w:sz w:val="96"/>
              </w:rPr>
            </w:pPr>
            <w:r>
              <w:rPr>
                <w:spacing w:val="-12"/>
                <w:sz w:val="96"/>
              </w:rPr>
              <w:t>4</w:t>
            </w:r>
            <w:r>
              <w:rPr>
                <w:color w:val="000000"/>
                <w:sz w:val="96"/>
              </w:rPr>
              <w:t>​</w:t>
            </w:r>
            <w:r>
              <w:rPr>
                <w:sz w:val="96"/>
              </w:rPr>
              <w:t xml:space="preserve"> </w:t>
            </w:r>
          </w:p>
        </w:tc>
        <w:tc>
          <w:tcPr>
            <w:tcW w:w="109" w:type="dxa"/>
            <w:vMerge w:val="restart"/>
            <w:tcBorders/>
            <w:shd w:fill="0055B7"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233" w:type="dxa"/>
            <w:gridSpan w:val="4"/>
            <w:tcBorders/>
            <w:shd w:fill="F2F2F2" w:val="clear"/>
            <w:vAlign w:val="center"/>
          </w:tcPr>
          <w:p>
            <w:pPr>
              <w:pStyle w:val="TableContents"/>
              <w:bidi w:val="0"/>
              <w:spacing w:lineRule="atLeast" w:line="320" w:before="0" w:after="0"/>
              <w:ind w:left="120" w:right="0" w:hanging="0"/>
              <w:jc w:val="left"/>
              <w:rPr>
                <w:color w:val="0055B7"/>
                <w:sz w:val="28"/>
              </w:rPr>
            </w:pPr>
            <w:r>
              <w:rPr>
                <w:color w:val="0055B7"/>
                <w:spacing w:val="-4"/>
                <w:sz w:val="28"/>
              </w:rPr>
              <w:t>RATIFICATION OF SELECTION OF INDEPENDENT AUDITOR</w:t>
            </w:r>
            <w:r>
              <w:rPr>
                <w:color w:val="0055B7"/>
                <w:sz w:val="28"/>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53"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33" w:type="dxa"/>
            <w:gridSpan w:val="4"/>
            <w:tcBorders/>
            <w:shd w:fill="F2F2F2" w:val="clear"/>
            <w:vAlign w:val="center"/>
          </w:tcPr>
          <w:p>
            <w:pPr>
              <w:pStyle w:val="TableContents"/>
              <w:bidi w:val="0"/>
              <w:spacing w:lineRule="atLeast" w:line="220" w:before="0" w:after="0"/>
              <w:ind w:left="120" w:right="0" w:hanging="0"/>
              <w:jc w:val="left"/>
              <w:rPr>
                <w:spacing w:val="-1"/>
                <w:sz w:val="18"/>
              </w:rPr>
            </w:pPr>
            <w:r>
              <w:rPr>
                <w:spacing w:val="-1"/>
                <w:sz w:val="18"/>
              </w:rPr>
              <w:t xml:space="preserve">Ratify the selection of Ernst &amp; Young LLP (“EY”) as our independent auditor for the fiscal year ending on December 31, 2026. </w:t>
            </w:r>
          </w:p>
          <w:p>
            <w:pPr>
              <w:pStyle w:val="TableContents"/>
              <w:bidi w:val="0"/>
              <w:spacing w:before="0" w:after="283"/>
              <w:ind w:left="0" w:right="0" w:hanging="0"/>
              <w:jc w:val="both"/>
              <w:rPr>
                <w:bdr w:val="single" w:sz="8" w:space="1" w:color="000000"/>
              </w:rPr>
            </w:pPr>
            <w:r>
              <w:rPr>
                <w:bdr w:val="single" w:sz="8" w:space="1" w:color="000000"/>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53"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7233" w:type="dxa"/>
            <w:gridSpan w:val="4"/>
            <w:tcBorders/>
            <w:shd w:fill="F2F2F2" w:val="clear"/>
            <w:vAlign w:val="center"/>
          </w:tcPr>
          <w:p>
            <w:pPr>
              <w:pStyle w:val="TableContents"/>
              <w:bidi w:val="0"/>
              <w:spacing w:lineRule="atLeast" w:line="220" w:before="0" w:after="0"/>
              <w:ind w:left="120" w:right="0" w:hanging="0"/>
              <w:jc w:val="left"/>
              <w:rPr/>
            </w:pPr>
            <w:r>
              <w:rPr>
                <w:spacing w:val="-1"/>
              </w:rPr>
              <w:t> </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continue"/>
            <w:tcBorders/>
            <w:shd w:fill="0055B7" w:val="clear"/>
            <w:vAlign w:val="center"/>
          </w:tcPr>
          <w:p>
            <w:pPr>
              <w:pStyle w:val="Normal"/>
              <w:bidi w:val="0"/>
              <w:jc w:val="left"/>
              <w:rPr/>
            </w:pPr>
            <w:r>
              <w:rPr/>
            </w:r>
          </w:p>
        </w:tc>
        <w:tc>
          <w:tcPr>
            <w:tcW w:w="1753" w:type="dxa"/>
            <w:vMerge w:val="continue"/>
            <w:tcBorders/>
            <w:shd w:fill="0055B7"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55B7"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579" w:type="dxa"/>
            <w:tcBorders/>
            <w:shd w:fill="F2F2F2" w:val="clear"/>
            <w:vAlign w:val="center"/>
          </w:tcPr>
          <w:p>
            <w:pPr>
              <w:pStyle w:val="TableContents"/>
              <w:bidi w:val="0"/>
              <w:spacing w:before="0" w:after="0"/>
              <w:ind w:left="120" w:right="0" w:hanging="0"/>
              <w:jc w:val="left"/>
              <w:rPr/>
            </w:pPr>
            <w:r>
              <w:rPr/>
              <w:drawing>
                <wp:inline distT="0" distB="0" distL="0" distR="0">
                  <wp:extent cx="238125" cy="238125"/>
                  <wp:effectExtent l="0" t="0" r="0" b="0"/>
                  <wp:docPr id="42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140" descr=""/>
                          <pic:cNvPicPr>
                            <a:picLocks noChangeAspect="1" noChangeArrowheads="1"/>
                          </pic:cNvPicPr>
                        </pic:nvPicPr>
                        <pic:blipFill>
                          <a:blip r:embed="rId157"/>
                          <a:stretch>
                            <a:fillRect/>
                          </a:stretch>
                        </pic:blipFill>
                        <pic:spPr bwMode="auto">
                          <a:xfrm>
                            <a:off x="0" y="0"/>
                            <a:ext cx="238125" cy="238125"/>
                          </a:xfrm>
                          <a:prstGeom prst="rect">
                            <a:avLst/>
                          </a:prstGeom>
                        </pic:spPr>
                      </pic:pic>
                    </a:graphicData>
                  </a:graphic>
                </wp:inline>
              </w:drawing>
            </w:r>
            <w:r>
              <w:rPr/>
              <w:t xml:space="preserve"> </w:t>
            </w:r>
          </w:p>
        </w:tc>
        <w:tc>
          <w:tcPr>
            <w:tcW w:w="120" w:type="dxa"/>
            <w:tcBorders/>
            <w:shd w:fill="F2F2F2" w:val="clear"/>
            <w:vAlign w:val="center"/>
          </w:tcPr>
          <w:p>
            <w:pPr>
              <w:pStyle w:val="TableContents"/>
              <w:bidi w:val="0"/>
              <w:spacing w:before="0" w:after="283"/>
              <w:jc w:val="left"/>
              <w:rPr/>
            </w:pPr>
            <w:r>
              <w:rPr/>
              <w:t>​</w:t>
            </w:r>
          </w:p>
        </w:tc>
        <w:tc>
          <w:tcPr>
            <w:tcW w:w="120" w:type="dxa"/>
            <w:tcBorders/>
            <w:shd w:fill="F2F2F2" w:val="clear"/>
            <w:vAlign w:val="center"/>
          </w:tcPr>
          <w:p>
            <w:pPr>
              <w:pStyle w:val="TableContents"/>
              <w:bidi w:val="0"/>
              <w:spacing w:before="0" w:after="283"/>
              <w:jc w:val="left"/>
              <w:rPr/>
            </w:pPr>
            <w:r>
              <w:rPr/>
              <w:t>​</w:t>
            </w:r>
          </w:p>
        </w:tc>
        <w:tc>
          <w:tcPr>
            <w:tcW w:w="6414" w:type="dxa"/>
            <w:tcBorders/>
            <w:shd w:fill="F2F2F2" w:val="clear"/>
            <w:vAlign w:val="center"/>
          </w:tcPr>
          <w:p>
            <w:pPr>
              <w:pStyle w:val="TableContents"/>
              <w:bidi w:val="0"/>
              <w:spacing w:lineRule="atLeast" w:line="240" w:before="0" w:after="0"/>
              <w:jc w:val="left"/>
              <w:rPr>
                <w:sz w:val="20"/>
              </w:rPr>
            </w:pPr>
            <w:r>
              <w:rPr>
                <w:spacing w:val="-3"/>
                <w:sz w:val="20"/>
              </w:rPr>
              <w:t xml:space="preserve">THE BOARD AND AUDIT COMMITTEE RECOMMEND A VOTE </w:t>
            </w:r>
            <w:r>
              <w:rPr>
                <w:color w:val="0070CD"/>
                <w:spacing w:val="-3"/>
                <w:sz w:val="20"/>
              </w:rPr>
              <w:t>FOR</w:t>
            </w:r>
            <w:r>
              <w:rPr>
                <w:spacing w:val="-3"/>
                <w:sz w:val="20"/>
              </w:rPr>
              <w:t xml:space="preserve"> PROPOSAL 4.</w:t>
            </w:r>
            <w:r>
              <w:rPr>
                <w:sz w:val="20"/>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20" w:before="20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and the Board are requesting, as a matter of good corporate governance, that stockholders ratify the selection of EY as our independent auditor for the fiscal year ending December 31, 2026. EY has served as our independent auditor since 2022.</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and the Board believe that the continued retention of EY as Medline’s independent auditor is in the best interests of the Company and our stockholders. In making this recommendation, the Audit Committee and Board considered, among other things, EY’s qualifications and performance, its independence, and its familiarity with the Company’s business, accounting policies and practices. The Audit Committee also considered its ongoing oversight of EY’s work, including its review of the scope and results of the audit and related communications from EY.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has the sole authority to appoint the Company’s independent auditor and is not required to take any action as a result of the outcome of the advisory vote on this proposal. However, if our stockholders do not ratify EY’s appointment, the Audit Committee may investigate the reasons for the stockholder vote and consider whether to retain EY or appoint a different independent auditor. Even if the selection is ratified, the Audit Committee may change the independent auditor at any time if it determines that doing so would be in the best interests of Medline and our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Representatives of EY are expected to be present at the Annual Meeting, will have an opportunity to make a statement if they desire to do so, and will be available to respond to appropriate questions from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Selection of Independent Auditor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its charter, the Audit Committee is responsible for the appointment, compensation, retention, oversight, and, when appropriate, termination of our independent auditor. The Audit Committee also has the authority to approve the audit engagement fees to be paid to the independent auditor. Consistent with these responsibilities, the Audit Committee selected EY, a registered public accounting firm, as our independent auditor for fiscal year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Independent Auditor’s Fees and Services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presents the aggregate fees for professional services rendered by our independent auditor, EY, for fiscal years 2025 and 2024. All fees include out-of-pocket expenses.</w:t>
      </w:r>
      <w:r>
        <w:rPr>
          <w:rFonts w:ascii="Arial;Helvetica;sans-serif" w:hAnsi="Arial;Helvetica;sans-serif"/>
          <w:b w:val="false"/>
          <w:i w:val="false"/>
          <w:caps w:val="false"/>
          <w:smallCaps w:val="false"/>
          <w:color w:val="000000"/>
          <w:spacing w:val="4"/>
          <w:sz w:val="18"/>
        </w:rPr>
        <w:t xml:space="preserve"> </w:t>
      </w:r>
    </w:p>
    <w:tbl>
      <w:tblPr>
        <w:tblW w:w="5649" w:type="dxa"/>
        <w:jc w:val="left"/>
        <w:tblInd w:w="720" w:type="dxa"/>
        <w:tblLayout w:type="fixed"/>
        <w:tblCellMar>
          <w:top w:w="0" w:type="dxa"/>
          <w:left w:w="0" w:type="dxa"/>
          <w:bottom w:w="28" w:type="dxa"/>
          <w:right w:w="0" w:type="dxa"/>
        </w:tblCellMar>
      </w:tblPr>
      <w:tblGrid>
        <w:gridCol w:w="1966"/>
        <w:gridCol w:w="109"/>
        <w:gridCol w:w="109"/>
        <w:gridCol w:w="177"/>
        <w:gridCol w:w="367"/>
        <w:gridCol w:w="855"/>
        <w:gridCol w:w="177"/>
        <w:gridCol w:w="177"/>
        <w:gridCol w:w="177"/>
        <w:gridCol w:w="177"/>
        <w:gridCol w:w="367"/>
        <w:gridCol w:w="660"/>
        <w:gridCol w:w="177"/>
        <w:gridCol w:w="154"/>
      </w:tblGrid>
      <w:tr>
        <w:trPr/>
        <w:tc>
          <w:tcPr>
            <w:tcW w:w="19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11" w:type="dxa"/>
            <w:gridSpan w:val="10"/>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Fiscal Year Ended December 31,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9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7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77" w:type="dxa"/>
            <w:tcBorders>
              <w:bottom w:val="single" w:sz="2" w:space="0" w:color="000000"/>
            </w:tcBorders>
            <w:vAlign w:val="center"/>
          </w:tcPr>
          <w:p>
            <w:pPr>
              <w:pStyle w:val="TableContents"/>
              <w:bidi w:val="0"/>
              <w:spacing w:before="0" w:after="283"/>
              <w:jc w:val="left"/>
              <w:rPr/>
            </w:pPr>
            <w:r>
              <w:rPr/>
              <w:t>​</w:t>
            </w:r>
          </w:p>
        </w:tc>
        <w:tc>
          <w:tcPr>
            <w:tcW w:w="177" w:type="dxa"/>
            <w:tcBorders>
              <w:bottom w:val="single" w:sz="2" w:space="0" w:color="000000"/>
            </w:tcBorders>
            <w:vAlign w:val="center"/>
          </w:tcPr>
          <w:p>
            <w:pPr>
              <w:pStyle w:val="TableContents"/>
              <w:bidi w:val="0"/>
              <w:spacing w:before="0" w:after="283"/>
              <w:jc w:val="left"/>
              <w:rPr/>
            </w:pPr>
            <w:r>
              <w:rPr/>
              <w:t>​</w:t>
            </w:r>
          </w:p>
        </w:tc>
        <w:tc>
          <w:tcPr>
            <w:tcW w:w="1381"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966" w:type="dxa"/>
            <w:tcBorders>
              <w:bottom w:val="single" w:sz="2" w:space="0" w:color="000000"/>
            </w:tcBorders>
            <w:tcMar>
              <w:bottom w:w="50" w:type="dxa"/>
            </w:tcMar>
            <w:vAlign w:val="center"/>
          </w:tcPr>
          <w:p>
            <w:pPr>
              <w:pStyle w:val="TableContents"/>
              <w:bidi w:val="0"/>
              <w:spacing w:before="0" w:after="0"/>
              <w:jc w:val="left"/>
              <w:rPr>
                <w:spacing w:val="0"/>
              </w:rPr>
            </w:pPr>
            <w:r>
              <w:rPr>
                <w:spacing w:val="0"/>
              </w:rPr>
              <w:t xml:space="preserve">EY Fees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11" w:type="dxa"/>
            <w:gridSpan w:val="10"/>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 millions)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966" w:type="dxa"/>
            <w:tcBorders>
              <w:bottom w:val="single" w:sz="6" w:space="0" w:color="000000"/>
            </w:tcBorders>
            <w:tcMar>
              <w:bottom w:w="45" w:type="dxa"/>
            </w:tcMar>
            <w:vAlign w:val="center"/>
          </w:tcPr>
          <w:p>
            <w:pPr>
              <w:pStyle w:val="TableContents"/>
              <w:bidi w:val="0"/>
              <w:spacing w:lineRule="atLeast" w:line="142" w:before="0" w:after="283"/>
              <w:jc w:val="left"/>
              <w:rPr/>
            </w:pPr>
            <w:r>
              <w:rPr>
                <w:spacing w:val="-1"/>
              </w:rPr>
              <w:t>Audit fees</w:t>
            </w:r>
            <w:r>
              <w:rPr>
                <w:spacing w:val="-1"/>
                <w:sz w:val="11"/>
              </w:rPr>
              <w:t>(1)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367" w:type="dxa"/>
            <w:tcBorders>
              <w:bottom w:val="single" w:sz="6" w:space="0" w:color="000000"/>
            </w:tcBorders>
            <w:tcMar>
              <w:bottom w:w="45" w:type="dxa"/>
            </w:tcMar>
            <w:vAlign w:val="center"/>
          </w:tcPr>
          <w:p>
            <w:pPr>
              <w:pStyle w:val="TableContents"/>
              <w:bidi w:val="0"/>
              <w:spacing w:before="0" w:after="283"/>
              <w:jc w:val="right"/>
              <w:rPr/>
            </w:pPr>
            <w:r>
              <w:rPr/>
              <w:t>$</w:t>
            </w:r>
          </w:p>
        </w:tc>
        <w:tc>
          <w:tcPr>
            <w:tcW w:w="855" w:type="dxa"/>
            <w:tcBorders>
              <w:bottom w:val="single" w:sz="6" w:space="0" w:color="000000"/>
            </w:tcBorders>
            <w:tcMar>
              <w:bottom w:w="45" w:type="dxa"/>
            </w:tcMar>
            <w:vAlign w:val="center"/>
          </w:tcPr>
          <w:p>
            <w:pPr>
              <w:pStyle w:val="TableContents"/>
              <w:bidi w:val="0"/>
              <w:spacing w:before="0" w:after="283"/>
              <w:jc w:val="right"/>
              <w:rPr/>
            </w:pPr>
            <w:r>
              <w:rPr/>
              <w:t>10.1</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367" w:type="dxa"/>
            <w:tcBorders>
              <w:bottom w:val="single" w:sz="6" w:space="0" w:color="000000"/>
            </w:tcBorders>
            <w:tcMar>
              <w:bottom w:w="45" w:type="dxa"/>
            </w:tcMar>
            <w:vAlign w:val="center"/>
          </w:tcPr>
          <w:p>
            <w:pPr>
              <w:pStyle w:val="TableContents"/>
              <w:bidi w:val="0"/>
              <w:spacing w:before="0" w:after="283"/>
              <w:jc w:val="right"/>
              <w:rPr/>
            </w:pPr>
            <w:r>
              <w:rPr/>
              <w:t>$</w:t>
            </w:r>
          </w:p>
        </w:tc>
        <w:tc>
          <w:tcPr>
            <w:tcW w:w="660" w:type="dxa"/>
            <w:tcBorders>
              <w:bottom w:val="single" w:sz="6" w:space="0" w:color="000000"/>
            </w:tcBorders>
            <w:tcMar>
              <w:bottom w:w="45" w:type="dxa"/>
            </w:tcMar>
            <w:vAlign w:val="center"/>
          </w:tcPr>
          <w:p>
            <w:pPr>
              <w:pStyle w:val="TableContents"/>
              <w:bidi w:val="0"/>
              <w:spacing w:before="0" w:after="283"/>
              <w:jc w:val="right"/>
              <w:rPr/>
            </w:pPr>
            <w:r>
              <w:rPr/>
              <w:t>5.7</w:t>
            </w:r>
          </w:p>
        </w:tc>
        <w:tc>
          <w:tcPr>
            <w:tcW w:w="17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966" w:type="dxa"/>
            <w:tcBorders>
              <w:bottom w:val="single" w:sz="6" w:space="0" w:color="000000"/>
            </w:tcBorders>
            <w:shd w:fill="E6EEF8" w:val="clear"/>
            <w:tcMar>
              <w:bottom w:w="45" w:type="dxa"/>
            </w:tcMar>
            <w:vAlign w:val="center"/>
          </w:tcPr>
          <w:p>
            <w:pPr>
              <w:pStyle w:val="TableContents"/>
              <w:bidi w:val="0"/>
              <w:spacing w:lineRule="atLeast" w:line="142" w:before="0" w:after="283"/>
              <w:jc w:val="left"/>
              <w:rPr/>
            </w:pPr>
            <w:r>
              <w:rPr>
                <w:spacing w:val="-1"/>
              </w:rPr>
              <w:t>Audit-related fees</w:t>
            </w:r>
            <w:r>
              <w:rPr>
                <w:spacing w:val="-1"/>
                <w:sz w:val="11"/>
              </w:rPr>
              <w:t>(2)</w:t>
            </w:r>
            <w:r>
              <w:rPr/>
              <w:t xml:space="preserve">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36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5" w:type="dxa"/>
            <w:tcBorders>
              <w:bottom w:val="single" w:sz="6" w:space="0" w:color="000000"/>
            </w:tcBorders>
            <w:shd w:fill="E6EEF8" w:val="clear"/>
            <w:tcMar>
              <w:bottom w:w="45" w:type="dxa"/>
            </w:tcMar>
            <w:vAlign w:val="center"/>
          </w:tcPr>
          <w:p>
            <w:pPr>
              <w:pStyle w:val="TableContents"/>
              <w:bidi w:val="0"/>
              <w:spacing w:before="0" w:after="283"/>
              <w:jc w:val="right"/>
              <w:rPr/>
            </w:pPr>
            <w:r>
              <w:rPr/>
              <w:t>0.3</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36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60" w:type="dxa"/>
            <w:tcBorders>
              <w:bottom w:val="single" w:sz="6" w:space="0" w:color="000000"/>
            </w:tcBorders>
            <w:shd w:fill="E6EEF8" w:val="clear"/>
            <w:tcMar>
              <w:bottom w:w="45" w:type="dxa"/>
            </w:tcMar>
            <w:vAlign w:val="center"/>
          </w:tcPr>
          <w:p>
            <w:pPr>
              <w:pStyle w:val="TableContents"/>
              <w:bidi w:val="0"/>
              <w:spacing w:before="0" w:after="283"/>
              <w:jc w:val="right"/>
              <w:rPr/>
            </w:pPr>
            <w:r>
              <w:rPr/>
              <w:t>2.8</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966" w:type="dxa"/>
            <w:tcBorders>
              <w:bottom w:val="single" w:sz="6" w:space="0" w:color="000000"/>
            </w:tcBorders>
            <w:tcMar>
              <w:bottom w:w="45" w:type="dxa"/>
            </w:tcMar>
            <w:vAlign w:val="center"/>
          </w:tcPr>
          <w:p>
            <w:pPr>
              <w:pStyle w:val="TableContents"/>
              <w:bidi w:val="0"/>
              <w:spacing w:lineRule="atLeast" w:line="142" w:before="0" w:after="283"/>
              <w:jc w:val="left"/>
              <w:rPr/>
            </w:pPr>
            <w:r>
              <w:rPr>
                <w:spacing w:val="-1"/>
              </w:rPr>
              <w:t>Tax fees</w:t>
            </w:r>
            <w:r>
              <w:rPr>
                <w:spacing w:val="-1"/>
                <w:sz w:val="11"/>
              </w:rPr>
              <w:t>(3)</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367" w:type="dxa"/>
            <w:tcBorders>
              <w:bottom w:val="single" w:sz="6" w:space="0" w:color="000000"/>
            </w:tcBorders>
            <w:tcMar>
              <w:bottom w:w="45" w:type="dxa"/>
            </w:tcMar>
            <w:vAlign w:val="center"/>
          </w:tcPr>
          <w:p>
            <w:pPr>
              <w:pStyle w:val="TableContents"/>
              <w:bidi w:val="0"/>
              <w:spacing w:before="0" w:after="283"/>
              <w:jc w:val="right"/>
              <w:rPr/>
            </w:pPr>
            <w:r>
              <w:rPr/>
              <w:t>​</w:t>
            </w:r>
          </w:p>
        </w:tc>
        <w:tc>
          <w:tcPr>
            <w:tcW w:w="855" w:type="dxa"/>
            <w:tcBorders>
              <w:bottom w:val="single" w:sz="6" w:space="0" w:color="000000"/>
            </w:tcBorders>
            <w:tcMar>
              <w:bottom w:w="45" w:type="dxa"/>
            </w:tcMar>
            <w:vAlign w:val="center"/>
          </w:tcPr>
          <w:p>
            <w:pPr>
              <w:pStyle w:val="TableContents"/>
              <w:bidi w:val="0"/>
              <w:spacing w:before="0" w:after="283"/>
              <w:jc w:val="right"/>
              <w:rPr/>
            </w:pPr>
            <w:r>
              <w:rPr/>
              <w:t>0.1</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367" w:type="dxa"/>
            <w:tcBorders>
              <w:bottom w:val="single" w:sz="6" w:space="0" w:color="000000"/>
            </w:tcBorders>
            <w:tcMar>
              <w:bottom w:w="45" w:type="dxa"/>
            </w:tcMar>
            <w:vAlign w:val="center"/>
          </w:tcPr>
          <w:p>
            <w:pPr>
              <w:pStyle w:val="TableContents"/>
              <w:bidi w:val="0"/>
              <w:spacing w:before="0" w:after="283"/>
              <w:jc w:val="right"/>
              <w:rPr/>
            </w:pPr>
            <w:r>
              <w:rPr/>
              <w:t>​</w:t>
            </w:r>
          </w:p>
        </w:tc>
        <w:tc>
          <w:tcPr>
            <w:tcW w:w="660" w:type="dxa"/>
            <w:tcBorders>
              <w:bottom w:val="single" w:sz="6" w:space="0" w:color="000000"/>
            </w:tcBorders>
            <w:tcMar>
              <w:bottom w:w="45" w:type="dxa"/>
            </w:tcMar>
            <w:vAlign w:val="center"/>
          </w:tcPr>
          <w:p>
            <w:pPr>
              <w:pStyle w:val="TableContents"/>
              <w:bidi w:val="0"/>
              <w:spacing w:before="0" w:after="283"/>
              <w:jc w:val="righ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966" w:type="dxa"/>
            <w:tcBorders>
              <w:bottom w:val="single" w:sz="6" w:space="0" w:color="000000"/>
            </w:tcBorders>
            <w:shd w:fill="E6EEF8" w:val="clear"/>
            <w:tcMar>
              <w:bottom w:w="45" w:type="dxa"/>
            </w:tcMar>
            <w:vAlign w:val="center"/>
          </w:tcPr>
          <w:p>
            <w:pPr>
              <w:pStyle w:val="TableContents"/>
              <w:bidi w:val="0"/>
              <w:spacing w:lineRule="atLeast" w:line="142" w:before="0" w:after="283"/>
              <w:jc w:val="left"/>
              <w:rPr/>
            </w:pPr>
            <w:r>
              <w:rPr>
                <w:spacing w:val="-1"/>
              </w:rPr>
              <w:t>All other fees</w:t>
            </w:r>
            <w:r>
              <w:rPr>
                <w:spacing w:val="-1"/>
                <w:sz w:val="11"/>
              </w:rPr>
              <w:t>(4)</w:t>
            </w:r>
            <w:r>
              <w:rPr/>
              <w:t xml:space="preserve">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36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36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60"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177" w:type="dxa"/>
            <w:tcBorders>
              <w:bottom w:val="single" w:sz="6" w:space="0" w:color="000000"/>
            </w:tcBorders>
            <w:shd w:fill="E6EEF8" w:val="clear"/>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966" w:type="dxa"/>
            <w:tcBorders>
              <w:bottom w:val="single" w:sz="6" w:space="0" w:color="000000"/>
            </w:tcBorders>
            <w:tcMar>
              <w:bottom w:w="30" w:type="dxa"/>
            </w:tcMar>
            <w:vAlign w:val="center"/>
          </w:tcPr>
          <w:p>
            <w:pPr>
              <w:pStyle w:val="TableContents"/>
              <w:bidi w:val="0"/>
              <w:spacing w:before="0" w:after="0"/>
              <w:jc w:val="left"/>
              <w:rPr>
                <w:b/>
                <w:color w:val="0055B7"/>
              </w:rPr>
            </w:pPr>
            <w:r>
              <w:rPr>
                <w:b/>
                <w:color w:val="0055B7"/>
                <w:spacing w:val="-2"/>
              </w:rPr>
              <w:t>TOTAL</w:t>
            </w:r>
            <w:r>
              <w:rPr>
                <w:b/>
                <w:color w:val="0055B7"/>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367" w:type="dxa"/>
            <w:tcBorders>
              <w:bottom w:val="single" w:sz="6" w:space="0" w:color="000000"/>
            </w:tcBorders>
            <w:tcMar>
              <w:bottom w:w="30" w:type="dxa"/>
            </w:tcMar>
            <w:vAlign w:val="center"/>
          </w:tcPr>
          <w:p>
            <w:pPr>
              <w:pStyle w:val="TableContents"/>
              <w:bidi w:val="0"/>
              <w:spacing w:before="0" w:after="283"/>
              <w:jc w:val="right"/>
              <w:rPr/>
            </w:pPr>
            <w:r>
              <w:rPr/>
              <w:t>$</w:t>
            </w:r>
          </w:p>
        </w:tc>
        <w:tc>
          <w:tcPr>
            <w:tcW w:w="855" w:type="dxa"/>
            <w:tcBorders>
              <w:bottom w:val="single" w:sz="6" w:space="0" w:color="000000"/>
            </w:tcBorders>
            <w:tcMar>
              <w:bottom w:w="30" w:type="dxa"/>
            </w:tcMar>
            <w:vAlign w:val="center"/>
          </w:tcPr>
          <w:p>
            <w:pPr>
              <w:pStyle w:val="TableContents"/>
              <w:bidi w:val="0"/>
              <w:spacing w:before="0" w:after="283"/>
              <w:jc w:val="right"/>
              <w:rPr/>
            </w:pPr>
            <w:r>
              <w:rPr/>
              <w:t>10.5</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177" w:type="dxa"/>
            <w:tcBorders>
              <w:bottom w:val="single" w:sz="6" w:space="0" w:color="000000"/>
            </w:tcBorders>
            <w:vAlign w:val="center"/>
          </w:tcPr>
          <w:p>
            <w:pPr>
              <w:pStyle w:val="TableContents"/>
              <w:bidi w:val="0"/>
              <w:spacing w:before="0" w:after="283"/>
              <w:jc w:val="left"/>
              <w:rPr/>
            </w:pPr>
            <w:r>
              <w:rPr/>
              <w:t>​</w:t>
            </w:r>
          </w:p>
        </w:tc>
        <w:tc>
          <w:tcPr>
            <w:tcW w:w="367" w:type="dxa"/>
            <w:tcBorders>
              <w:bottom w:val="single" w:sz="6" w:space="0" w:color="000000"/>
            </w:tcBorders>
            <w:tcMar>
              <w:bottom w:w="30" w:type="dxa"/>
            </w:tcMar>
            <w:vAlign w:val="center"/>
          </w:tcPr>
          <w:p>
            <w:pPr>
              <w:pStyle w:val="TableContents"/>
              <w:bidi w:val="0"/>
              <w:spacing w:before="0" w:after="283"/>
              <w:jc w:val="right"/>
              <w:rPr/>
            </w:pPr>
            <w:r>
              <w:rPr/>
              <w:t>$</w:t>
            </w:r>
          </w:p>
        </w:tc>
        <w:tc>
          <w:tcPr>
            <w:tcW w:w="660" w:type="dxa"/>
            <w:tcBorders>
              <w:bottom w:val="single" w:sz="6" w:space="0" w:color="000000"/>
            </w:tcBorders>
            <w:tcMar>
              <w:bottom w:w="30" w:type="dxa"/>
            </w:tcMar>
            <w:vAlign w:val="center"/>
          </w:tcPr>
          <w:p>
            <w:pPr>
              <w:pStyle w:val="TableContents"/>
              <w:bidi w:val="0"/>
              <w:spacing w:before="0" w:after="283"/>
              <w:jc w:val="right"/>
              <w:rPr/>
            </w:pPr>
            <w:r>
              <w:rPr/>
              <w:t>8.5</w:t>
            </w:r>
          </w:p>
        </w:tc>
        <w:tc>
          <w:tcPr>
            <w:tcW w:w="17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1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Audit fees</w:t>
      </w:r>
      <w:r>
        <w:rPr>
          <w:rFonts w:ascii="Arial;Helvetica;sans-serif" w:hAnsi="Arial;Helvetica;sans-serif"/>
          <w:b w:val="false"/>
          <w:i w:val="false"/>
          <w:caps w:val="false"/>
          <w:smallCaps w:val="false"/>
          <w:color w:val="000000"/>
          <w:spacing w:val="-1"/>
          <w:sz w:val="16"/>
        </w:rPr>
        <w:t xml:space="preserve"> include professional services rendered for the audit of our annual consolidated financial statements, the review of our consolidated financial statements included in our quarterly reports, statutory audits required internationally, the review of documents filed with the SEC, comfort letters, consents, and certain accounting consultations in connection with the audits.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9850" distB="0" distL="0" distR="0" simplePos="0" locked="0" layoutInCell="1" allowOverlap="1" relativeHeight="430">
                <wp:simplePos x="0" y="0"/>
                <wp:positionH relativeFrom="column">
                  <wp:align>left</wp:align>
                </wp:positionH>
                <wp:positionV relativeFrom="line">
                  <wp:align>top</wp:align>
                </wp:positionV>
                <wp:extent cx="228600" cy="254000"/>
                <wp:effectExtent l="0" t="0" r="0" b="0"/>
                <wp:wrapSquare wrapText="right"/>
                <wp:docPr id="428" name="Frame272"/>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Audit-related fees</w:t>
      </w:r>
      <w:r>
        <w:rPr>
          <w:rFonts w:ascii="Arial;Helvetica;sans-serif" w:hAnsi="Arial;Helvetica;sans-serif"/>
          <w:b w:val="false"/>
          <w:i w:val="false"/>
          <w:caps w:val="false"/>
          <w:smallCaps w:val="false"/>
          <w:color w:val="000000"/>
          <w:spacing w:val="-1"/>
          <w:sz w:val="16"/>
        </w:rPr>
        <w:t xml:space="preserve"> include professional services in connection with accounting consultations in connection with proposed or pending transactions, due diligence in connection with acquisitions, and other audit or agreed upon procedures required by statute or regulation not classified as audit fees.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31">
                <wp:simplePos x="0" y="0"/>
                <wp:positionH relativeFrom="column">
                  <wp:align>left</wp:align>
                </wp:positionH>
                <wp:positionV relativeFrom="line">
                  <wp:align>top</wp:align>
                </wp:positionV>
                <wp:extent cx="228600" cy="254000"/>
                <wp:effectExtent l="0" t="0" r="0" b="0"/>
                <wp:wrapSquare wrapText="right"/>
                <wp:docPr id="429" name="Frame273"/>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Tax fees</w:t>
      </w:r>
      <w:r>
        <w:rPr>
          <w:rFonts w:ascii="Arial;Helvetica;sans-serif" w:hAnsi="Arial;Helvetica;sans-serif"/>
          <w:b w:val="false"/>
          <w:i w:val="false"/>
          <w:caps w:val="false"/>
          <w:smallCaps w:val="false"/>
          <w:color w:val="000000"/>
          <w:spacing w:val="-1"/>
          <w:sz w:val="16"/>
        </w:rPr>
        <w:t xml:space="preserve"> include professional services in connection with tax compliance and tax advisory services.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32">
                <wp:simplePos x="0" y="0"/>
                <wp:positionH relativeFrom="column">
                  <wp:align>left</wp:align>
                </wp:positionH>
                <wp:positionV relativeFrom="line">
                  <wp:align>top</wp:align>
                </wp:positionV>
                <wp:extent cx="228600" cy="254000"/>
                <wp:effectExtent l="0" t="0" r="0" b="0"/>
                <wp:wrapSquare wrapText="right"/>
                <wp:docPr id="430" name="Frame274"/>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PPL"/>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Audit Matters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00" w:before="400" w:after="916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All other fees</w:t>
      </w:r>
      <w:r>
        <w:rPr>
          <w:rFonts w:ascii="Arial;Helvetica;sans-serif" w:hAnsi="Arial;Helvetica;sans-serif"/>
          <w:b w:val="false"/>
          <w:i w:val="false"/>
          <w:caps w:val="false"/>
          <w:smallCaps w:val="false"/>
          <w:color w:val="000000"/>
          <w:spacing w:val="-1"/>
          <w:sz w:val="16"/>
        </w:rPr>
        <w:t xml:space="preserve"> consist principally of data mining services in 2024 and subscription fees for EY’s internal technical accounting and financial reporting content.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228600" cy="254000"/>
                <wp:effectExtent l="0" t="0" r="0" b="0"/>
                <wp:wrapSquare wrapText="right"/>
                <wp:docPr id="431" name="Frame275"/>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(4)</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Pre-Approval Policy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has established a policy to pre-approve all audit and permissible non-audit services provided by our independent auditor, which may include audit services, audit-related services, tax services, and other permissible non-audit services. Pre-approvals specify the particular service or an approved category of services and the related fee arrangements or parameters.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circumstances arise during the year that require additional services beyond the scope of an existing pre-approval, the Audit Committee approves the additional services before the independent auditor is engaged. The Audit Committee may delegate pre-approval authority to its Chair as permitted under its charter, and any such pre-approval decisions are reported to the Audit Committee at its next regular meeting. The Audit Committee’s policy also requires management to provide periodic updates to the Audit Committee regarding actual fees incurred by the independent auditor under the pre-approval categories to support the Committee’s ongoing oversight. The Audit Committee reviews this policy annually.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During our 2025 fiscal year, the Audit Committee pre-approved all audit and non-audit services provided by the independent auditor.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ACRF"/>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Audit Matters</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400"/>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Audit Committee Report for the Fiscal Year Ended December 31, 2025</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our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of Medline’s Board of Directors (the “Board”) assists the Board in its oversight of the Company’s accounting and financial reporting processes and audits of the Company’s financial statements. Management has primary responsibility for the preparation of Medline’s financial statements and the Company’s financial reporting and disclosure controls and procedures. In addition, the Audit Committee assists the Board in overseeing and monitoring, among other matters: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integrity of Medline’s financial statements and Medline’s accounting and financial reporting processes and the quality of internal and external audit processes;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34">
                <wp:simplePos x="0" y="0"/>
                <wp:positionH relativeFrom="column">
                  <wp:align>left</wp:align>
                </wp:positionH>
                <wp:positionV relativeFrom="line">
                  <wp:align>top</wp:align>
                </wp:positionV>
                <wp:extent cx="139700" cy="350520"/>
                <wp:effectExtent l="0" t="0" r="0" b="0"/>
                <wp:wrapSquare wrapText="right"/>
                <wp:docPr id="432" name="Frame27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Medline’s internal control over financial reporting, including oversight of management’s processes and controls designed to support the integrity of Medline’s financial reporting;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35">
                <wp:simplePos x="0" y="0"/>
                <wp:positionH relativeFrom="column">
                  <wp:align>left</wp:align>
                </wp:positionH>
                <wp:positionV relativeFrom="line">
                  <wp:align>top</wp:align>
                </wp:positionV>
                <wp:extent cx="139700" cy="350520"/>
                <wp:effectExtent l="0" t="0" r="0" b="0"/>
                <wp:wrapSquare wrapText="right"/>
                <wp:docPr id="433" name="Frame27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appointment, compensation, retention, oversight, qualifications, independence, and performance of the Company’s independent auditor;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36">
                <wp:simplePos x="0" y="0"/>
                <wp:positionH relativeFrom="column">
                  <wp:align>left</wp:align>
                </wp:positionH>
                <wp:positionV relativeFrom="line">
                  <wp:align>top</wp:align>
                </wp:positionV>
                <wp:extent cx="139700" cy="350520"/>
                <wp:effectExtent l="0" t="0" r="0" b="0"/>
                <wp:wrapSquare wrapText="right"/>
                <wp:docPr id="434" name="Frame27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Medline’s compliance with applicable legal and regulatory requirements;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37">
                <wp:simplePos x="0" y="0"/>
                <wp:positionH relativeFrom="column">
                  <wp:align>left</wp:align>
                </wp:positionH>
                <wp:positionV relativeFrom="line">
                  <wp:align>top</wp:align>
                </wp:positionV>
                <wp:extent cx="139700" cy="350520"/>
                <wp:effectExtent l="0" t="0" r="0" b="0"/>
                <wp:wrapSquare wrapText="right"/>
                <wp:docPr id="435" name="Frame27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performance of Medline’s internal audit function;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38">
                <wp:simplePos x="0" y="0"/>
                <wp:positionH relativeFrom="column">
                  <wp:align>left</wp:align>
                </wp:positionH>
                <wp:positionV relativeFrom="line">
                  <wp:align>top</wp:align>
                </wp:positionV>
                <wp:extent cx="139700" cy="350520"/>
                <wp:effectExtent l="0" t="0" r="0" b="0"/>
                <wp:wrapSquare wrapText="right"/>
                <wp:docPr id="436" name="Frame280"/>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Medline’s related person transactions, including the related party transactions review, approval, and ratification process;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39">
                <wp:simplePos x="0" y="0"/>
                <wp:positionH relativeFrom="column">
                  <wp:align>left</wp:align>
                </wp:positionH>
                <wp:positionV relativeFrom="line">
                  <wp:align>top</wp:align>
                </wp:positionV>
                <wp:extent cx="139700" cy="350520"/>
                <wp:effectExtent l="0" t="0" r="0" b="0"/>
                <wp:wrapSquare wrapText="right"/>
                <wp:docPr id="437" name="Frame28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Medline’s financial matters, strategy, and risk, and related guidelines and policies with respect to risk assessment and risk management, including coordination with the Risk and Compliance Committee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40">
                <wp:simplePos x="0" y="0"/>
                <wp:positionH relativeFrom="column">
                  <wp:align>left</wp:align>
                </wp:positionH>
                <wp:positionV relativeFrom="line">
                  <wp:align>top</wp:align>
                </wp:positionV>
                <wp:extent cx="139700" cy="350520"/>
                <wp:effectExtent l="0" t="0" r="0" b="0"/>
                <wp:wrapSquare wrapText="right"/>
                <wp:docPr id="438" name="Frame28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Prior to Medline’s filing of its Annual Report on Form 10-K for the year ended December 31, 2025, with the SEC, the Audit Committee also: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Reviewed and discussed the audited financial statements for the year ended December 31, 2025, with management and Ernst &amp; Young LLP (“EY”);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41">
                <wp:simplePos x="0" y="0"/>
                <wp:positionH relativeFrom="column">
                  <wp:align>left</wp:align>
                </wp:positionH>
                <wp:positionV relativeFrom="line">
                  <wp:align>top</wp:align>
                </wp:positionV>
                <wp:extent cx="139700" cy="350520"/>
                <wp:effectExtent l="0" t="0" r="0" b="0"/>
                <wp:wrapSquare wrapText="right"/>
                <wp:docPr id="439" name="Frame28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Discussed with EY the matters required to be discussed by the applicable requirements of the Public Company Accounting Oversight Board (“PCAOB”) and the SEC;</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42">
                <wp:simplePos x="0" y="0"/>
                <wp:positionH relativeFrom="column">
                  <wp:align>left</wp:align>
                </wp:positionH>
                <wp:positionV relativeFrom="line">
                  <wp:align>top</wp:align>
                </wp:positionV>
                <wp:extent cx="139700" cy="350520"/>
                <wp:effectExtent l="0" t="0" r="0" b="0"/>
                <wp:wrapSquare wrapText="right"/>
                <wp:docPr id="440" name="Frame28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Discussed with EY its evaluation of the accounting principles, practices, and judgments applied by management;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43">
                <wp:simplePos x="0" y="0"/>
                <wp:positionH relativeFrom="column">
                  <wp:align>left</wp:align>
                </wp:positionH>
                <wp:positionV relativeFrom="line">
                  <wp:align>top</wp:align>
                </wp:positionV>
                <wp:extent cx="139700" cy="350520"/>
                <wp:effectExtent l="0" t="0" r="0" b="0"/>
                <wp:wrapSquare wrapText="right"/>
                <wp:docPr id="441" name="Frame28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Discussed all other items EY is required to communicate to the Audit Committee in accordance with applicable requirements of the PCAOB regarding EY communications with the Audit Committee concerning independence;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44">
                <wp:simplePos x="0" y="0"/>
                <wp:positionH relativeFrom="column">
                  <wp:align>left</wp:align>
                </wp:positionH>
                <wp:positionV relativeFrom="line">
                  <wp:align>top</wp:align>
                </wp:positionV>
                <wp:extent cx="139700" cy="350520"/>
                <wp:effectExtent l="0" t="0" r="0" b="0"/>
                <wp:wrapSquare wrapText="right"/>
                <wp:docPr id="442" name="Frame28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Received from EY the written disclosures and the letter required by the PCAOB describing any relationships with Medline that may bear on EY’s independence;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45">
                <wp:simplePos x="0" y="0"/>
                <wp:positionH relativeFrom="column">
                  <wp:align>left</wp:align>
                </wp:positionH>
                <wp:positionV relativeFrom="line">
                  <wp:align>top</wp:align>
                </wp:positionV>
                <wp:extent cx="139700" cy="350520"/>
                <wp:effectExtent l="0" t="0" r="0" b="0"/>
                <wp:wrapSquare wrapText="right"/>
                <wp:docPr id="443" name="Frame28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Discussed with EY its independence from Medline, including reviewing non-audit services and fees to assure compliance with (i) regulations prohibiting the independent auditor from performing specified services that could impair their independence and (ii) Medline’s and the Audit Committee’s policies.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46">
                <wp:simplePos x="0" y="0"/>
                <wp:positionH relativeFrom="column">
                  <wp:align>left</wp:align>
                </wp:positionH>
                <wp:positionV relativeFrom="line">
                  <wp:align>top</wp:align>
                </wp:positionV>
                <wp:extent cx="139700" cy="350520"/>
                <wp:effectExtent l="0" t="0" r="0" b="0"/>
                <wp:wrapSquare wrapText="right"/>
                <wp:docPr id="444" name="Frame28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upon the reports and discussions described in this report and without other independent verification, and subject to the limitations of the role and responsibilities of the Audit Committee outlined in this report and in its written charter, the Audit Committee recommended to the Board, and the Board approved, that the audited consolidated financial statements be included in Medline’s Annual Report on Form 10-K for the year ended December 31, 2025, which was filed with the SEC on February 25, 2026.</w:t>
      </w:r>
      <w:r>
        <w:rPr>
          <w:rFonts w:ascii="Arial;Helvetica;sans-serif" w:hAnsi="Arial;Helvetica;sans-serif"/>
          <w:b w:val="false"/>
          <w:i w:val="false"/>
          <w:caps w:val="false"/>
          <w:smallCaps w:val="false"/>
          <w:color w:val="000000"/>
          <w:spacing w:val="4"/>
          <w:sz w:val="18"/>
        </w:rPr>
        <w:t xml:space="preserve"> </w:t>
      </w:r>
    </w:p>
    <w:tbl>
      <w:tblPr>
        <w:tblW w:w="6552" w:type="dxa"/>
        <w:jc w:val="left"/>
        <w:tblInd w:w="720" w:type="dxa"/>
        <w:tblLayout w:type="fixed"/>
        <w:tblCellMar>
          <w:top w:w="0" w:type="dxa"/>
          <w:left w:w="0" w:type="dxa"/>
          <w:bottom w:w="0" w:type="dxa"/>
          <w:right w:w="0" w:type="dxa"/>
        </w:tblCellMar>
      </w:tblPr>
      <w:tblGrid>
        <w:gridCol w:w="124"/>
        <w:gridCol w:w="1921"/>
        <w:gridCol w:w="109"/>
        <w:gridCol w:w="109"/>
        <w:gridCol w:w="1951"/>
        <w:gridCol w:w="109"/>
        <w:gridCol w:w="109"/>
        <w:gridCol w:w="1966"/>
        <w:gridCol w:w="154"/>
      </w:tblGrid>
      <w:tr>
        <w:trPr/>
        <w:tc>
          <w:tcPr>
            <w:tcW w:w="124" w:type="dxa"/>
            <w:tcBorders/>
            <w:vAlign w:val="center"/>
          </w:tcPr>
          <w:p>
            <w:pPr>
              <w:pStyle w:val="TableContents"/>
              <w:bidi w:val="0"/>
              <w:spacing w:before="0" w:after="283"/>
              <w:jc w:val="left"/>
              <w:rPr/>
            </w:pPr>
            <w:r>
              <w:rPr/>
              <w:t>​</w:t>
            </w:r>
          </w:p>
        </w:tc>
        <w:tc>
          <w:tcPr>
            <w:tcW w:w="6274" w:type="dxa"/>
            <w:gridSpan w:val="7"/>
            <w:tcBorders/>
            <w:vAlign w:val="center"/>
          </w:tcPr>
          <w:p>
            <w:pPr>
              <w:pStyle w:val="TableContents"/>
              <w:bidi w:val="0"/>
              <w:spacing w:before="0" w:after="0"/>
              <w:jc w:val="center"/>
              <w:rPr/>
            </w:pPr>
            <w:r>
              <w:rPr>
                <w:spacing w:val="-1"/>
              </w:rPr>
              <w:t>Audit Committee</w:t>
            </w:r>
            <w:r>
              <w:rPr>
                <w:color w:val="000000"/>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21" w:type="dxa"/>
            <w:tcBorders/>
            <w:vAlign w:val="center"/>
          </w:tcPr>
          <w:p>
            <w:pPr>
              <w:pStyle w:val="TableContents"/>
              <w:bidi w:val="0"/>
              <w:spacing w:before="0" w:after="0"/>
              <w:jc w:val="center"/>
              <w:rPr/>
            </w:pPr>
            <w:r>
              <w:rPr/>
              <w:drawing>
                <wp:inline distT="0" distB="0" distL="0" distR="0">
                  <wp:extent cx="895350" cy="904875"/>
                  <wp:effectExtent l="0" t="0" r="0" b="0"/>
                  <wp:docPr id="4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141" descr=""/>
                          <pic:cNvPicPr>
                            <a:picLocks noChangeAspect="1" noChangeArrowheads="1"/>
                          </pic:cNvPicPr>
                        </pic:nvPicPr>
                        <pic:blipFill>
                          <a:blip r:embed="rId158"/>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drawing>
                <wp:inline distT="0" distB="0" distL="0" distR="0">
                  <wp:extent cx="895350" cy="904875"/>
                  <wp:effectExtent l="0" t="0" r="0" b="0"/>
                  <wp:docPr id="4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142" descr=""/>
                          <pic:cNvPicPr>
                            <a:picLocks noChangeAspect="1" noChangeArrowheads="1"/>
                          </pic:cNvPicPr>
                        </pic:nvPicPr>
                        <pic:blipFill>
                          <a:blip r:embed="rId159"/>
                          <a:stretch>
                            <a:fillRect/>
                          </a:stretch>
                        </pic:blipFill>
                        <pic:spPr bwMode="auto">
                          <a:xfrm>
                            <a:off x="0" y="0"/>
                            <a:ext cx="895350"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drawing>
                <wp:inline distT="0" distB="0" distL="0" distR="0">
                  <wp:extent cx="895350" cy="904875"/>
                  <wp:effectExtent l="0" t="0" r="0" b="0"/>
                  <wp:docPr id="4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43" descr=""/>
                          <pic:cNvPicPr>
                            <a:picLocks noChangeAspect="1" noChangeArrowheads="1"/>
                          </pic:cNvPicPr>
                        </pic:nvPicPr>
                        <pic:blipFill>
                          <a:blip r:embed="rId160"/>
                          <a:stretch>
                            <a:fillRect/>
                          </a:stretch>
                        </pic:blipFill>
                        <pic:spPr bwMode="auto">
                          <a:xfrm>
                            <a:off x="0" y="0"/>
                            <a:ext cx="895350" cy="9048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21" w:type="dxa"/>
            <w:tcBorders/>
            <w:vAlign w:val="center"/>
          </w:tcPr>
          <w:p>
            <w:pPr>
              <w:pStyle w:val="TableContents"/>
              <w:bidi w:val="0"/>
              <w:spacing w:lineRule="atLeast" w:line="225" w:before="0" w:after="0"/>
              <w:jc w:val="center"/>
              <w:rPr/>
            </w:pPr>
            <w:r>
              <w:rPr>
                <w:spacing w:val="0"/>
              </w:rPr>
              <w:t>Thomas W. Sweet</w:t>
            </w:r>
            <w:r>
              <w:rPr/>
              <w:t xml:space="preserve"> </w:t>
              <w:br/>
            </w:r>
            <w:r>
              <w:rPr>
                <w:color w:val="0070CD"/>
                <w:spacing w:val="0"/>
              </w:rPr>
              <w:t>Chair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spacing w:val="0"/>
              </w:rPr>
              <w:t>Todd M. Bluedorn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spacing w:val="0"/>
              </w:rPr>
              <w:t>Richard A. Galanti</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IRTA"/>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THER</w:t>
      </w:r>
      <w:r>
        <w:rPr>
          <w:rFonts w:ascii="Arial;Helvetica;sans-serif" w:hAnsi="Arial;Helvetica;sans-serif"/>
          <w:b w:val="false"/>
          <w:i w:val="false"/>
          <w:caps w:val="false"/>
          <w:smallCaps w:val="false"/>
          <w:color w:val="C3C5C8"/>
          <w:spacing w:val="-1"/>
          <w:sz w:val="15"/>
        </w:rPr>
        <w:t xml:space="preserve"> I</w:t>
      </w:r>
      <w:r>
        <w:rPr>
          <w:rFonts w:ascii="Arial;Helvetica;sans-serif" w:hAnsi="Arial;Helvetica;sans-serif"/>
          <w:b w:val="false"/>
          <w:i w:val="false"/>
          <w:caps w:val="false"/>
          <w:smallCaps w:val="false"/>
          <w:color w:val="C3C5C8"/>
          <w:spacing w:val="-1"/>
          <w:sz w:val="15"/>
        </w:rPr>
        <w:t>NFORMATION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283"/>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6"/>
          <w:sz w:val="44"/>
        </w:rPr>
        <w:t>O</w:t>
      </w:r>
      <w:r>
        <w:rPr>
          <w:rFonts w:ascii="Arial;Helvetica;sans-serif" w:hAnsi="Arial;Helvetica;sans-serif"/>
          <w:b/>
          <w:i w:val="false"/>
          <w:caps w:val="false"/>
          <w:smallCaps w:val="false"/>
          <w:color w:val="003CA6"/>
          <w:spacing w:val="-6"/>
          <w:sz w:val="44"/>
        </w:rPr>
        <w:t>THER</w:t>
      </w:r>
      <w:r>
        <w:rPr>
          <w:rFonts w:ascii="Arial;Helvetica;sans-serif" w:hAnsi="Arial;Helvetica;sans-serif"/>
          <w:b/>
          <w:i w:val="false"/>
          <w:caps w:val="false"/>
          <w:smallCaps w:val="false"/>
          <w:color w:val="003CA6"/>
          <w:spacing w:val="-6"/>
          <w:sz w:val="44"/>
        </w:rPr>
        <w:t xml:space="preserve"> I</w:t>
      </w:r>
      <w:r>
        <w:rPr>
          <w:rFonts w:ascii="Arial;Helvetica;sans-serif" w:hAnsi="Arial;Helvetica;sans-serif"/>
          <w:b/>
          <w:i w:val="false"/>
          <w:caps w:val="false"/>
          <w:smallCaps w:val="false"/>
          <w:color w:val="003CA6"/>
          <w:spacing w:val="-6"/>
          <w:sz w:val="44"/>
        </w:rPr>
        <w:t>NFORMATION</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I</w:t>
      </w:r>
      <w:r>
        <w:rPr>
          <w:rFonts w:ascii="Arial;Helvetica;sans-serif" w:hAnsi="Arial;Helvetica;sans-serif"/>
          <w:b/>
          <w:i w:val="false"/>
          <w:caps w:val="false"/>
          <w:smallCaps w:val="false"/>
          <w:color w:val="003CA6"/>
          <w:spacing w:val="-4"/>
          <w:sz w:val="28"/>
        </w:rPr>
        <w:t>NFORMATION</w:t>
      </w:r>
      <w:r>
        <w:rPr>
          <w:rFonts w:ascii="Arial;Helvetica;sans-serif" w:hAnsi="Arial;Helvetica;sans-serif"/>
          <w:b/>
          <w:i w:val="false"/>
          <w:caps w:val="false"/>
          <w:smallCaps w:val="false"/>
          <w:color w:val="003CA6"/>
          <w:spacing w:val="-4"/>
          <w:sz w:val="28"/>
        </w:rPr>
        <w:t xml:space="preserve"> </w:t>
      </w:r>
      <w:r>
        <w:rPr>
          <w:rFonts w:ascii="Arial;Helvetica;sans-serif" w:hAnsi="Arial;Helvetica;sans-serif"/>
          <w:b/>
          <w:i w:val="false"/>
          <w:caps w:val="false"/>
          <w:smallCaps w:val="false"/>
          <w:color w:val="003CA6"/>
          <w:spacing w:val="-1"/>
          <w:sz w:val="28"/>
        </w:rPr>
        <w:t>regarding</w:t>
      </w:r>
      <w:r>
        <w:rPr>
          <w:rFonts w:ascii="Arial;Helvetica;sans-serif" w:hAnsi="Arial;Helvetica;sans-serif"/>
          <w:b/>
          <w:i w:val="false"/>
          <w:caps w:val="false"/>
          <w:smallCaps w:val="false"/>
          <w:color w:val="003CA6"/>
          <w:spacing w:val="-4"/>
          <w:sz w:val="28"/>
        </w:rPr>
        <w:t xml:space="preserve"> </w:t>
      </w:r>
      <w:r>
        <w:rPr>
          <w:rFonts w:ascii="Arial;Helvetica;sans-serif" w:hAnsi="Arial;Helvetica;sans-serif"/>
          <w:b/>
          <w:i w:val="false"/>
          <w:caps w:val="false"/>
          <w:smallCaps w:val="false"/>
          <w:color w:val="003CA6"/>
          <w:spacing w:val="-1"/>
          <w:sz w:val="28"/>
        </w:rPr>
        <w:t>the</w:t>
      </w:r>
      <w:r>
        <w:rPr>
          <w:rFonts w:ascii="Arial;Helvetica;sans-serif" w:hAnsi="Arial;Helvetica;sans-serif"/>
          <w:b/>
          <w:i w:val="false"/>
          <w:caps w:val="false"/>
          <w:smallCaps w:val="false"/>
          <w:color w:val="003CA6"/>
          <w:spacing w:val="-4"/>
          <w:sz w:val="28"/>
        </w:rPr>
        <w:t xml:space="preserve"> A</w:t>
      </w:r>
      <w:r>
        <w:rPr>
          <w:rFonts w:ascii="Arial;Helvetica;sans-serif" w:hAnsi="Arial;Helvetica;sans-serif"/>
          <w:b/>
          <w:i w:val="false"/>
          <w:caps w:val="false"/>
          <w:smallCaps w:val="false"/>
          <w:color w:val="003CA6"/>
          <w:spacing w:val="-4"/>
          <w:sz w:val="28"/>
        </w:rPr>
        <w:t>NNUAL</w:t>
      </w:r>
      <w:r>
        <w:rPr>
          <w:rFonts w:ascii="Arial;Helvetica;sans-serif" w:hAnsi="Arial;Helvetica;sans-serif"/>
          <w:b/>
          <w:i w:val="false"/>
          <w:caps w:val="false"/>
          <w:smallCaps w:val="false"/>
          <w:color w:val="003CA6"/>
          <w:spacing w:val="-4"/>
          <w:sz w:val="28"/>
        </w:rPr>
        <w:t xml:space="preserve"> M</w:t>
      </w:r>
      <w:r>
        <w:rPr>
          <w:rFonts w:ascii="Arial;Helvetica;sans-serif" w:hAnsi="Arial;Helvetica;sans-serif"/>
          <w:b/>
          <w:i w:val="false"/>
          <w:caps w:val="false"/>
          <w:smallCaps w:val="false"/>
          <w:color w:val="003CA6"/>
          <w:spacing w:val="-4"/>
          <w:sz w:val="28"/>
        </w:rPr>
        <w:t>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0"/>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HEN AND</w:t>
      </w:r>
      <w:r>
        <w:rPr>
          <w:rFonts w:ascii="Arial;Helvetica;sans-serif" w:hAnsi="Arial;Helvetica;sans-serif"/>
          <w:b/>
          <w:i w:val="false"/>
          <w:caps w:val="false"/>
          <w:smallCaps w:val="false"/>
          <w:color w:val="0055B7"/>
          <w:spacing w:val="-3"/>
          <w:sz w:val="24"/>
        </w:rPr>
        <w:t xml:space="preserve"> W</w:t>
      </w:r>
      <w:r>
        <w:rPr>
          <w:rFonts w:ascii="Arial;Helvetica;sans-serif" w:hAnsi="Arial;Helvetica;sans-serif"/>
          <w:b/>
          <w:i w:val="false"/>
          <w:caps w:val="false"/>
          <w:smallCaps w:val="false"/>
          <w:color w:val="0055B7"/>
          <w:spacing w:val="-3"/>
          <w:sz w:val="24"/>
        </w:rPr>
        <w:t>HERE IS THE</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NNUAL</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EETING</w:t>
      </w:r>
      <w:r>
        <w:rPr>
          <w:rFonts w:ascii="Arial;Helvetica;sans-serif" w:hAnsi="Arial;Helvetica;sans-serif"/>
          <w:b/>
          <w:i w:val="false"/>
          <w:caps w:val="false"/>
          <w:smallCaps w:val="false"/>
          <w:color w:val="0055B7"/>
          <w:spacing w:val="-3"/>
          <w:sz w:val="24"/>
        </w:rPr>
        <w:t>?</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447">
                <wp:simplePos x="0" y="0"/>
                <wp:positionH relativeFrom="column">
                  <wp:align>left</wp:align>
                </wp:positionH>
                <wp:positionV relativeFrom="line">
                  <wp:align>top</wp:align>
                </wp:positionV>
                <wp:extent cx="139700" cy="355600"/>
                <wp:effectExtent l="0" t="0" r="0" b="0"/>
                <wp:wrapSquare wrapText="right"/>
                <wp:docPr id="448" name="Frame289"/>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1</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1</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0" w:type="dxa"/>
          <w:right w:w="0" w:type="dxa"/>
        </w:tblCellMar>
      </w:tblPr>
      <w:tblGrid>
        <w:gridCol w:w="124"/>
        <w:gridCol w:w="2130"/>
        <w:gridCol w:w="109"/>
        <w:gridCol w:w="109"/>
        <w:gridCol w:w="109"/>
        <w:gridCol w:w="4747"/>
        <w:gridCol w:w="109"/>
        <w:gridCol w:w="109"/>
        <w:gridCol w:w="109"/>
        <w:gridCol w:w="1674"/>
        <w:gridCol w:w="156"/>
      </w:tblGrid>
      <w:tr>
        <w:trPr/>
        <w:tc>
          <w:tcPr>
            <w:tcW w:w="124" w:type="dxa"/>
            <w:tcBorders/>
            <w:vAlign w:val="center"/>
          </w:tcPr>
          <w:p>
            <w:pPr>
              <w:pStyle w:val="TableContents"/>
              <w:bidi w:val="0"/>
              <w:spacing w:before="0" w:after="283"/>
              <w:jc w:val="left"/>
              <w:rPr/>
            </w:pPr>
            <w:r>
              <w:rPr/>
              <w:t>​</w:t>
            </w:r>
          </w:p>
        </w:tc>
        <w:tc>
          <w:tcPr>
            <w:tcW w:w="2130" w:type="dxa"/>
            <w:tcBorders/>
            <w:vAlign w:val="center"/>
          </w:tcPr>
          <w:p>
            <w:pPr>
              <w:pStyle w:val="TableContents"/>
              <w:bidi w:val="0"/>
              <w:spacing w:before="0" w:after="0"/>
              <w:jc w:val="center"/>
              <w:rPr/>
            </w:pPr>
            <w:r>
              <w:rPr/>
              <w:drawing>
                <wp:inline distT="0" distB="0" distL="0" distR="0">
                  <wp:extent cx="466725" cy="466725"/>
                  <wp:effectExtent l="0" t="0" r="0" b="0"/>
                  <wp:docPr id="44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44" descr=""/>
                          <pic:cNvPicPr>
                            <a:picLocks noChangeAspect="1" noChangeArrowheads="1"/>
                          </pic:cNvPicPr>
                        </pic:nvPicPr>
                        <pic:blipFill>
                          <a:blip r:embed="rId161"/>
                          <a:stretch>
                            <a:fillRect/>
                          </a:stretch>
                        </pic:blipFill>
                        <pic:spPr bwMode="auto">
                          <a:xfrm>
                            <a:off x="0" y="0"/>
                            <a:ext cx="466725" cy="466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tcBorders/>
            <w:vAlign w:val="center"/>
          </w:tcPr>
          <w:p>
            <w:pPr>
              <w:pStyle w:val="TableContents"/>
              <w:bidi w:val="0"/>
              <w:spacing w:before="0" w:after="0"/>
              <w:jc w:val="center"/>
              <w:rPr/>
            </w:pPr>
            <w:r>
              <w:rPr/>
              <w:drawing>
                <wp:inline distT="0" distB="0" distL="0" distR="0">
                  <wp:extent cx="466725" cy="400050"/>
                  <wp:effectExtent l="0" t="0" r="0" b="0"/>
                  <wp:docPr id="45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45" descr=""/>
                          <pic:cNvPicPr>
                            <a:picLocks noChangeAspect="1" noChangeArrowheads="1"/>
                          </pic:cNvPicPr>
                        </pic:nvPicPr>
                        <pic:blipFill>
                          <a:blip r:embed="rId162"/>
                          <a:stretch>
                            <a:fillRect/>
                          </a:stretch>
                        </pic:blipFill>
                        <pic:spPr bwMode="auto">
                          <a:xfrm>
                            <a:off x="0" y="0"/>
                            <a:ext cx="466725" cy="4000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74" w:type="dxa"/>
            <w:tcBorders/>
            <w:vAlign w:val="center"/>
          </w:tcPr>
          <w:p>
            <w:pPr>
              <w:pStyle w:val="TableContents"/>
              <w:bidi w:val="0"/>
              <w:spacing w:before="0" w:after="0"/>
              <w:jc w:val="center"/>
              <w:rPr/>
            </w:pPr>
            <w:r>
              <w:rPr/>
              <w:drawing>
                <wp:inline distT="0" distB="0" distL="0" distR="0">
                  <wp:extent cx="400050" cy="323850"/>
                  <wp:effectExtent l="0" t="0" r="0" b="0"/>
                  <wp:docPr id="45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146" descr=""/>
                          <pic:cNvPicPr>
                            <a:picLocks noChangeAspect="1" noChangeArrowheads="1"/>
                          </pic:cNvPicPr>
                        </pic:nvPicPr>
                        <pic:blipFill>
                          <a:blip r:embed="rId163"/>
                          <a:stretch>
                            <a:fillRect/>
                          </a:stretch>
                        </pic:blipFill>
                        <pic:spPr bwMode="auto">
                          <a:xfrm>
                            <a:off x="0" y="0"/>
                            <a:ext cx="400050" cy="323850"/>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30" w:type="dxa"/>
            <w:tcBorders/>
            <w:vAlign w:val="center"/>
          </w:tcPr>
          <w:p>
            <w:pPr>
              <w:pStyle w:val="TableContents"/>
              <w:bidi w:val="0"/>
              <w:spacing w:before="0" w:after="0"/>
              <w:jc w:val="center"/>
              <w:rPr/>
            </w:pPr>
            <w:r>
              <w:rPr>
                <w:spacing w:val="-2"/>
              </w:rPr>
              <w:t>WHEN</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tcBorders/>
            <w:vAlign w:val="center"/>
          </w:tcPr>
          <w:p>
            <w:pPr>
              <w:pStyle w:val="TableContents"/>
              <w:bidi w:val="0"/>
              <w:spacing w:before="0" w:after="0"/>
              <w:jc w:val="center"/>
              <w:rPr/>
            </w:pPr>
            <w:r>
              <w:rPr>
                <w:spacing w:val="-2"/>
              </w:rPr>
              <w:t>WHERE</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74" w:type="dxa"/>
            <w:tcBorders/>
            <w:vAlign w:val="center"/>
          </w:tcPr>
          <w:p>
            <w:pPr>
              <w:pStyle w:val="TableContents"/>
              <w:bidi w:val="0"/>
              <w:spacing w:before="0" w:after="0"/>
              <w:jc w:val="center"/>
              <w:rPr/>
            </w:pPr>
            <w:r>
              <w:rPr>
                <w:spacing w:val="-2"/>
              </w:rPr>
              <w:t>ONLINE ACCESS</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30" w:type="dxa"/>
            <w:tcBorders/>
            <w:vAlign w:val="center"/>
          </w:tcPr>
          <w:p>
            <w:pPr>
              <w:pStyle w:val="TableContents"/>
              <w:bidi w:val="0"/>
              <w:spacing w:before="0" w:after="0"/>
              <w:jc w:val="center"/>
              <w:rPr>
                <w:b/>
              </w:rPr>
            </w:pPr>
            <w:r>
              <w:rPr>
                <w:b/>
                <w:spacing w:val="0"/>
              </w:rPr>
              <w:t>Thursday,</w:t>
            </w:r>
            <w:r>
              <w:rPr>
                <w:b/>
                <w:spacing w:val="-1"/>
              </w:rPr>
              <w:t xml:space="preserve"> </w:t>
            </w:r>
            <w:r>
              <w:rPr>
                <w:b/>
                <w:spacing w:val="0"/>
              </w:rPr>
              <w:t xml:space="preserve">June 11, 2026 </w:t>
              <w:br/>
              <w:t>10 a.m. Central Time</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tcBorders/>
            <w:vAlign w:val="center"/>
          </w:tcPr>
          <w:p>
            <w:pPr>
              <w:pStyle w:val="TableContents"/>
              <w:bidi w:val="0"/>
              <w:spacing w:before="0" w:after="0"/>
              <w:jc w:val="center"/>
              <w:rPr>
                <w:color w:val="000000"/>
              </w:rPr>
            </w:pPr>
            <w:r>
              <w:rPr>
                <w:color w:val="000000"/>
                <w:spacing w:val="-1"/>
              </w:rPr>
              <w:t>Live via webcast at</w:t>
            </w:r>
            <w:r>
              <w:rPr>
                <w:color w:val="000000"/>
              </w:rPr>
              <w:t xml:space="preserve"> </w:t>
              <w:br/>
            </w:r>
            <w:r>
              <w:rPr>
                <w:b/>
                <w:color w:val="0055B7"/>
                <w:spacing w:val="0"/>
              </w:rPr>
              <w:t>www.virtualshareholdermeeting.com/MDLN2026</w:t>
            </w:r>
            <w:r>
              <w:rPr>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74" w:type="dxa"/>
            <w:tcBorders/>
            <w:vAlign w:val="center"/>
          </w:tcPr>
          <w:p>
            <w:pPr>
              <w:pStyle w:val="TableContents"/>
              <w:bidi w:val="0"/>
              <w:spacing w:lineRule="atLeast" w:line="210" w:before="0" w:after="0"/>
              <w:jc w:val="center"/>
              <w:rPr>
                <w:color w:val="000000"/>
                <w:sz w:val="15"/>
              </w:rPr>
            </w:pPr>
            <w:r>
              <w:rPr>
                <w:color w:val="000000"/>
                <w:spacing w:val="-1"/>
                <w:sz w:val="15"/>
              </w:rPr>
              <w:t xml:space="preserve">Online access will open </w:t>
              <w:br/>
              <w:t xml:space="preserve">15 minutes prior to the start of </w:t>
              <w:br/>
              <w:t>the Annual Meeting</w:t>
            </w:r>
            <w:r>
              <w:rPr>
                <w:color w:val="000000"/>
                <w:sz w:val="15"/>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232" w:after="283"/>
        <w:ind w:left="7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To attend, vote electronically, and submit questions during the meeting, visit the website referenced above and enter the control number included on your Notice, proxy card, or the instructions that accompany your proxy materials. To locate your control number: </w:t>
      </w:r>
    </w:p>
    <w:tbl>
      <w:tblPr>
        <w:tblW w:w="9485" w:type="dxa"/>
        <w:jc w:val="left"/>
        <w:tblInd w:w="720" w:type="dxa"/>
        <w:tblLayout w:type="fixed"/>
        <w:tblCellMar>
          <w:top w:w="0" w:type="dxa"/>
          <w:left w:w="0" w:type="dxa"/>
          <w:bottom w:w="28" w:type="dxa"/>
          <w:right w:w="0" w:type="dxa"/>
        </w:tblCellMar>
      </w:tblPr>
      <w:tblGrid>
        <w:gridCol w:w="124"/>
        <w:gridCol w:w="4867"/>
        <w:gridCol w:w="109"/>
        <w:gridCol w:w="109"/>
        <w:gridCol w:w="4121"/>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4867" w:type="dxa"/>
            <w:tcBorders>
              <w:bottom w:val="single" w:sz="6" w:space="0" w:color="000000"/>
            </w:tcBorders>
            <w:tcMar>
              <w:bottom w:w="45" w:type="dxa"/>
            </w:tcMar>
            <w:vAlign w:val="center"/>
          </w:tcPr>
          <w:p>
            <w:pPr>
              <w:pStyle w:val="TableContents"/>
              <w:bidi w:val="0"/>
              <w:spacing w:before="0" w:after="0"/>
              <w:jc w:val="left"/>
              <w:rPr>
                <w:b/>
              </w:rPr>
            </w:pPr>
            <w:r>
              <w:rPr>
                <w:b/>
                <w:spacing w:val="0"/>
              </w:rPr>
              <w:t>Registered Holders</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4121" w:type="dxa"/>
            <w:tcBorders>
              <w:bottom w:val="single" w:sz="6" w:space="0" w:color="000000"/>
            </w:tcBorders>
            <w:tcMar>
              <w:bottom w:w="45" w:type="dxa"/>
            </w:tcMar>
            <w:vAlign w:val="center"/>
          </w:tcPr>
          <w:p>
            <w:pPr>
              <w:pStyle w:val="TableContents"/>
              <w:bidi w:val="0"/>
              <w:spacing w:before="0" w:after="283"/>
              <w:jc w:val="left"/>
              <w:rPr>
                <w:spacing w:val="-1"/>
              </w:rPr>
            </w:pPr>
            <w:r>
              <w:rPr>
                <w:spacing w:val="-1"/>
              </w:rPr>
              <w:t xml:space="preserve">the control number included on your Notice or proxy card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867" w:type="dxa"/>
            <w:tcBorders>
              <w:bottom w:val="single" w:sz="6" w:space="0" w:color="000000"/>
            </w:tcBorders>
            <w:tcMar>
              <w:bottom w:w="32" w:type="dxa"/>
            </w:tcMar>
            <w:vAlign w:val="center"/>
          </w:tcPr>
          <w:p>
            <w:pPr>
              <w:pStyle w:val="TableContents"/>
              <w:bidi w:val="0"/>
              <w:spacing w:before="0" w:after="283"/>
              <w:jc w:val="left"/>
              <w:rPr/>
            </w:pPr>
            <w:r>
              <w:rPr>
                <w:spacing w:val="0"/>
              </w:rPr>
              <w:t>Beneficial Holders whose Notice or voting instruction form indicates that you may vote those shares at www.proxyvote.com</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4121" w:type="dxa"/>
            <w:tcBorders>
              <w:bottom w:val="single" w:sz="6" w:space="0" w:color="000000"/>
            </w:tcBorders>
            <w:tcMar>
              <w:bottom w:w="32" w:type="dxa"/>
            </w:tcMar>
            <w:vAlign w:val="center"/>
          </w:tcPr>
          <w:p>
            <w:pPr>
              <w:pStyle w:val="TableContents"/>
              <w:bidi w:val="0"/>
              <w:spacing w:before="0" w:after="0"/>
              <w:jc w:val="left"/>
              <w:rPr>
                <w:b w:val="false"/>
                <w:spacing w:val="-1"/>
              </w:rPr>
            </w:pPr>
            <w:r>
              <w:rPr>
                <w:b w:val="false"/>
                <w:spacing w:val="-1"/>
              </w:rPr>
              <w:t xml:space="preserve">the control number included on your Notice or instruction form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867" w:type="dxa"/>
            <w:tcBorders>
              <w:bottom w:val="single" w:sz="6" w:space="0" w:color="000000"/>
            </w:tcBorders>
            <w:tcMar>
              <w:bottom w:w="30" w:type="dxa"/>
            </w:tcMar>
            <w:vAlign w:val="center"/>
          </w:tcPr>
          <w:p>
            <w:pPr>
              <w:pStyle w:val="TableContents"/>
              <w:bidi w:val="0"/>
              <w:spacing w:before="0" w:after="0"/>
              <w:jc w:val="left"/>
              <w:rPr>
                <w:b/>
              </w:rPr>
            </w:pPr>
            <w:r>
              <w:rPr>
                <w:b/>
                <w:spacing w:val="0"/>
              </w:rPr>
              <w:t>Other Beneficial Holders</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4121" w:type="dxa"/>
            <w:tcBorders>
              <w:bottom w:val="single" w:sz="6" w:space="0" w:color="000000"/>
            </w:tcBorders>
            <w:tcMar>
              <w:bottom w:w="30" w:type="dxa"/>
            </w:tcMar>
            <w:vAlign w:val="center"/>
          </w:tcPr>
          <w:p>
            <w:pPr>
              <w:pStyle w:val="TableContents"/>
              <w:bidi w:val="0"/>
              <w:spacing w:before="0" w:after="283"/>
              <w:jc w:val="left"/>
              <w:rPr/>
            </w:pPr>
            <w:r>
              <w:rPr>
                <w:spacing w:val="-1"/>
              </w:rPr>
              <w:t>contact your bank, broker, or other nominee (ideally no less than five days before the Annual Meeting) to obtain a legal proxy</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80" w:after="0"/>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I</w:t>
      </w:r>
      <w:r>
        <w:rPr>
          <w:rFonts w:ascii="Arial;Helvetica;sans-serif" w:hAnsi="Arial;Helvetica;sans-serif"/>
          <w:b/>
          <w:i w:val="false"/>
          <w:caps w:val="false"/>
          <w:smallCaps w:val="false"/>
          <w:color w:val="0055B7"/>
          <w:spacing w:val="-3"/>
          <w:sz w:val="24"/>
        </w:rPr>
        <w:t>S THE</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NNUAL</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EETING</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IRTUAL-</w:t>
      </w:r>
      <w:r>
        <w:rPr>
          <w:rFonts w:ascii="Arial;Helvetica;sans-serif" w:hAnsi="Arial;Helvetica;sans-serif"/>
          <w:b/>
          <w:i w:val="false"/>
          <w:caps w:val="false"/>
          <w:smallCaps w:val="false"/>
          <w:color w:val="0055B7"/>
          <w:spacing w:val="-3"/>
          <w:sz w:val="24"/>
        </w:rPr>
        <w:t>O</w:t>
      </w:r>
      <w:r>
        <w:rPr>
          <w:rFonts w:ascii="Arial;Helvetica;sans-serif" w:hAnsi="Arial;Helvetica;sans-serif"/>
          <w:b/>
          <w:i w:val="false"/>
          <w:caps w:val="false"/>
          <w:smallCaps w:val="false"/>
          <w:color w:val="0055B7"/>
          <w:spacing w:val="-1"/>
          <w:sz w:val="24"/>
        </w:rPr>
        <w:t>nly AND</w:t>
      </w:r>
      <w:r>
        <w:rPr>
          <w:rFonts w:ascii="Arial;Helvetica;sans-serif" w:hAnsi="Arial;Helvetica;sans-serif"/>
          <w:b/>
          <w:i w:val="false"/>
          <w:caps w:val="false"/>
          <w:smallCaps w:val="false"/>
          <w:color w:val="0055B7"/>
          <w:spacing w:val="-3"/>
          <w:sz w:val="24"/>
        </w:rPr>
        <w:t xml:space="preserve"> W</w:t>
      </w:r>
      <w:r>
        <w:rPr>
          <w:rFonts w:ascii="Arial;Helvetica;sans-serif" w:hAnsi="Arial;Helvetica;sans-serif"/>
          <w:b/>
          <w:i w:val="false"/>
          <w:caps w:val="false"/>
          <w:smallCaps w:val="false"/>
          <w:color w:val="0055B7"/>
          <w:spacing w:val="-3"/>
          <w:sz w:val="24"/>
        </w:rPr>
        <w:t>ILL</w:t>
      </w:r>
      <w:r>
        <w:rPr>
          <w:rFonts w:ascii="Arial;Helvetica;sans-serif" w:hAnsi="Arial;Helvetica;sans-serif"/>
          <w:b/>
          <w:i w:val="false"/>
          <w:caps w:val="false"/>
          <w:smallCaps w:val="false"/>
          <w:color w:val="0055B7"/>
          <w:spacing w:val="-3"/>
          <w:sz w:val="24"/>
        </w:rPr>
        <w:t xml:space="preserve"> I </w:t>
      </w:r>
      <w:r>
        <w:rPr>
          <w:rFonts w:ascii="Arial;Helvetica;sans-serif" w:hAnsi="Arial;Helvetica;sans-serif"/>
          <w:b/>
          <w:i w:val="false"/>
          <w:caps w:val="false"/>
          <w:smallCaps w:val="false"/>
          <w:color w:val="0055B7"/>
          <w:spacing w:val="-1"/>
          <w:sz w:val="24"/>
        </w:rPr>
        <w:t>Have</w:t>
      </w:r>
      <w:r>
        <w:rPr>
          <w:rFonts w:ascii="Arial;Helvetica;sans-serif" w:hAnsi="Arial;Helvetica;sans-serif"/>
          <w:b/>
          <w:i w:val="false"/>
          <w:caps w:val="false"/>
          <w:smallCaps w:val="false"/>
          <w:color w:val="0055B7"/>
          <w:spacing w:val="-3"/>
          <w:sz w:val="24"/>
        </w:rPr>
        <w:t xml:space="preserve"> </w:t>
      </w:r>
      <w:r>
        <w:rPr>
          <w:rFonts w:ascii="Arial;Helvetica;sans-serif" w:hAnsi="Arial;Helvetica;sans-serif"/>
          <w:b/>
          <w:i w:val="false"/>
          <w:caps w:val="false"/>
          <w:smallCaps w:val="false"/>
          <w:color w:val="0055B7"/>
          <w:spacing w:val="-3"/>
          <w:sz w:val="24"/>
        </w:rPr>
        <w:t>THE</w:t>
      </w:r>
      <w:r>
        <w:rPr>
          <w:rFonts w:ascii="Arial;Helvetica;sans-serif" w:hAnsi="Arial;Helvetica;sans-serif"/>
          <w:b/>
          <w:i w:val="false"/>
          <w:caps w:val="false"/>
          <w:smallCaps w:val="false"/>
          <w:color w:val="0055B7"/>
          <w:spacing w:val="-3"/>
          <w:sz w:val="24"/>
        </w:rPr>
        <w:t xml:space="preserve"> S</w:t>
      </w:r>
      <w:r>
        <w:rPr>
          <w:rFonts w:ascii="Arial;Helvetica;sans-serif" w:hAnsi="Arial;Helvetica;sans-serif"/>
          <w:b/>
          <w:i w:val="false"/>
          <w:caps w:val="false"/>
          <w:smallCaps w:val="false"/>
          <w:color w:val="0055B7"/>
          <w:spacing w:val="-1"/>
          <w:sz w:val="24"/>
        </w:rPr>
        <w:t>ame</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ARTICIPATION</w:t>
      </w:r>
      <w:r>
        <w:rPr>
          <w:rFonts w:ascii="Arial;Helvetica;sans-serif" w:hAnsi="Arial;Helvetica;sans-serif"/>
          <w:b/>
          <w:i w:val="false"/>
          <w:caps w:val="false"/>
          <w:smallCaps w:val="false"/>
          <w:color w:val="0055B7"/>
          <w:spacing w:val="-3"/>
          <w:sz w:val="24"/>
        </w:rPr>
        <w:t xml:space="preserve"> R</w:t>
      </w:r>
      <w:r>
        <w:rPr>
          <w:rFonts w:ascii="Arial;Helvetica;sans-serif" w:hAnsi="Arial;Helvetica;sans-serif"/>
          <w:b/>
          <w:i w:val="false"/>
          <w:caps w:val="false"/>
          <w:smallCaps w:val="false"/>
          <w:color w:val="0055B7"/>
          <w:spacing w:val="-3"/>
          <w:sz w:val="24"/>
        </w:rPr>
        <w:t>IGHTS AS AN</w:t>
      </w:r>
      <w:r>
        <w:rPr>
          <w:rFonts w:ascii="Arial;Helvetica;sans-serif" w:hAnsi="Arial;Helvetica;sans-serif"/>
          <w:b/>
          <w:i w:val="false"/>
          <w:caps w:val="false"/>
          <w:smallCaps w:val="false"/>
          <w:color w:val="0055B7"/>
          <w:spacing w:val="-3"/>
          <w:sz w:val="24"/>
        </w:rPr>
        <w:t xml:space="preserve"> I</w:t>
      </w:r>
      <w:r>
        <w:rPr>
          <w:rFonts w:ascii="Arial;Helvetica;sans-serif" w:hAnsi="Arial;Helvetica;sans-serif"/>
          <w:b/>
          <w:i w:val="false"/>
          <w:caps w:val="false"/>
          <w:smallCaps w:val="false"/>
          <w:color w:val="0055B7"/>
          <w:spacing w:val="-3"/>
          <w:sz w:val="24"/>
        </w:rPr>
        <w:t>N-</w:t>
      </w:r>
      <w:r>
        <w:rPr>
          <w:rFonts w:ascii="Arial;Helvetica;sans-serif" w:hAnsi="Arial;Helvetica;sans-serif"/>
          <w:b/>
          <w:i w:val="false"/>
          <w:caps w:val="false"/>
          <w:smallCaps w:val="false"/>
          <w:color w:val="0055B7"/>
          <w:spacing w:val="-3"/>
          <w:sz w:val="24"/>
        </w:rPr>
        <w:t>P</w:t>
      </w:r>
      <w:r>
        <w:rPr>
          <w:rFonts w:ascii="Arial;Helvetica;sans-serif" w:hAnsi="Arial;Helvetica;sans-serif"/>
          <w:b/>
          <w:i w:val="false"/>
          <w:caps w:val="false"/>
          <w:smallCaps w:val="false"/>
          <w:color w:val="0055B7"/>
          <w:spacing w:val="-1"/>
          <w:sz w:val="24"/>
        </w:rPr>
        <w:t>erson</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EETING</w:t>
      </w:r>
      <w:r>
        <w:rPr>
          <w:rFonts w:ascii="Arial;Helvetica;sans-serif" w:hAnsi="Arial;Helvetica;sans-serif"/>
          <w:b/>
          <w:i w:val="false"/>
          <w:caps w:val="false"/>
          <w:smallCaps w:val="false"/>
          <w:color w:val="0055B7"/>
          <w:spacing w:val="-3"/>
          <w:sz w:val="24"/>
        </w:rPr>
        <w:t>?</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50800" distB="0" distL="0" distR="0" simplePos="0" locked="0" layoutInCell="1" allowOverlap="1" relativeHeight="448">
                <wp:simplePos x="0" y="0"/>
                <wp:positionH relativeFrom="column">
                  <wp:align>left</wp:align>
                </wp:positionH>
                <wp:positionV relativeFrom="line">
                  <wp:align>top</wp:align>
                </wp:positionV>
                <wp:extent cx="139700" cy="355600"/>
                <wp:effectExtent l="0" t="0" r="0" b="0"/>
                <wp:wrapSquare wrapText="right"/>
                <wp:docPr id="452" name="Frame290"/>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2</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2</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Yes. The Annual Meeting will be held exclusively online via live webcast. The Board established April 13, 2026, as the record date for the Annual Meeting (the “Record Date”). Stockholders holding shares of our common stock at the close of business on the Record Date are entitled 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5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receive Notice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4290" distB="0" distL="139700" distR="0" simplePos="0" locked="0" layoutInCell="1" allowOverlap="1" relativeHeight="449">
                <wp:simplePos x="0" y="0"/>
                <wp:positionH relativeFrom="column">
                  <wp:align>left</wp:align>
                </wp:positionH>
                <wp:positionV relativeFrom="line">
                  <wp:align>top</wp:align>
                </wp:positionV>
                <wp:extent cx="139700" cy="350520"/>
                <wp:effectExtent l="0" t="0" r="0" b="0"/>
                <wp:wrapSquare wrapText="right"/>
                <wp:docPr id="453" name="Frame29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2.7pt;mso-wrap-distance-bottom:0pt;margin-top:2.7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5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attend the Annual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3020" distB="0" distL="139700" distR="0" simplePos="0" locked="0" layoutInCell="1" allowOverlap="1" relativeHeight="450">
                <wp:simplePos x="0" y="0"/>
                <wp:positionH relativeFrom="column">
                  <wp:align>left</wp:align>
                </wp:positionH>
                <wp:positionV relativeFrom="line">
                  <wp:align>top</wp:align>
                </wp:positionV>
                <wp:extent cx="139700" cy="350520"/>
                <wp:effectExtent l="0" t="0" r="0" b="0"/>
                <wp:wrapSquare wrapText="right"/>
                <wp:docPr id="454" name="Frame29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2.6pt;mso-wrap-distance-bottom:0pt;margin-top:2.6pt;mso-position-vertical:top;mso-position-vertical-relative:text;margin-left:33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5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vote on all matters that properly come before the Annual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3020" distB="0" distL="139700" distR="0" simplePos="0" locked="0" layoutInCell="1" allowOverlap="1" relativeHeight="451">
                <wp:simplePos x="0" y="0"/>
                <wp:positionH relativeFrom="column">
                  <wp:align>left</wp:align>
                </wp:positionH>
                <wp:positionV relativeFrom="line">
                  <wp:align>top</wp:align>
                </wp:positionV>
                <wp:extent cx="139700" cy="350520"/>
                <wp:effectExtent l="0" t="0" r="0" b="0"/>
                <wp:wrapSquare wrapText="right"/>
                <wp:docPr id="455" name="Frame29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2.6pt;mso-wrap-distance-bottom:0pt;margin-top:2.6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5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submit questions during the meeting by logging in with a valid control number (or, if you hold shares through a broker or other nominee and your materials require it, a legal proxy)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3020" distB="0" distL="139700" distR="0" simplePos="0" locked="0" layoutInCell="1" allowOverlap="1" relativeHeight="452">
                <wp:simplePos x="0" y="0"/>
                <wp:positionH relativeFrom="column">
                  <wp:align>left</wp:align>
                </wp:positionH>
                <wp:positionV relativeFrom="line">
                  <wp:align>top</wp:align>
                </wp:positionV>
                <wp:extent cx="139700" cy="350520"/>
                <wp:effectExtent l="0" t="0" r="0" b="0"/>
                <wp:wrapSquare wrapText="right"/>
                <wp:docPr id="456" name="Frame29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2.6pt;mso-wrap-distance-bottom:0pt;margin-top:2.6pt;mso-position-vertical:top;mso-position-vertical-relative:text;margin-left:33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66"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Guests may listen to the webcast but will not be able to vote or submit questions. Online access will open 15 minutes before the meeting begins.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9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8"/>
        </w:rPr>
        <w:t>Each share of Class A common stock and Class B common stock is entitled to one vote on each matter properly presented at the Annual Meeting. Holders of our Class A common stock and Class B common stock will vote together as a single class on all matters described in this proxy statement. As of the close of business on the Record Date, there were 845,611,435 shares of our Class A common stock outstanding and entitled to vote and 468,081,977 shares of our Class B common stock outstanding and entitled to vote.</w:t>
      </w:r>
      <w:r>
        <w:rPr>
          <w:rFonts w:ascii="Arial;Helvetica;sans-serif" w:hAnsi="Arial;Helvetica;sans-serif"/>
          <w:b w:val="false"/>
          <w:i w:val="false"/>
          <w:caps w:val="false"/>
          <w:smallCaps w:val="false"/>
          <w:color w:val="000000"/>
          <w:sz w:val="17"/>
        </w:rPr>
        <w:t>​</w:t>
      </w:r>
      <w:r>
        <w:rPr>
          <w:rFonts w:ascii="Arial;Helvetica;sans-serif" w:hAnsi="Arial;Helvetica;sans-serif"/>
          <w:b w:val="false"/>
          <w:i w:val="false"/>
          <w:caps w:val="false"/>
          <w:smallCaps w:val="false"/>
          <w:color w:val="000000"/>
          <w:spacing w:val="4"/>
          <w:sz w:val="17"/>
        </w:rPr>
        <w:t xml:space="preserve"> </w:t>
      </w:r>
    </w:p>
    <w:p>
      <w:pPr>
        <w:pStyle w:val="TextBody"/>
        <w:bidi w:val="0"/>
        <w:spacing w:lineRule="atLeast" w:line="280" w:before="86" w:after="0"/>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HAT ARE THE</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ROPOSALS TO BE</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OTED ON AT THE</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NNUAL</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EETING, AND</w:t>
      </w:r>
      <w:r>
        <w:rPr>
          <w:rFonts w:ascii="Arial;Helvetica;sans-serif" w:hAnsi="Arial;Helvetica;sans-serif"/>
          <w:b/>
          <w:i w:val="false"/>
          <w:caps w:val="false"/>
          <w:smallCaps w:val="false"/>
          <w:color w:val="0055B7"/>
          <w:spacing w:val="-3"/>
          <w:sz w:val="24"/>
        </w:rPr>
        <w:t xml:space="preserve"> H</w:t>
      </w:r>
      <w:r>
        <w:rPr>
          <w:rFonts w:ascii="Arial;Helvetica;sans-serif" w:hAnsi="Arial;Helvetica;sans-serif"/>
          <w:b/>
          <w:i w:val="false"/>
          <w:caps w:val="false"/>
          <w:smallCaps w:val="false"/>
          <w:color w:val="0055B7"/>
          <w:spacing w:val="-3"/>
          <w:sz w:val="24"/>
        </w:rPr>
        <w:t>OW DOES THE</w:t>
      </w:r>
      <w:r>
        <w:rPr>
          <w:rFonts w:ascii="Arial;Helvetica;sans-serif" w:hAnsi="Arial;Helvetica;sans-serif"/>
          <w:b/>
          <w:i w:val="false"/>
          <w:caps w:val="false"/>
          <w:smallCaps w:val="false"/>
          <w:color w:val="0055B7"/>
          <w:spacing w:val="-3"/>
          <w:sz w:val="24"/>
        </w:rPr>
        <w:t xml:space="preserve"> B</w:t>
      </w:r>
      <w:r>
        <w:rPr>
          <w:rFonts w:ascii="Arial;Helvetica;sans-serif" w:hAnsi="Arial;Helvetica;sans-serif"/>
          <w:b/>
          <w:i w:val="false"/>
          <w:caps w:val="false"/>
          <w:smallCaps w:val="false"/>
          <w:color w:val="0055B7"/>
          <w:spacing w:val="-3"/>
          <w:sz w:val="24"/>
        </w:rPr>
        <w:t>OARD</w:t>
      </w:r>
      <w:r>
        <w:rPr>
          <w:rFonts w:ascii="Arial;Helvetica;sans-serif" w:hAnsi="Arial;Helvetica;sans-serif"/>
          <w:b/>
          <w:i w:val="false"/>
          <w:caps w:val="false"/>
          <w:smallCaps w:val="false"/>
          <w:color w:val="0055B7"/>
          <w:spacing w:val="-3"/>
          <w:sz w:val="24"/>
        </w:rPr>
        <w:t xml:space="preserve"> R</w:t>
      </w:r>
      <w:r>
        <w:rPr>
          <w:rFonts w:ascii="Arial;Helvetica;sans-serif" w:hAnsi="Arial;Helvetica;sans-serif"/>
          <w:b/>
          <w:i w:val="false"/>
          <w:caps w:val="false"/>
          <w:smallCaps w:val="false"/>
          <w:color w:val="0055B7"/>
          <w:spacing w:val="-3"/>
          <w:sz w:val="24"/>
        </w:rPr>
        <w:t>ECOMMEND</w:t>
      </w:r>
      <w:r>
        <w:rPr>
          <w:rFonts w:ascii="Arial;Helvetica;sans-serif" w:hAnsi="Arial;Helvetica;sans-serif"/>
          <w:b/>
          <w:i w:val="false"/>
          <w:caps w:val="false"/>
          <w:smallCaps w:val="false"/>
          <w:color w:val="0055B7"/>
          <w:spacing w:val="-3"/>
          <w:sz w:val="24"/>
        </w:rPr>
        <w:t xml:space="preserve"> I V</w:t>
      </w:r>
      <w:r>
        <w:rPr>
          <w:rFonts w:ascii="Arial;Helvetica;sans-serif" w:hAnsi="Arial;Helvetica;sans-serif"/>
          <w:b/>
          <w:i w:val="false"/>
          <w:caps w:val="false"/>
          <w:smallCaps w:val="false"/>
          <w:color w:val="0055B7"/>
          <w:spacing w:val="-3"/>
          <w:sz w:val="24"/>
        </w:rPr>
        <w:t>OTE</w:t>
      </w:r>
      <w:r>
        <w:rPr>
          <w:rFonts w:ascii="Arial;Helvetica;sans-serif" w:hAnsi="Arial;Helvetica;sans-serif"/>
          <w:b/>
          <w:i w:val="false"/>
          <w:caps w:val="false"/>
          <w:smallCaps w:val="false"/>
          <w:color w:val="0055B7"/>
          <w:spacing w:val="-3"/>
          <w:sz w:val="24"/>
        </w:rPr>
        <w:t>?</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54610" distB="0" distL="0" distR="0" simplePos="0" locked="0" layoutInCell="1" allowOverlap="1" relativeHeight="453">
                <wp:simplePos x="0" y="0"/>
                <wp:positionH relativeFrom="column">
                  <wp:align>left</wp:align>
                </wp:positionH>
                <wp:positionV relativeFrom="line">
                  <wp:align>top</wp:align>
                </wp:positionV>
                <wp:extent cx="139700" cy="355600"/>
                <wp:effectExtent l="0" t="0" r="0" b="0"/>
                <wp:wrapSquare wrapText="right"/>
                <wp:docPr id="457" name="Frame295"/>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3</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3</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Stockholders will vote on the proposals listed below. The Board recommends that you vote as indicated.</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318"/>
        <w:gridCol w:w="109"/>
        <w:gridCol w:w="109"/>
        <w:gridCol w:w="5039"/>
        <w:gridCol w:w="109"/>
        <w:gridCol w:w="109"/>
        <w:gridCol w:w="2076"/>
        <w:gridCol w:w="109"/>
        <w:gridCol w:w="109"/>
        <w:gridCol w:w="1242"/>
        <w:gridCol w:w="156"/>
      </w:tblGrid>
      <w:tr>
        <w:trPr/>
        <w:tc>
          <w:tcPr>
            <w:tcW w:w="5575" w:type="dxa"/>
            <w:gridSpan w:val="4"/>
            <w:tcBorders/>
            <w:vAlign w:val="center"/>
          </w:tcPr>
          <w:p>
            <w:pPr>
              <w:pStyle w:val="TableContents"/>
              <w:bidi w:val="0"/>
              <w:spacing w:before="0" w:after="0"/>
              <w:jc w:val="left"/>
              <w:rPr>
                <w:spacing w:val="0"/>
              </w:rPr>
            </w:pPr>
            <w:r>
              <w:rPr>
                <w:spacing w:val="0"/>
              </w:rPr>
              <w:t xml:space="preserve">Proposal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76" w:type="dxa"/>
            <w:tcBorders/>
            <w:vAlign w:val="center"/>
          </w:tcPr>
          <w:p>
            <w:pPr>
              <w:pStyle w:val="TableContents"/>
              <w:bidi w:val="0"/>
              <w:spacing w:before="0" w:after="0"/>
              <w:jc w:val="left"/>
              <w:rPr>
                <w:spacing w:val="0"/>
              </w:rPr>
            </w:pPr>
            <w:r>
              <w:rPr>
                <w:spacing w:val="0"/>
              </w:rPr>
              <w:t xml:space="preserve">Board Recommendation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2" w:type="dxa"/>
            <w:tcBorders/>
            <w:vAlign w:val="center"/>
          </w:tcPr>
          <w:p>
            <w:pPr>
              <w:pStyle w:val="TableContents"/>
              <w:bidi w:val="0"/>
              <w:spacing w:before="0" w:after="283"/>
              <w:jc w:val="left"/>
              <w:rPr>
                <w:spacing w:val="0"/>
              </w:rPr>
            </w:pPr>
            <w:r>
              <w:rPr>
                <w:spacing w:val="0"/>
              </w:rPr>
              <w:t xml:space="preserve">More </w:t>
              <w:br/>
              <w:t xml:space="preserve">Information </w:t>
            </w:r>
          </w:p>
        </w:tc>
        <w:tc>
          <w:tcPr>
            <w:tcW w:w="156" w:type="dxa"/>
            <w:tcBorders/>
            <w:vAlign w:val="center"/>
          </w:tcPr>
          <w:p>
            <w:pPr>
              <w:pStyle w:val="TableContents"/>
              <w:bidi w:val="0"/>
              <w:spacing w:before="0" w:after="283"/>
              <w:jc w:val="left"/>
              <w:rPr/>
            </w:pPr>
            <w:r>
              <w:rPr/>
              <w:t>​</w:t>
            </w:r>
          </w:p>
        </w:tc>
      </w:tr>
      <w:tr>
        <w:trPr/>
        <w:tc>
          <w:tcPr>
            <w:tcW w:w="318" w:type="dxa"/>
            <w:tcBorders>
              <w:bottom w:val="single" w:sz="2" w:space="0" w:color="000000"/>
            </w:tcBorders>
            <w:tcMar>
              <w:bottom w:w="60" w:type="dxa"/>
            </w:tcMar>
            <w:vAlign w:val="center"/>
          </w:tcPr>
          <w:p>
            <w:pPr>
              <w:pStyle w:val="TableContents"/>
              <w:bidi w:val="0"/>
              <w:spacing w:before="0" w:after="0"/>
              <w:jc w:val="center"/>
              <w:rPr>
                <w:b/>
                <w:color w:val="0055B7"/>
                <w:sz w:val="32"/>
              </w:rPr>
            </w:pPr>
            <w:r>
              <w:rPr>
                <w:b/>
                <w:color w:val="0055B7"/>
                <w:spacing w:val="-4"/>
                <w:sz w:val="32"/>
              </w:rPr>
              <w:t>1</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39" w:type="dxa"/>
            <w:tcBorders>
              <w:bottom w:val="single" w:sz="2" w:space="0" w:color="000000"/>
            </w:tcBorders>
            <w:tcMar>
              <w:bottom w:w="28" w:type="dxa"/>
            </w:tcMar>
            <w:vAlign w:val="center"/>
          </w:tcPr>
          <w:p>
            <w:pPr>
              <w:pStyle w:val="TableContents"/>
              <w:bidi w:val="0"/>
              <w:spacing w:before="0" w:after="283"/>
              <w:jc w:val="left"/>
              <w:rPr>
                <w:spacing w:val="-1"/>
              </w:rPr>
            </w:pPr>
            <w:r>
              <w:rPr>
                <w:spacing w:val="-1"/>
              </w:rPr>
              <w:t xml:space="preserve">Election of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6" w:type="dxa"/>
            <w:tcBorders>
              <w:bottom w:val="single" w:sz="2" w:space="0" w:color="000000"/>
            </w:tcBorders>
            <w:tcMar>
              <w:bottom w:w="40" w:type="dxa"/>
            </w:tcMar>
            <w:vAlign w:val="center"/>
          </w:tcPr>
          <w:p>
            <w:pPr>
              <w:pStyle w:val="TableContents"/>
              <w:bidi w:val="0"/>
              <w:spacing w:lineRule="atLeast" w:line="200" w:before="0" w:after="0"/>
              <w:jc w:val="right"/>
              <w:rPr/>
            </w:pPr>
            <w:r>
              <w:rPr>
                <w:b/>
                <w:color w:val="0070CD"/>
                <w:spacing w:val="-2"/>
              </w:rPr>
              <w:t>FOR</w:t>
            </w:r>
            <w:r>
              <w:rPr>
                <w:spacing w:val="-1"/>
              </w:rPr>
              <w:t xml:space="preserve"> </w:t>
              <w:br/>
              <w:t>all nominees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2" w:type="dxa"/>
            <w:tcBorders>
              <w:bottom w:val="single" w:sz="2" w:space="0" w:color="000000"/>
            </w:tcBorders>
            <w:tcMar>
              <w:bottom w:w="28" w:type="dxa"/>
            </w:tcMar>
            <w:vAlign w:val="center"/>
          </w:tcPr>
          <w:p>
            <w:pPr>
              <w:pStyle w:val="TableContents"/>
              <w:bidi w:val="0"/>
              <w:spacing w:before="0" w:after="283"/>
              <w:jc w:val="left"/>
              <w:rPr/>
            </w:pPr>
            <w:r>
              <w:rPr>
                <w:spacing w:val="-1"/>
              </w:rPr>
              <w:t xml:space="preserve">Page </w:t>
            </w:r>
            <w:hyperlink w:anchor="tPRO">
              <w:r>
                <w:rPr>
                  <w:rStyle w:val="InternetLink"/>
                  <w:spacing w:val="-1"/>
                </w:rPr>
                <w:t>8</w:t>
              </w:r>
            </w:hyperlink>
            <w:r>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18" w:type="dxa"/>
            <w:tcBorders>
              <w:bottom w:val="single" w:sz="2" w:space="0" w:color="000000"/>
            </w:tcBorders>
            <w:tcMar>
              <w:bottom w:w="28" w:type="dxa"/>
            </w:tcMar>
            <w:vAlign w:val="center"/>
          </w:tcPr>
          <w:p>
            <w:pPr>
              <w:pStyle w:val="TableContents"/>
              <w:bidi w:val="0"/>
              <w:spacing w:lineRule="atLeast" w:line="340" w:before="0" w:after="0"/>
              <w:jc w:val="center"/>
              <w:rPr>
                <w:b/>
                <w:color w:val="0055B7"/>
                <w:sz w:val="32"/>
              </w:rPr>
            </w:pPr>
            <w:r>
              <w:rPr>
                <w:b/>
                <w:color w:val="0055B7"/>
                <w:spacing w:val="-4"/>
                <w:sz w:val="32"/>
              </w:rPr>
              <w:t>2</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39" w:type="dxa"/>
            <w:tcBorders>
              <w:bottom w:val="single" w:sz="2" w:space="0" w:color="000000"/>
            </w:tcBorders>
            <w:tcMar>
              <w:bottom w:w="28" w:type="dxa"/>
            </w:tcMar>
            <w:vAlign w:val="center"/>
          </w:tcPr>
          <w:p>
            <w:pPr>
              <w:pStyle w:val="TableContents"/>
              <w:bidi w:val="0"/>
              <w:spacing w:lineRule="atLeast" w:line="200" w:before="0" w:after="0"/>
              <w:jc w:val="left"/>
              <w:rPr>
                <w:spacing w:val="-1"/>
              </w:rPr>
            </w:pPr>
            <w:r>
              <w:rPr>
                <w:spacing w:val="-1"/>
              </w:rPr>
              <w:t xml:space="preserve">Advisory Vote to Approve Our Executive 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6" w:type="dxa"/>
            <w:tcBorders>
              <w:bottom w:val="single" w:sz="2" w:space="0" w:color="000000"/>
            </w:tcBorders>
            <w:tcMar>
              <w:bottom w:w="28" w:type="dxa"/>
            </w:tcMar>
            <w:vAlign w:val="center"/>
          </w:tcPr>
          <w:p>
            <w:pPr>
              <w:pStyle w:val="TableContents"/>
              <w:bidi w:val="0"/>
              <w:spacing w:lineRule="atLeast" w:line="200" w:before="0" w:after="0"/>
              <w:jc w:val="right"/>
              <w:rPr>
                <w:b/>
                <w:color w:val="0070CD"/>
              </w:rPr>
            </w:pPr>
            <w:r>
              <w:rPr>
                <w:b/>
                <w:color w:val="0070CD"/>
                <w:spacing w:val="-2"/>
              </w:rPr>
              <w:t>FOR</w:t>
            </w:r>
            <w:r>
              <w:rPr>
                <w:b/>
                <w:color w:val="0070CD"/>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2" w:type="dxa"/>
            <w:tcBorders>
              <w:bottom w:val="single" w:sz="2" w:space="0" w:color="000000"/>
            </w:tcBorders>
            <w:tcMar>
              <w:bottom w:w="28" w:type="dxa"/>
            </w:tcMar>
            <w:vAlign w:val="center"/>
          </w:tcPr>
          <w:p>
            <w:pPr>
              <w:pStyle w:val="TableContents"/>
              <w:bidi w:val="0"/>
              <w:spacing w:lineRule="atLeast" w:line="200" w:before="0" w:after="0"/>
              <w:jc w:val="left"/>
              <w:rPr/>
            </w:pPr>
            <w:r>
              <w:rPr>
                <w:spacing w:val="-1"/>
              </w:rPr>
              <w:t xml:space="preserve">Page </w:t>
            </w:r>
            <w:hyperlink w:anchor="tPRO1">
              <w:r>
                <w:rPr>
                  <w:rStyle w:val="InternetLink"/>
                  <w:spacing w:val="-1"/>
                </w:rPr>
                <w:t>45</w:t>
              </w:r>
            </w:hyperlink>
            <w:r>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18" w:type="dxa"/>
            <w:tcBorders>
              <w:bottom w:val="single" w:sz="2" w:space="0" w:color="000000"/>
            </w:tcBorders>
            <w:tcMar>
              <w:bottom w:w="28" w:type="dxa"/>
            </w:tcMar>
            <w:vAlign w:val="center"/>
          </w:tcPr>
          <w:p>
            <w:pPr>
              <w:pStyle w:val="TableContents"/>
              <w:bidi w:val="0"/>
              <w:spacing w:lineRule="atLeast" w:line="340" w:before="0" w:after="0"/>
              <w:jc w:val="center"/>
              <w:rPr>
                <w:b/>
                <w:color w:val="0055B7"/>
                <w:sz w:val="32"/>
              </w:rPr>
            </w:pPr>
            <w:r>
              <w:rPr>
                <w:b/>
                <w:color w:val="0055B7"/>
                <w:spacing w:val="-4"/>
                <w:sz w:val="32"/>
              </w:rPr>
              <w:t>3</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39" w:type="dxa"/>
            <w:tcBorders>
              <w:bottom w:val="single" w:sz="2" w:space="0" w:color="000000"/>
            </w:tcBorders>
            <w:tcMar>
              <w:bottom w:w="28" w:type="dxa"/>
            </w:tcMar>
            <w:vAlign w:val="center"/>
          </w:tcPr>
          <w:p>
            <w:pPr>
              <w:pStyle w:val="TableContents"/>
              <w:bidi w:val="0"/>
              <w:spacing w:lineRule="atLeast" w:line="200" w:before="0" w:after="0"/>
              <w:jc w:val="left"/>
              <w:rPr>
                <w:spacing w:val="-1"/>
              </w:rPr>
            </w:pPr>
            <w:r>
              <w:rPr>
                <w:spacing w:val="-1"/>
              </w:rPr>
              <w:t xml:space="preserve">Advisory Vote on the Frequency of Votes on Our Executive 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6" w:type="dxa"/>
            <w:tcBorders>
              <w:bottom w:val="single" w:sz="2" w:space="0" w:color="000000"/>
            </w:tcBorders>
            <w:tcMar>
              <w:bottom w:w="28" w:type="dxa"/>
            </w:tcMar>
            <w:vAlign w:val="center"/>
          </w:tcPr>
          <w:p>
            <w:pPr>
              <w:pStyle w:val="TableContents"/>
              <w:bidi w:val="0"/>
              <w:spacing w:lineRule="atLeast" w:line="200" w:before="0" w:after="0"/>
              <w:jc w:val="right"/>
              <w:rPr>
                <w:b/>
                <w:color w:val="0070CD"/>
              </w:rPr>
            </w:pPr>
            <w:r>
              <w:rPr>
                <w:b/>
                <w:color w:val="0070CD"/>
                <w:spacing w:val="-2"/>
              </w:rPr>
              <w:t>ONE YEAR</w:t>
            </w:r>
            <w:r>
              <w:rPr>
                <w:b/>
                <w:color w:val="0070CD"/>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2" w:type="dxa"/>
            <w:tcBorders>
              <w:bottom w:val="single" w:sz="2" w:space="0" w:color="000000"/>
            </w:tcBorders>
            <w:tcMar>
              <w:bottom w:w="28" w:type="dxa"/>
            </w:tcMar>
            <w:vAlign w:val="center"/>
          </w:tcPr>
          <w:p>
            <w:pPr>
              <w:pStyle w:val="TableContents"/>
              <w:bidi w:val="0"/>
              <w:spacing w:lineRule="atLeast" w:line="200" w:before="0" w:after="0"/>
              <w:jc w:val="left"/>
              <w:rPr/>
            </w:pPr>
            <w:r>
              <w:rPr>
                <w:spacing w:val="-1"/>
              </w:rPr>
              <w:t xml:space="preserve">Page </w:t>
            </w:r>
            <w:hyperlink w:anchor="tPRO2">
              <w:r>
                <w:rPr>
                  <w:rStyle w:val="InternetLink"/>
                  <w:spacing w:val="-1"/>
                </w:rPr>
                <w:t>45</w:t>
              </w:r>
            </w:hyperlink>
            <w:r>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18" w:type="dxa"/>
            <w:tcBorders>
              <w:bottom w:val="single" w:sz="2" w:space="0" w:color="000000"/>
            </w:tcBorders>
            <w:tcMar>
              <w:bottom w:w="28" w:type="dxa"/>
            </w:tcMar>
            <w:vAlign w:val="center"/>
          </w:tcPr>
          <w:p>
            <w:pPr>
              <w:pStyle w:val="TableContents"/>
              <w:bidi w:val="0"/>
              <w:spacing w:before="0" w:after="0"/>
              <w:jc w:val="center"/>
              <w:rPr>
                <w:b/>
                <w:color w:val="0055B7"/>
                <w:sz w:val="32"/>
              </w:rPr>
            </w:pPr>
            <w:r>
              <w:rPr>
                <w:b/>
                <w:color w:val="0055B7"/>
                <w:spacing w:val="-4"/>
                <w:sz w:val="32"/>
              </w:rPr>
              <w:t>4</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39" w:type="dxa"/>
            <w:tcBorders>
              <w:bottom w:val="single" w:sz="2" w:space="0" w:color="000000"/>
            </w:tcBorders>
            <w:tcMar>
              <w:bottom w:w="120" w:type="dxa"/>
            </w:tcMar>
            <w:vAlign w:val="center"/>
          </w:tcPr>
          <w:p>
            <w:pPr>
              <w:pStyle w:val="TableContents"/>
              <w:bidi w:val="0"/>
              <w:spacing w:lineRule="atLeast" w:line="200" w:before="0" w:after="0"/>
              <w:jc w:val="left"/>
              <w:rPr>
                <w:spacing w:val="-1"/>
              </w:rPr>
            </w:pPr>
            <w:r>
              <w:rPr>
                <w:spacing w:val="-1"/>
              </w:rPr>
              <w:t xml:space="preserve">Ratification of the Selection of Ernst &amp; Young LLP as Our Independent Auditor for Fiscal Year 2026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6" w:type="dxa"/>
            <w:tcBorders>
              <w:bottom w:val="single" w:sz="2" w:space="0" w:color="000000"/>
            </w:tcBorders>
            <w:tcMar>
              <w:bottom w:w="28" w:type="dxa"/>
            </w:tcMar>
            <w:vAlign w:val="center"/>
          </w:tcPr>
          <w:p>
            <w:pPr>
              <w:pStyle w:val="TableContents"/>
              <w:bidi w:val="0"/>
              <w:spacing w:before="0" w:after="0"/>
              <w:jc w:val="right"/>
              <w:rPr>
                <w:b/>
                <w:color w:val="0070CD"/>
              </w:rPr>
            </w:pPr>
            <w:r>
              <w:rPr>
                <w:b/>
                <w:color w:val="0070CD"/>
                <w:spacing w:val="-2"/>
              </w:rPr>
              <w:t>FOR</w:t>
            </w:r>
            <w:r>
              <w:rPr>
                <w:b/>
                <w:color w:val="0070CD"/>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2" w:type="dxa"/>
            <w:tcBorders>
              <w:bottom w:val="single" w:sz="2" w:space="0" w:color="000000"/>
            </w:tcBorders>
            <w:tcMar>
              <w:bottom w:w="28" w:type="dxa"/>
            </w:tcMar>
            <w:vAlign w:val="center"/>
          </w:tcPr>
          <w:p>
            <w:pPr>
              <w:pStyle w:val="TableContents"/>
              <w:bidi w:val="0"/>
              <w:spacing w:before="0" w:after="283"/>
              <w:jc w:val="left"/>
              <w:rPr/>
            </w:pPr>
            <w:r>
              <w:rPr>
                <w:spacing w:val="-1"/>
              </w:rPr>
              <w:t xml:space="preserve">Page </w:t>
            </w:r>
            <w:hyperlink w:anchor="tPRO3">
              <w:r>
                <w:rPr>
                  <w:rStyle w:val="InternetLink"/>
                  <w:spacing w:val="-1"/>
                </w:rPr>
                <w:t>72</w:t>
              </w:r>
            </w:hyperlink>
            <w:r>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75</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QNA4"/>
      <w:bookmarkEnd w:id="54"/>
      <w:r>
        <w:rPr>
          <w:rFonts w:ascii="calibri;arial;sans-serif" w:hAnsi="calibri;arial;sans-serif"/>
          <w:b w:val="false"/>
          <w:i w:val="false"/>
          <w:caps w:val="false"/>
          <w:smallCaps w:val="false"/>
          <w:color w:val="000000"/>
          <w:sz w:val="16"/>
        </w:rPr>
        <w:t>​</w:t>
      </w:r>
      <w:bookmarkStart w:id="55" w:name="tFAQA"/>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THER</w:t>
      </w:r>
      <w:r>
        <w:rPr>
          <w:rFonts w:ascii="Arial;Helvetica;sans-serif" w:hAnsi="Arial;Helvetica;sans-serif"/>
          <w:b w:val="false"/>
          <w:i w:val="false"/>
          <w:caps w:val="false"/>
          <w:smallCaps w:val="false"/>
          <w:color w:val="C3C5C8"/>
          <w:spacing w:val="-1"/>
          <w:sz w:val="15"/>
        </w:rPr>
        <w:t xml:space="preserve"> I</w:t>
      </w:r>
      <w:r>
        <w:rPr>
          <w:rFonts w:ascii="Arial;Helvetica;sans-serif" w:hAnsi="Arial;Helvetica;sans-serif"/>
          <w:b w:val="false"/>
          <w:i w:val="false"/>
          <w:caps w:val="false"/>
          <w:smallCaps w:val="false"/>
          <w:color w:val="C3C5C8"/>
          <w:spacing w:val="-1"/>
          <w:sz w:val="15"/>
        </w:rPr>
        <w:t>NFORMATION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1554"/>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H</w:t>
      </w:r>
      <w:r>
        <w:rPr>
          <w:rFonts w:ascii="Arial;Helvetica;sans-serif" w:hAnsi="Arial;Helvetica;sans-serif"/>
          <w:b/>
          <w:i w:val="false"/>
          <w:caps w:val="false"/>
          <w:smallCaps w:val="false"/>
          <w:color w:val="0055B7"/>
          <w:spacing w:val="-3"/>
          <w:sz w:val="24"/>
        </w:rPr>
        <w:t>OW DO</w:t>
      </w:r>
      <w:r>
        <w:rPr>
          <w:rFonts w:ascii="Arial;Helvetica;sans-serif" w:hAnsi="Arial;Helvetica;sans-serif"/>
          <w:b/>
          <w:i w:val="false"/>
          <w:caps w:val="false"/>
          <w:smallCaps w:val="false"/>
          <w:color w:val="0055B7"/>
          <w:spacing w:val="-3"/>
          <w:sz w:val="24"/>
        </w:rPr>
        <w:t xml:space="preserve"> I V</w:t>
      </w:r>
      <w:r>
        <w:rPr>
          <w:rFonts w:ascii="Arial;Helvetica;sans-serif" w:hAnsi="Arial;Helvetica;sans-serif"/>
          <w:b/>
          <w:i w:val="false"/>
          <w:caps w:val="false"/>
          <w:smallCaps w:val="false"/>
          <w:color w:val="0055B7"/>
          <w:spacing w:val="-3"/>
          <w:sz w:val="24"/>
        </w:rPr>
        <w:t>OTE MY</w:t>
      </w:r>
      <w:r>
        <w:rPr>
          <w:rFonts w:ascii="Arial;Helvetica;sans-serif" w:hAnsi="Arial;Helvetica;sans-serif"/>
          <w:b/>
          <w:i w:val="false"/>
          <w:caps w:val="false"/>
          <w:smallCaps w:val="false"/>
          <w:color w:val="0055B7"/>
          <w:spacing w:val="-3"/>
          <w:sz w:val="24"/>
        </w:rPr>
        <w:t xml:space="preserve"> S</w:t>
      </w:r>
      <w:r>
        <w:rPr>
          <w:rFonts w:ascii="Arial;Helvetica;sans-serif" w:hAnsi="Arial;Helvetica;sans-serif"/>
          <w:b/>
          <w:i w:val="false"/>
          <w:caps w:val="false"/>
          <w:smallCaps w:val="false"/>
          <w:color w:val="0055B7"/>
          <w:spacing w:val="-3"/>
          <w:sz w:val="24"/>
        </w:rPr>
        <w:t>HARES</w:t>
      </w:r>
      <w:r>
        <w:rPr>
          <w:rFonts w:ascii="Arial;Helvetica;sans-serif" w:hAnsi="Arial;Helvetica;sans-serif"/>
          <w:b/>
          <w:i w:val="false"/>
          <w:caps w:val="false"/>
          <w:smallCaps w:val="false"/>
          <w:color w:val="0055B7"/>
          <w:spacing w:val="-3"/>
          <w:sz w:val="24"/>
        </w:rPr>
        <w:t>?</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139700" cy="355600"/>
                <wp:effectExtent l="0" t="0" r="0" b="0"/>
                <wp:wrapSquare wrapText="right"/>
                <wp:docPr id="458" name="Frame296"/>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4</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4</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color w:val="0055B7"/>
          <w:spacing w:val="-2"/>
          <w:sz w:val="18"/>
        </w:rPr>
        <w:t>Your vote is important</w:t>
      </w:r>
      <w:r>
        <w:rPr>
          <w:rFonts w:ascii="Arial;Helvetica;sans-serif" w:hAnsi="Arial;Helvetica;sans-serif"/>
          <w:b w:val="false"/>
          <w:i w:val="false"/>
          <w:caps w:val="false"/>
          <w:smallCaps w:val="false"/>
          <w:color w:val="000000"/>
          <w:spacing w:val="-1"/>
          <w:sz w:val="18"/>
        </w:rPr>
        <w:t>. You may vote by Internet, telephone, mail (if you requested paper materials), or during the live webcast. Even if you plan to attend the live webcast of the Annual Meeting, we encourage you to vote as soon as possible using one of these methods. Use the instructions on your Notice, proxy card, or voting instruction form (if you hold shares through a broker or bank). For additional information on the difference between registered holders and beneficial holders, see Question 6.</w:t>
      </w:r>
      <w:r>
        <w:rPr>
          <w:rFonts w:ascii="Arial;Helvetica;sans-serif" w:hAnsi="Arial;Helvetica;sans-serif"/>
          <w:b w:val="false"/>
          <w:i w:val="false"/>
          <w:caps w:val="false"/>
          <w:smallCaps w:val="false"/>
          <w:color w:val="000000"/>
          <w:spacing w:val="4"/>
          <w:sz w:val="18"/>
        </w:rPr>
        <w:t xml:space="preserve"> </w:t>
      </w:r>
    </w:p>
    <w:tbl>
      <w:tblPr>
        <w:tblW w:w="10685" w:type="dxa"/>
        <w:jc w:val="left"/>
        <w:tblInd w:w="720" w:type="dxa"/>
        <w:tblLayout w:type="fixed"/>
        <w:tblCellMar>
          <w:top w:w="0" w:type="dxa"/>
          <w:left w:w="0" w:type="dxa"/>
          <w:bottom w:w="0" w:type="dxa"/>
          <w:right w:w="0" w:type="dxa"/>
        </w:tblCellMar>
      </w:tblPr>
      <w:tblGrid>
        <w:gridCol w:w="124"/>
        <w:gridCol w:w="1186"/>
        <w:gridCol w:w="109"/>
        <w:gridCol w:w="109"/>
        <w:gridCol w:w="2206"/>
        <w:gridCol w:w="109"/>
        <w:gridCol w:w="109"/>
        <w:gridCol w:w="1126"/>
        <w:gridCol w:w="109"/>
        <w:gridCol w:w="109"/>
        <w:gridCol w:w="1086"/>
        <w:gridCol w:w="109"/>
        <w:gridCol w:w="109"/>
        <w:gridCol w:w="3931"/>
        <w:gridCol w:w="154"/>
      </w:tblGrid>
      <w:tr>
        <w:trPr/>
        <w:tc>
          <w:tcPr>
            <w:tcW w:w="124"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center"/>
              <w:rPr/>
            </w:pPr>
            <w:r>
              <w:rPr/>
              <w:drawing>
                <wp:inline distT="0" distB="0" distL="0" distR="0">
                  <wp:extent cx="400050" cy="323850"/>
                  <wp:effectExtent l="0" t="0" r="0" b="0"/>
                  <wp:docPr id="45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147" descr=""/>
                          <pic:cNvPicPr>
                            <a:picLocks noChangeAspect="1" noChangeArrowheads="1"/>
                          </pic:cNvPicPr>
                        </pic:nvPicPr>
                        <pic:blipFill>
                          <a:blip r:embed="rId164"/>
                          <a:stretch>
                            <a:fillRect/>
                          </a:stretch>
                        </pic:blipFill>
                        <pic:spPr bwMode="auto">
                          <a:xfrm>
                            <a:off x="0" y="0"/>
                            <a:ext cx="400050" cy="3238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0"/>
              <w:jc w:val="center"/>
              <w:rPr/>
            </w:pPr>
            <w:r>
              <w:rPr/>
              <w:drawing>
                <wp:inline distT="0" distB="0" distL="0" distR="0">
                  <wp:extent cx="238125" cy="323850"/>
                  <wp:effectExtent l="0" t="0" r="0" b="0"/>
                  <wp:docPr id="46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148" descr=""/>
                          <pic:cNvPicPr>
                            <a:picLocks noChangeAspect="1" noChangeArrowheads="1"/>
                          </pic:cNvPicPr>
                        </pic:nvPicPr>
                        <pic:blipFill>
                          <a:blip r:embed="rId165"/>
                          <a:stretch>
                            <a:fillRect/>
                          </a:stretch>
                        </pic:blipFill>
                        <pic:spPr bwMode="auto">
                          <a:xfrm>
                            <a:off x="0" y="0"/>
                            <a:ext cx="238125" cy="3238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6" w:type="dxa"/>
            <w:tcBorders/>
            <w:vAlign w:val="center"/>
          </w:tcPr>
          <w:p>
            <w:pPr>
              <w:pStyle w:val="TableContents"/>
              <w:bidi w:val="0"/>
              <w:spacing w:before="0" w:after="0"/>
              <w:jc w:val="center"/>
              <w:rPr/>
            </w:pPr>
            <w:r>
              <w:rPr/>
              <w:drawing>
                <wp:inline distT="0" distB="0" distL="0" distR="0">
                  <wp:extent cx="342900" cy="238125"/>
                  <wp:effectExtent l="0" t="0" r="0" b="0"/>
                  <wp:docPr id="46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149" descr=""/>
                          <pic:cNvPicPr>
                            <a:picLocks noChangeAspect="1" noChangeArrowheads="1"/>
                          </pic:cNvPicPr>
                        </pic:nvPicPr>
                        <pic:blipFill>
                          <a:blip r:embed="rId166"/>
                          <a:stretch>
                            <a:fillRect/>
                          </a:stretch>
                        </pic:blipFill>
                        <pic:spPr bwMode="auto">
                          <a:xfrm>
                            <a:off x="0" y="0"/>
                            <a:ext cx="3429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31" w:type="dxa"/>
            <w:tcBorders/>
            <w:vAlign w:val="center"/>
          </w:tcPr>
          <w:p>
            <w:pPr>
              <w:pStyle w:val="TableContents"/>
              <w:bidi w:val="0"/>
              <w:spacing w:before="0" w:after="0"/>
              <w:jc w:val="center"/>
              <w:rPr/>
            </w:pPr>
            <w:r>
              <w:rPr/>
              <w:drawing>
                <wp:inline distT="0" distB="0" distL="0" distR="0">
                  <wp:extent cx="371475" cy="371475"/>
                  <wp:effectExtent l="0" t="0" r="0" b="0"/>
                  <wp:docPr id="46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50" descr=""/>
                          <pic:cNvPicPr>
                            <a:picLocks noChangeAspect="1" noChangeArrowheads="1"/>
                          </pic:cNvPicPr>
                        </pic:nvPicPr>
                        <pic:blipFill>
                          <a:blip r:embed="rId167"/>
                          <a:stretch>
                            <a:fillRect/>
                          </a:stretch>
                        </pic:blipFill>
                        <pic:spPr bwMode="auto">
                          <a:xfrm>
                            <a:off x="0" y="0"/>
                            <a:ext cx="371475" cy="3714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186" w:type="dxa"/>
            <w:tcBorders>
              <w:bottom w:val="single" w:sz="2" w:space="0" w:color="000000"/>
            </w:tcBorders>
            <w:tcMar>
              <w:bottom w:w="76"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06" w:type="dxa"/>
            <w:tcBorders>
              <w:bottom w:val="single" w:sz="2" w:space="0" w:color="000000"/>
            </w:tcBorders>
            <w:tcMar>
              <w:bottom w:w="76" w:type="dxa"/>
            </w:tcMar>
            <w:vAlign w:val="center"/>
          </w:tcPr>
          <w:p>
            <w:pPr>
              <w:pStyle w:val="TableContents"/>
              <w:bidi w:val="0"/>
              <w:spacing w:before="0" w:after="0"/>
              <w:jc w:val="center"/>
              <w:rPr/>
            </w:pPr>
            <w:r>
              <w:rPr>
                <w:spacing w:val="0"/>
              </w:rPr>
              <w:t>Internet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6" w:type="dxa"/>
            <w:tcBorders>
              <w:bottom w:val="single" w:sz="2" w:space="0" w:color="000000"/>
            </w:tcBorders>
            <w:tcMar>
              <w:bottom w:w="76" w:type="dxa"/>
            </w:tcMar>
            <w:vAlign w:val="center"/>
          </w:tcPr>
          <w:p>
            <w:pPr>
              <w:pStyle w:val="TableContents"/>
              <w:bidi w:val="0"/>
              <w:spacing w:before="0" w:after="0"/>
              <w:jc w:val="center"/>
              <w:rPr/>
            </w:pPr>
            <w:r>
              <w:rPr>
                <w:spacing w:val="0"/>
              </w:rPr>
              <w:t>Telephone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76" w:type="dxa"/>
            </w:tcMar>
            <w:vAlign w:val="center"/>
          </w:tcPr>
          <w:p>
            <w:pPr>
              <w:pStyle w:val="TableContents"/>
              <w:bidi w:val="0"/>
              <w:spacing w:before="0" w:after="0"/>
              <w:jc w:val="center"/>
              <w:rPr/>
            </w:pPr>
            <w:r>
              <w:rPr>
                <w:spacing w:val="0"/>
              </w:rPr>
              <w:t>Mail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1" w:type="dxa"/>
            <w:tcBorders>
              <w:bottom w:val="single" w:sz="2" w:space="0" w:color="000000"/>
            </w:tcBorders>
            <w:tcMar>
              <w:bottom w:w="76" w:type="dxa"/>
            </w:tcMar>
            <w:vAlign w:val="center"/>
          </w:tcPr>
          <w:p>
            <w:pPr>
              <w:pStyle w:val="TableContents"/>
              <w:bidi w:val="0"/>
              <w:spacing w:before="0" w:after="0"/>
              <w:jc w:val="center"/>
              <w:rPr/>
            </w:pPr>
            <w:r>
              <w:rPr>
                <w:spacing w:val="0"/>
              </w:rPr>
              <w:t>During the Virtual Meeting</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186" w:type="dxa"/>
            <w:tcBorders>
              <w:bottom w:val="single" w:sz="2" w:space="0" w:color="000000"/>
            </w:tcBorders>
            <w:tcMar>
              <w:bottom w:w="7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06" w:type="dxa"/>
            <w:tcBorders>
              <w:bottom w:val="single" w:sz="2" w:space="0" w:color="000000"/>
            </w:tcBorders>
            <w:tcMar>
              <w:bottom w:w="70" w:type="dxa"/>
            </w:tcMar>
            <w:vAlign w:val="center"/>
          </w:tcPr>
          <w:p>
            <w:pPr>
              <w:pStyle w:val="TableContents"/>
              <w:bidi w:val="0"/>
              <w:spacing w:before="0" w:after="283"/>
              <w:jc w:val="left"/>
              <w:rPr/>
            </w:pPr>
            <w:r>
              <w:rPr>
                <w:spacing w:val="0"/>
              </w:rPr>
              <w:t xml:space="preserve">11:59 p.m. </w:t>
              <w:br/>
              <w:t xml:space="preserve">Eastern Time on </w:t>
              <w:br/>
              <w:t>June 10, 2026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6" w:type="dxa"/>
            <w:tcBorders>
              <w:bottom w:val="single" w:sz="2" w:space="0" w:color="000000"/>
            </w:tcBorders>
            <w:tcMar>
              <w:bottom w:w="70" w:type="dxa"/>
            </w:tcMar>
            <w:vAlign w:val="center"/>
          </w:tcPr>
          <w:p>
            <w:pPr>
              <w:pStyle w:val="TableContents"/>
              <w:bidi w:val="0"/>
              <w:spacing w:before="0" w:after="283"/>
              <w:jc w:val="left"/>
              <w:rPr/>
            </w:pPr>
            <w:r>
              <w:rPr>
                <w:spacing w:val="0"/>
              </w:rPr>
              <w:t xml:space="preserve">11:59 p.m. </w:t>
              <w:br/>
              <w:t xml:space="preserve">Eastern Time on </w:t>
              <w:br/>
              <w:t>June 10, 2026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70" w:type="dxa"/>
            </w:tcMar>
            <w:vAlign w:val="center"/>
          </w:tcPr>
          <w:p>
            <w:pPr>
              <w:pStyle w:val="TableContents"/>
              <w:bidi w:val="0"/>
              <w:spacing w:before="0" w:after="283"/>
              <w:jc w:val="left"/>
              <w:rPr/>
            </w:pPr>
            <w:r>
              <w:rPr>
                <w:spacing w:val="0"/>
              </w:rPr>
              <w:t>Before the Annual Meeting on Thursday, June 11, 2026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1" w:type="dxa"/>
            <w:tcBorders>
              <w:bottom w:val="single" w:sz="2" w:space="0" w:color="000000"/>
            </w:tcBorders>
            <w:tcMar>
              <w:bottom w:w="70" w:type="dxa"/>
            </w:tcMar>
            <w:vAlign w:val="center"/>
          </w:tcPr>
          <w:p>
            <w:pPr>
              <w:pStyle w:val="TableContents"/>
              <w:bidi w:val="0"/>
              <w:spacing w:before="0" w:after="283"/>
              <w:jc w:val="left"/>
              <w:rPr/>
            </w:pPr>
            <w:r>
              <w:rPr>
                <w:spacing w:val="0"/>
              </w:rPr>
              <w:t xml:space="preserve">Before the polls close at the Annual Meeting on </w:t>
              <w:br/>
              <w:t>Thursday, June 11, 2026</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186" w:type="dxa"/>
            <w:tcBorders>
              <w:bottom w:val="single" w:sz="2" w:space="0" w:color="000000"/>
            </w:tcBorders>
            <w:tcMar>
              <w:bottom w:w="70" w:type="dxa"/>
            </w:tcMar>
            <w:vAlign w:val="center"/>
          </w:tcPr>
          <w:p>
            <w:pPr>
              <w:pStyle w:val="TableContents"/>
              <w:bidi w:val="0"/>
              <w:spacing w:before="0" w:after="0"/>
              <w:jc w:val="left"/>
              <w:rPr>
                <w:b/>
              </w:rPr>
            </w:pPr>
            <w:r>
              <w:rPr>
                <w:b/>
                <w:spacing w:val="0"/>
              </w:rPr>
              <w:t>Registered Holders</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06" w:type="dxa"/>
            <w:tcBorders>
              <w:bottom w:val="single" w:sz="2" w:space="0" w:color="000000"/>
            </w:tcBorders>
            <w:tcMar>
              <w:bottom w:w="70" w:type="dxa"/>
            </w:tcMar>
            <w:vAlign w:val="center"/>
          </w:tcPr>
          <w:p>
            <w:pPr>
              <w:pStyle w:val="TableContents"/>
              <w:bidi w:val="0"/>
              <w:spacing w:before="0" w:after="0"/>
              <w:jc w:val="left"/>
              <w:rPr>
                <w:b/>
                <w:color w:val="0055B7"/>
              </w:rPr>
            </w:pPr>
            <w:r>
              <w:rPr>
                <w:b/>
                <w:color w:val="0055B7"/>
                <w:spacing w:val="0"/>
              </w:rPr>
              <w:t>www.proxyvote.com</w:t>
            </w:r>
            <w:r>
              <w:rPr>
                <w:b/>
                <w:color w:val="0055B7"/>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6" w:type="dxa"/>
            <w:tcBorders>
              <w:bottom w:val="single" w:sz="2" w:space="0" w:color="000000"/>
            </w:tcBorders>
            <w:tcMar>
              <w:bottom w:w="70" w:type="dxa"/>
            </w:tcMar>
            <w:vAlign w:val="center"/>
          </w:tcPr>
          <w:p>
            <w:pPr>
              <w:pStyle w:val="TableContents"/>
              <w:bidi w:val="0"/>
              <w:spacing w:before="0" w:after="283"/>
              <w:jc w:val="left"/>
              <w:rPr>
                <w:spacing w:val="-1"/>
              </w:rPr>
            </w:pPr>
            <w:r>
              <w:rPr>
                <w:spacing w:val="-1"/>
              </w:rPr>
              <w:t xml:space="preserve">Within the United States and Canada, 1-800-690-6903 (toll-free)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70" w:type="dxa"/>
            </w:tcMar>
            <w:vAlign w:val="center"/>
          </w:tcPr>
          <w:p>
            <w:pPr>
              <w:pStyle w:val="TableContents"/>
              <w:bidi w:val="0"/>
              <w:spacing w:before="0" w:after="283"/>
              <w:jc w:val="left"/>
              <w:rPr>
                <w:spacing w:val="-1"/>
              </w:rPr>
            </w:pPr>
            <w:r>
              <w:rPr>
                <w:spacing w:val="-1"/>
              </w:rPr>
              <w:t xml:space="preserve">Return a properly executed proxy card received before the Annual Meeting on Thursday, June 11, 2026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1" w:type="dxa"/>
            <w:tcBorders>
              <w:bottom w:val="single" w:sz="2" w:space="0" w:color="000000"/>
            </w:tcBorders>
            <w:tcMar>
              <w:bottom w:w="70" w:type="dxa"/>
            </w:tcMar>
            <w:vAlign w:val="center"/>
          </w:tcPr>
          <w:p>
            <w:pPr>
              <w:pStyle w:val="TableContents"/>
              <w:bidi w:val="0"/>
              <w:spacing w:before="0" w:after="283"/>
              <w:jc w:val="left"/>
              <w:rPr/>
            </w:pPr>
            <w:r>
              <w:rPr>
                <w:spacing w:val="-1"/>
              </w:rPr>
              <w:t xml:space="preserve">Attend the Annual Meeting at </w:t>
            </w:r>
            <w:r>
              <w:rPr>
                <w:b/>
                <w:color w:val="0070CD"/>
                <w:spacing w:val="0"/>
              </w:rPr>
              <w:t>www.virtualshareholdermeeting.com/MDLN2026</w:t>
            </w:r>
            <w:r>
              <w:rPr>
                <w:spacing w:val="-1"/>
              </w:rPr>
              <w:t xml:space="preserve"> as provided in Question 16, and follow the instructions provided during the Annual Meeting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186" w:type="dxa"/>
            <w:tcBorders>
              <w:bottom w:val="single" w:sz="2" w:space="0" w:color="000000"/>
            </w:tcBorders>
            <w:tcMar>
              <w:bottom w:w="70" w:type="dxa"/>
            </w:tcMar>
            <w:vAlign w:val="center"/>
          </w:tcPr>
          <w:p>
            <w:pPr>
              <w:pStyle w:val="TableContents"/>
              <w:bidi w:val="0"/>
              <w:spacing w:before="0" w:after="283"/>
              <w:jc w:val="left"/>
              <w:rPr/>
            </w:pPr>
            <w:r>
              <w:rPr>
                <w:b/>
                <w:spacing w:val="0"/>
              </w:rPr>
              <w:t>Beneficial Holders</w:t>
            </w:r>
            <w:r>
              <w:rPr>
                <w:spacing w:val="-1"/>
              </w:rPr>
              <w:t xml:space="preserve"> (holders in street 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06" w:type="dxa"/>
            <w:tcBorders>
              <w:bottom w:val="single" w:sz="2" w:space="0" w:color="000000"/>
            </w:tcBorders>
            <w:tcMar>
              <w:bottom w:w="70" w:type="dxa"/>
            </w:tcMar>
            <w:vAlign w:val="center"/>
          </w:tcPr>
          <w:p>
            <w:pPr>
              <w:pStyle w:val="TableContents"/>
              <w:bidi w:val="0"/>
              <w:spacing w:before="0" w:after="0"/>
              <w:jc w:val="left"/>
              <w:rPr>
                <w:b/>
                <w:color w:val="0055B7"/>
              </w:rPr>
            </w:pPr>
            <w:r>
              <w:rPr>
                <w:b/>
                <w:color w:val="0055B7"/>
                <w:spacing w:val="0"/>
              </w:rPr>
              <w:t>www.proxyvote.com</w:t>
            </w:r>
            <w:r>
              <w:rPr>
                <w:b/>
                <w:color w:val="0055B7"/>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6" w:type="dxa"/>
            <w:tcBorders>
              <w:bottom w:val="single" w:sz="2" w:space="0" w:color="000000"/>
            </w:tcBorders>
            <w:tcMar>
              <w:bottom w:w="70" w:type="dxa"/>
            </w:tcMar>
            <w:vAlign w:val="center"/>
          </w:tcPr>
          <w:p>
            <w:pPr>
              <w:pStyle w:val="TableContents"/>
              <w:bidi w:val="0"/>
              <w:spacing w:before="0" w:after="283"/>
              <w:jc w:val="left"/>
              <w:rPr>
                <w:spacing w:val="-1"/>
              </w:rPr>
            </w:pPr>
            <w:r>
              <w:rPr>
                <w:spacing w:val="-1"/>
              </w:rPr>
              <w:t xml:space="preserve">Within the United States and Canada, 1-800-454-8683 (toll-free)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70" w:type="dxa"/>
            </w:tcMar>
            <w:vAlign w:val="center"/>
          </w:tcPr>
          <w:p>
            <w:pPr>
              <w:pStyle w:val="TableContents"/>
              <w:bidi w:val="0"/>
              <w:spacing w:before="0" w:after="283"/>
              <w:jc w:val="left"/>
              <w:rPr>
                <w:spacing w:val="-1"/>
              </w:rPr>
            </w:pPr>
            <w:r>
              <w:rPr>
                <w:spacing w:val="-1"/>
              </w:rPr>
              <w:t xml:space="preserve">Return a properly executed voting instruction form by mail, depending upon the method(s) your broker, bank, or other nominee makes available, so that it is received before the Annual Meeting on Thursday, June 11, 2026.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1" w:type="dxa"/>
            <w:tcBorders>
              <w:bottom w:val="single" w:sz="2" w:space="0" w:color="000000"/>
            </w:tcBorders>
            <w:tcMar>
              <w:bottom w:w="70" w:type="dxa"/>
            </w:tcMar>
            <w:vAlign w:val="center"/>
          </w:tcPr>
          <w:p>
            <w:pPr>
              <w:pStyle w:val="TableContents"/>
              <w:bidi w:val="0"/>
              <w:spacing w:before="0" w:after="283"/>
              <w:jc w:val="left"/>
              <w:rPr/>
            </w:pPr>
            <w:r>
              <w:rPr>
                <w:spacing w:val="-1"/>
              </w:rPr>
              <w:t xml:space="preserve">Attend the Annual Meeting at </w:t>
            </w:r>
            <w:r>
              <w:rPr>
                <w:b/>
                <w:color w:val="0070CD"/>
                <w:spacing w:val="0"/>
              </w:rPr>
              <w:t>www.virtualshareholdermeeting.com/MDLN2026</w:t>
            </w:r>
            <w:r>
              <w:rPr>
                <w:spacing w:val="-1"/>
              </w:rPr>
              <w:t xml:space="preserve"> as provided in Question 16, and follow the instructions provided during the Annual Meeting</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40" w:after="0"/>
        <w:ind w:left="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availability of Internet and telephone voting may depend on the voting procedures of the organization that holds your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455">
                <wp:simplePos x="0" y="0"/>
                <wp:positionH relativeFrom="column">
                  <wp:align>left</wp:align>
                </wp:positionH>
                <wp:positionV relativeFrom="line">
                  <wp:align>top</wp:align>
                </wp:positionV>
                <wp:extent cx="139700" cy="350520"/>
                <wp:effectExtent l="0" t="0" r="0" b="0"/>
                <wp:wrapSquare wrapText="right"/>
                <wp:docPr id="463" name="Frame29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F</w:t>
      </w:r>
      <w:r>
        <w:rPr>
          <w:rFonts w:ascii="Arial;Helvetica;sans-serif" w:hAnsi="Arial;Helvetica;sans-serif"/>
          <w:b/>
          <w:i w:val="false"/>
          <w:caps w:val="false"/>
          <w:smallCaps w:val="false"/>
          <w:color w:val="003CA6"/>
          <w:spacing w:val="-4"/>
          <w:sz w:val="28"/>
        </w:rPr>
        <w:t>REQUENTLY</w:t>
      </w:r>
      <w:r>
        <w:rPr>
          <w:rFonts w:ascii="Arial;Helvetica;sans-serif" w:hAnsi="Arial;Helvetica;sans-serif"/>
          <w:b/>
          <w:i w:val="false"/>
          <w:caps w:val="false"/>
          <w:smallCaps w:val="false"/>
          <w:color w:val="003CA6"/>
          <w:spacing w:val="-4"/>
          <w:sz w:val="28"/>
        </w:rPr>
        <w:t xml:space="preserve"> A</w:t>
      </w:r>
      <w:r>
        <w:rPr>
          <w:rFonts w:ascii="Arial;Helvetica;sans-serif" w:hAnsi="Arial;Helvetica;sans-serif"/>
          <w:b/>
          <w:i w:val="false"/>
          <w:caps w:val="false"/>
          <w:smallCaps w:val="false"/>
          <w:color w:val="003CA6"/>
          <w:spacing w:val="-4"/>
          <w:sz w:val="28"/>
        </w:rPr>
        <w:t>SKED</w:t>
      </w:r>
      <w:r>
        <w:rPr>
          <w:rFonts w:ascii="Arial;Helvetica;sans-serif" w:hAnsi="Arial;Helvetica;sans-serif"/>
          <w:b/>
          <w:i w:val="false"/>
          <w:caps w:val="false"/>
          <w:smallCaps w:val="false"/>
          <w:color w:val="003CA6"/>
          <w:spacing w:val="-4"/>
          <w:sz w:val="28"/>
        </w:rPr>
        <w:t xml:space="preserve"> Q</w:t>
      </w:r>
      <w:r>
        <w:rPr>
          <w:rFonts w:ascii="Arial;Helvetica;sans-serif" w:hAnsi="Arial;Helvetica;sans-serif"/>
          <w:b/>
          <w:i w:val="false"/>
          <w:caps w:val="false"/>
          <w:smallCaps w:val="false"/>
          <w:color w:val="003CA6"/>
          <w:spacing w:val="-4"/>
          <w:sz w:val="28"/>
        </w:rPr>
        <w:t>UESTIONS ABOUT THE</w:t>
      </w:r>
      <w:r>
        <w:rPr>
          <w:rFonts w:ascii="Arial;Helvetica;sans-serif" w:hAnsi="Arial;Helvetica;sans-serif"/>
          <w:b/>
          <w:i w:val="false"/>
          <w:caps w:val="false"/>
          <w:smallCaps w:val="false"/>
          <w:color w:val="003CA6"/>
          <w:spacing w:val="-4"/>
          <w:sz w:val="28"/>
        </w:rPr>
        <w:t xml:space="preserve"> A</w:t>
      </w:r>
      <w:r>
        <w:rPr>
          <w:rFonts w:ascii="Arial;Helvetica;sans-serif" w:hAnsi="Arial;Helvetica;sans-serif"/>
          <w:b/>
          <w:i w:val="false"/>
          <w:caps w:val="false"/>
          <w:smallCaps w:val="false"/>
          <w:color w:val="003CA6"/>
          <w:spacing w:val="-4"/>
          <w:sz w:val="28"/>
        </w:rPr>
        <w:t>NNUAL</w:t>
      </w:r>
      <w:r>
        <w:rPr>
          <w:rFonts w:ascii="Arial;Helvetica;sans-serif" w:hAnsi="Arial;Helvetica;sans-serif"/>
          <w:b/>
          <w:i w:val="false"/>
          <w:caps w:val="false"/>
          <w:smallCaps w:val="false"/>
          <w:color w:val="003CA6"/>
          <w:spacing w:val="-4"/>
          <w:sz w:val="28"/>
        </w:rPr>
        <w:t xml:space="preserve"> M</w:t>
      </w:r>
      <w:r>
        <w:rPr>
          <w:rFonts w:ascii="Arial;Helvetica;sans-serif" w:hAnsi="Arial;Helvetica;sans-serif"/>
          <w:b/>
          <w:i w:val="false"/>
          <w:caps w:val="false"/>
          <w:smallCaps w:val="false"/>
          <w:color w:val="003CA6"/>
          <w:spacing w:val="-4"/>
          <w:sz w:val="28"/>
        </w:rPr>
        <w:t>EETING AND</w:t>
      </w:r>
      <w:r>
        <w:rPr>
          <w:rFonts w:ascii="Arial;Helvetica;sans-serif" w:hAnsi="Arial;Helvetica;sans-serif"/>
          <w:b/>
          <w:i w:val="false"/>
          <w:caps w:val="false"/>
          <w:smallCaps w:val="false"/>
          <w:color w:val="003CA6"/>
          <w:spacing w:val="-4"/>
          <w:sz w:val="28"/>
        </w:rPr>
        <w:t xml:space="preserve"> V</w:t>
      </w:r>
      <w:r>
        <w:rPr>
          <w:rFonts w:ascii="Arial;Helvetica;sans-serif" w:hAnsi="Arial;Helvetica;sans-serif"/>
          <w:b/>
          <w:i w:val="false"/>
          <w:caps w:val="false"/>
          <w:smallCaps w:val="false"/>
          <w:color w:val="003CA6"/>
          <w:spacing w:val="-4"/>
          <w:sz w:val="28"/>
        </w:rPr>
        <w:t>OTING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20" w:after="0"/>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HY</w:t>
      </w:r>
      <w:r>
        <w:rPr>
          <w:rFonts w:ascii="Arial;Helvetica;sans-serif" w:hAnsi="Arial;Helvetica;sans-serif"/>
          <w:b/>
          <w:i w:val="false"/>
          <w:caps w:val="false"/>
          <w:smallCaps w:val="false"/>
          <w:color w:val="0055B7"/>
          <w:spacing w:val="-3"/>
          <w:sz w:val="24"/>
        </w:rPr>
        <w:t xml:space="preserve"> </w:t>
      </w:r>
      <w:r>
        <w:rPr>
          <w:rFonts w:ascii="Arial;Helvetica;sans-serif" w:hAnsi="Arial;Helvetica;sans-serif"/>
          <w:b/>
          <w:i w:val="false"/>
          <w:caps w:val="false"/>
          <w:smallCaps w:val="false"/>
          <w:color w:val="0055B7"/>
          <w:spacing w:val="-1"/>
          <w:sz w:val="24"/>
        </w:rPr>
        <w:t>am</w:t>
      </w:r>
      <w:r>
        <w:rPr>
          <w:rFonts w:ascii="Arial;Helvetica;sans-serif" w:hAnsi="Arial;Helvetica;sans-serif"/>
          <w:b/>
          <w:i w:val="false"/>
          <w:caps w:val="false"/>
          <w:smallCaps w:val="false"/>
          <w:color w:val="0055B7"/>
          <w:spacing w:val="-3"/>
          <w:sz w:val="24"/>
        </w:rPr>
        <w:t xml:space="preserve"> I R</w:t>
      </w:r>
      <w:r>
        <w:rPr>
          <w:rFonts w:ascii="Arial;Helvetica;sans-serif" w:hAnsi="Arial;Helvetica;sans-serif"/>
          <w:b/>
          <w:i w:val="false"/>
          <w:caps w:val="false"/>
          <w:smallCaps w:val="false"/>
          <w:color w:val="0055B7"/>
          <w:spacing w:val="-3"/>
          <w:sz w:val="24"/>
        </w:rPr>
        <w:t>ECEIVING THESE</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ROXY</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ATERIALS</w:t>
      </w:r>
      <w:r>
        <w:rPr>
          <w:rFonts w:ascii="Arial;Helvetica;sans-serif" w:hAnsi="Arial;Helvetica;sans-serif"/>
          <w:b/>
          <w:i w:val="false"/>
          <w:caps w:val="false"/>
          <w:smallCaps w:val="false"/>
          <w:color w:val="0055B7"/>
          <w:spacing w:val="-3"/>
          <w:sz w:val="24"/>
        </w:rPr>
        <w:t>?</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456">
                <wp:simplePos x="0" y="0"/>
                <wp:positionH relativeFrom="column">
                  <wp:align>left</wp:align>
                </wp:positionH>
                <wp:positionV relativeFrom="line">
                  <wp:align>top</wp:align>
                </wp:positionV>
                <wp:extent cx="139700" cy="355600"/>
                <wp:effectExtent l="0" t="0" r="0" b="0"/>
                <wp:wrapSquare wrapText="right"/>
                <wp:docPr id="464" name="Frame298"/>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5</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5</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You are receiving these proxy materials because you held shares of Medline Class A or Class B common stock as of the Record Date and are entitled to vote at the Annual Meeting. The Board is soliciting your proxy to vote your shares on the proposals described in this Proxy Statement. The proxy materials include this Proxy Statement, our 2025 Annual Report, and a voting ballot (in the form of a proxy card, voting instruction form, or a Notice with instructions and a unique control number that allows you to access the materials and vote by Internet). Together, these materials provide important information about Medline, the Annual Meeting, the matters to be voted on, and how to vote your shares.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109"/>
        <w:gridCol w:w="6240"/>
        <w:gridCol w:w="109"/>
        <w:gridCol w:w="109"/>
        <w:gridCol w:w="109"/>
        <w:gridCol w:w="2421"/>
        <w:gridCol w:w="109"/>
        <w:gridCol w:w="155"/>
      </w:tblGrid>
      <w:tr>
        <w:trPr/>
        <w:tc>
          <w:tcPr>
            <w:tcW w:w="124" w:type="dxa"/>
            <w:tcBorders>
              <w:bottom w:val="single" w:sz="8" w:space="0" w:color="3E8DDD"/>
            </w:tcBorders>
            <w:shd w:fill="3E8DDD" w:val="clear"/>
            <w:vAlign w:val="center"/>
          </w:tcPr>
          <w:p>
            <w:pPr>
              <w:pStyle w:val="TableContents"/>
              <w:bidi w:val="0"/>
              <w:spacing w:before="0" w:after="283"/>
              <w:jc w:val="left"/>
              <w:rPr/>
            </w:pPr>
            <w:r>
              <w:rPr/>
              <w:t>​</w:t>
            </w:r>
          </w:p>
        </w:tc>
        <w:tc>
          <w:tcPr>
            <w:tcW w:w="109" w:type="dxa"/>
            <w:tcBorders>
              <w:bottom w:val="single" w:sz="8" w:space="0" w:color="3E8DDD"/>
            </w:tcBorders>
            <w:shd w:fill="3E8DDD" w:val="clear"/>
            <w:vAlign w:val="center"/>
          </w:tcPr>
          <w:p>
            <w:pPr>
              <w:pStyle w:val="TableContents"/>
              <w:bidi w:val="0"/>
              <w:spacing w:before="0" w:after="283"/>
              <w:jc w:val="left"/>
              <w:rPr/>
            </w:pPr>
            <w:r>
              <w:rPr/>
              <w:t>​</w:t>
            </w:r>
          </w:p>
        </w:tc>
        <w:tc>
          <w:tcPr>
            <w:tcW w:w="6240" w:type="dxa"/>
            <w:tcBorders>
              <w:bottom w:val="single" w:sz="8" w:space="0" w:color="3E8DDD"/>
            </w:tcBorders>
            <w:shd w:fill="3E8DDD" w:val="clear"/>
            <w:vAlign w:val="center"/>
          </w:tcPr>
          <w:p>
            <w:pPr>
              <w:pStyle w:val="TableContents"/>
              <w:bidi w:val="0"/>
              <w:spacing w:before="0" w:after="0"/>
              <w:jc w:val="left"/>
              <w:rPr>
                <w:b/>
                <w:color w:val="FFFFFF"/>
              </w:rPr>
            </w:pPr>
            <w:r>
              <w:rPr>
                <w:b/>
                <w:color w:val="FFFFFF"/>
                <w:spacing w:val="-2"/>
              </w:rPr>
              <w:t>IMPORTANT NOTICE REGARDING THE AVAILABILITY OF PROXY MATERIALS FOR THE ANNUAL MEETING OF STOCKHOLDERS TO BE HELD ON JUNE 11, 2026</w:t>
            </w:r>
            <w:r>
              <w:rPr>
                <w:b/>
                <w:color w:val="FFFFFF"/>
              </w:rPr>
              <w:t xml:space="preserve"> </w:t>
            </w:r>
          </w:p>
        </w:tc>
        <w:tc>
          <w:tcPr>
            <w:tcW w:w="109" w:type="dxa"/>
            <w:tcBorders>
              <w:bottom w:val="single" w:sz="8" w:space="0" w:color="3E8DDD"/>
            </w:tcBorders>
            <w:shd w:fill="3E8DDD" w:val="clear"/>
            <w:vAlign w:val="center"/>
          </w:tcPr>
          <w:p>
            <w:pPr>
              <w:pStyle w:val="TableContents"/>
              <w:bidi w:val="0"/>
              <w:spacing w:before="0" w:after="283"/>
              <w:jc w:val="left"/>
              <w:rPr/>
            </w:pPr>
            <w:r>
              <w:rPr/>
              <w:t>​</w:t>
            </w:r>
          </w:p>
        </w:tc>
        <w:tc>
          <w:tcPr>
            <w:tcW w:w="109" w:type="dxa"/>
            <w:tcBorders>
              <w:bottom w:val="single" w:sz="8" w:space="0" w:color="3E8DDD"/>
            </w:tcBorders>
            <w:shd w:fill="3E8DDD" w:val="clear"/>
            <w:vAlign w:val="center"/>
          </w:tcPr>
          <w:p>
            <w:pPr>
              <w:pStyle w:val="TableContents"/>
              <w:bidi w:val="0"/>
              <w:spacing w:before="0" w:after="283"/>
              <w:jc w:val="left"/>
              <w:rPr/>
            </w:pPr>
            <w:r>
              <w:rPr/>
              <w:t>​</w:t>
            </w:r>
          </w:p>
        </w:tc>
        <w:tc>
          <w:tcPr>
            <w:tcW w:w="109" w:type="dxa"/>
            <w:tcBorders>
              <w:bottom w:val="single" w:sz="8" w:space="0" w:color="3E8DDD"/>
            </w:tcBorders>
            <w:vAlign w:val="center"/>
          </w:tcPr>
          <w:p>
            <w:pPr>
              <w:pStyle w:val="TableContents"/>
              <w:bidi w:val="0"/>
              <w:spacing w:before="0" w:after="283"/>
              <w:jc w:val="left"/>
              <w:rPr/>
            </w:pPr>
            <w:r>
              <w:rPr/>
              <w:t>​</w:t>
            </w:r>
          </w:p>
        </w:tc>
        <w:tc>
          <w:tcPr>
            <w:tcW w:w="2421" w:type="dxa"/>
            <w:tcBorders>
              <w:bottom w:val="single" w:sz="8" w:space="0" w:color="3E8DDD"/>
            </w:tcBorders>
            <w:tcMar>
              <w:bottom w:w="120" w:type="dxa"/>
            </w:tcMar>
            <w:vAlign w:val="center"/>
          </w:tcPr>
          <w:p>
            <w:pPr>
              <w:pStyle w:val="TableContents"/>
              <w:bidi w:val="0"/>
              <w:spacing w:lineRule="atLeast" w:line="225" w:before="0" w:after="0"/>
              <w:jc w:val="center"/>
              <w:rPr/>
            </w:pPr>
            <w:r>
              <w:rPr>
                <w:spacing w:val="-1"/>
              </w:rPr>
              <w:t xml:space="preserve">The Proxy Statement and 2025 </w:t>
              <w:br/>
              <w:t xml:space="preserve">Annual Report are available at </w:t>
            </w:r>
            <w:r>
              <w:rPr/>
              <w:br/>
            </w:r>
            <w:r>
              <w:rPr>
                <w:b/>
                <w:color w:val="0055B7"/>
                <w:spacing w:val="0"/>
              </w:rPr>
              <w:t>www.proxyvote.com</w:t>
            </w:r>
            <w:r>
              <w:rPr/>
              <w:t xml:space="preserve"> </w:t>
            </w:r>
          </w:p>
        </w:tc>
        <w:tc>
          <w:tcPr>
            <w:tcW w:w="109" w:type="dxa"/>
            <w:tcBorders>
              <w:bottom w:val="single" w:sz="8" w:space="0" w:color="3E8DDD"/>
            </w:tcBorders>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76</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THER</w:t>
      </w:r>
      <w:r>
        <w:rPr>
          <w:rFonts w:ascii="Arial;Helvetica;sans-serif" w:hAnsi="Arial;Helvetica;sans-serif"/>
          <w:b w:val="false"/>
          <w:i w:val="false"/>
          <w:caps w:val="false"/>
          <w:smallCaps w:val="false"/>
          <w:color w:val="C3C5C8"/>
          <w:spacing w:val="-1"/>
          <w:sz w:val="15"/>
        </w:rPr>
        <w:t xml:space="preserve"> I</w:t>
      </w:r>
      <w:r>
        <w:rPr>
          <w:rFonts w:ascii="Arial;Helvetica;sans-serif" w:hAnsi="Arial;Helvetica;sans-serif"/>
          <w:b w:val="false"/>
          <w:i w:val="false"/>
          <w:caps w:val="false"/>
          <w:smallCaps w:val="false"/>
          <w:color w:val="C3C5C8"/>
          <w:spacing w:val="-1"/>
          <w:sz w:val="15"/>
        </w:rPr>
        <w:t>NFORMATION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283"/>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HAT IS THE</w:t>
      </w:r>
      <w:r>
        <w:rPr>
          <w:rFonts w:ascii="Arial;Helvetica;sans-serif" w:hAnsi="Arial;Helvetica;sans-serif"/>
          <w:b/>
          <w:i w:val="false"/>
          <w:caps w:val="false"/>
          <w:smallCaps w:val="false"/>
          <w:color w:val="0055B7"/>
          <w:spacing w:val="-3"/>
          <w:sz w:val="24"/>
        </w:rPr>
        <w:t xml:space="preserve"> D</w:t>
      </w:r>
      <w:r>
        <w:rPr>
          <w:rFonts w:ascii="Arial;Helvetica;sans-serif" w:hAnsi="Arial;Helvetica;sans-serif"/>
          <w:b/>
          <w:i w:val="false"/>
          <w:caps w:val="false"/>
          <w:smallCaps w:val="false"/>
          <w:color w:val="0055B7"/>
          <w:spacing w:val="-3"/>
          <w:sz w:val="24"/>
        </w:rPr>
        <w:t>IFFERENCE</w:t>
      </w:r>
      <w:r>
        <w:rPr>
          <w:rFonts w:ascii="Arial;Helvetica;sans-serif" w:hAnsi="Arial;Helvetica;sans-serif"/>
          <w:b/>
          <w:i w:val="false"/>
          <w:caps w:val="false"/>
          <w:smallCaps w:val="false"/>
          <w:color w:val="0055B7"/>
          <w:spacing w:val="-3"/>
          <w:sz w:val="24"/>
        </w:rPr>
        <w:t xml:space="preserve"> </w:t>
      </w:r>
      <w:r>
        <w:rPr>
          <w:rFonts w:ascii="Arial;Helvetica;sans-serif" w:hAnsi="Arial;Helvetica;sans-serif"/>
          <w:b/>
          <w:i w:val="false"/>
          <w:caps w:val="false"/>
          <w:smallCaps w:val="false"/>
          <w:color w:val="0055B7"/>
          <w:spacing w:val="-1"/>
          <w:sz w:val="24"/>
        </w:rPr>
        <w:t>between</w:t>
      </w:r>
      <w:r>
        <w:rPr>
          <w:rFonts w:ascii="Arial;Helvetica;sans-serif" w:hAnsi="Arial;Helvetica;sans-serif"/>
          <w:b/>
          <w:i w:val="false"/>
          <w:caps w:val="false"/>
          <w:smallCaps w:val="false"/>
          <w:color w:val="0055B7"/>
          <w:spacing w:val="-3"/>
          <w:sz w:val="24"/>
        </w:rPr>
        <w:t xml:space="preserve"> R</w:t>
      </w:r>
      <w:r>
        <w:rPr>
          <w:rFonts w:ascii="Arial;Helvetica;sans-serif" w:hAnsi="Arial;Helvetica;sans-serif"/>
          <w:b/>
          <w:i w:val="false"/>
          <w:caps w:val="false"/>
          <w:smallCaps w:val="false"/>
          <w:color w:val="0055B7"/>
          <w:spacing w:val="-3"/>
          <w:sz w:val="24"/>
        </w:rPr>
        <w:t>EGISTERED</w:t>
      </w:r>
      <w:r>
        <w:rPr>
          <w:rFonts w:ascii="Arial;Helvetica;sans-serif" w:hAnsi="Arial;Helvetica;sans-serif"/>
          <w:b/>
          <w:i w:val="false"/>
          <w:caps w:val="false"/>
          <w:smallCaps w:val="false"/>
          <w:color w:val="0055B7"/>
          <w:spacing w:val="-3"/>
          <w:sz w:val="24"/>
        </w:rPr>
        <w:t xml:space="preserve"> H</w:t>
      </w:r>
      <w:r>
        <w:rPr>
          <w:rFonts w:ascii="Arial;Helvetica;sans-serif" w:hAnsi="Arial;Helvetica;sans-serif"/>
          <w:b/>
          <w:i w:val="false"/>
          <w:caps w:val="false"/>
          <w:smallCaps w:val="false"/>
          <w:color w:val="0055B7"/>
          <w:spacing w:val="-3"/>
          <w:sz w:val="24"/>
        </w:rPr>
        <w:t>OLDERS AND</w:t>
      </w:r>
      <w:r>
        <w:rPr>
          <w:rFonts w:ascii="Arial;Helvetica;sans-serif" w:hAnsi="Arial;Helvetica;sans-serif"/>
          <w:b/>
          <w:i w:val="false"/>
          <w:caps w:val="false"/>
          <w:smallCaps w:val="false"/>
          <w:color w:val="0055B7"/>
          <w:spacing w:val="-3"/>
          <w:sz w:val="24"/>
        </w:rPr>
        <w:t xml:space="preserve"> B</w:t>
      </w:r>
      <w:r>
        <w:rPr>
          <w:rFonts w:ascii="Arial;Helvetica;sans-serif" w:hAnsi="Arial;Helvetica;sans-serif"/>
          <w:b/>
          <w:i w:val="false"/>
          <w:caps w:val="false"/>
          <w:smallCaps w:val="false"/>
          <w:color w:val="0055B7"/>
          <w:spacing w:val="-3"/>
          <w:sz w:val="24"/>
        </w:rPr>
        <w:t>ENEFICIAL</w:t>
      </w:r>
      <w:r>
        <w:rPr>
          <w:rFonts w:ascii="Arial;Helvetica;sans-serif" w:hAnsi="Arial;Helvetica;sans-serif"/>
          <w:b/>
          <w:i w:val="false"/>
          <w:caps w:val="false"/>
          <w:smallCaps w:val="false"/>
          <w:color w:val="0055B7"/>
          <w:spacing w:val="-3"/>
          <w:sz w:val="24"/>
        </w:rPr>
        <w:t xml:space="preserve"> H</w:t>
      </w:r>
      <w:r>
        <w:rPr>
          <w:rFonts w:ascii="Arial;Helvetica;sans-serif" w:hAnsi="Arial;Helvetica;sans-serif"/>
          <w:b/>
          <w:i w:val="false"/>
          <w:caps w:val="false"/>
          <w:smallCaps w:val="false"/>
          <w:color w:val="0055B7"/>
          <w:spacing w:val="-3"/>
          <w:sz w:val="24"/>
        </w:rPr>
        <w:t>OLDERS</w:t>
      </w:r>
      <w:r>
        <w:rPr>
          <w:rFonts w:ascii="Arial;Helvetica;sans-serif" w:hAnsi="Arial;Helvetica;sans-serif"/>
          <w:b/>
          <w:i w:val="false"/>
          <w:caps w:val="false"/>
          <w:smallCaps w:val="false"/>
          <w:color w:val="0055B7"/>
          <w:spacing w:val="-3"/>
          <w:sz w:val="24"/>
        </w:rPr>
        <w:t>?</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139700" cy="355600"/>
                <wp:effectExtent l="0" t="0" r="0" b="0"/>
                <wp:wrapSquare wrapText="right"/>
                <wp:docPr id="465" name="Frame299"/>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6</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6</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43" w:type="dxa"/>
          <w:right w:w="0" w:type="dxa"/>
        </w:tblCellMar>
      </w:tblPr>
      <w:tblGrid>
        <w:gridCol w:w="1853"/>
        <w:gridCol w:w="109"/>
        <w:gridCol w:w="109"/>
        <w:gridCol w:w="2844"/>
        <w:gridCol w:w="109"/>
        <w:gridCol w:w="109"/>
        <w:gridCol w:w="1711"/>
        <w:gridCol w:w="109"/>
        <w:gridCol w:w="109"/>
        <w:gridCol w:w="2267"/>
        <w:gridCol w:w="156"/>
      </w:tblGrid>
      <w:tr>
        <w:trPr/>
        <w:tc>
          <w:tcPr>
            <w:tcW w:w="185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44" w:type="dxa"/>
            <w:tcBorders>
              <w:bottom w:val="single" w:sz="2" w:space="0" w:color="000000"/>
            </w:tcBorders>
            <w:vAlign w:val="center"/>
          </w:tcPr>
          <w:p>
            <w:pPr>
              <w:pStyle w:val="TableContents"/>
              <w:bidi w:val="0"/>
              <w:spacing w:before="0" w:after="0"/>
              <w:jc w:val="left"/>
              <w:rPr>
                <w:spacing w:val="0"/>
              </w:rPr>
            </w:pPr>
            <w:r>
              <w:rPr>
                <w:spacing w:val="0"/>
              </w:rPr>
              <w:t xml:space="preserve">How You Hold Your Shares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11" w:type="dxa"/>
            <w:tcBorders>
              <w:bottom w:val="single" w:sz="2" w:space="0" w:color="000000"/>
            </w:tcBorders>
            <w:vAlign w:val="center"/>
          </w:tcPr>
          <w:p>
            <w:pPr>
              <w:pStyle w:val="TableContents"/>
              <w:bidi w:val="0"/>
              <w:spacing w:before="0" w:after="283"/>
              <w:jc w:val="left"/>
              <w:rPr>
                <w:spacing w:val="0"/>
              </w:rPr>
            </w:pPr>
            <w:r>
              <w:rPr>
                <w:spacing w:val="0"/>
              </w:rPr>
              <w:t xml:space="preserve">How You Receive </w:t>
              <w:br/>
              <w:t xml:space="preserve">the Proxy Materials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67" w:type="dxa"/>
            <w:tcBorders>
              <w:bottom w:val="single" w:sz="2" w:space="0" w:color="000000"/>
            </w:tcBorders>
            <w:vAlign w:val="center"/>
          </w:tcPr>
          <w:p>
            <w:pPr>
              <w:pStyle w:val="TableContents"/>
              <w:bidi w:val="0"/>
              <w:spacing w:before="0" w:after="0"/>
              <w:jc w:val="left"/>
              <w:rPr>
                <w:spacing w:val="0"/>
              </w:rPr>
            </w:pPr>
            <w:r>
              <w:rPr>
                <w:spacing w:val="0"/>
              </w:rPr>
              <w:t xml:space="preserve">How Your Vote Works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853" w:type="dxa"/>
            <w:tcBorders>
              <w:bottom w:val="single" w:sz="6" w:space="0" w:color="000000"/>
            </w:tcBorders>
            <w:tcMar>
              <w:bottom w:w="32" w:type="dxa"/>
            </w:tcMar>
            <w:vAlign w:val="center"/>
          </w:tcPr>
          <w:p>
            <w:pPr>
              <w:pStyle w:val="TableContents"/>
              <w:bidi w:val="0"/>
              <w:spacing w:before="0" w:after="283"/>
              <w:jc w:val="left"/>
              <w:rPr/>
            </w:pPr>
            <w:r>
              <w:rPr>
                <w:b/>
                <w:spacing w:val="0"/>
              </w:rPr>
              <w:t>Registered Holders</w:t>
            </w:r>
            <w:r>
              <w:rPr>
                <w:spacing w:val="-1"/>
              </w:rPr>
              <w:t xml:space="preserve"> (“stockholders of record”)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844"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Shares held directly in their own name with our transfer agent, Equiniti Trust Company, LLC.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11"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From the Company or Broadridge Financial Solutions, Inc.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7"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Instructs the proxies how to vote your shares (by Internet, telephone, mail, or during the Annual Meeting).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853" w:type="dxa"/>
            <w:tcBorders>
              <w:bottom w:val="single" w:sz="6" w:space="0" w:color="000000"/>
            </w:tcBorders>
            <w:tcMar>
              <w:bottom w:w="30" w:type="dxa"/>
            </w:tcMar>
            <w:vAlign w:val="center"/>
          </w:tcPr>
          <w:p>
            <w:pPr>
              <w:pStyle w:val="TableContents"/>
              <w:bidi w:val="0"/>
              <w:spacing w:before="0" w:after="283"/>
              <w:jc w:val="left"/>
              <w:rPr/>
            </w:pPr>
            <w:r>
              <w:rPr>
                <w:b/>
                <w:spacing w:val="0"/>
              </w:rPr>
              <w:t>Beneficial Holders</w:t>
            </w:r>
            <w:r>
              <w:rPr>
                <w:spacing w:val="-1"/>
              </w:rPr>
              <w:t xml:space="preserve"> (“street name” holders)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844" w:type="dxa"/>
            <w:tcBorders>
              <w:bottom w:val="single" w:sz="6" w:space="0" w:color="000000"/>
            </w:tcBorders>
            <w:tcMar>
              <w:bottom w:w="30" w:type="dxa"/>
            </w:tcMar>
            <w:vAlign w:val="center"/>
          </w:tcPr>
          <w:p>
            <w:pPr>
              <w:pStyle w:val="TableContents"/>
              <w:bidi w:val="0"/>
              <w:spacing w:before="0" w:after="283"/>
              <w:jc w:val="left"/>
              <w:rPr>
                <w:spacing w:val="-1"/>
              </w:rPr>
            </w:pPr>
            <w:r>
              <w:rPr>
                <w:spacing w:val="-1"/>
              </w:rPr>
              <w:t xml:space="preserve">Shares held indirectly through an account with an institutional or nominee holder of our stock, such as a broker or bank who is the record holder of the stock.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11" w:type="dxa"/>
            <w:tcBorders>
              <w:bottom w:val="single" w:sz="6" w:space="0" w:color="000000"/>
            </w:tcBorders>
            <w:tcMar>
              <w:bottom w:w="30" w:type="dxa"/>
            </w:tcMar>
            <w:vAlign w:val="center"/>
          </w:tcPr>
          <w:p>
            <w:pPr>
              <w:pStyle w:val="TableContents"/>
              <w:bidi w:val="0"/>
              <w:spacing w:before="0" w:after="283"/>
              <w:jc w:val="left"/>
              <w:rPr>
                <w:spacing w:val="-1"/>
              </w:rPr>
            </w:pPr>
            <w:r>
              <w:rPr>
                <w:spacing w:val="-1"/>
              </w:rPr>
              <w:t xml:space="preserve">From your broker, bank, or other nominee.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7" w:type="dxa"/>
            <w:tcBorders>
              <w:bottom w:val="single" w:sz="6" w:space="0" w:color="000000"/>
            </w:tcBorders>
            <w:tcMar>
              <w:bottom w:w="30" w:type="dxa"/>
            </w:tcMar>
            <w:vAlign w:val="center"/>
          </w:tcPr>
          <w:p>
            <w:pPr>
              <w:pStyle w:val="TableContents"/>
              <w:bidi w:val="0"/>
              <w:spacing w:before="0" w:after="283"/>
              <w:jc w:val="left"/>
              <w:rPr/>
            </w:pPr>
            <w:r>
              <w:rPr>
                <w:spacing w:val="-1"/>
              </w:rPr>
              <w:t>Instructs your nominee how to vote your shares, and that nominee in turn, instructs the proxies how to vote your shares.</w:t>
            </w:r>
            <w:r>
              <w:rPr/>
              <w:t xml:space="preserve">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152" w:after="0"/>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H</w:t>
      </w:r>
      <w:r>
        <w:rPr>
          <w:rFonts w:ascii="Arial;Helvetica;sans-serif" w:hAnsi="Arial;Helvetica;sans-serif"/>
          <w:b/>
          <w:i w:val="false"/>
          <w:caps w:val="false"/>
          <w:smallCaps w:val="false"/>
          <w:color w:val="0055B7"/>
          <w:spacing w:val="-3"/>
          <w:sz w:val="24"/>
        </w:rPr>
        <w:t>OW IS</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EDLINE</w:t>
      </w:r>
      <w:r>
        <w:rPr>
          <w:rFonts w:ascii="Arial;Helvetica;sans-serif" w:hAnsi="Arial;Helvetica;sans-serif"/>
          <w:b/>
          <w:i w:val="false"/>
          <w:caps w:val="false"/>
          <w:smallCaps w:val="false"/>
          <w:color w:val="0055B7"/>
          <w:spacing w:val="-3"/>
          <w:sz w:val="24"/>
        </w:rPr>
        <w:t xml:space="preserve"> D</w:t>
      </w:r>
      <w:r>
        <w:rPr>
          <w:rFonts w:ascii="Arial;Helvetica;sans-serif" w:hAnsi="Arial;Helvetica;sans-serif"/>
          <w:b/>
          <w:i w:val="false"/>
          <w:caps w:val="false"/>
          <w:smallCaps w:val="false"/>
          <w:color w:val="0055B7"/>
          <w:spacing w:val="-3"/>
          <w:sz w:val="24"/>
        </w:rPr>
        <w:t>ISTRIBUTING</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ROXY</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ATERIALS</w:t>
      </w:r>
      <w:r>
        <w:rPr>
          <w:rFonts w:ascii="Arial;Helvetica;sans-serif" w:hAnsi="Arial;Helvetica;sans-serif"/>
          <w:b/>
          <w:i w:val="false"/>
          <w:caps w:val="false"/>
          <w:smallCaps w:val="false"/>
          <w:color w:val="0055B7"/>
          <w:spacing w:val="-3"/>
          <w:sz w:val="24"/>
        </w:rPr>
        <w:t>?</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96520" distB="0" distL="0" distR="0" simplePos="0" locked="0" layoutInCell="1" allowOverlap="1" relativeHeight="458">
                <wp:simplePos x="0" y="0"/>
                <wp:positionH relativeFrom="column">
                  <wp:align>left</wp:align>
                </wp:positionH>
                <wp:positionV relativeFrom="line">
                  <wp:align>top</wp:align>
                </wp:positionV>
                <wp:extent cx="139700" cy="355600"/>
                <wp:effectExtent l="0" t="0" r="0" b="0"/>
                <wp:wrapSquare wrapText="right"/>
                <wp:docPr id="466" name="Frame300"/>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7</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7</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are furnishing proxy materials to our stockholders primarily via “Notice and Access” delivery. On or about April 23, 2026, we mailed to our stockholders entitled to vote at the Annual Meeting (other than those who previously requested email or paper delivery) a Notice containing instructions on how to access the proxy materials via the Internet and how to vote.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If you receive a Notice by mail, you will not receive a printed copy of the proxy materials. Instead, the Notice instructs you on how to access the proxy materials and vote via a secure website. </w:t>
      </w:r>
      <w:r>
        <w:rPr>
          <w:rFonts w:ascii="Arial;Helvetica;sans-serif" w:hAnsi="Arial;Helvetica;sans-serif"/>
          <w:b/>
          <w:i w:val="false"/>
          <w:caps w:val="false"/>
          <w:smallCaps w:val="false"/>
          <w:color w:val="000000"/>
          <w:spacing w:val="0"/>
          <w:sz w:val="18"/>
        </w:rPr>
        <w:t>If you received a Notice by mail and would like to receive paper copies of our proxy materials in the mail on a one-time or ongoing basis, free of charge, you may follow the instructions in the Notice for making this request.</w:t>
      </w:r>
      <w:r>
        <w:rPr>
          <w:rFonts w:ascii="Arial;Helvetica;sans-serif" w:hAnsi="Arial;Helvetica;sans-serif"/>
          <w:b w:val="false"/>
          <w:i w:val="false"/>
          <w:caps w:val="false"/>
          <w:smallCaps w:val="false"/>
          <w:color w:val="000000"/>
          <w:spacing w:val="-1"/>
          <w:sz w:val="18"/>
        </w:rPr>
        <w:t xml:space="preserve"> On or about April 23, 2026, we also emailed and mailed printed copies of our proxy materials to those of our stockholders who previously requested email and paper delivery, respectively.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2" w:after="0"/>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HAT IS THE</w:t>
      </w:r>
      <w:r>
        <w:rPr>
          <w:rFonts w:ascii="Arial;Helvetica;sans-serif" w:hAnsi="Arial;Helvetica;sans-serif"/>
          <w:b/>
          <w:i w:val="false"/>
          <w:caps w:val="false"/>
          <w:smallCaps w:val="false"/>
          <w:color w:val="0055B7"/>
          <w:spacing w:val="-3"/>
          <w:sz w:val="24"/>
        </w:rPr>
        <w:t xml:space="preserve"> Q</w:t>
      </w:r>
      <w:r>
        <w:rPr>
          <w:rFonts w:ascii="Arial;Helvetica;sans-serif" w:hAnsi="Arial;Helvetica;sans-serif"/>
          <w:b/>
          <w:i w:val="false"/>
          <w:caps w:val="false"/>
          <w:smallCaps w:val="false"/>
          <w:color w:val="0055B7"/>
          <w:spacing w:val="-3"/>
          <w:sz w:val="24"/>
        </w:rPr>
        <w:t>UORUM</w:t>
      </w:r>
      <w:r>
        <w:rPr>
          <w:rFonts w:ascii="Arial;Helvetica;sans-serif" w:hAnsi="Arial;Helvetica;sans-serif"/>
          <w:b/>
          <w:i w:val="false"/>
          <w:caps w:val="false"/>
          <w:smallCaps w:val="false"/>
          <w:color w:val="0055B7"/>
          <w:spacing w:val="-3"/>
          <w:sz w:val="24"/>
        </w:rPr>
        <w:t xml:space="preserve"> R</w:t>
      </w:r>
      <w:r>
        <w:rPr>
          <w:rFonts w:ascii="Arial;Helvetica;sans-serif" w:hAnsi="Arial;Helvetica;sans-serif"/>
          <w:b/>
          <w:i w:val="false"/>
          <w:caps w:val="false"/>
          <w:smallCaps w:val="false"/>
          <w:color w:val="0055B7"/>
          <w:spacing w:val="-3"/>
          <w:sz w:val="24"/>
        </w:rPr>
        <w:t>EQUIREMENT</w:t>
      </w:r>
      <w:r>
        <w:rPr>
          <w:rFonts w:ascii="Arial;Helvetica;sans-serif" w:hAnsi="Arial;Helvetica;sans-serif"/>
          <w:b/>
          <w:i w:val="false"/>
          <w:caps w:val="false"/>
          <w:smallCaps w:val="false"/>
          <w:color w:val="0055B7"/>
          <w:spacing w:val="-3"/>
          <w:sz w:val="24"/>
        </w:rPr>
        <w:t>?</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77470" distB="0" distL="0" distR="0" simplePos="0" locked="0" layoutInCell="1" allowOverlap="1" relativeHeight="459">
                <wp:simplePos x="0" y="0"/>
                <wp:positionH relativeFrom="column">
                  <wp:align>left</wp:align>
                </wp:positionH>
                <wp:positionV relativeFrom="line">
                  <wp:align>top</wp:align>
                </wp:positionV>
                <wp:extent cx="139700" cy="355600"/>
                <wp:effectExtent l="0" t="0" r="0" b="0"/>
                <wp:wrapSquare wrapText="right"/>
                <wp:docPr id="467" name="Frame301"/>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8</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8</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quorum is present if a majority of the outstanding shares of our Class A common stock and Class B common stock entitled to vote as of the Record Date are represented at the Annual Meeting, either in person or by proxy.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Shares of Class A common stock and Class B common stock represented at the Annual Meeting in person or by proxy, including abstentions and broker non-votes, are counted for purposes of determining whether a quorum is present. As of the close of business on the Record Date, there were 845,611,435 shares of our common stock and 468,081,977 shares of our Class B common stock outstanding and entitled to vote.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2" w:after="0"/>
        <w:ind w:left="94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HAT</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OTE IS</w:t>
      </w:r>
      <w:r>
        <w:rPr>
          <w:rFonts w:ascii="Arial;Helvetica;sans-serif" w:hAnsi="Arial;Helvetica;sans-serif"/>
          <w:b/>
          <w:i w:val="false"/>
          <w:caps w:val="false"/>
          <w:smallCaps w:val="false"/>
          <w:color w:val="0055B7"/>
          <w:spacing w:val="-3"/>
          <w:sz w:val="24"/>
        </w:rPr>
        <w:t xml:space="preserve"> N</w:t>
      </w:r>
      <w:r>
        <w:rPr>
          <w:rFonts w:ascii="Arial;Helvetica;sans-serif" w:hAnsi="Arial;Helvetica;sans-serif"/>
          <w:b/>
          <w:i w:val="false"/>
          <w:caps w:val="false"/>
          <w:smallCaps w:val="false"/>
          <w:color w:val="0055B7"/>
          <w:spacing w:val="-3"/>
          <w:sz w:val="24"/>
        </w:rPr>
        <w:t>EEDED TO</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PPROVE</w:t>
      </w:r>
      <w:r>
        <w:rPr>
          <w:rFonts w:ascii="Arial;Helvetica;sans-serif" w:hAnsi="Arial;Helvetica;sans-serif"/>
          <w:b/>
          <w:i w:val="false"/>
          <w:caps w:val="false"/>
          <w:smallCaps w:val="false"/>
          <w:color w:val="0055B7"/>
          <w:spacing w:val="-3"/>
          <w:sz w:val="24"/>
        </w:rPr>
        <w:t xml:space="preserve"> </w:t>
      </w:r>
      <w:r>
        <w:rPr>
          <w:rFonts w:ascii="Arial;Helvetica;sans-serif" w:hAnsi="Arial;Helvetica;sans-serif"/>
          <w:b/>
          <w:i w:val="false"/>
          <w:caps w:val="false"/>
          <w:smallCaps w:val="false"/>
          <w:color w:val="0055B7"/>
          <w:spacing w:val="-1"/>
          <w:sz w:val="24"/>
        </w:rPr>
        <w:t>each</w:t>
      </w:r>
      <w:r>
        <w:rPr>
          <w:rFonts w:ascii="Arial;Helvetica;sans-serif" w:hAnsi="Arial;Helvetica;sans-serif"/>
          <w:b/>
          <w:i w:val="false"/>
          <w:caps w:val="false"/>
          <w:smallCaps w:val="false"/>
          <w:color w:val="0055B7"/>
          <w:spacing w:val="-3"/>
          <w:sz w:val="24"/>
        </w:rPr>
        <w:t xml:space="preserve"> OF THE</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ROPOSALS?</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77470" distB="0" distL="0" distR="0" simplePos="0" locked="0" layoutInCell="1" allowOverlap="1" relativeHeight="460">
                <wp:simplePos x="0" y="0"/>
                <wp:positionH relativeFrom="column">
                  <wp:align>left</wp:align>
                </wp:positionH>
                <wp:positionV relativeFrom="line">
                  <wp:align>top</wp:align>
                </wp:positionV>
                <wp:extent cx="139700" cy="355600"/>
                <wp:effectExtent l="0" t="0" r="0" b="0"/>
                <wp:wrapSquare wrapText="right"/>
                <wp:docPr id="468" name="Frame302"/>
                <a:graphic xmlns:a="http://schemas.openxmlformats.org/drawingml/2006/main">
                  <a:graphicData uri="http://schemas.microsoft.com/office/word/2010/wordprocessingShape">
                    <wps:wsp>
                      <wps:cNvSpPr txBox="1"/>
                      <wps:spPr>
                        <a:xfrm>
                          <a:off x="0" y="0"/>
                          <a:ext cx="1397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9</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1pt;height:28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9</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63" w:type="dxa"/>
          <w:right w:w="0" w:type="dxa"/>
        </w:tblCellMar>
      </w:tblPr>
      <w:tblGrid>
        <w:gridCol w:w="308"/>
        <w:gridCol w:w="109"/>
        <w:gridCol w:w="109"/>
        <w:gridCol w:w="3933"/>
        <w:gridCol w:w="109"/>
        <w:gridCol w:w="109"/>
        <w:gridCol w:w="1496"/>
        <w:gridCol w:w="109"/>
        <w:gridCol w:w="109"/>
        <w:gridCol w:w="1291"/>
        <w:gridCol w:w="109"/>
        <w:gridCol w:w="109"/>
        <w:gridCol w:w="1430"/>
        <w:gridCol w:w="155"/>
      </w:tblGrid>
      <w:tr>
        <w:trPr/>
        <w:tc>
          <w:tcPr>
            <w:tcW w:w="4459" w:type="dxa"/>
            <w:gridSpan w:val="4"/>
            <w:tcBorders>
              <w:bottom w:val="single" w:sz="2" w:space="0" w:color="000000"/>
            </w:tcBorders>
            <w:vAlign w:val="center"/>
          </w:tcPr>
          <w:p>
            <w:pPr>
              <w:pStyle w:val="TableContents"/>
              <w:bidi w:val="0"/>
              <w:spacing w:before="0" w:after="0"/>
              <w:jc w:val="left"/>
              <w:rPr>
                <w:spacing w:val="0"/>
              </w:rPr>
            </w:pPr>
            <w:r>
              <w:rPr>
                <w:spacing w:val="0"/>
              </w:rPr>
              <w:t xml:space="preserve">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6" w:type="dxa"/>
            <w:tcBorders>
              <w:bottom w:val="single" w:sz="2" w:space="0" w:color="000000"/>
            </w:tcBorders>
            <w:vAlign w:val="center"/>
          </w:tcPr>
          <w:p>
            <w:pPr>
              <w:pStyle w:val="TableContents"/>
              <w:bidi w:val="0"/>
              <w:spacing w:before="0" w:after="0"/>
              <w:jc w:val="center"/>
              <w:rPr>
                <w:spacing w:val="0"/>
              </w:rPr>
            </w:pPr>
            <w:r>
              <w:rPr>
                <w:spacing w:val="0"/>
              </w:rPr>
              <w:t xml:space="preserve">Vote Requirement </w:t>
              <w:br/>
              <w:t xml:space="preserve">(of votes cast)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1" w:type="dxa"/>
            <w:tcBorders>
              <w:bottom w:val="single" w:sz="2" w:space="0" w:color="000000"/>
            </w:tcBorders>
            <w:vAlign w:val="center"/>
          </w:tcPr>
          <w:p>
            <w:pPr>
              <w:pStyle w:val="TableContents"/>
              <w:bidi w:val="0"/>
              <w:spacing w:before="0" w:after="0"/>
              <w:jc w:val="center"/>
              <w:rPr/>
            </w:pPr>
            <w:r>
              <w:rPr>
                <w:spacing w:val="0"/>
              </w:rPr>
              <w:t>Abstentions/</w:t>
            </w:r>
            <w:r>
              <w:rPr/>
              <w:t>​</w:t>
              <w:br/>
            </w:r>
            <w:r>
              <w:rPr>
                <w:spacing w:val="0"/>
              </w:rPr>
              <w:t xml:space="preserve">Withhold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0" w:type="dxa"/>
            <w:tcBorders>
              <w:bottom w:val="single" w:sz="2" w:space="0" w:color="000000"/>
            </w:tcBorders>
            <w:vAlign w:val="center"/>
          </w:tcPr>
          <w:p>
            <w:pPr>
              <w:pStyle w:val="TableContents"/>
              <w:bidi w:val="0"/>
              <w:spacing w:before="0" w:after="0"/>
              <w:jc w:val="center"/>
              <w:rPr>
                <w:spacing w:val="0"/>
              </w:rPr>
            </w:pPr>
            <w:r>
              <w:rPr>
                <w:spacing w:val="0"/>
              </w:rPr>
              <w:t xml:space="preserve">Broker Non-Votes+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08" w:type="dxa"/>
            <w:tcBorders>
              <w:bottom w:val="single" w:sz="2" w:space="0" w:color="000000"/>
            </w:tcBorders>
            <w:tcMar>
              <w:bottom w:w="28" w:type="dxa"/>
            </w:tcMar>
            <w:vAlign w:val="center"/>
          </w:tcPr>
          <w:p>
            <w:pPr>
              <w:pStyle w:val="TableContents"/>
              <w:bidi w:val="0"/>
              <w:spacing w:lineRule="atLeast" w:line="340" w:before="0" w:after="0"/>
              <w:jc w:val="center"/>
              <w:rPr>
                <w:b/>
                <w:color w:val="0055B7"/>
                <w:sz w:val="32"/>
              </w:rPr>
            </w:pPr>
            <w:r>
              <w:rPr>
                <w:b/>
                <w:color w:val="0055B7"/>
                <w:spacing w:val="-4"/>
                <w:sz w:val="32"/>
              </w:rPr>
              <w:t>1</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3" w:type="dxa"/>
            <w:tcBorders>
              <w:bottom w:val="single" w:sz="2" w:space="0" w:color="000000"/>
            </w:tcBorders>
            <w:tcMar>
              <w:bottom w:w="28" w:type="dxa"/>
            </w:tcMar>
            <w:vAlign w:val="center"/>
          </w:tcPr>
          <w:p>
            <w:pPr>
              <w:pStyle w:val="TableContents"/>
              <w:bidi w:val="0"/>
              <w:spacing w:lineRule="atLeast" w:line="200" w:before="0" w:after="0"/>
              <w:jc w:val="left"/>
              <w:rPr>
                <w:spacing w:val="-1"/>
              </w:rPr>
            </w:pPr>
            <w:r>
              <w:rPr>
                <w:spacing w:val="-1"/>
              </w:rPr>
              <w:t xml:space="preserve">Election of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6" w:type="dxa"/>
            <w:tcBorders>
              <w:bottom w:val="single" w:sz="2" w:space="0" w:color="000000"/>
            </w:tcBorders>
            <w:tcMar>
              <w:bottom w:w="28" w:type="dxa"/>
            </w:tcMar>
            <w:vAlign w:val="center"/>
          </w:tcPr>
          <w:p>
            <w:pPr>
              <w:pStyle w:val="TableContents"/>
              <w:bidi w:val="0"/>
              <w:spacing w:lineRule="atLeast" w:line="200" w:before="0" w:after="0"/>
              <w:jc w:val="center"/>
              <w:rPr/>
            </w:pPr>
            <w:r>
              <w:rPr>
                <w:spacing w:val="-1"/>
              </w:rPr>
              <w:t>Plurality♦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1" w:type="dxa"/>
            <w:tcBorders>
              <w:bottom w:val="single" w:sz="2" w:space="0" w:color="000000"/>
            </w:tcBorders>
            <w:tcMar>
              <w:bottom w:w="28" w:type="dxa"/>
            </w:tcMar>
            <w:vAlign w:val="center"/>
          </w:tcPr>
          <w:p>
            <w:pPr>
              <w:pStyle w:val="TableContents"/>
              <w:bidi w:val="0"/>
              <w:spacing w:lineRule="atLeast" w:line="200" w:before="0" w:after="0"/>
              <w:jc w:val="center"/>
              <w:rPr>
                <w:spacing w:val="-1"/>
              </w:rPr>
            </w:pPr>
            <w:r>
              <w:rPr>
                <w:spacing w:val="-1"/>
              </w:rPr>
              <w:t xml:space="preserve">No effect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0" w:type="dxa"/>
            <w:tcBorders>
              <w:bottom w:val="single" w:sz="2" w:space="0" w:color="000000"/>
            </w:tcBorders>
            <w:tcMar>
              <w:bottom w:w="28" w:type="dxa"/>
            </w:tcMar>
            <w:vAlign w:val="center"/>
          </w:tcPr>
          <w:p>
            <w:pPr>
              <w:pStyle w:val="TableContents"/>
              <w:bidi w:val="0"/>
              <w:spacing w:lineRule="atLeast" w:line="200" w:before="0" w:after="0"/>
              <w:jc w:val="center"/>
              <w:rPr>
                <w:spacing w:val="-1"/>
              </w:rPr>
            </w:pPr>
            <w:r>
              <w:rPr>
                <w:spacing w:val="-1"/>
              </w:rPr>
              <w:t xml:space="preserve">No effect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08" w:type="dxa"/>
            <w:tcBorders>
              <w:bottom w:val="single" w:sz="2" w:space="0" w:color="000000"/>
            </w:tcBorders>
            <w:tcMar>
              <w:bottom w:w="60" w:type="dxa"/>
            </w:tcMar>
            <w:vAlign w:val="center"/>
          </w:tcPr>
          <w:p>
            <w:pPr>
              <w:pStyle w:val="TableContents"/>
              <w:bidi w:val="0"/>
              <w:spacing w:before="0" w:after="0"/>
              <w:jc w:val="center"/>
              <w:rPr>
                <w:b/>
                <w:color w:val="0055B7"/>
                <w:sz w:val="32"/>
              </w:rPr>
            </w:pPr>
            <w:r>
              <w:rPr>
                <w:b/>
                <w:color w:val="0055B7"/>
                <w:spacing w:val="-4"/>
                <w:sz w:val="32"/>
              </w:rPr>
              <w:t>2</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3" w:type="dxa"/>
            <w:tcBorders>
              <w:bottom w:val="single" w:sz="2" w:space="0" w:color="000000"/>
            </w:tcBorders>
            <w:tcMar>
              <w:bottom w:w="40" w:type="dxa"/>
            </w:tcMar>
            <w:vAlign w:val="center"/>
          </w:tcPr>
          <w:p>
            <w:pPr>
              <w:pStyle w:val="TableContents"/>
              <w:bidi w:val="0"/>
              <w:spacing w:lineRule="atLeast" w:line="200" w:before="0" w:after="0"/>
              <w:jc w:val="left"/>
              <w:rPr>
                <w:spacing w:val="-1"/>
              </w:rPr>
            </w:pPr>
            <w:r>
              <w:rPr>
                <w:spacing w:val="-1"/>
              </w:rPr>
              <w:t xml:space="preserve">Advisory Vote to Approve Our Executive 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6" w:type="dxa"/>
            <w:tcBorders>
              <w:bottom w:val="single" w:sz="2" w:space="0" w:color="000000"/>
            </w:tcBorders>
            <w:tcMar>
              <w:bottom w:w="28" w:type="dxa"/>
            </w:tcMar>
            <w:vAlign w:val="center"/>
          </w:tcPr>
          <w:p>
            <w:pPr>
              <w:pStyle w:val="TableContents"/>
              <w:bidi w:val="0"/>
              <w:spacing w:before="0" w:after="0"/>
              <w:jc w:val="center"/>
              <w:rPr/>
            </w:pPr>
            <w:r>
              <w:rPr>
                <w:spacing w:val="-1"/>
              </w:rPr>
              <w:t>Majority</w:t>
            </w:r>
            <w:r>
              <w:rPr>
                <w:b/>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1"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No effect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0"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No effect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08" w:type="dxa"/>
            <w:tcBorders>
              <w:bottom w:val="single" w:sz="2" w:space="0" w:color="000000"/>
            </w:tcBorders>
            <w:tcMar>
              <w:bottom w:w="60" w:type="dxa"/>
            </w:tcMar>
            <w:vAlign w:val="center"/>
          </w:tcPr>
          <w:p>
            <w:pPr>
              <w:pStyle w:val="TableContents"/>
              <w:bidi w:val="0"/>
              <w:spacing w:before="0" w:after="0"/>
              <w:jc w:val="center"/>
              <w:rPr>
                <w:b/>
                <w:color w:val="0055B7"/>
                <w:sz w:val="32"/>
              </w:rPr>
            </w:pPr>
            <w:r>
              <w:rPr>
                <w:b/>
                <w:color w:val="0055B7"/>
                <w:spacing w:val="-4"/>
                <w:sz w:val="32"/>
              </w:rPr>
              <w:t>3</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3" w:type="dxa"/>
            <w:tcBorders>
              <w:bottom w:val="single" w:sz="2" w:space="0" w:color="000000"/>
            </w:tcBorders>
            <w:tcMar>
              <w:bottom w:w="40" w:type="dxa"/>
            </w:tcMar>
            <w:vAlign w:val="center"/>
          </w:tcPr>
          <w:p>
            <w:pPr>
              <w:pStyle w:val="TableContents"/>
              <w:bidi w:val="0"/>
              <w:spacing w:lineRule="atLeast" w:line="200" w:before="0" w:after="0"/>
              <w:jc w:val="left"/>
              <w:rPr>
                <w:spacing w:val="-1"/>
              </w:rPr>
            </w:pPr>
            <w:r>
              <w:rPr>
                <w:spacing w:val="-1"/>
              </w:rPr>
              <w:t xml:space="preserve">Advisory Vote on the Frequency of Votes on Our Executive 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6" w:type="dxa"/>
            <w:tcBorders>
              <w:bottom w:val="single" w:sz="2" w:space="0" w:color="000000"/>
            </w:tcBorders>
            <w:tcMar>
              <w:bottom w:w="28" w:type="dxa"/>
            </w:tcMar>
            <w:vAlign w:val="center"/>
          </w:tcPr>
          <w:p>
            <w:pPr>
              <w:pStyle w:val="TableContents"/>
              <w:bidi w:val="0"/>
              <w:spacing w:before="0" w:after="0"/>
              <w:jc w:val="center"/>
              <w:rPr/>
            </w:pPr>
            <w:r>
              <w:rPr>
                <w:spacing w:val="-1"/>
              </w:rPr>
              <w:t>Majority</w:t>
            </w:r>
            <w:r>
              <w:rPr>
                <w:b/>
                <w:spacing w:val="-2"/>
              </w:rPr>
              <w:t>*</w:t>
            </w:r>
            <w:r>
              <w:rPr>
                <w:spacing w:val="-1"/>
                <w:sz w:val="1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1"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No effect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0"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No effect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08" w:type="dxa"/>
            <w:tcBorders>
              <w:bottom w:val="single" w:sz="2" w:space="0" w:color="000000"/>
            </w:tcBorders>
            <w:tcMar>
              <w:bottom w:w="28" w:type="dxa"/>
            </w:tcMar>
            <w:vAlign w:val="center"/>
          </w:tcPr>
          <w:p>
            <w:pPr>
              <w:pStyle w:val="TableContents"/>
              <w:bidi w:val="0"/>
              <w:spacing w:before="0" w:after="0"/>
              <w:jc w:val="center"/>
              <w:rPr>
                <w:b/>
                <w:color w:val="0055B7"/>
                <w:sz w:val="32"/>
              </w:rPr>
            </w:pPr>
            <w:r>
              <w:rPr>
                <w:b/>
                <w:color w:val="0055B7"/>
                <w:spacing w:val="-4"/>
                <w:sz w:val="32"/>
              </w:rPr>
              <w:t>4</w:t>
            </w:r>
            <w:r>
              <w:rPr>
                <w:b/>
                <w:color w:val="000000"/>
                <w:sz w:val="32"/>
              </w:rPr>
              <w:t>​</w:t>
            </w:r>
            <w:r>
              <w:rPr>
                <w:b/>
                <w:color w:val="0055B7"/>
                <w:sz w:val="3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3" w:type="dxa"/>
            <w:tcBorders>
              <w:bottom w:val="single" w:sz="2" w:space="0" w:color="000000"/>
            </w:tcBorders>
            <w:tcMar>
              <w:bottom w:w="120" w:type="dxa"/>
            </w:tcMar>
            <w:vAlign w:val="center"/>
          </w:tcPr>
          <w:p>
            <w:pPr>
              <w:pStyle w:val="TableContents"/>
              <w:bidi w:val="0"/>
              <w:spacing w:lineRule="atLeast" w:line="200" w:before="0" w:after="0"/>
              <w:jc w:val="left"/>
              <w:rPr>
                <w:spacing w:val="-1"/>
              </w:rPr>
            </w:pPr>
            <w:r>
              <w:rPr>
                <w:spacing w:val="-1"/>
              </w:rPr>
              <w:t xml:space="preserve">Ratification of the Selection of Ernst &amp; Young LLP as Our Independent Auditor for Fiscal Year 2026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6" w:type="dxa"/>
            <w:tcBorders>
              <w:bottom w:val="single" w:sz="2" w:space="0" w:color="000000"/>
            </w:tcBorders>
            <w:tcMar>
              <w:bottom w:w="28" w:type="dxa"/>
            </w:tcMar>
            <w:vAlign w:val="center"/>
          </w:tcPr>
          <w:p>
            <w:pPr>
              <w:pStyle w:val="TableContents"/>
              <w:bidi w:val="0"/>
              <w:spacing w:before="0" w:after="0"/>
              <w:jc w:val="center"/>
              <w:rPr/>
            </w:pPr>
            <w:r>
              <w:rPr>
                <w:spacing w:val="-1"/>
              </w:rPr>
              <w:t>Majority</w:t>
            </w:r>
            <w:r>
              <w:rPr>
                <w:b/>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1"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No effect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0" w:type="dxa"/>
            <w:tcBorders>
              <w:bottom w:val="single" w:sz="2" w:space="0" w:color="000000"/>
            </w:tcBorders>
            <w:tcMar>
              <w:bottom w:w="28" w:type="dxa"/>
            </w:tcMar>
            <w:vAlign w:val="center"/>
          </w:tcPr>
          <w:p>
            <w:pPr>
              <w:pStyle w:val="TableContents"/>
              <w:bidi w:val="0"/>
              <w:spacing w:before="0" w:after="0"/>
              <w:jc w:val="center"/>
              <w:rPr/>
            </w:pPr>
            <w:r>
              <w:rPr>
                <w:spacing w:val="-1"/>
              </w:rPr>
              <w:t>No effect</w:t>
            </w: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Broker Non</w:t>
      </w:r>
      <w:r>
        <w:rPr>
          <w:rFonts w:ascii="Arial;Helvetica;sans-serif" w:hAnsi="Arial;Helvetica;sans-serif"/>
          <w:b w:val="false"/>
          <w:i w:val="false"/>
          <w:caps w:val="false"/>
          <w:smallCaps w:val="false"/>
          <w:color w:val="000000"/>
          <w:spacing w:val="-1"/>
          <w:sz w:val="16"/>
        </w:rPr>
        <w:t>-</w:t>
      </w:r>
      <w:r>
        <w:rPr>
          <w:rFonts w:ascii="Arial;Helvetica;sans-serif" w:hAnsi="Arial;Helvetica;sans-serif"/>
          <w:b/>
          <w:i w:val="false"/>
          <w:caps w:val="false"/>
          <w:smallCaps w:val="false"/>
          <w:color w:val="000000"/>
          <w:spacing w:val="0"/>
          <w:sz w:val="16"/>
        </w:rPr>
        <w:t>Votes (if any).</w:t>
      </w:r>
      <w:r>
        <w:rPr>
          <w:rFonts w:ascii="Arial;Helvetica;sans-serif" w:hAnsi="Arial;Helvetica;sans-serif"/>
          <w:b w:val="false"/>
          <w:i w:val="false"/>
          <w:caps w:val="false"/>
          <w:smallCaps w:val="false"/>
          <w:color w:val="000000"/>
          <w:spacing w:val="-1"/>
          <w:sz w:val="16"/>
        </w:rPr>
        <w:t xml:space="preserve"> As described in Question 6, if you are a beneficial holder (hold your shares in street name through a broker, bank, or other nominee), your vote instructs your broker, bank, or other nominee, as the holder of record, how to vote your shares. If you do not provide voting instructions to your broker, bank, or other nominee, your nominee will have discretion to vote your shares on routine matters; however, your shares will not be voted on the other (non-routine) matters on the Annual Meeting agenda. Shares that are not voted on a non-routine proposal are treated as broker non-votes. Broker non-votes are counted for purposes of establishing a quorum at the Annual Meeting, but are not counted as votes cast on non-routine proposals. Proposal 4. Ratification of the Selection of Ernst &amp; Young LLP as Our Independent Auditor for Fiscal Year 2026 is expected to be the only item on the agenda for the Annual Meeting that is considered routine. Whether a proposal is considered routine or non-routine is subject to stock exchange rules and final determination by the stock exchange. Even with respect to routine matters, some brokers are choosing not to exercise discretionary voting authority. As a result, we urge you to direct your broker, bank, or other nominee on how to vote your shares on all proposals to ensure that your vote is counted.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461">
                <wp:simplePos x="0" y="0"/>
                <wp:positionH relativeFrom="column">
                  <wp:align>left</wp:align>
                </wp:positionH>
                <wp:positionV relativeFrom="line">
                  <wp:align>top</wp:align>
                </wp:positionV>
                <wp:extent cx="139700" cy="254000"/>
                <wp:effectExtent l="0" t="0" r="0" b="0"/>
                <wp:wrapSquare wrapText="right"/>
                <wp:docPr id="469" name="Frame303"/>
                <a:graphic xmlns:a="http://schemas.openxmlformats.org/drawingml/2006/main">
                  <a:graphicData uri="http://schemas.microsoft.com/office/word/2010/wordprocessingShape">
                    <wps:wsp>
                      <wps:cNvSpPr txBox="1"/>
                      <wps:spPr>
                        <a:xfrm>
                          <a:off x="0" y="0"/>
                          <a:ext cx="1397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11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Director Elections.</w:t>
      </w:r>
      <w:r>
        <w:rPr>
          <w:rFonts w:ascii="Arial;Helvetica;sans-serif" w:hAnsi="Arial;Helvetica;sans-serif"/>
          <w:b w:val="false"/>
          <w:i w:val="false"/>
          <w:caps w:val="false"/>
          <w:smallCaps w:val="false"/>
          <w:color w:val="000000"/>
          <w:spacing w:val="-1"/>
          <w:sz w:val="16"/>
        </w:rPr>
        <w:t xml:space="preserve"> For this Proposal 1, our Bylaws provide that elections of directors shall be determined by a plurality of the votes cast in respect of the shares present in person or represented by proxy at the meeting and entitled to vote on the election of directors. Because directors are elected by a plurality vote, shares as to which a stockholder withholds authority to vote and broker non-votes will have no effect on the election of directors.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62">
                <wp:simplePos x="0" y="0"/>
                <wp:positionH relativeFrom="column">
                  <wp:align>left</wp:align>
                </wp:positionH>
                <wp:positionV relativeFrom="line">
                  <wp:align>top</wp:align>
                </wp:positionV>
                <wp:extent cx="139700" cy="350520"/>
                <wp:effectExtent l="0" t="0" r="0" b="0"/>
                <wp:wrapSquare wrapText="right"/>
                <wp:docPr id="470" name="Frame30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sz w:val="16"/>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77</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THER</w:t>
      </w:r>
      <w:r>
        <w:rPr>
          <w:rFonts w:ascii="Arial;Helvetica;sans-serif" w:hAnsi="Arial;Helvetica;sans-serif"/>
          <w:b w:val="false"/>
          <w:i w:val="false"/>
          <w:caps w:val="false"/>
          <w:smallCaps w:val="false"/>
          <w:color w:val="C3C5C8"/>
          <w:spacing w:val="-1"/>
          <w:sz w:val="15"/>
        </w:rPr>
        <w:t xml:space="preserve"> I</w:t>
      </w:r>
      <w:r>
        <w:rPr>
          <w:rFonts w:ascii="Arial;Helvetica;sans-serif" w:hAnsi="Arial;Helvetica;sans-serif"/>
          <w:b w:val="false"/>
          <w:i w:val="false"/>
          <w:caps w:val="false"/>
          <w:smallCaps w:val="false"/>
          <w:color w:val="C3C5C8"/>
          <w:spacing w:val="-1"/>
          <w:sz w:val="15"/>
        </w:rPr>
        <w:t>NFORMATION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00" w:before="400" w:after="283"/>
        <w:ind w:left="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Majority of votes cast by stockholders entitled to vote thereon who are present in person via the webcast or represented by proxy at the Annual Meeting.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139700" cy="254000"/>
                <wp:effectExtent l="0" t="0" r="0" b="0"/>
                <wp:wrapSquare wrapText="right"/>
                <wp:docPr id="471" name="Frame305"/>
                <a:graphic xmlns:a="http://schemas.openxmlformats.org/drawingml/2006/main">
                  <a:graphicData uri="http://schemas.microsoft.com/office/word/2010/wordprocessingShape">
                    <wps:wsp>
                      <wps:cNvSpPr txBox="1"/>
                      <wps:spPr>
                        <a:xfrm>
                          <a:off x="0" y="0"/>
                          <a:ext cx="1397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11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 xml:space="preserve">Advisory Vote on the Frequency of Votes on Our Executive Compensation. </w:t>
      </w:r>
      <w:r>
        <w:rPr>
          <w:rFonts w:ascii="Arial;Helvetica;sans-serif" w:hAnsi="Arial;Helvetica;sans-serif"/>
          <w:b w:val="false"/>
          <w:i w:val="false"/>
          <w:caps w:val="false"/>
          <w:smallCaps w:val="false"/>
          <w:color w:val="000000"/>
          <w:spacing w:val="-1"/>
          <w:sz w:val="16"/>
        </w:rPr>
        <w:t>For this Proposal 3, stockholders may select a frequency of one year, two years, or three years (or abstain). If no frequency receives a majority of the votes cast, the frequency receiving a plurality of the votes cast will be considered the stockholders’ advisory preference. Abstentions and broker non-votes are not considered as votes cast and will have no effect on the matter.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464">
                <wp:simplePos x="0" y="0"/>
                <wp:positionH relativeFrom="column">
                  <wp:align>left</wp:align>
                </wp:positionH>
                <wp:positionV relativeFrom="line">
                  <wp:align>top</wp:align>
                </wp:positionV>
                <wp:extent cx="139700" cy="254000"/>
                <wp:effectExtent l="0" t="0" r="0" b="0"/>
                <wp:wrapSquare wrapText="right"/>
                <wp:docPr id="472" name="Frame306"/>
                <a:graphic xmlns:a="http://schemas.openxmlformats.org/drawingml/2006/main">
                  <a:graphicData uri="http://schemas.microsoft.com/office/word/2010/wordprocessingShape">
                    <wps:wsp>
                      <wps:cNvSpPr txBox="1"/>
                      <wps:spPr>
                        <a:xfrm>
                          <a:off x="0" y="0"/>
                          <a:ext cx="1397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11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any director nominee becomes unable or unwilling to serve as a director between the date of this Proxy Statement and the Annual Meeting, which we do not anticipate, the Board may designate a new nominee, and the persons named as proxy holders may vote for the substitute nominee. Alternatively, the Board may reduce the size of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2" w:after="0"/>
        <w:ind w:left="106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M</w:t>
      </w:r>
      <w:r>
        <w:rPr>
          <w:rFonts w:ascii="Arial;Helvetica;sans-serif" w:hAnsi="Arial;Helvetica;sans-serif"/>
          <w:b/>
          <w:i w:val="false"/>
          <w:caps w:val="false"/>
          <w:smallCaps w:val="false"/>
          <w:color w:val="0055B7"/>
          <w:spacing w:val="-3"/>
          <w:sz w:val="24"/>
        </w:rPr>
        <w:t>AY</w:t>
      </w:r>
      <w:r>
        <w:rPr>
          <w:rFonts w:ascii="Arial;Helvetica;sans-serif" w:hAnsi="Arial;Helvetica;sans-serif"/>
          <w:b/>
          <w:i w:val="false"/>
          <w:caps w:val="false"/>
          <w:smallCaps w:val="false"/>
          <w:color w:val="0055B7"/>
          <w:spacing w:val="-3"/>
          <w:sz w:val="24"/>
        </w:rPr>
        <w:t xml:space="preserve"> I C</w:t>
      </w:r>
      <w:r>
        <w:rPr>
          <w:rFonts w:ascii="Arial;Helvetica;sans-serif" w:hAnsi="Arial;Helvetica;sans-serif"/>
          <w:b/>
          <w:i w:val="false"/>
          <w:caps w:val="false"/>
          <w:smallCaps w:val="false"/>
          <w:color w:val="0055B7"/>
          <w:spacing w:val="-3"/>
          <w:sz w:val="24"/>
        </w:rPr>
        <w:t>HANGE OR</w:t>
      </w:r>
      <w:r>
        <w:rPr>
          <w:rFonts w:ascii="Arial;Helvetica;sans-serif" w:hAnsi="Arial;Helvetica;sans-serif"/>
          <w:b/>
          <w:i w:val="false"/>
          <w:caps w:val="false"/>
          <w:smallCaps w:val="false"/>
          <w:color w:val="0055B7"/>
          <w:spacing w:val="-3"/>
          <w:sz w:val="24"/>
        </w:rPr>
        <w:t xml:space="preserve"> R</w:t>
      </w:r>
      <w:r>
        <w:rPr>
          <w:rFonts w:ascii="Arial;Helvetica;sans-serif" w:hAnsi="Arial;Helvetica;sans-serif"/>
          <w:b/>
          <w:i w:val="false"/>
          <w:caps w:val="false"/>
          <w:smallCaps w:val="false"/>
          <w:color w:val="0055B7"/>
          <w:spacing w:val="-3"/>
          <w:sz w:val="24"/>
        </w:rPr>
        <w:t>EVOKE MY</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OTE?</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77470" distB="0" distL="0" distR="0" simplePos="0" locked="0" layoutInCell="1" allowOverlap="1" relativeHeight="465">
                <wp:simplePos x="0" y="0"/>
                <wp:positionH relativeFrom="column">
                  <wp:align>left</wp:align>
                </wp:positionH>
                <wp:positionV relativeFrom="line">
                  <wp:align>top</wp:align>
                </wp:positionV>
                <wp:extent cx="215900" cy="355600"/>
                <wp:effectExtent l="0" t="0" r="0" b="0"/>
                <wp:wrapSquare wrapText="right"/>
                <wp:docPr id="473" name="Frame307"/>
                <a:graphic xmlns:a="http://schemas.openxmlformats.org/drawingml/2006/main">
                  <a:graphicData uri="http://schemas.microsoft.com/office/word/2010/wordprocessingShape">
                    <wps:wsp>
                      <wps:cNvSpPr txBox="1"/>
                      <wps:spPr>
                        <a:xfrm>
                          <a:off x="0" y="0"/>
                          <a:ext cx="215900" cy="355600"/>
                        </a:xfrm>
                        <a:prstGeom prst="rect"/>
                        <a:solidFill>
                          <a:srgbClr val="FFFFFF"/>
                        </a:solidFill>
                      </wps:spPr>
                      <wps:txbx>
                        <w:txbxContent>
                          <w:p>
                            <w:pPr>
                              <w:pStyle w:val="TextBody"/>
                              <w:bidi w:val="0"/>
                              <w:spacing w:lineRule="atLeast" w:line="280" w:before="0" w:after="283"/>
                              <w:jc w:val="left"/>
                              <w:rPr>
                                <w:b/>
                                <w:color w:val="0055B7"/>
                              </w:rPr>
                            </w:pPr>
                            <w:r>
                              <w:rPr>
                                <w:b/>
                                <w:color w:val="0055B7"/>
                                <w:spacing w:val="-3"/>
                              </w:rPr>
                              <w:t>10</w:t>
                            </w:r>
                            <w:r>
                              <w:rPr>
                                <w:b/>
                                <w:color w:val="0055B7"/>
                              </w:rPr>
                              <w:t xml:space="preserve"> </w:t>
                              <w:br/>
                            </w:r>
                          </w:p>
                        </w:txbxContent>
                      </wps:txbx>
                      <wps:bodyPr anchor="t" lIns="0" tIns="0" rIns="0" bIns="0">
                        <a:noAutofit/>
                      </wps:bodyPr>
                    </wps:wsp>
                  </a:graphicData>
                </a:graphic>
              </wp:anchor>
            </w:drawing>
          </mc:Choice>
          <mc:Fallback>
            <w:pict>
              <v:rect style="position:absolute;rotation:-0;width:17pt;height:28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rPr>
                      </w:pPr>
                      <w:r>
                        <w:rPr>
                          <w:b/>
                          <w:color w:val="0055B7"/>
                          <w:spacing w:val="-3"/>
                        </w:rPr>
                        <w:t>10</w:t>
                      </w:r>
                      <w:r>
                        <w:rPr>
                          <w:b/>
                          <w:color w:val="0055B7"/>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28" w:type="dxa"/>
          <w:right w:w="0" w:type="dxa"/>
        </w:tblCellMar>
      </w:tblPr>
      <w:tblGrid>
        <w:gridCol w:w="124"/>
        <w:gridCol w:w="1627"/>
        <w:gridCol w:w="109"/>
        <w:gridCol w:w="109"/>
        <w:gridCol w:w="4854"/>
        <w:gridCol w:w="109"/>
        <w:gridCol w:w="109"/>
        <w:gridCol w:w="2288"/>
        <w:gridCol w:w="156"/>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627" w:type="dxa"/>
            <w:tcBorders>
              <w:bottom w:val="single" w:sz="6" w:space="0" w:color="000000"/>
            </w:tcBorders>
            <w:tcMar>
              <w:bottom w:w="32" w:type="dxa"/>
            </w:tcMar>
            <w:vAlign w:val="center"/>
          </w:tcPr>
          <w:p>
            <w:pPr>
              <w:pStyle w:val="TableContents"/>
              <w:bidi w:val="0"/>
              <w:spacing w:before="0" w:after="0"/>
              <w:jc w:val="left"/>
              <w:rPr>
                <w:b/>
              </w:rPr>
            </w:pPr>
            <w:r>
              <w:rPr>
                <w:b/>
                <w:spacing w:val="0"/>
              </w:rPr>
              <w:t>Registered Holders</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4854"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You may change your vote at any time before the polls close at the Annual Meeting. Any subsequent vote you cast will replace your earlier vote. This applies whether you vote by Internet, telephone, mailing a proxy card, or voting electronically during the Annual Meeting.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88"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Alternatively, you may revoke your proxy by submitting a written revocation to: </w:t>
              <w:br/>
              <w:t xml:space="preserve">Medline Inc. </w:t>
              <w:br/>
              <w:t xml:space="preserve">Attention: Corporate Secretary </w:t>
              <w:br/>
              <w:t xml:space="preserve">3 Lakes Drive </w:t>
              <w:br/>
              <w:t xml:space="preserve">Northfield, Illinois 60093 </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627" w:type="dxa"/>
            <w:tcBorders>
              <w:bottom w:val="single" w:sz="6" w:space="0" w:color="000000"/>
            </w:tcBorders>
            <w:tcMar>
              <w:bottom w:w="30" w:type="dxa"/>
            </w:tcMar>
            <w:vAlign w:val="center"/>
          </w:tcPr>
          <w:p>
            <w:pPr>
              <w:pStyle w:val="TableContents"/>
              <w:bidi w:val="0"/>
              <w:spacing w:before="0" w:after="283"/>
              <w:jc w:val="left"/>
              <w:rPr/>
            </w:pPr>
            <w:r>
              <w:rPr>
                <w:b/>
                <w:spacing w:val="0"/>
              </w:rPr>
              <w:t>Beneficial Holders</w:t>
            </w:r>
            <w:r>
              <w:rPr>
                <w:spacing w:val="-1"/>
              </w:rPr>
              <w:t xml:space="preserve"> (holders in street name)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360" w:type="dxa"/>
            <w:gridSpan w:val="4"/>
            <w:tcBorders>
              <w:bottom w:val="single" w:sz="6" w:space="0" w:color="000000"/>
            </w:tcBorders>
            <w:tcMar>
              <w:bottom w:w="30" w:type="dxa"/>
            </w:tcMar>
            <w:vAlign w:val="center"/>
          </w:tcPr>
          <w:p>
            <w:pPr>
              <w:pStyle w:val="TableContents"/>
              <w:bidi w:val="0"/>
              <w:spacing w:before="0" w:after="283"/>
              <w:jc w:val="left"/>
              <w:rPr/>
            </w:pPr>
            <w:r>
              <w:rPr>
                <w:spacing w:val="-1"/>
              </w:rPr>
              <w:t>You must contact your broker, bank, or other nominee for specific instructions on how to change or revoke your vote.</w:t>
            </w:r>
            <w:r>
              <w:rPr/>
              <w:t xml:space="preserve"> </w:t>
            </w:r>
          </w:p>
        </w:tc>
        <w:tc>
          <w:tcPr>
            <w:tcW w:w="156"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192" w:after="0"/>
        <w:ind w:left="106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HO</w:t>
      </w:r>
      <w:r>
        <w:rPr>
          <w:rFonts w:ascii="Arial;Helvetica;sans-serif" w:hAnsi="Arial;Helvetica;sans-serif"/>
          <w:b/>
          <w:i w:val="false"/>
          <w:caps w:val="false"/>
          <w:smallCaps w:val="false"/>
          <w:color w:val="0055B7"/>
          <w:spacing w:val="-3"/>
          <w:sz w:val="24"/>
        </w:rPr>
        <w:t xml:space="preserve"> B</w:t>
      </w:r>
      <w:r>
        <w:rPr>
          <w:rFonts w:ascii="Arial;Helvetica;sans-serif" w:hAnsi="Arial;Helvetica;sans-serif"/>
          <w:b/>
          <w:i w:val="false"/>
          <w:caps w:val="false"/>
          <w:smallCaps w:val="false"/>
          <w:color w:val="0055B7"/>
          <w:spacing w:val="-3"/>
          <w:sz w:val="24"/>
        </w:rPr>
        <w:t>EARS THE</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OST OF</w:t>
      </w:r>
      <w:r>
        <w:rPr>
          <w:rFonts w:ascii="Arial;Helvetica;sans-serif" w:hAnsi="Arial;Helvetica;sans-serif"/>
          <w:b/>
          <w:i w:val="false"/>
          <w:caps w:val="false"/>
          <w:smallCaps w:val="false"/>
          <w:color w:val="0055B7"/>
          <w:spacing w:val="-3"/>
          <w:sz w:val="24"/>
        </w:rPr>
        <w:t xml:space="preserve"> S</w:t>
      </w:r>
      <w:r>
        <w:rPr>
          <w:rFonts w:ascii="Arial;Helvetica;sans-serif" w:hAnsi="Arial;Helvetica;sans-serif"/>
          <w:b/>
          <w:i w:val="false"/>
          <w:caps w:val="false"/>
          <w:smallCaps w:val="false"/>
          <w:color w:val="0055B7"/>
          <w:spacing w:val="-3"/>
          <w:sz w:val="24"/>
        </w:rPr>
        <w:t>OLICITING</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OTES FOR THE</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NNUAL</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EETING?</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121920" distB="0" distL="0" distR="0" simplePos="0" locked="0" layoutInCell="1" allowOverlap="1" relativeHeight="466">
                <wp:simplePos x="0" y="0"/>
                <wp:positionH relativeFrom="column">
                  <wp:align>left</wp:align>
                </wp:positionH>
                <wp:positionV relativeFrom="line">
                  <wp:align>top</wp:align>
                </wp:positionV>
                <wp:extent cx="215900" cy="355600"/>
                <wp:effectExtent l="0" t="0" r="0" b="0"/>
                <wp:wrapSquare wrapText="right"/>
                <wp:docPr id="474" name="Frame308"/>
                <a:graphic xmlns:a="http://schemas.openxmlformats.org/drawingml/2006/main">
                  <a:graphicData uri="http://schemas.microsoft.com/office/word/2010/wordprocessingShape">
                    <wps:wsp>
                      <wps:cNvSpPr txBox="1"/>
                      <wps:spPr>
                        <a:xfrm>
                          <a:off x="0" y="0"/>
                          <a:ext cx="215900" cy="355600"/>
                        </a:xfrm>
                        <a:prstGeom prst="rect"/>
                        <a:solidFill>
                          <a:srgbClr val="FFFFFF"/>
                        </a:solidFill>
                      </wps:spPr>
                      <wps:txbx>
                        <w:txbxContent>
                          <w:p>
                            <w:pPr>
                              <w:pStyle w:val="TextBody"/>
                              <w:bidi w:val="0"/>
                              <w:spacing w:lineRule="atLeast" w:line="280" w:before="0" w:after="283"/>
                              <w:jc w:val="left"/>
                              <w:rPr>
                                <w:b/>
                                <w:color w:val="0055B7"/>
                              </w:rPr>
                            </w:pPr>
                            <w:r>
                              <w:rPr>
                                <w:b/>
                                <w:color w:val="0055B7"/>
                                <w:spacing w:val="-3"/>
                              </w:rPr>
                              <w:t>11</w:t>
                            </w:r>
                            <w:r>
                              <w:rPr>
                                <w:b/>
                                <w:color w:val="0055B7"/>
                              </w:rPr>
                              <w:t xml:space="preserve"> </w:t>
                              <w:br/>
                            </w:r>
                          </w:p>
                        </w:txbxContent>
                      </wps:txbx>
                      <wps:bodyPr anchor="t" lIns="0" tIns="0" rIns="0" bIns="0">
                        <a:noAutofit/>
                      </wps:bodyPr>
                    </wps:wsp>
                  </a:graphicData>
                </a:graphic>
              </wp:anchor>
            </w:drawing>
          </mc:Choice>
          <mc:Fallback>
            <w:pict>
              <v:rect style="position:absolute;rotation:-0;width:17pt;height:28pt;mso-wrap-distance-left:0pt;mso-wrap-distance-right:0pt;mso-wrap-distance-top:9.6pt;mso-wrap-distance-bottom:0pt;margin-top:9.6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rPr>
                      </w:pPr>
                      <w:r>
                        <w:rPr>
                          <w:b/>
                          <w:color w:val="0055B7"/>
                          <w:spacing w:val="-3"/>
                        </w:rPr>
                        <w:t>11</w:t>
                      </w:r>
                      <w:r>
                        <w:rPr>
                          <w:b/>
                          <w:color w:val="0055B7"/>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Medline bears the cost of soliciting your vote for the Annual Meeting. This solicitation is made by the Board on behalf of Medline. In addition to sending proxy materials by mail and providing electronic access, our directors, officers, or employees may solicit proxies or votes in person, by telephone, or by electronic communication. They will not receive any additional compensation for these solicitation activities. We have hired Sodali &amp; Co, 333 Ludlow Street, 5th Floor, South Tower, Stamford, Connecticut 06902, to distribute and solicit proxies. We will pay Sodali &amp; Co a fee of $7,500, plus reasonable expenses, for these services. We may also reimburse brokers, banks, and other nominees for their reasonable out-of-pocket expenses incurred in helping solicit proxies for the Annual Meeting from their customers (i.e., beneficial 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2" w:after="0"/>
        <w:ind w:left="106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HAT IS</w:t>
      </w:r>
      <w:r>
        <w:rPr>
          <w:rFonts w:ascii="Arial;Helvetica;sans-serif" w:hAnsi="Arial;Helvetica;sans-serif"/>
          <w:b/>
          <w:i w:val="false"/>
          <w:caps w:val="false"/>
          <w:smallCaps w:val="false"/>
          <w:color w:val="0055B7"/>
          <w:spacing w:val="-3"/>
          <w:sz w:val="24"/>
        </w:rPr>
        <w:t xml:space="preserve"> “H</w:t>
      </w:r>
      <w:r>
        <w:rPr>
          <w:rFonts w:ascii="Arial;Helvetica;sans-serif" w:hAnsi="Arial;Helvetica;sans-serif"/>
          <w:b/>
          <w:i w:val="false"/>
          <w:caps w:val="false"/>
          <w:smallCaps w:val="false"/>
          <w:color w:val="0055B7"/>
          <w:spacing w:val="-3"/>
          <w:sz w:val="24"/>
        </w:rPr>
        <w:t>OUSEHOLDING”?</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77470" distB="0" distL="0" distR="0" simplePos="0" locked="0" layoutInCell="1" allowOverlap="1" relativeHeight="467">
                <wp:simplePos x="0" y="0"/>
                <wp:positionH relativeFrom="column">
                  <wp:align>left</wp:align>
                </wp:positionH>
                <wp:positionV relativeFrom="line">
                  <wp:align>top</wp:align>
                </wp:positionV>
                <wp:extent cx="215900" cy="355600"/>
                <wp:effectExtent l="0" t="0" r="0" b="0"/>
                <wp:wrapSquare wrapText="right"/>
                <wp:docPr id="475" name="Frame309"/>
                <a:graphic xmlns:a="http://schemas.openxmlformats.org/drawingml/2006/main">
                  <a:graphicData uri="http://schemas.microsoft.com/office/word/2010/wordprocessingShape">
                    <wps:wsp>
                      <wps:cNvSpPr txBox="1"/>
                      <wps:spPr>
                        <a:xfrm>
                          <a:off x="0" y="0"/>
                          <a:ext cx="215900" cy="355600"/>
                        </a:xfrm>
                        <a:prstGeom prst="rect"/>
                        <a:solidFill>
                          <a:srgbClr val="FFFFFF"/>
                        </a:solidFill>
                      </wps:spPr>
                      <wps:txbx>
                        <w:txbxContent>
                          <w:p>
                            <w:pPr>
                              <w:pStyle w:val="TextBody"/>
                              <w:bidi w:val="0"/>
                              <w:spacing w:lineRule="atLeast" w:line="280" w:before="0" w:after="283"/>
                              <w:jc w:val="left"/>
                              <w:rPr>
                                <w:b/>
                                <w:color w:val="0055B7"/>
                              </w:rPr>
                            </w:pPr>
                            <w:r>
                              <w:rPr>
                                <w:b/>
                                <w:color w:val="0055B7"/>
                                <w:spacing w:val="-3"/>
                              </w:rPr>
                              <w:t>12</w:t>
                            </w:r>
                            <w:r>
                              <w:rPr>
                                <w:b/>
                                <w:color w:val="0055B7"/>
                              </w:rPr>
                              <w:t xml:space="preserve"> </w:t>
                              <w:br/>
                            </w:r>
                          </w:p>
                        </w:txbxContent>
                      </wps:txbx>
                      <wps:bodyPr anchor="t" lIns="0" tIns="0" rIns="0" bIns="0">
                        <a:noAutofit/>
                      </wps:bodyPr>
                    </wps:wsp>
                  </a:graphicData>
                </a:graphic>
              </wp:anchor>
            </w:drawing>
          </mc:Choice>
          <mc:Fallback>
            <w:pict>
              <v:rect style="position:absolute;rotation:-0;width:17pt;height:28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rPr>
                      </w:pPr>
                      <w:r>
                        <w:rPr>
                          <w:b/>
                          <w:color w:val="0055B7"/>
                          <w:spacing w:val="-3"/>
                        </w:rPr>
                        <w:t>12</w:t>
                      </w:r>
                      <w:r>
                        <w:rPr>
                          <w:b/>
                          <w:color w:val="0055B7"/>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Householding” is a SEC-approved delivery method that allows a broker, bank, or other nominee to send a single copy of the Notice or, if you requested paper delivery, a single set of proxy materials to multiple stockholders who share the same address. Householding reduces printing and mailing costs and helps reduce paper use.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Unless you advised otherwise, if you are a beneficial holder and you share your mailing address with other beneficial holders of our Class A or Class B common stock in the same account or at the same broker, bank, or nominee, you may receive only one Notice or one set of proxy materials. Each stockholder who participates in householding will continue to receive their own control number and voting instructions for voting electronically.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you wish to receive a separate copy of the Notice or proxy materials, now or in the future, you should submit a request as follows and the materials will be delivered promptly:</w:t>
      </w:r>
      <w:r>
        <w:rPr>
          <w:rFonts w:ascii="Arial;Helvetica;sans-serif" w:hAnsi="Arial;Helvetica;sans-serif"/>
          <w:b w:val="false"/>
          <w:i w:val="false"/>
          <w:caps w:val="false"/>
          <w:smallCaps w:val="false"/>
          <w:color w:val="000000"/>
          <w:spacing w:val="4"/>
          <w:sz w:val="18"/>
        </w:rPr>
        <w:t xml:space="preserve"> </w:t>
      </w:r>
    </w:p>
    <w:tbl>
      <w:tblPr>
        <w:tblW w:w="7385" w:type="dxa"/>
        <w:jc w:val="left"/>
        <w:tblInd w:w="720" w:type="dxa"/>
        <w:tblLayout w:type="fixed"/>
        <w:tblCellMar>
          <w:top w:w="0" w:type="dxa"/>
          <w:left w:w="0" w:type="dxa"/>
          <w:bottom w:w="28" w:type="dxa"/>
          <w:right w:w="0" w:type="dxa"/>
        </w:tblCellMar>
      </w:tblPr>
      <w:tblGrid>
        <w:gridCol w:w="124"/>
        <w:gridCol w:w="671"/>
        <w:gridCol w:w="109"/>
        <w:gridCol w:w="109"/>
        <w:gridCol w:w="3557"/>
        <w:gridCol w:w="109"/>
        <w:gridCol w:w="109"/>
        <w:gridCol w:w="521"/>
        <w:gridCol w:w="109"/>
        <w:gridCol w:w="109"/>
        <w:gridCol w:w="1704"/>
        <w:gridCol w:w="154"/>
      </w:tblGrid>
      <w:tr>
        <w:trPr/>
        <w:tc>
          <w:tcPr>
            <w:tcW w:w="124" w:type="dxa"/>
            <w:tcBorders>
              <w:bottom w:val="single" w:sz="6" w:space="0" w:color="000000"/>
            </w:tcBorders>
            <w:vAlign w:val="center"/>
          </w:tcPr>
          <w:p>
            <w:pPr>
              <w:pStyle w:val="TableContents"/>
              <w:bidi w:val="0"/>
              <w:spacing w:before="0" w:after="283"/>
              <w:jc w:val="left"/>
              <w:rPr/>
            </w:pPr>
            <w:r>
              <w:rPr/>
              <w:t>​</w:t>
            </w:r>
          </w:p>
        </w:tc>
        <w:tc>
          <w:tcPr>
            <w:tcW w:w="671" w:type="dxa"/>
            <w:tcBorders>
              <w:bottom w:val="single" w:sz="6" w:space="0" w:color="000000"/>
            </w:tcBorders>
            <w:vAlign w:val="center"/>
          </w:tcPr>
          <w:p>
            <w:pPr>
              <w:pStyle w:val="TableContents"/>
              <w:bidi w:val="0"/>
              <w:spacing w:before="0" w:after="0"/>
              <w:jc w:val="center"/>
              <w:rPr/>
            </w:pPr>
            <w:r>
              <w:rPr/>
              <w:drawing>
                <wp:inline distT="0" distB="0" distL="0" distR="0">
                  <wp:extent cx="333375" cy="238125"/>
                  <wp:effectExtent l="0" t="0" r="0" b="0"/>
                  <wp:docPr id="47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151" descr=""/>
                          <pic:cNvPicPr>
                            <a:picLocks noChangeAspect="1" noChangeArrowheads="1"/>
                          </pic:cNvPicPr>
                        </pic:nvPicPr>
                        <pic:blipFill>
                          <a:blip r:embed="rId168"/>
                          <a:stretch>
                            <a:fillRect/>
                          </a:stretch>
                        </pic:blipFill>
                        <pic:spPr bwMode="auto">
                          <a:xfrm>
                            <a:off x="0" y="0"/>
                            <a:ext cx="333375" cy="238125"/>
                          </a:xfrm>
                          <a:prstGeom prst="rect">
                            <a:avLst/>
                          </a:prstGeom>
                        </pic:spPr>
                      </pic:pic>
                    </a:graphicData>
                  </a:graphic>
                </wp:inline>
              </w:drawing>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3557" w:type="dxa"/>
            <w:tcBorders>
              <w:bottom w:val="single" w:sz="6" w:space="0" w:color="000000"/>
            </w:tcBorders>
            <w:tcMar>
              <w:bottom w:w="80" w:type="dxa"/>
            </w:tcMar>
            <w:vAlign w:val="center"/>
          </w:tcPr>
          <w:p>
            <w:pPr>
              <w:pStyle w:val="TableContents"/>
              <w:bidi w:val="0"/>
              <w:spacing w:lineRule="atLeast" w:line="200" w:before="0" w:after="0"/>
              <w:jc w:val="left"/>
              <w:rPr>
                <w:spacing w:val="-1"/>
              </w:rPr>
            </w:pPr>
            <w:r>
              <w:rPr>
                <w:spacing w:val="-1"/>
              </w:rPr>
              <w:t xml:space="preserve">Broadridge Financial Solutions, Inc. </w:t>
              <w:br/>
              <w:t xml:space="preserve">Householding Department </w:t>
              <w:br/>
              <w:t xml:space="preserve">51 Mercedes Way </w:t>
              <w:br/>
              <w:t xml:space="preserve">Edgewood, New York 11717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21" w:type="dxa"/>
            <w:tcBorders>
              <w:bottom w:val="single" w:sz="6" w:space="0" w:color="000000"/>
            </w:tcBorders>
            <w:tcMar>
              <w:bottom w:w="265" w:type="dxa"/>
            </w:tcMar>
            <w:vAlign w:val="center"/>
          </w:tcPr>
          <w:p>
            <w:pPr>
              <w:pStyle w:val="TableContents"/>
              <w:bidi w:val="0"/>
              <w:spacing w:before="0" w:after="0"/>
              <w:jc w:val="center"/>
              <w:rPr/>
            </w:pPr>
            <w:r>
              <w:rPr/>
              <w:drawing>
                <wp:inline distT="0" distB="0" distL="0" distR="0">
                  <wp:extent cx="238125" cy="323850"/>
                  <wp:effectExtent l="0" t="0" r="0" b="0"/>
                  <wp:docPr id="477"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152" descr=""/>
                          <pic:cNvPicPr>
                            <a:picLocks noChangeAspect="1" noChangeArrowheads="1"/>
                          </pic:cNvPicPr>
                        </pic:nvPicPr>
                        <pic:blipFill>
                          <a:blip r:embed="rId169"/>
                          <a:stretch>
                            <a:fillRect/>
                          </a:stretch>
                        </pic:blipFill>
                        <pic:spPr bwMode="auto">
                          <a:xfrm>
                            <a:off x="0" y="0"/>
                            <a:ext cx="238125" cy="323850"/>
                          </a:xfrm>
                          <a:prstGeom prst="rect">
                            <a:avLst/>
                          </a:prstGeom>
                        </pic:spPr>
                      </pic:pic>
                    </a:graphicData>
                  </a:graphic>
                </wp:inline>
              </w:drawing>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04" w:type="dxa"/>
            <w:tcBorders>
              <w:bottom w:val="single" w:sz="6" w:space="0" w:color="000000"/>
            </w:tcBorders>
            <w:tcMar>
              <w:bottom w:w="80" w:type="dxa"/>
            </w:tcMar>
            <w:vAlign w:val="center"/>
          </w:tcPr>
          <w:p>
            <w:pPr>
              <w:pStyle w:val="TableContents"/>
              <w:bidi w:val="0"/>
              <w:spacing w:lineRule="atLeast" w:line="200" w:before="0" w:after="0"/>
              <w:jc w:val="left"/>
              <w:rPr/>
            </w:pPr>
            <w:r>
              <w:rPr>
                <w:spacing w:val="-1"/>
              </w:rPr>
              <w:t>1-866-540-7095</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20" w:before="192"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Beneficial holders sharing an address who are receiving multiple copies of the proxy materials and would prefer householding to receive a single copy of these materials in the future should contact their broker, bank, or other nominee to make this request.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2" w:after="0"/>
        <w:ind w:left="106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A</w:t>
      </w:r>
      <w:r>
        <w:rPr>
          <w:rFonts w:ascii="Arial;Helvetica;sans-serif" w:hAnsi="Arial;Helvetica;sans-serif"/>
          <w:b/>
          <w:i w:val="false"/>
          <w:caps w:val="false"/>
          <w:smallCaps w:val="false"/>
          <w:color w:val="0055B7"/>
          <w:spacing w:val="-3"/>
          <w:sz w:val="24"/>
        </w:rPr>
        <w:t>RE</w:t>
      </w:r>
      <w:r>
        <w:rPr>
          <w:rFonts w:ascii="Arial;Helvetica;sans-serif" w:hAnsi="Arial;Helvetica;sans-serif"/>
          <w:b/>
          <w:i w:val="false"/>
          <w:caps w:val="false"/>
          <w:smallCaps w:val="false"/>
          <w:color w:val="0055B7"/>
          <w:spacing w:val="-3"/>
          <w:sz w:val="24"/>
        </w:rPr>
        <w:t xml:space="preserve"> </w:t>
      </w:r>
      <w:r>
        <w:rPr>
          <w:rFonts w:ascii="Arial;Helvetica;sans-serif" w:hAnsi="Arial;Helvetica;sans-serif"/>
          <w:b/>
          <w:i w:val="false"/>
          <w:caps w:val="false"/>
          <w:smallCaps w:val="false"/>
          <w:color w:val="0055B7"/>
          <w:spacing w:val="-1"/>
          <w:sz w:val="24"/>
        </w:rPr>
        <w:t>my</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OTES</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ONFIDENTIAL?</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77470" distB="0" distL="0" distR="0" simplePos="0" locked="0" layoutInCell="1" allowOverlap="1" relativeHeight="468">
                <wp:simplePos x="0" y="0"/>
                <wp:positionH relativeFrom="column">
                  <wp:align>left</wp:align>
                </wp:positionH>
                <wp:positionV relativeFrom="line">
                  <wp:align>top</wp:align>
                </wp:positionV>
                <wp:extent cx="215900" cy="355600"/>
                <wp:effectExtent l="0" t="0" r="0" b="0"/>
                <wp:wrapSquare wrapText="right"/>
                <wp:docPr id="478" name="Frame310"/>
                <a:graphic xmlns:a="http://schemas.openxmlformats.org/drawingml/2006/main">
                  <a:graphicData uri="http://schemas.microsoft.com/office/word/2010/wordprocessingShape">
                    <wps:wsp>
                      <wps:cNvSpPr txBox="1"/>
                      <wps:spPr>
                        <a:xfrm>
                          <a:off x="0" y="0"/>
                          <a:ext cx="215900" cy="355600"/>
                        </a:xfrm>
                        <a:prstGeom prst="rect"/>
                        <a:solidFill>
                          <a:srgbClr val="FFFFFF"/>
                        </a:solidFill>
                      </wps:spPr>
                      <wps:txbx>
                        <w:txbxContent>
                          <w:p>
                            <w:pPr>
                              <w:pStyle w:val="TextBody"/>
                              <w:bidi w:val="0"/>
                              <w:spacing w:lineRule="atLeast" w:line="280" w:before="0" w:after="283"/>
                              <w:jc w:val="left"/>
                              <w:rPr>
                                <w:b/>
                                <w:color w:val="0055B7"/>
                              </w:rPr>
                            </w:pPr>
                            <w:r>
                              <w:rPr>
                                <w:b/>
                                <w:color w:val="0055B7"/>
                                <w:spacing w:val="-3"/>
                              </w:rPr>
                              <w:t>13</w:t>
                            </w:r>
                            <w:r>
                              <w:rPr>
                                <w:b/>
                                <w:color w:val="0055B7"/>
                              </w:rPr>
                              <w:t xml:space="preserve"> </w:t>
                              <w:br/>
                            </w:r>
                          </w:p>
                        </w:txbxContent>
                      </wps:txbx>
                      <wps:bodyPr anchor="t" lIns="0" tIns="0" rIns="0" bIns="0">
                        <a:noAutofit/>
                      </wps:bodyPr>
                    </wps:wsp>
                  </a:graphicData>
                </a:graphic>
              </wp:anchor>
            </w:drawing>
          </mc:Choice>
          <mc:Fallback>
            <w:pict>
              <v:rect style="position:absolute;rotation:-0;width:17pt;height:28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rPr>
                      </w:pPr>
                      <w:r>
                        <w:rPr>
                          <w:b/>
                          <w:color w:val="0055B7"/>
                          <w:spacing w:val="-3"/>
                        </w:rPr>
                        <w:t>13</w:t>
                      </w:r>
                      <w:r>
                        <w:rPr>
                          <w:b/>
                          <w:color w:val="0055B7"/>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Yes. We maintain the confidentiality of stockholder votes. Vote totals are provided to the Company in aggregate, and individual voting instructions are not disclosed to our directors, officers, or employees, except as necessary: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2"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comply with applicable legal requirements or to assert or defend claims for or against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2070" distB="0" distL="139700" distR="0" simplePos="0" locked="0" layoutInCell="1" allowOverlap="1" relativeHeight="469">
                <wp:simplePos x="0" y="0"/>
                <wp:positionH relativeFrom="column">
                  <wp:align>left</wp:align>
                </wp:positionH>
                <wp:positionV relativeFrom="line">
                  <wp:align>top</wp:align>
                </wp:positionV>
                <wp:extent cx="139700" cy="350520"/>
                <wp:effectExtent l="0" t="0" r="0" b="0"/>
                <wp:wrapSquare wrapText="right"/>
                <wp:docPr id="479" name="Frame31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1pt;mso-wrap-distance-bottom:0pt;margin-top:4.1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a contested proxy solicitation;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70">
                <wp:simplePos x="0" y="0"/>
                <wp:positionH relativeFrom="column">
                  <wp:align>left</wp:align>
                </wp:positionH>
                <wp:positionV relativeFrom="line">
                  <wp:align>top</wp:align>
                </wp:positionV>
                <wp:extent cx="139700" cy="350520"/>
                <wp:effectExtent l="0" t="0" r="0" b="0"/>
                <wp:wrapSquare wrapText="right"/>
                <wp:docPr id="480" name="Frame31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you provide comments with your proxy or otherwise communicate your vote to us outside the normal voting procedures;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71">
                <wp:simplePos x="0" y="0"/>
                <wp:positionH relativeFrom="column">
                  <wp:align>left</wp:align>
                </wp:positionH>
                <wp:positionV relativeFrom="line">
                  <wp:align>top</wp:align>
                </wp:positionV>
                <wp:extent cx="139700" cy="350520"/>
                <wp:effectExtent l="0" t="0" r="0" b="0"/>
                <wp:wrapSquare wrapText="right"/>
                <wp:docPr id="481" name="Frame31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allow the inspector of elections to certify the voting results.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72">
                <wp:simplePos x="0" y="0"/>
                <wp:positionH relativeFrom="column">
                  <wp:align>left</wp:align>
                </wp:positionH>
                <wp:positionV relativeFrom="line">
                  <wp:align>top</wp:align>
                </wp:positionV>
                <wp:extent cx="139700" cy="350520"/>
                <wp:effectExtent l="0" t="0" r="0" b="0"/>
                <wp:wrapSquare wrapText="right"/>
                <wp:docPr id="482" name="Frame31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78</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THER</w:t>
      </w:r>
      <w:r>
        <w:rPr>
          <w:rFonts w:ascii="Arial;Helvetica;sans-serif" w:hAnsi="Arial;Helvetica;sans-serif"/>
          <w:b w:val="false"/>
          <w:i w:val="false"/>
          <w:caps w:val="false"/>
          <w:smallCaps w:val="false"/>
          <w:color w:val="C3C5C8"/>
          <w:spacing w:val="-1"/>
          <w:sz w:val="15"/>
        </w:rPr>
        <w:t xml:space="preserve"> I</w:t>
      </w:r>
      <w:r>
        <w:rPr>
          <w:rFonts w:ascii="Arial;Helvetica;sans-serif" w:hAnsi="Arial;Helvetica;sans-serif"/>
          <w:b w:val="false"/>
          <w:i w:val="false"/>
          <w:caps w:val="false"/>
          <w:smallCaps w:val="false"/>
          <w:color w:val="C3C5C8"/>
          <w:spacing w:val="-1"/>
          <w:sz w:val="15"/>
        </w:rPr>
        <w:t>NFORMATION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280" w:before="400" w:after="555"/>
        <w:ind w:left="106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W</w:t>
      </w:r>
      <w:r>
        <w:rPr>
          <w:rFonts w:ascii="Arial;Helvetica;sans-serif" w:hAnsi="Arial;Helvetica;sans-serif"/>
          <w:b/>
          <w:i w:val="false"/>
          <w:caps w:val="false"/>
          <w:smallCaps w:val="false"/>
          <w:color w:val="0055B7"/>
          <w:spacing w:val="-3"/>
          <w:sz w:val="24"/>
        </w:rPr>
        <w:t>HO</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OUNTS THE</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OTES?</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215900" cy="355600"/>
                <wp:effectExtent l="0" t="0" r="0" b="0"/>
                <wp:wrapSquare wrapText="right"/>
                <wp:docPr id="483" name="Frame315"/>
                <a:graphic xmlns:a="http://schemas.openxmlformats.org/drawingml/2006/main">
                  <a:graphicData uri="http://schemas.microsoft.com/office/word/2010/wordprocessingShape">
                    <wps:wsp>
                      <wps:cNvSpPr txBox="1"/>
                      <wps:spPr>
                        <a:xfrm>
                          <a:off x="0" y="0"/>
                          <a:ext cx="2159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14</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7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14</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Broadridge Financial Solutions, Inc. will receive and tabulate votes submitted by proxy and during the Annual Meeting, a representative of Broadridge Financial Solutions, Inc. will act as the inspector of elections and certify the final voting results.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44" w:after="0"/>
        <w:ind w:left="106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H</w:t>
      </w:r>
      <w:r>
        <w:rPr>
          <w:rFonts w:ascii="Arial;Helvetica;sans-serif" w:hAnsi="Arial;Helvetica;sans-serif"/>
          <w:b/>
          <w:i w:val="false"/>
          <w:caps w:val="false"/>
          <w:smallCaps w:val="false"/>
          <w:color w:val="0055B7"/>
          <w:spacing w:val="-3"/>
          <w:sz w:val="24"/>
        </w:rPr>
        <w:t>OW DO</w:t>
      </w:r>
      <w:r>
        <w:rPr>
          <w:rFonts w:ascii="Arial;Helvetica;sans-serif" w:hAnsi="Arial;Helvetica;sans-serif"/>
          <w:b/>
          <w:i w:val="false"/>
          <w:caps w:val="false"/>
          <w:smallCaps w:val="false"/>
          <w:color w:val="0055B7"/>
          <w:spacing w:val="-3"/>
          <w:sz w:val="24"/>
        </w:rPr>
        <w:t xml:space="preserve"> I F</w:t>
      </w:r>
      <w:r>
        <w:rPr>
          <w:rFonts w:ascii="Arial;Helvetica;sans-serif" w:hAnsi="Arial;Helvetica;sans-serif"/>
          <w:b/>
          <w:i w:val="false"/>
          <w:caps w:val="false"/>
          <w:smallCaps w:val="false"/>
          <w:color w:val="0055B7"/>
          <w:spacing w:val="-3"/>
          <w:sz w:val="24"/>
        </w:rPr>
        <w:t>IND OUT THE</w:t>
      </w:r>
      <w:r>
        <w:rPr>
          <w:rFonts w:ascii="Arial;Helvetica;sans-serif" w:hAnsi="Arial;Helvetica;sans-serif"/>
          <w:b/>
          <w:i w:val="false"/>
          <w:caps w:val="false"/>
          <w:smallCaps w:val="false"/>
          <w:color w:val="0055B7"/>
          <w:spacing w:val="-3"/>
          <w:sz w:val="24"/>
        </w:rPr>
        <w:t xml:space="preserve"> V</w:t>
      </w:r>
      <w:r>
        <w:rPr>
          <w:rFonts w:ascii="Arial;Helvetica;sans-serif" w:hAnsi="Arial;Helvetica;sans-serif"/>
          <w:b/>
          <w:i w:val="false"/>
          <w:caps w:val="false"/>
          <w:smallCaps w:val="false"/>
          <w:color w:val="0055B7"/>
          <w:spacing w:val="-3"/>
          <w:sz w:val="24"/>
        </w:rPr>
        <w:t>OTING</w:t>
      </w:r>
      <w:r>
        <w:rPr>
          <w:rFonts w:ascii="Arial;Helvetica;sans-serif" w:hAnsi="Arial;Helvetica;sans-serif"/>
          <w:b/>
          <w:i w:val="false"/>
          <w:caps w:val="false"/>
          <w:smallCaps w:val="false"/>
          <w:color w:val="0055B7"/>
          <w:spacing w:val="-3"/>
          <w:sz w:val="24"/>
        </w:rPr>
        <w:t xml:space="preserve"> R</w:t>
      </w:r>
      <w:r>
        <w:rPr>
          <w:rFonts w:ascii="Arial;Helvetica;sans-serif" w:hAnsi="Arial;Helvetica;sans-serif"/>
          <w:b/>
          <w:i w:val="false"/>
          <w:caps w:val="false"/>
          <w:smallCaps w:val="false"/>
          <w:color w:val="0055B7"/>
          <w:spacing w:val="-3"/>
          <w:sz w:val="24"/>
        </w:rPr>
        <w:t>ESULTS?</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91440" distB="0" distL="0" distR="0" simplePos="0" locked="0" layoutInCell="1" allowOverlap="1" relativeHeight="474">
                <wp:simplePos x="0" y="0"/>
                <wp:positionH relativeFrom="column">
                  <wp:align>left</wp:align>
                </wp:positionH>
                <wp:positionV relativeFrom="line">
                  <wp:align>top</wp:align>
                </wp:positionV>
                <wp:extent cx="215900" cy="355600"/>
                <wp:effectExtent l="0" t="0" r="0" b="0"/>
                <wp:wrapSquare wrapText="right"/>
                <wp:docPr id="484" name="Frame316"/>
                <a:graphic xmlns:a="http://schemas.openxmlformats.org/drawingml/2006/main">
                  <a:graphicData uri="http://schemas.microsoft.com/office/word/2010/wordprocessingShape">
                    <wps:wsp>
                      <wps:cNvSpPr txBox="1"/>
                      <wps:spPr>
                        <a:xfrm>
                          <a:off x="0" y="0"/>
                          <a:ext cx="2159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15</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7pt;height:28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15</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We will report the final voting results in a Current Report on Form 8-K to be filed with the SEC on or before June 17, 2026. The Form 8-K will be available on our website at ir.medline.com/financial-information/sec-filings and on the SEC’s website at </w:t>
      </w:r>
      <w:r>
        <w:rPr>
          <w:rFonts w:ascii="Arial;Helvetica;sans-serif" w:hAnsi="Arial;Helvetica;sans-serif"/>
          <w:b w:val="false"/>
          <w:i w:val="false"/>
          <w:caps w:val="false"/>
          <w:smallCaps w:val="false"/>
          <w:color w:val="0055B7"/>
          <w:spacing w:val="-1"/>
          <w:sz w:val="18"/>
        </w:rPr>
        <w:t>www.sec.gov</w:t>
      </w:r>
      <w:r>
        <w:rPr>
          <w:rFonts w:ascii="Arial;Helvetica;sans-serif" w:hAnsi="Arial;Helvetica;sans-serif"/>
          <w:b w:val="false"/>
          <w:i w:val="false"/>
          <w:caps w:val="false"/>
          <w:smallCaps w:val="false"/>
          <w:color w:val="000000"/>
          <w:spacing w:val="-1"/>
          <w:sz w:val="18"/>
        </w:rPr>
        <w:t xml:space="preserve">. </w:t>
      </w:r>
    </w:p>
    <w:p>
      <w:pPr>
        <w:pStyle w:val="TextBody"/>
        <w:bidi w:val="0"/>
        <w:spacing w:lineRule="atLeast" w:line="280" w:before="144" w:after="0"/>
        <w:ind w:left="106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H</w:t>
      </w:r>
      <w:r>
        <w:rPr>
          <w:rFonts w:ascii="Arial;Helvetica;sans-serif" w:hAnsi="Arial;Helvetica;sans-serif"/>
          <w:b/>
          <w:i w:val="false"/>
          <w:caps w:val="false"/>
          <w:smallCaps w:val="false"/>
          <w:color w:val="0055B7"/>
          <w:spacing w:val="-3"/>
          <w:sz w:val="24"/>
        </w:rPr>
        <w:t>OW CAN</w:t>
      </w:r>
      <w:r>
        <w:rPr>
          <w:rFonts w:ascii="Arial;Helvetica;sans-serif" w:hAnsi="Arial;Helvetica;sans-serif"/>
          <w:b/>
          <w:i w:val="false"/>
          <w:caps w:val="false"/>
          <w:smallCaps w:val="false"/>
          <w:color w:val="0055B7"/>
          <w:spacing w:val="-3"/>
          <w:sz w:val="24"/>
        </w:rPr>
        <w:t xml:space="preserve"> I A</w:t>
      </w:r>
      <w:r>
        <w:rPr>
          <w:rFonts w:ascii="Arial;Helvetica;sans-serif" w:hAnsi="Arial;Helvetica;sans-serif"/>
          <w:b/>
          <w:i w:val="false"/>
          <w:caps w:val="false"/>
          <w:smallCaps w:val="false"/>
          <w:color w:val="0055B7"/>
          <w:spacing w:val="-3"/>
          <w:sz w:val="24"/>
        </w:rPr>
        <w:t>TTEND THE</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NNUAL</w:t>
      </w:r>
      <w:r>
        <w:rPr>
          <w:rFonts w:ascii="Arial;Helvetica;sans-serif" w:hAnsi="Arial;Helvetica;sans-serif"/>
          <w:b/>
          <w:i w:val="false"/>
          <w:caps w:val="false"/>
          <w:smallCaps w:val="false"/>
          <w:color w:val="0055B7"/>
          <w:spacing w:val="-3"/>
          <w:sz w:val="24"/>
        </w:rPr>
        <w:t xml:space="preserve"> M</w:t>
      </w:r>
      <w:r>
        <w:rPr>
          <w:rFonts w:ascii="Arial;Helvetica;sans-serif" w:hAnsi="Arial;Helvetica;sans-serif"/>
          <w:b/>
          <w:i w:val="false"/>
          <w:caps w:val="false"/>
          <w:smallCaps w:val="false"/>
          <w:color w:val="0055B7"/>
          <w:spacing w:val="-3"/>
          <w:sz w:val="24"/>
        </w:rPr>
        <w:t>EETING?</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91440" distB="0" distL="0" distR="0" simplePos="0" locked="0" layoutInCell="1" allowOverlap="1" relativeHeight="475">
                <wp:simplePos x="0" y="0"/>
                <wp:positionH relativeFrom="column">
                  <wp:align>left</wp:align>
                </wp:positionH>
                <wp:positionV relativeFrom="line">
                  <wp:align>top</wp:align>
                </wp:positionV>
                <wp:extent cx="215900" cy="355600"/>
                <wp:effectExtent l="0" t="0" r="0" b="0"/>
                <wp:wrapSquare wrapText="right"/>
                <wp:docPr id="485" name="Frame317"/>
                <a:graphic xmlns:a="http://schemas.openxmlformats.org/drawingml/2006/main">
                  <a:graphicData uri="http://schemas.microsoft.com/office/word/2010/wordprocessingShape">
                    <wps:wsp>
                      <wps:cNvSpPr txBox="1"/>
                      <wps:spPr>
                        <a:xfrm>
                          <a:off x="0" y="0"/>
                          <a:ext cx="2159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16</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7pt;height:28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16</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Annual Meeting will be held online via live webcast at </w:t>
      </w:r>
      <w:r>
        <w:rPr>
          <w:rFonts w:ascii="Arial;Helvetica;sans-serif" w:hAnsi="Arial;Helvetica;sans-serif"/>
          <w:b/>
          <w:i w:val="false"/>
          <w:caps w:val="false"/>
          <w:smallCaps w:val="false"/>
          <w:color w:val="0055B7"/>
          <w:spacing w:val="0"/>
          <w:sz w:val="18"/>
        </w:rPr>
        <w:t>www.virtualshareholdermeeting.com/MDLN2026</w:t>
      </w:r>
      <w:r>
        <w:rPr>
          <w:rFonts w:ascii="Arial;Helvetica;sans-serif" w:hAnsi="Arial;Helvetica;sans-serif"/>
          <w:b w:val="false"/>
          <w:i w:val="false"/>
          <w:caps w:val="false"/>
          <w:smallCaps w:val="false"/>
          <w:color w:val="000000"/>
          <w:spacing w:val="-1"/>
          <w:sz w:val="18"/>
        </w:rPr>
        <w:t>. Online access will open 15 minutes before the meeting begins.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677"/>
        <w:gridCol w:w="109"/>
        <w:gridCol w:w="109"/>
        <w:gridCol w:w="1935"/>
        <w:gridCol w:w="109"/>
        <w:gridCol w:w="109"/>
        <w:gridCol w:w="6157"/>
        <w:gridCol w:w="156"/>
      </w:tblGrid>
      <w:tr>
        <w:trPr/>
        <w:tc>
          <w:tcPr>
            <w:tcW w:w="124"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0"/>
              <w:jc w:val="center"/>
              <w:rPr/>
            </w:pPr>
            <w:r>
              <w:rPr/>
              <w:drawing>
                <wp:inline distT="0" distB="0" distL="0" distR="0">
                  <wp:extent cx="371475" cy="371475"/>
                  <wp:effectExtent l="0" t="0" r="0" b="0"/>
                  <wp:docPr id="48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153" descr=""/>
                          <pic:cNvPicPr>
                            <a:picLocks noChangeAspect="1" noChangeArrowheads="1"/>
                          </pic:cNvPicPr>
                        </pic:nvPicPr>
                        <pic:blipFill>
                          <a:blip r:embed="rId170"/>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5" w:type="dxa"/>
            <w:tcBorders/>
            <w:vAlign w:val="center"/>
          </w:tcPr>
          <w:p>
            <w:pPr>
              <w:pStyle w:val="TableContents"/>
              <w:bidi w:val="0"/>
              <w:spacing w:lineRule="atLeast" w:line="200" w:before="0" w:after="0"/>
              <w:jc w:val="left"/>
              <w:rPr>
                <w:b/>
              </w:rPr>
            </w:pPr>
            <w:r>
              <w:rPr>
                <w:b/>
                <w:spacing w:val="0"/>
              </w:rPr>
              <w:t>To Attend and Participate in the Annual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57" w:type="dxa"/>
            <w:tcBorders/>
            <w:vAlign w:val="center"/>
          </w:tcPr>
          <w:p>
            <w:pPr>
              <w:pStyle w:val="TableContents"/>
              <w:bidi w:val="0"/>
              <w:spacing w:lineRule="atLeast" w:line="200" w:before="0" w:after="0"/>
              <w:ind w:left="160" w:right="0" w:hanging="0"/>
              <w:jc w:val="left"/>
              <w:rPr/>
            </w:pPr>
            <w:r>
              <w:rPr>
                <w:spacing w:val="-1"/>
              </w:rPr>
              <w:t xml:space="preserve">Visit the meeting login page at </w:t>
            </w:r>
            <w:r>
              <w:rPr>
                <w:b/>
                <w:color w:val="0055B7"/>
                <w:spacing w:val="0"/>
              </w:rPr>
              <w:t>www.virtualshareholdermeeting.com/MDLN2026</w:t>
            </w:r>
            <w:r>
              <w:rPr>
                <w:spacing w:val="-1"/>
              </w:rPr>
              <w:t>.</w:t>
            </w:r>
            <w:r>
              <w:rPr/>
              <w:t xml:space="preserve"> </w:t>
            </w:r>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101600" cy="350520"/>
                      <wp:effectExtent l="0" t="0" r="0" b="0"/>
                      <wp:wrapSquare wrapText="right"/>
                      <wp:docPr id="487" name="Frame3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160" w:right="0" w:hanging="0"/>
              <w:jc w:val="left"/>
              <w:rPr/>
            </w:pPr>
            <w:r>
              <w:rPr>
                <w:spacing w:val="-1"/>
              </w:rPr>
              <w:t>Enter the control number included on your Notice, proxy card, or voting instruction form, or otherwise provided by your bank, broker, or other nominee as described below.</w:t>
            </w:r>
            <w:r>
              <w:rPr/>
              <w:t xml:space="preserve"> </w:t>
            </w:r>
            <w:r>
              <mc:AlternateContent>
                <mc:Choice Requires="wps">
                  <w:drawing>
                    <wp:anchor behindDoc="0" distT="101600" distB="0" distL="0" distR="0" simplePos="0" locked="0" layoutInCell="1" allowOverlap="1" relativeHeight="477">
                      <wp:simplePos x="0" y="0"/>
                      <wp:positionH relativeFrom="column">
                        <wp:align>left</wp:align>
                      </wp:positionH>
                      <wp:positionV relativeFrom="line">
                        <wp:align>top</wp:align>
                      </wp:positionV>
                      <wp:extent cx="101600" cy="350520"/>
                      <wp:effectExtent l="0" t="0" r="0" b="0"/>
                      <wp:wrapSquare wrapText="right"/>
                      <wp:docPr id="488" name="Frame3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pPr>
            <w:r>
              <w:rPr>
                <w:b/>
                <w:spacing w:val="0"/>
              </w:rPr>
              <w:t>Registered Holders</w:t>
            </w:r>
            <w:r>
              <w:rPr>
                <w:spacing w:val="-1"/>
              </w:rPr>
              <w:t>: Use the control number on the Notice or proxy card.</w:t>
            </w:r>
            <w:r>
              <w:rPr/>
              <w:t xml:space="preserve"> </w:t>
            </w:r>
          </w:p>
          <w:p>
            <w:pPr>
              <w:pStyle w:val="TableContents"/>
              <w:bidi w:val="0"/>
              <w:spacing w:lineRule="atLeast" w:line="160" w:before="160" w:after="283"/>
              <w:jc w:val="left"/>
              <w:rPr>
                <w:b/>
              </w:rPr>
            </w:pPr>
            <w:r>
              <w:rPr>
                <w:b/>
                <w:spacing w:val="0"/>
              </w:rPr>
              <w:t>Beneficial Holders (hold your shares in street name)</w:t>
            </w:r>
            <w:r>
              <w:rPr>
                <w:b w:val="false"/>
                <w:spacing w:val="-1"/>
              </w:rPr>
              <w:t>:</w:t>
            </w:r>
            <w:r>
              <w:rPr>
                <w:b/>
              </w:rPr>
              <w:t xml:space="preserve"> </w:t>
            </w:r>
          </w:p>
          <w:p>
            <w:pPr>
              <w:pStyle w:val="TableContents"/>
              <w:bidi w:val="0"/>
              <w:spacing w:lineRule="atLeast" w:line="200" w:before="160" w:after="0"/>
              <w:ind w:left="160" w:right="0" w:hanging="0"/>
              <w:jc w:val="left"/>
              <w:rPr/>
            </w:pPr>
            <w:r>
              <w:rPr>
                <w:spacing w:val="-1"/>
              </w:rPr>
              <w:t xml:space="preserve">If your Notice or voting instruction form indicates that you may vote your shares at </w:t>
            </w:r>
            <w:r>
              <w:rPr>
                <w:b/>
                <w:color w:val="0055B7"/>
                <w:spacing w:val="0"/>
              </w:rPr>
              <w:t>www.proxyvote.com</w:t>
            </w:r>
            <w:r>
              <w:rPr>
                <w:spacing w:val="-1"/>
              </w:rPr>
              <w:t>, you will use the control number indicated on your Notice or instruction form.</w:t>
            </w:r>
            <w:r>
              <w:rPr/>
              <w:t xml:space="preserve"> </w:t>
            </w:r>
            <w:r>
              <mc:AlternateContent>
                <mc:Choice Requires="wps">
                  <w:drawing>
                    <wp:anchor behindDoc="0" distT="101600" distB="0" distL="0" distR="0" simplePos="0" locked="0" layoutInCell="1" allowOverlap="1" relativeHeight="478">
                      <wp:simplePos x="0" y="0"/>
                      <wp:positionH relativeFrom="column">
                        <wp:align>left</wp:align>
                      </wp:positionH>
                      <wp:positionV relativeFrom="line">
                        <wp:align>top</wp:align>
                      </wp:positionV>
                      <wp:extent cx="101600" cy="350520"/>
                      <wp:effectExtent l="0" t="0" r="0" b="0"/>
                      <wp:wrapSquare wrapText="right"/>
                      <wp:docPr id="489" name="Frame32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160" w:right="0" w:hanging="0"/>
              <w:jc w:val="left"/>
              <w:rPr/>
            </w:pPr>
            <w:r>
              <w:rPr>
                <w:spacing w:val="-1"/>
              </w:rPr>
              <w:t>Otherwise, you should contact your bank, broker, or other nominee (ideally, no less than five days before the Annual Meeting) to obtain a legal proxy.</w:t>
            </w:r>
            <w:r>
              <w:rPr/>
              <w:t xml:space="preserve"> </w:t>
            </w:r>
            <w:r>
              <mc:AlternateContent>
                <mc:Choice Requires="wps">
                  <w:drawing>
                    <wp:anchor behindDoc="0" distT="101600" distB="0" distL="0" distR="0" simplePos="0" locked="0" layoutInCell="1" allowOverlap="1" relativeHeight="479">
                      <wp:simplePos x="0" y="0"/>
                      <wp:positionH relativeFrom="column">
                        <wp:align>left</wp:align>
                      </wp:positionH>
                      <wp:positionV relativeFrom="line">
                        <wp:align>top</wp:align>
                      </wp:positionV>
                      <wp:extent cx="101600" cy="350520"/>
                      <wp:effectExtent l="0" t="0" r="0" b="0"/>
                      <wp:wrapSquare wrapText="right"/>
                      <wp:docPr id="490" name="Frame3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pPr>
            <w:r>
              <w:rPr>
                <w:spacing w:val="-1"/>
              </w:rPr>
              <w:t>If you have any questions about your control number or how to obtain one, please contact your bank, broker, or other nominee.</w:t>
            </w:r>
            <w:r>
              <w:rPr/>
              <w:t xml:space="preserve"> </w:t>
            </w:r>
          </w:p>
          <w:p>
            <w:pPr>
              <w:pStyle w:val="TableContents"/>
              <w:bidi w:val="0"/>
              <w:spacing w:lineRule="atLeast" w:line="200" w:before="160" w:after="283"/>
              <w:jc w:val="left"/>
              <w:rPr>
                <w:spacing w:val="-1"/>
              </w:rPr>
            </w:pPr>
            <w:r>
              <w:rPr>
                <w:spacing w:val="-1"/>
              </w:rPr>
              <w:t xml:space="preserve">You may vote during the Annual Meeting by following the instructions available on the meeting website during the meeting. </w:t>
            </w:r>
          </w:p>
        </w:tc>
        <w:tc>
          <w:tcPr>
            <w:tcW w:w="156" w:type="dxa"/>
            <w:tcBorders/>
            <w:vAlign w:val="center"/>
          </w:tcPr>
          <w:p>
            <w:pPr>
              <w:pStyle w:val="TableContents"/>
              <w:bidi w:val="0"/>
              <w:spacing w:before="0" w:after="283"/>
              <w:jc w:val="left"/>
              <w:rPr/>
            </w:pPr>
            <w:r>
              <w:rPr/>
              <w:t>​</w:t>
            </w:r>
          </w:p>
        </w:tc>
      </w:tr>
      <w:tr>
        <w:trPr/>
        <w:tc>
          <w:tcPr>
            <w:tcW w:w="124" w:type="dxa"/>
            <w:tcBorders/>
            <w:shd w:fill="E6EEF8" w:val="clear"/>
            <w:vAlign w:val="center"/>
          </w:tcPr>
          <w:p>
            <w:pPr>
              <w:pStyle w:val="TableContents"/>
              <w:bidi w:val="0"/>
              <w:spacing w:before="0" w:after="283"/>
              <w:jc w:val="left"/>
              <w:rPr/>
            </w:pPr>
            <w:r>
              <w:rPr/>
              <w:t>​</w:t>
            </w:r>
          </w:p>
        </w:tc>
        <w:tc>
          <w:tcPr>
            <w:tcW w:w="677" w:type="dxa"/>
            <w:tcBorders/>
            <w:shd w:fill="E6EEF8" w:val="clear"/>
            <w:vAlign w:val="center"/>
          </w:tcPr>
          <w:p>
            <w:pPr>
              <w:pStyle w:val="TableContents"/>
              <w:bidi w:val="0"/>
              <w:spacing w:before="0" w:after="283"/>
              <w:jc w:val="left"/>
              <w:rPr/>
            </w:pPr>
            <w:r>
              <w:rPr/>
              <w:t>​</w:t>
            </w:r>
          </w:p>
        </w:tc>
        <w:tc>
          <w:tcPr>
            <w:tcW w:w="109" w:type="dxa"/>
            <w:tcBorders/>
            <w:shd w:fill="E6EEF8" w:val="clear"/>
            <w:vAlign w:val="center"/>
          </w:tcPr>
          <w:p>
            <w:pPr>
              <w:pStyle w:val="TableContents"/>
              <w:bidi w:val="0"/>
              <w:spacing w:before="0" w:after="283"/>
              <w:jc w:val="left"/>
              <w:rPr/>
            </w:pPr>
            <w:r>
              <w:rPr/>
              <w:t>​</w:t>
            </w:r>
          </w:p>
        </w:tc>
        <w:tc>
          <w:tcPr>
            <w:tcW w:w="109" w:type="dxa"/>
            <w:tcBorders/>
            <w:shd w:fill="E6EEF8" w:val="clear"/>
            <w:vAlign w:val="center"/>
          </w:tcPr>
          <w:p>
            <w:pPr>
              <w:pStyle w:val="TableContents"/>
              <w:bidi w:val="0"/>
              <w:spacing w:before="0" w:after="283"/>
              <w:jc w:val="left"/>
              <w:rPr/>
            </w:pPr>
            <w:r>
              <w:rPr/>
              <w:t>​</w:t>
            </w:r>
          </w:p>
        </w:tc>
        <w:tc>
          <w:tcPr>
            <w:tcW w:w="1935" w:type="dxa"/>
            <w:tcBorders/>
            <w:shd w:fill="E6EEF8" w:val="clear"/>
            <w:vAlign w:val="center"/>
          </w:tcPr>
          <w:p>
            <w:pPr>
              <w:pStyle w:val="TableContents"/>
              <w:bidi w:val="0"/>
              <w:spacing w:before="0" w:after="283"/>
              <w:jc w:val="left"/>
              <w:rPr/>
            </w:pPr>
            <w:r>
              <w:rPr>
                <w:spacing w:val="-1"/>
              </w:rPr>
              <w:t xml:space="preserve">To Listen to the Annual Meeting </w:t>
            </w:r>
            <w:r>
              <w:rPr>
                <w:i/>
              </w:rPr>
              <w:t>(without a valid control number or legal proxy)</w:t>
            </w:r>
            <w:r>
              <w:rPr/>
              <w:t xml:space="preserve"> </w:t>
            </w:r>
          </w:p>
        </w:tc>
        <w:tc>
          <w:tcPr>
            <w:tcW w:w="109" w:type="dxa"/>
            <w:tcBorders/>
            <w:shd w:fill="E6EEF8" w:val="clear"/>
            <w:vAlign w:val="center"/>
          </w:tcPr>
          <w:p>
            <w:pPr>
              <w:pStyle w:val="TableContents"/>
              <w:bidi w:val="0"/>
              <w:spacing w:before="0" w:after="283"/>
              <w:jc w:val="left"/>
              <w:rPr/>
            </w:pPr>
            <w:r>
              <w:rPr/>
              <w:t>​</w:t>
            </w:r>
          </w:p>
        </w:tc>
        <w:tc>
          <w:tcPr>
            <w:tcW w:w="109" w:type="dxa"/>
            <w:tcBorders/>
            <w:shd w:fill="E6EEF8" w:val="clear"/>
            <w:vAlign w:val="center"/>
          </w:tcPr>
          <w:p>
            <w:pPr>
              <w:pStyle w:val="TableContents"/>
              <w:bidi w:val="0"/>
              <w:spacing w:before="0" w:after="283"/>
              <w:jc w:val="left"/>
              <w:rPr/>
            </w:pPr>
            <w:r>
              <w:rPr/>
              <w:t>​</w:t>
            </w:r>
          </w:p>
        </w:tc>
        <w:tc>
          <w:tcPr>
            <w:tcW w:w="6157" w:type="dxa"/>
            <w:tcBorders/>
            <w:shd w:fill="E6EEF8" w:val="clear"/>
            <w:vAlign w:val="center"/>
          </w:tcPr>
          <w:p>
            <w:pPr>
              <w:pStyle w:val="TableContents"/>
              <w:bidi w:val="0"/>
              <w:spacing w:lineRule="atLeast" w:line="200" w:before="0" w:after="0"/>
              <w:ind w:left="160" w:right="0" w:hanging="0"/>
              <w:jc w:val="left"/>
              <w:rPr/>
            </w:pPr>
            <w:r>
              <w:rPr>
                <w:spacing w:val="-1"/>
              </w:rPr>
              <w:t xml:space="preserve">Visit </w:t>
            </w:r>
            <w:r>
              <w:rPr>
                <w:b/>
                <w:color w:val="0055B7"/>
                <w:spacing w:val="0"/>
              </w:rPr>
              <w:t>www.virtualshareholdermeeting.com/MDLN2026</w:t>
            </w:r>
            <w:r>
              <w:rPr>
                <w:spacing w:val="-1"/>
              </w:rPr>
              <w:t xml:space="preserve"> and register as a guest. Guests may listen to the webcast but will not be able to vote or ask questions during the Annual Meeting. </w:t>
            </w:r>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101600" cy="350520"/>
                      <wp:effectExtent l="0" t="0" r="0" b="0"/>
                      <wp:wrapSquare wrapText="right"/>
                      <wp:docPr id="491" name="Frame3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77"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35" w:type="dxa"/>
            <w:tcBorders>
              <w:bottom w:val="single" w:sz="6" w:space="0" w:color="000000"/>
            </w:tcBorders>
            <w:tcMar>
              <w:bottom w:w="30" w:type="dxa"/>
            </w:tcMar>
            <w:vAlign w:val="center"/>
          </w:tcPr>
          <w:p>
            <w:pPr>
              <w:pStyle w:val="TableContents"/>
              <w:bidi w:val="0"/>
              <w:spacing w:before="0" w:after="283"/>
              <w:jc w:val="left"/>
              <w:rPr>
                <w:spacing w:val="-1"/>
              </w:rPr>
            </w:pPr>
            <w:r>
              <w:rPr>
                <w:spacing w:val="-1"/>
              </w:rPr>
              <w:t xml:space="preserve">For Help with Difficulties Accessing the Annual Meeting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157" w:type="dxa"/>
            <w:tcBorders>
              <w:bottom w:val="single" w:sz="6" w:space="0" w:color="000000"/>
            </w:tcBorders>
            <w:tcMar>
              <w:bottom w:w="30" w:type="dxa"/>
            </w:tcMar>
            <w:vAlign w:val="center"/>
          </w:tcPr>
          <w:p>
            <w:pPr>
              <w:pStyle w:val="TableContents"/>
              <w:bidi w:val="0"/>
              <w:spacing w:lineRule="atLeast" w:line="200" w:before="0" w:after="0"/>
              <w:ind w:left="160" w:right="0" w:hanging="0"/>
              <w:jc w:val="left"/>
              <w:rPr/>
            </w:pPr>
            <w:r>
              <w:rPr>
                <w:spacing w:val="-1"/>
              </w:rPr>
              <w:t>If you encounter any difficulties while accessing the virtual meeting during the check-in or meeting time, a technical assistance phone number will be made available on the virtual meeting registration page 15 minutes prior to the start of the Annual Meeting.</w:t>
            </w:r>
            <w:r>
              <w:rPr/>
              <w:t xml:space="preserve"> </w:t>
            </w:r>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101600" cy="350520"/>
                      <wp:effectExtent l="0" t="0" r="0" b="0"/>
                      <wp:wrapSquare wrapText="right"/>
                      <wp:docPr id="492" name="Frame32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174" w:after="0"/>
        <w:ind w:left="106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H</w:t>
      </w:r>
      <w:r>
        <w:rPr>
          <w:rFonts w:ascii="Arial;Helvetica;sans-serif" w:hAnsi="Arial;Helvetica;sans-serif"/>
          <w:b/>
          <w:i w:val="false"/>
          <w:caps w:val="false"/>
          <w:smallCaps w:val="false"/>
          <w:color w:val="0055B7"/>
          <w:spacing w:val="-3"/>
          <w:sz w:val="24"/>
        </w:rPr>
        <w:t>OW CAN</w:t>
      </w:r>
      <w:r>
        <w:rPr>
          <w:rFonts w:ascii="Arial;Helvetica;sans-serif" w:hAnsi="Arial;Helvetica;sans-serif"/>
          <w:b/>
          <w:i w:val="false"/>
          <w:caps w:val="false"/>
          <w:smallCaps w:val="false"/>
          <w:color w:val="0055B7"/>
          <w:spacing w:val="-3"/>
          <w:sz w:val="24"/>
        </w:rPr>
        <w:t xml:space="preserve"> I S</w:t>
      </w:r>
      <w:r>
        <w:rPr>
          <w:rFonts w:ascii="Arial;Helvetica;sans-serif" w:hAnsi="Arial;Helvetica;sans-serif"/>
          <w:b/>
          <w:i w:val="false"/>
          <w:caps w:val="false"/>
          <w:smallCaps w:val="false"/>
          <w:color w:val="0055B7"/>
          <w:spacing w:val="-3"/>
          <w:sz w:val="24"/>
        </w:rPr>
        <w:t>UBMIT</w:t>
      </w:r>
      <w:r>
        <w:rPr>
          <w:rFonts w:ascii="Arial;Helvetica;sans-serif" w:hAnsi="Arial;Helvetica;sans-serif"/>
          <w:b/>
          <w:i w:val="false"/>
          <w:caps w:val="false"/>
          <w:smallCaps w:val="false"/>
          <w:color w:val="0055B7"/>
          <w:spacing w:val="-3"/>
          <w:sz w:val="24"/>
        </w:rPr>
        <w:t xml:space="preserve"> Q</w:t>
      </w:r>
      <w:r>
        <w:rPr>
          <w:rFonts w:ascii="Arial;Helvetica;sans-serif" w:hAnsi="Arial;Helvetica;sans-serif"/>
          <w:b/>
          <w:i w:val="false"/>
          <w:caps w:val="false"/>
          <w:smallCaps w:val="false"/>
          <w:color w:val="0055B7"/>
          <w:spacing w:val="-3"/>
          <w:sz w:val="24"/>
        </w:rPr>
        <w:t>UESTIONS?</w:t>
      </w:r>
      <w:r>
        <w:rPr>
          <w:rFonts w:ascii="Arial;Helvetica;sans-serif" w:hAnsi="Arial;Helvetica;sans-serif"/>
          <w:b/>
          <w:i w:val="false"/>
          <w:caps w:val="false"/>
          <w:smallCaps w:val="false"/>
          <w:color w:val="000000"/>
          <w:spacing w:val="5"/>
          <w:sz w:val="24"/>
        </w:rPr>
        <w:t xml:space="preserve"> </w:t>
      </w:r>
      <w:r>
        <mc:AlternateContent>
          <mc:Choice Requires="wps">
            <w:drawing>
              <wp:anchor behindDoc="0" distT="110490" distB="0" distL="0" distR="0" simplePos="0" locked="0" layoutInCell="1" allowOverlap="1" relativeHeight="482">
                <wp:simplePos x="0" y="0"/>
                <wp:positionH relativeFrom="column">
                  <wp:align>left</wp:align>
                </wp:positionH>
                <wp:positionV relativeFrom="line">
                  <wp:align>top</wp:align>
                </wp:positionV>
                <wp:extent cx="215900" cy="355600"/>
                <wp:effectExtent l="0" t="0" r="0" b="0"/>
                <wp:wrapSquare wrapText="right"/>
                <wp:docPr id="493" name="Frame324"/>
                <a:graphic xmlns:a="http://schemas.openxmlformats.org/drawingml/2006/main">
                  <a:graphicData uri="http://schemas.microsoft.com/office/word/2010/wordprocessingShape">
                    <wps:wsp>
                      <wps:cNvSpPr txBox="1"/>
                      <wps:spPr>
                        <a:xfrm>
                          <a:off x="0" y="0"/>
                          <a:ext cx="215900" cy="355600"/>
                        </a:xfrm>
                        <a:prstGeom prst="rect"/>
                        <a:solidFill>
                          <a:srgbClr val="FFFFFF"/>
                        </a:solidFill>
                      </wps:spPr>
                      <wps:txbx>
                        <w:txbxContent>
                          <w:p>
                            <w:pPr>
                              <w:pStyle w:val="TextBody"/>
                              <w:bidi w:val="0"/>
                              <w:spacing w:lineRule="atLeast" w:line="280" w:before="0" w:after="283"/>
                              <w:jc w:val="left"/>
                              <w:rPr>
                                <w:b/>
                                <w:color w:val="0055B7"/>
                                <w:sz w:val="24"/>
                              </w:rPr>
                            </w:pPr>
                            <w:r>
                              <w:rPr>
                                <w:b/>
                                <w:color w:val="0055B7"/>
                                <w:spacing w:val="-3"/>
                                <w:sz w:val="24"/>
                              </w:rPr>
                              <w:t>17</w:t>
                            </w:r>
                            <w:r>
                              <w:rPr>
                                <w:b/>
                                <w:color w:val="0055B7"/>
                                <w:sz w:val="24"/>
                              </w:rPr>
                              <w:t xml:space="preserve"> </w:t>
                              <w:br/>
                            </w:r>
                          </w:p>
                        </w:txbxContent>
                      </wps:txbx>
                      <wps:bodyPr anchor="t" lIns="0" tIns="0" rIns="0" bIns="0">
                        <a:noAutofit/>
                      </wps:bodyPr>
                    </wps:wsp>
                  </a:graphicData>
                </a:graphic>
              </wp:anchor>
            </w:drawing>
          </mc:Choice>
          <mc:Fallback>
            <w:pict>
              <v:rect style="position:absolute;rotation:-0;width:17pt;height:28pt;mso-wrap-distance-left:0pt;mso-wrap-distance-right:0pt;mso-wrap-distance-top:8.7pt;mso-wrap-distance-bottom:0pt;margin-top:8.7pt;mso-position-vertical:top;mso-position-vertical-relative:text;margin-left:0pt;mso-position-horizontal:left;mso-position-horizontal-relative:text">
                <v:textbox>
                  <w:txbxContent>
                    <w:p>
                      <w:pPr>
                        <w:pStyle w:val="TextBody"/>
                        <w:bidi w:val="0"/>
                        <w:spacing w:lineRule="atLeast" w:line="280" w:before="0" w:after="283"/>
                        <w:jc w:val="left"/>
                        <w:rPr>
                          <w:b/>
                          <w:color w:val="0055B7"/>
                          <w:sz w:val="24"/>
                        </w:rPr>
                      </w:pPr>
                      <w:r>
                        <w:rPr>
                          <w:b/>
                          <w:color w:val="0055B7"/>
                          <w:spacing w:val="-3"/>
                          <w:sz w:val="24"/>
                        </w:rPr>
                        <w:t>17</w:t>
                      </w:r>
                      <w:r>
                        <w:rPr>
                          <w:b/>
                          <w:color w:val="0055B7"/>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28" w:type="dxa"/>
          <w:right w:w="0" w:type="dxa"/>
        </w:tblCellMar>
      </w:tblPr>
      <w:tblGrid>
        <w:gridCol w:w="124"/>
        <w:gridCol w:w="683"/>
        <w:gridCol w:w="109"/>
        <w:gridCol w:w="109"/>
        <w:gridCol w:w="1356"/>
        <w:gridCol w:w="109"/>
        <w:gridCol w:w="109"/>
        <w:gridCol w:w="6730"/>
        <w:gridCol w:w="156"/>
      </w:tblGrid>
      <w:tr>
        <w:trPr/>
        <w:tc>
          <w:tcPr>
            <w:tcW w:w="124" w:type="dxa"/>
            <w:tcBorders>
              <w:bottom w:val="single" w:sz="6" w:space="0" w:color="000000"/>
            </w:tcBorders>
            <w:vAlign w:val="center"/>
          </w:tcPr>
          <w:p>
            <w:pPr>
              <w:pStyle w:val="TableContents"/>
              <w:bidi w:val="0"/>
              <w:spacing w:before="0" w:after="283"/>
              <w:jc w:val="left"/>
              <w:rPr/>
            </w:pPr>
            <w:r>
              <w:rPr/>
              <w:t>​</w:t>
            </w:r>
          </w:p>
        </w:tc>
        <w:tc>
          <w:tcPr>
            <w:tcW w:w="683" w:type="dxa"/>
            <w:tcBorders>
              <w:bottom w:val="single" w:sz="6" w:space="0" w:color="000000"/>
            </w:tcBorders>
            <w:tcMar>
              <w:bottom w:w="80" w:type="dxa"/>
            </w:tcMar>
            <w:vAlign w:val="center"/>
          </w:tcPr>
          <w:p>
            <w:pPr>
              <w:pStyle w:val="TableContents"/>
              <w:bidi w:val="0"/>
              <w:spacing w:before="0" w:after="0"/>
              <w:jc w:val="center"/>
              <w:rPr/>
            </w:pPr>
            <w:r>
              <w:rPr/>
              <w:drawing>
                <wp:inline distT="0" distB="0" distL="0" distR="0">
                  <wp:extent cx="371475" cy="371475"/>
                  <wp:effectExtent l="0" t="0" r="0" b="0"/>
                  <wp:docPr id="49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154" descr=""/>
                          <pic:cNvPicPr>
                            <a:picLocks noChangeAspect="1" noChangeArrowheads="1"/>
                          </pic:cNvPicPr>
                        </pic:nvPicPr>
                        <pic:blipFill>
                          <a:blip r:embed="rId171"/>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56" w:type="dxa"/>
            <w:tcBorders>
              <w:bottom w:val="single" w:sz="6" w:space="0" w:color="000000"/>
            </w:tcBorders>
            <w:tcMar>
              <w:bottom w:w="80" w:type="dxa"/>
            </w:tcMar>
            <w:vAlign w:val="center"/>
          </w:tcPr>
          <w:p>
            <w:pPr>
              <w:pStyle w:val="TableContents"/>
              <w:bidi w:val="0"/>
              <w:spacing w:lineRule="atLeast" w:line="200" w:before="0" w:after="0"/>
              <w:jc w:val="left"/>
              <w:rPr>
                <w:b/>
              </w:rPr>
            </w:pPr>
            <w:r>
              <w:rPr>
                <w:b/>
                <w:spacing w:val="0"/>
              </w:rPr>
              <w:t>During the Annual Meeting</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730" w:type="dxa"/>
            <w:tcBorders>
              <w:bottom w:val="single" w:sz="6" w:space="0" w:color="000000"/>
            </w:tcBorders>
            <w:tcMar>
              <w:bottom w:w="80" w:type="dxa"/>
            </w:tcMar>
            <w:vAlign w:val="center"/>
          </w:tcPr>
          <w:p>
            <w:pPr>
              <w:pStyle w:val="TableContents"/>
              <w:bidi w:val="0"/>
              <w:spacing w:lineRule="atLeast" w:line="160" w:before="0" w:after="0"/>
              <w:ind w:left="160" w:right="0" w:hanging="0"/>
              <w:jc w:val="left"/>
              <w:rPr/>
            </w:pPr>
            <w:r>
              <w:rPr>
                <w:spacing w:val="-1"/>
              </w:rPr>
              <w:t xml:space="preserve">Visit </w:t>
            </w:r>
            <w:r>
              <w:rPr>
                <w:b/>
                <w:color w:val="0055B7"/>
                <w:spacing w:val="0"/>
              </w:rPr>
              <w:t>www.virtualshareholdermeeting.com/MDLN2026</w:t>
            </w:r>
            <w:r>
              <w:rPr>
                <w:spacing w:val="-1"/>
              </w:rPr>
              <w:t>.</w:t>
            </w:r>
            <w:r>
              <w:rPr/>
              <w:t xml:space="preserve"> </w:t>
            </w:r>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101600" cy="350520"/>
                      <wp:effectExtent l="0" t="0" r="0" b="0"/>
                      <wp:wrapSquare wrapText="right"/>
                      <wp:docPr id="495" name="Frame32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160" w:right="0" w:hanging="0"/>
              <w:jc w:val="left"/>
              <w:rPr/>
            </w:pPr>
            <w:r>
              <w:rPr>
                <w:spacing w:val="-1"/>
              </w:rPr>
              <w:t>Enter the control number included on your Notice, proxy card, or voting instruction form, or otherwise provided by your bank, broker, or other nominee (as described in Question 16).</w:t>
            </w:r>
            <w:r>
              <w:rPr/>
              <w:t xml:space="preserve"> </w:t>
            </w:r>
            <w:r>
              <mc:AlternateContent>
                <mc:Choice Requires="wps">
                  <w:drawing>
                    <wp:anchor behindDoc="0" distT="101600" distB="0" distL="0" distR="0" simplePos="0" locked="0" layoutInCell="1" allowOverlap="1" relativeHeight="484">
                      <wp:simplePos x="0" y="0"/>
                      <wp:positionH relativeFrom="column">
                        <wp:align>left</wp:align>
                      </wp:positionH>
                      <wp:positionV relativeFrom="line">
                        <wp:align>top</wp:align>
                      </wp:positionV>
                      <wp:extent cx="101600" cy="350520"/>
                      <wp:effectExtent l="0" t="0" r="0" b="0"/>
                      <wp:wrapSquare wrapText="right"/>
                      <wp:docPr id="496" name="Frame32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160" w:right="0" w:hanging="0"/>
              <w:jc w:val="left"/>
              <w:rPr/>
            </w:pPr>
            <w:r>
              <w:rPr>
                <w:spacing w:val="-1"/>
              </w:rPr>
              <w:t>Type your question into the “Ask a Question” field and click “Submit.”</w:t>
            </w:r>
            <w:r>
              <w:rPr/>
              <w:t xml:space="preserve"> </w:t>
            </w:r>
            <w:r>
              <mc:AlternateContent>
                <mc:Choice Requires="wps">
                  <w:drawing>
                    <wp:anchor behindDoc="0" distT="101600" distB="0" distL="0" distR="0" simplePos="0" locked="0" layoutInCell="1" allowOverlap="1" relativeHeight="485">
                      <wp:simplePos x="0" y="0"/>
                      <wp:positionH relativeFrom="column">
                        <wp:align>left</wp:align>
                      </wp:positionH>
                      <wp:positionV relativeFrom="line">
                        <wp:align>top</wp:align>
                      </wp:positionV>
                      <wp:extent cx="101600" cy="350520"/>
                      <wp:effectExtent l="0" t="0" r="0" b="0"/>
                      <wp:wrapSquare wrapText="right"/>
                      <wp:docPr id="497" name="Frame32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30" w:before="214"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Only stockholders with a valid control number (or legal proxy, if required) may submit questions. We will try to answer as many stockholder questions as time permits and may group substantially similar questions together. We may also exclude questions that contain profanity or inappropriate content, or that are not relevant to Annual Meeting matters or Company business.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79</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SPL"/>
      <w:bookmarkEnd w:id="56"/>
      <w:r>
        <w:rPr>
          <w:rFonts w:ascii="calibri;arial;sans-serif" w:hAnsi="calibri;arial;sans-serif"/>
          <w:b w:val="false"/>
          <w:i w:val="false"/>
          <w:caps w:val="false"/>
          <w:smallCaps w:val="false"/>
          <w:color w:val="000000"/>
          <w:sz w:val="16"/>
        </w:rPr>
        <w:t>​</w:t>
      </w:r>
      <w:bookmarkStart w:id="57" w:name="tOML"/>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O</w:t>
      </w:r>
      <w:r>
        <w:rPr>
          <w:rFonts w:ascii="Arial;Helvetica;sans-serif" w:hAnsi="Arial;Helvetica;sans-serif"/>
          <w:b w:val="false"/>
          <w:i w:val="false"/>
          <w:caps w:val="false"/>
          <w:smallCaps w:val="false"/>
          <w:color w:val="C3C5C8"/>
          <w:spacing w:val="-1"/>
          <w:sz w:val="15"/>
        </w:rPr>
        <w:t>THER</w:t>
      </w:r>
      <w:r>
        <w:rPr>
          <w:rFonts w:ascii="Arial;Helvetica;sans-serif" w:hAnsi="Arial;Helvetica;sans-serif"/>
          <w:b w:val="false"/>
          <w:i w:val="false"/>
          <w:caps w:val="false"/>
          <w:smallCaps w:val="false"/>
          <w:color w:val="C3C5C8"/>
          <w:spacing w:val="-1"/>
          <w:sz w:val="15"/>
        </w:rPr>
        <w:t xml:space="preserve"> I</w:t>
      </w:r>
      <w:r>
        <w:rPr>
          <w:rFonts w:ascii="Arial;Helvetica;sans-serif" w:hAnsi="Arial;Helvetica;sans-serif"/>
          <w:b w:val="false"/>
          <w:i w:val="false"/>
          <w:caps w:val="false"/>
          <w:smallCaps w:val="false"/>
          <w:color w:val="C3C5C8"/>
          <w:spacing w:val="-1"/>
          <w:sz w:val="15"/>
        </w:rPr>
        <w:t>NFORMATION</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1750"/>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S</w:t>
      </w:r>
      <w:r>
        <w:rPr>
          <w:rFonts w:ascii="Arial;Helvetica;sans-serif" w:hAnsi="Arial;Helvetica;sans-serif"/>
          <w:b/>
          <w:i w:val="false"/>
          <w:caps w:val="false"/>
          <w:smallCaps w:val="false"/>
          <w:color w:val="003CA6"/>
          <w:spacing w:val="-4"/>
          <w:sz w:val="28"/>
        </w:rPr>
        <w:t>TOCKHOLDER</w:t>
      </w:r>
      <w:r>
        <w:rPr>
          <w:rFonts w:ascii="Arial;Helvetica;sans-serif" w:hAnsi="Arial;Helvetica;sans-serif"/>
          <w:b/>
          <w:i w:val="false"/>
          <w:caps w:val="false"/>
          <w:smallCaps w:val="false"/>
          <w:color w:val="003CA6"/>
          <w:spacing w:val="-4"/>
          <w:sz w:val="28"/>
        </w:rPr>
        <w:t xml:space="preserve"> P</w:t>
      </w:r>
      <w:r>
        <w:rPr>
          <w:rFonts w:ascii="Arial;Helvetica;sans-serif" w:hAnsi="Arial;Helvetica;sans-serif"/>
          <w:b/>
          <w:i w:val="false"/>
          <w:caps w:val="false"/>
          <w:smallCaps w:val="false"/>
          <w:color w:val="003CA6"/>
          <w:spacing w:val="-4"/>
          <w:sz w:val="28"/>
        </w:rPr>
        <w:t>ROPOSALS</w:t>
      </w:r>
      <w:r>
        <w:rPr>
          <w:rFonts w:ascii="Arial;Helvetica;sans-serif" w:hAnsi="Arial;Helvetica;sans-serif"/>
          <w:b/>
          <w:i w:val="false"/>
          <w:caps w:val="false"/>
          <w:smallCaps w:val="false"/>
          <w:color w:val="000000"/>
          <w:spacing w:val="6"/>
          <w:sz w:val="28"/>
        </w:rPr>
        <w:t xml:space="preserve"> </w:t>
      </w:r>
    </w:p>
    <w:tbl>
      <w:tblPr>
        <w:tblW w:w="9485" w:type="dxa"/>
        <w:jc w:val="left"/>
        <w:tblInd w:w="720" w:type="dxa"/>
        <w:tblLayout w:type="fixed"/>
        <w:tblCellMar>
          <w:top w:w="0" w:type="dxa"/>
          <w:left w:w="0" w:type="dxa"/>
          <w:bottom w:w="43" w:type="dxa"/>
          <w:right w:w="0" w:type="dxa"/>
        </w:tblCellMar>
      </w:tblPr>
      <w:tblGrid>
        <w:gridCol w:w="1808"/>
        <w:gridCol w:w="109"/>
        <w:gridCol w:w="109"/>
        <w:gridCol w:w="1886"/>
        <w:gridCol w:w="109"/>
        <w:gridCol w:w="109"/>
        <w:gridCol w:w="3265"/>
        <w:gridCol w:w="109"/>
        <w:gridCol w:w="109"/>
        <w:gridCol w:w="1716"/>
        <w:gridCol w:w="156"/>
      </w:tblGrid>
      <w:tr>
        <w:trPr/>
        <w:tc>
          <w:tcPr>
            <w:tcW w:w="1808" w:type="dxa"/>
            <w:tcBorders>
              <w:bottom w:val="single" w:sz="2" w:space="0" w:color="000000"/>
            </w:tcBorders>
            <w:vAlign w:val="center"/>
          </w:tcPr>
          <w:p>
            <w:pPr>
              <w:pStyle w:val="TableContents"/>
              <w:bidi w:val="0"/>
              <w:spacing w:before="0" w:after="0"/>
              <w:jc w:val="left"/>
              <w:rPr>
                <w:spacing w:val="0"/>
              </w:rPr>
            </w:pPr>
            <w:r>
              <w:rPr>
                <w:spacing w:val="0"/>
              </w:rPr>
              <w:t xml:space="preserve">Stockholder Proposals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86" w:type="dxa"/>
            <w:tcBorders>
              <w:bottom w:val="single" w:sz="2" w:space="0" w:color="000000"/>
            </w:tcBorders>
            <w:vAlign w:val="center"/>
          </w:tcPr>
          <w:p>
            <w:pPr>
              <w:pStyle w:val="TableContents"/>
              <w:bidi w:val="0"/>
              <w:spacing w:before="0" w:after="0"/>
              <w:jc w:val="left"/>
              <w:rPr>
                <w:spacing w:val="0"/>
              </w:rPr>
            </w:pPr>
            <w:r>
              <w:rPr>
                <w:spacing w:val="0"/>
              </w:rPr>
              <w:t xml:space="preserve">Description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65" w:type="dxa"/>
            <w:tcBorders>
              <w:bottom w:val="single" w:sz="2" w:space="0" w:color="000000"/>
            </w:tcBorders>
            <w:vAlign w:val="center"/>
          </w:tcPr>
          <w:p>
            <w:pPr>
              <w:pStyle w:val="TableContents"/>
              <w:bidi w:val="0"/>
              <w:spacing w:before="0" w:after="0"/>
              <w:jc w:val="center"/>
              <w:rPr>
                <w:spacing w:val="0"/>
              </w:rPr>
            </w:pPr>
            <w:r>
              <w:rPr>
                <w:spacing w:val="0"/>
              </w:rPr>
              <w:t xml:space="preserve">Deadline </w:t>
              <w:br/>
              <w:t xml:space="preserve">Date and time by which Medline </w:t>
              <w:br/>
              <w:t xml:space="preserve">must receive written notice of </w:t>
              <w:br/>
              <w:t xml:space="preserve">the nomination or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16" w:type="dxa"/>
            <w:tcBorders>
              <w:bottom w:val="single" w:sz="2" w:space="0" w:color="000000"/>
            </w:tcBorders>
            <w:vAlign w:val="center"/>
          </w:tcPr>
          <w:p>
            <w:pPr>
              <w:pStyle w:val="TableContents"/>
              <w:bidi w:val="0"/>
              <w:spacing w:before="0" w:after="0"/>
              <w:jc w:val="center"/>
              <w:rPr>
                <w:spacing w:val="0"/>
              </w:rPr>
            </w:pPr>
            <w:r>
              <w:rPr>
                <w:spacing w:val="0"/>
              </w:rPr>
              <w:t xml:space="preserve">Additional </w:t>
              <w:br/>
              <w:t xml:space="preserve">Requirements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808" w:type="dxa"/>
            <w:tcBorders>
              <w:bottom w:val="single" w:sz="6" w:space="0" w:color="000000"/>
            </w:tcBorders>
            <w:tcMar>
              <w:bottom w:w="32" w:type="dxa"/>
            </w:tcMar>
            <w:vAlign w:val="center"/>
          </w:tcPr>
          <w:p>
            <w:pPr>
              <w:pStyle w:val="TableContents"/>
              <w:bidi w:val="0"/>
              <w:spacing w:before="0" w:after="0"/>
              <w:jc w:val="left"/>
              <w:rPr>
                <w:b/>
              </w:rPr>
            </w:pPr>
            <w:r>
              <w:rPr>
                <w:b/>
                <w:spacing w:val="0"/>
              </w:rPr>
              <w:t>To include a proposal in our 2027 Proxy Statement</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6"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Under SEC Rule 14a-8, a stockholder may submit a proposal for possible inclusion in the proxy statement for our 2027 Annual Meeting of Stockholders by delivering written notice to Medline at the address below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65" w:type="dxa"/>
            <w:tcBorders>
              <w:bottom w:val="single" w:sz="6" w:space="0" w:color="000000"/>
            </w:tcBorders>
            <w:tcMar>
              <w:bottom w:w="32" w:type="dxa"/>
            </w:tcMar>
            <w:vAlign w:val="center"/>
          </w:tcPr>
          <w:p>
            <w:pPr>
              <w:pStyle w:val="TableContents"/>
              <w:bidi w:val="0"/>
              <w:spacing w:before="0" w:after="283"/>
              <w:jc w:val="left"/>
              <w:rPr/>
            </w:pPr>
            <w:r>
              <w:rPr>
                <w:spacing w:val="-1"/>
              </w:rPr>
              <w:t>By the close of business on December 24, 2026</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16" w:type="dxa"/>
            <w:tcBorders>
              <w:bottom w:val="single" w:sz="6" w:space="0" w:color="000000"/>
            </w:tcBorders>
            <w:tcMar>
              <w:bottom w:w="32" w:type="dxa"/>
            </w:tcMar>
            <w:vAlign w:val="center"/>
          </w:tcPr>
          <w:p>
            <w:pPr>
              <w:pStyle w:val="TableContents"/>
              <w:bidi w:val="0"/>
              <w:spacing w:before="0" w:after="283"/>
              <w:jc w:val="left"/>
              <w:rPr>
                <w:spacing w:val="-1"/>
              </w:rPr>
            </w:pPr>
            <w:r>
              <w:rPr>
                <w:spacing w:val="-1"/>
              </w:rPr>
              <w:t xml:space="preserve">The information required by Rule 14a-8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808" w:type="dxa"/>
            <w:tcBorders>
              <w:bottom w:val="single" w:sz="6" w:space="0" w:color="000000"/>
            </w:tcBorders>
            <w:tcMar>
              <w:bottom w:w="30" w:type="dxa"/>
            </w:tcMar>
            <w:vAlign w:val="center"/>
          </w:tcPr>
          <w:p>
            <w:pPr>
              <w:pStyle w:val="TableContents"/>
              <w:bidi w:val="0"/>
              <w:spacing w:before="0" w:after="0"/>
              <w:jc w:val="left"/>
              <w:rPr>
                <w:b/>
              </w:rPr>
            </w:pPr>
            <w:r>
              <w:rPr>
                <w:b/>
                <w:spacing w:val="0"/>
              </w:rPr>
              <w:t>To nominate a candidate for election as a director or submit a proposal for consideration at our 2027 Annual Meeting of Stockholders</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6" w:type="dxa"/>
            <w:tcBorders>
              <w:bottom w:val="single" w:sz="6" w:space="0" w:color="000000"/>
            </w:tcBorders>
            <w:tcMar>
              <w:bottom w:w="30" w:type="dxa"/>
            </w:tcMar>
            <w:vAlign w:val="center"/>
          </w:tcPr>
          <w:p>
            <w:pPr>
              <w:pStyle w:val="TableContents"/>
              <w:bidi w:val="0"/>
              <w:spacing w:before="0" w:after="283"/>
              <w:jc w:val="left"/>
              <w:rPr>
                <w:spacing w:val="-1"/>
              </w:rPr>
            </w:pPr>
            <w:r>
              <w:rPr>
                <w:spacing w:val="-1"/>
              </w:rPr>
              <w:t xml:space="preserve">Under our Bylaws, a stockholder may nominate a candidate for election as a director or propose business for consideration at our 2027 Annual Meeting of Stockholders by delivering written notice to Medline at the address below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65" w:type="dxa"/>
            <w:tcBorders>
              <w:bottom w:val="single" w:sz="6" w:space="0" w:color="000000"/>
            </w:tcBorders>
            <w:tcMar>
              <w:bottom w:w="30" w:type="dxa"/>
            </w:tcMar>
            <w:vAlign w:val="center"/>
          </w:tcPr>
          <w:p>
            <w:pPr>
              <w:pStyle w:val="TableContents"/>
              <w:bidi w:val="0"/>
              <w:spacing w:before="0" w:after="283"/>
              <w:jc w:val="left"/>
              <w:rPr>
                <w:spacing w:val="-1"/>
              </w:rPr>
            </w:pPr>
            <w:r>
              <w:rPr>
                <w:spacing w:val="-1"/>
              </w:rPr>
              <w:t xml:space="preserve">Between the close of business on February 11, 2027 and the close of business on March 13, 2027. We generally must receive written notice no later than 90 days, and no earlier than 120 days, before the first anniversary of the preceding year’s annual meeting. If we change the date of an annual meeting by more than 30 days before or more than 70 days after the date of the previous year’s annual meeting, then we must receive this written notice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us.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16" w:type="dxa"/>
            <w:tcBorders>
              <w:bottom w:val="single" w:sz="6" w:space="0" w:color="000000"/>
            </w:tcBorders>
            <w:tcMar>
              <w:bottom w:w="30" w:type="dxa"/>
            </w:tcMar>
            <w:vAlign w:val="center"/>
          </w:tcPr>
          <w:p>
            <w:pPr>
              <w:pStyle w:val="TableContents"/>
              <w:bidi w:val="0"/>
              <w:spacing w:before="0" w:after="283"/>
              <w:jc w:val="left"/>
              <w:rPr/>
            </w:pPr>
            <w:r>
              <w:rPr>
                <w:spacing w:val="-1"/>
              </w:rPr>
              <w:t>The information required by our Bylaws, Article II, Section 2.03(A)(2) and Rule 14a-19 (for nominees to be included on our proxy card)</w:t>
            </w:r>
            <w:r>
              <w:rPr/>
              <w:t xml:space="preserve">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190" w:after="283"/>
        <w:ind w:left="720" w:right="0" w:hanging="0"/>
        <w:jc w:val="center"/>
        <w:rPr>
          <w:rFonts w:ascii="Arial;Helvetica;sans-serif" w:hAnsi="Arial;Helvetica;sans-serif"/>
          <w:b/>
          <w:i w:val="false"/>
          <w:caps w:val="false"/>
          <w:smallCaps w:val="false"/>
          <w:color w:val="0055B7"/>
          <w:sz w:val="18"/>
        </w:rPr>
      </w:pPr>
      <w:r>
        <w:rPr>
          <w:rFonts w:ascii="Arial;Helvetica;sans-serif" w:hAnsi="Arial;Helvetica;sans-serif"/>
          <w:b/>
          <w:i w:val="false"/>
          <w:caps w:val="false"/>
          <w:smallCaps w:val="false"/>
          <w:color w:val="0055B7"/>
          <w:spacing w:val="-2"/>
          <w:sz w:val="18"/>
        </w:rPr>
        <w:t>MAIL TO:</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20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Medline Inc. </w:t>
        <w:br/>
        <w:t xml:space="preserve">Attention: Corporate Secretary </w:t>
        <w:br/>
        <w:t xml:space="preserve">3 Lakes Drive </w:t>
        <w:br/>
        <w:t>Northfield, Illinois 60093</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O</w:t>
      </w:r>
      <w:r>
        <w:rPr>
          <w:rFonts w:ascii="Arial;Helvetica;sans-serif" w:hAnsi="Arial;Helvetica;sans-serif"/>
          <w:b/>
          <w:i w:val="false"/>
          <w:caps w:val="false"/>
          <w:smallCaps w:val="false"/>
          <w:color w:val="003CA6"/>
          <w:spacing w:val="-4"/>
          <w:sz w:val="28"/>
        </w:rPr>
        <w:t>THER</w:t>
      </w:r>
      <w:r>
        <w:rPr>
          <w:rFonts w:ascii="Arial;Helvetica;sans-serif" w:hAnsi="Arial;Helvetica;sans-serif"/>
          <w:b/>
          <w:i w:val="false"/>
          <w:caps w:val="false"/>
          <w:smallCaps w:val="false"/>
          <w:color w:val="003CA6"/>
          <w:spacing w:val="-4"/>
          <w:sz w:val="28"/>
        </w:rPr>
        <w:t xml:space="preserve"> M</w:t>
      </w:r>
      <w:r>
        <w:rPr>
          <w:rFonts w:ascii="Arial;Helvetica;sans-serif" w:hAnsi="Arial;Helvetica;sans-serif"/>
          <w:b/>
          <w:i w:val="false"/>
          <w:caps w:val="false"/>
          <w:smallCaps w:val="false"/>
          <w:color w:val="003CA6"/>
          <w:spacing w:val="-4"/>
          <w:sz w:val="28"/>
        </w:rPr>
        <w:t>ATTERS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are not aware of any other matters to be presented for action at the Annual Meeting other than those disclosed in this Proxy Statement. If any other matter is properly brought before the Annual Meeting, holders of the proxies named on the Company’s proxy card will have authority to vote your shares on such matter in their discretion.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the Chair of the Annual Meeting may determine that a proposal or director nomination was not properly submitted under applicable law, our governing documents, or the procedures described in this Proxy Statement, and may declare such matter out of order and not presented for consideration at the Annual Meeting.</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54" w:type="dxa"/>
        <w:jc w:val="left"/>
        <w:tblInd w:w="720" w:type="dxa"/>
        <w:tblLayout w:type="fixed"/>
        <w:tblCellMar>
          <w:top w:w="0" w:type="dxa"/>
          <w:left w:w="0" w:type="dxa"/>
          <w:bottom w:w="0" w:type="dxa"/>
          <w:right w:w="0" w:type="dxa"/>
        </w:tblCellMar>
      </w:tblPr>
      <w:tblGrid>
        <w:gridCol w:w="124"/>
        <w:gridCol w:w="1255"/>
        <w:gridCol w:w="109"/>
        <w:gridCol w:w="109"/>
        <w:gridCol w:w="734"/>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80</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NON"/>
      <w:bookmarkEnd w:id="58"/>
      <w:r>
        <w:rPr>
          <w:rFonts w:ascii="calibri;arial;sans-serif" w:hAnsi="calibri;arial;sans-serif"/>
          <w:b w:val="false"/>
          <w:i w:val="false"/>
          <w:caps w:val="false"/>
          <w:smallCaps w:val="false"/>
          <w:color w:val="000000"/>
          <w:sz w:val="16"/>
        </w:rPr>
        <w:t>​</w:t>
      </w:r>
      <w:bookmarkStart w:id="59" w:name="tAEL"/>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9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A</w:t>
      </w:r>
      <w:r>
        <w:rPr>
          <w:rFonts w:ascii="Arial;Helvetica;sans-serif" w:hAnsi="Arial;Helvetica;sans-serif"/>
          <w:b w:val="false"/>
          <w:i w:val="false"/>
          <w:caps w:val="false"/>
          <w:smallCaps w:val="false"/>
          <w:color w:val="C3C5C8"/>
          <w:spacing w:val="-1"/>
          <w:sz w:val="15"/>
        </w:rPr>
        <w:t>PPENDIX</w:t>
      </w:r>
      <w:r>
        <w:rPr>
          <w:rFonts w:ascii="Arial;Helvetica;sans-serif" w:hAnsi="Arial;Helvetica;sans-serif"/>
          <w:b w:val="false"/>
          <w:i w:val="false"/>
          <w:caps w:val="false"/>
          <w:smallCaps w:val="false"/>
          <w:color w:val="C3C5C8"/>
          <w:spacing w:val="-1"/>
          <w:sz w:val="15"/>
        </w:rPr>
        <w:t xml:space="preserve"> A</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3268"/>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6"/>
          <w:sz w:val="44"/>
        </w:rPr>
        <w:t>A</w:t>
      </w:r>
      <w:r>
        <w:rPr>
          <w:rFonts w:ascii="Arial;Helvetica;sans-serif" w:hAnsi="Arial;Helvetica;sans-serif"/>
          <w:b/>
          <w:i w:val="false"/>
          <w:caps w:val="false"/>
          <w:smallCaps w:val="false"/>
          <w:color w:val="003CA6"/>
          <w:spacing w:val="-6"/>
          <w:sz w:val="44"/>
        </w:rPr>
        <w:t>PPENDIX</w:t>
      </w:r>
      <w:r>
        <w:rPr>
          <w:rFonts w:ascii="Arial;Helvetica;sans-serif" w:hAnsi="Arial;Helvetica;sans-serif"/>
          <w:b/>
          <w:i w:val="false"/>
          <w:caps w:val="false"/>
          <w:smallCaps w:val="false"/>
          <w:color w:val="003CA6"/>
          <w:spacing w:val="-6"/>
          <w:sz w:val="44"/>
        </w:rPr>
        <w:t xml:space="preserve"> A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Non-GAAP F</w:t>
      </w:r>
      <w:r>
        <w:rPr>
          <w:rFonts w:ascii="Arial;Helvetica;sans-serif" w:hAnsi="Arial;Helvetica;sans-serif"/>
          <w:b/>
          <w:i w:val="false"/>
          <w:caps w:val="false"/>
          <w:smallCaps w:val="false"/>
          <w:color w:val="003CA6"/>
          <w:spacing w:val="-4"/>
          <w:sz w:val="28"/>
        </w:rPr>
        <w:t>INANCIAL</w:t>
      </w:r>
      <w:r>
        <w:rPr>
          <w:rFonts w:ascii="Arial;Helvetica;sans-serif" w:hAnsi="Arial;Helvetica;sans-serif"/>
          <w:b/>
          <w:i w:val="false"/>
          <w:caps w:val="false"/>
          <w:smallCaps w:val="false"/>
          <w:color w:val="003CA6"/>
          <w:spacing w:val="-4"/>
          <w:sz w:val="28"/>
        </w:rPr>
        <w:t xml:space="preserve"> M</w:t>
      </w:r>
      <w:r>
        <w:rPr>
          <w:rFonts w:ascii="Arial;Helvetica;sans-serif" w:hAnsi="Arial;Helvetica;sans-serif"/>
          <w:b/>
          <w:i w:val="false"/>
          <w:caps w:val="false"/>
          <w:smallCaps w:val="false"/>
          <w:color w:val="003CA6"/>
          <w:spacing w:val="-4"/>
          <w:sz w:val="28"/>
        </w:rPr>
        <w:t>EASURES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report our financial results in accordance with accounting principles generally accepted in the United States of America (“GAAP”). In addition, management believes that certain financial measures that are not presented in accordance with GAAP provide management and investors with useful supplemental information that provides a meaningful view of our financial condition and results of operations across periods by removing the impact of items that management believes do not directly reflect our ongoing operating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non-GAAP financial measures provided in this Proxy Statement should be viewed in addition to, and not as an alternative for, results prepared in accordance with GAAP. The non-GAAP financial measures presented may differ from similarly titled non-GAAP financial measures presented by other companies, and other companies may not define these non-GAAP financial measures in the same way. These measures are not substitutes for their comparable GAAP financial measures.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information for Adjusted EBITDA, Free Cash Flow, and Organic Sales is provided to reconcile such non-GAAP financial measures, which are disclosed in this Proxy Statement, to their most comparable GAAP measures. Management uses these non-GAAP financial measures to assist in comparing our performance on a consistent basis for purposes of business decision making by removing the impact of certain items that management believes do not directly reflect our ongoing operating performance. We believe: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Adjusted EBITDA and Organic Sales provide important comparability of ongoing operating performance, allowing investors and management to assess our operating performance on a consistent basis;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139700" distR="0" simplePos="0" locked="0" layoutInCell="1" allowOverlap="1" relativeHeight="486">
                <wp:simplePos x="0" y="0"/>
                <wp:positionH relativeFrom="column">
                  <wp:align>left</wp:align>
                </wp:positionH>
                <wp:positionV relativeFrom="line">
                  <wp:align>top</wp:align>
                </wp:positionV>
                <wp:extent cx="139700" cy="350520"/>
                <wp:effectExtent l="0" t="0" r="0" b="0"/>
                <wp:wrapSquare wrapText="right"/>
                <wp:docPr id="498" name="Frame32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5.2pt;mso-wrap-distance-bottom:0pt;margin-top:5.2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1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Free Cash Flow provides a measure of our core operating performance, the cash-generating capabilities of our business operations, and is a factor used in determining the amount of cash available for debt repayments, acquisitions, and other corporate purposes.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139700" distR="0" simplePos="0" locked="0" layoutInCell="1" allowOverlap="1" relativeHeight="487">
                <wp:simplePos x="0" y="0"/>
                <wp:positionH relativeFrom="column">
                  <wp:align>left</wp:align>
                </wp:positionH>
                <wp:positionV relativeFrom="line">
                  <wp:align>top</wp:align>
                </wp:positionV>
                <wp:extent cx="139700" cy="350520"/>
                <wp:effectExtent l="0" t="0" r="0" b="0"/>
                <wp:wrapSquare wrapText="right"/>
                <wp:docPr id="499" name="Frame32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5.2pt;mso-wrap-distance-bottom:0pt;margin-top:5.2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Management believes that presenting our non-GAAP financial measures is useful to investors because it (i) provides investors with meaningful supplemental information regarding financial performance by excluding certain items that we do not consider indicative of our ongoing operating performance, (ii) permits investors to view performance using the same tools that management uses to budget, make operating and strategic decisions, and evaluate historical performance, and (iii) otherwise provides supplemental information that may be useful to investors in evaluating the Company’s results. We believe that the presentation of these non-GAAP financial measures, when considered together with the corresponding GAAP financial measures and the reconciliations to those measures, provides investors with additional understanding of the factors and trends affecting our business than could be obtained absent these disclosures.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A</w:t>
      </w:r>
      <w:r>
        <w:rPr>
          <w:rFonts w:ascii="Arial;Helvetica;sans-serif" w:hAnsi="Arial;Helvetica;sans-serif"/>
          <w:b/>
          <w:i w:val="false"/>
          <w:caps w:val="false"/>
          <w:smallCaps w:val="false"/>
          <w:color w:val="003CA6"/>
          <w:spacing w:val="-4"/>
          <w:sz w:val="28"/>
        </w:rPr>
        <w:t>DJUSTED</w:t>
      </w:r>
      <w:r>
        <w:rPr>
          <w:rFonts w:ascii="Arial;Helvetica;sans-serif" w:hAnsi="Arial;Helvetica;sans-serif"/>
          <w:b/>
          <w:i w:val="false"/>
          <w:caps w:val="false"/>
          <w:smallCaps w:val="false"/>
          <w:color w:val="003CA6"/>
          <w:spacing w:val="-4"/>
          <w:sz w:val="28"/>
        </w:rPr>
        <w:t xml:space="preserve"> EBITDA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Adjusted EBITDA is defined as net income (loss) adjusted for (i) interest expense, net, (ii) provision for income taxes, (iii) depreciation and amortization, (iv) inventory-related adjustments, (v) stock-based compensation, (vi) litigation (gains) charges, net, (vii) transaction-related costs, and (viii) other non-core (gains) charges.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91" w:type="dxa"/>
        <w:jc w:val="left"/>
        <w:tblInd w:w="720" w:type="dxa"/>
        <w:tblLayout w:type="fixed"/>
        <w:tblCellMar>
          <w:top w:w="0" w:type="dxa"/>
          <w:left w:w="0" w:type="dxa"/>
          <w:bottom w:w="0" w:type="dxa"/>
          <w:right w:w="0" w:type="dxa"/>
        </w:tblCellMar>
      </w:tblPr>
      <w:tblGrid>
        <w:gridCol w:w="124"/>
        <w:gridCol w:w="1255"/>
        <w:gridCol w:w="109"/>
        <w:gridCol w:w="109"/>
        <w:gridCol w:w="871"/>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A-1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9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A</w:t>
      </w:r>
      <w:r>
        <w:rPr>
          <w:rFonts w:ascii="Arial;Helvetica;sans-serif" w:hAnsi="Arial;Helvetica;sans-serif"/>
          <w:b w:val="false"/>
          <w:i w:val="false"/>
          <w:caps w:val="false"/>
          <w:smallCaps w:val="false"/>
          <w:color w:val="C3C5C8"/>
          <w:spacing w:val="-1"/>
          <w:sz w:val="15"/>
        </w:rPr>
        <w:t>PPENDIX</w:t>
      </w:r>
      <w:r>
        <w:rPr>
          <w:rFonts w:ascii="Arial;Helvetica;sans-serif" w:hAnsi="Arial;Helvetica;sans-serif"/>
          <w:b w:val="false"/>
          <w:i w:val="false"/>
          <w:caps w:val="false"/>
          <w:smallCaps w:val="false"/>
          <w:color w:val="C3C5C8"/>
          <w:spacing w:val="-1"/>
          <w:sz w:val="15"/>
        </w:rPr>
        <w:t xml:space="preserve"> A </w:t>
      </w:r>
    </w:p>
    <w:p>
      <w:pPr>
        <w:pStyle w:val="TextBody"/>
        <w:bidi w:val="0"/>
        <w:spacing w:lineRule="atLeast" w:line="280" w:before="400" w:after="4090"/>
        <w:ind w:left="720" w:right="0" w:hanging="0"/>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R</w:t>
      </w:r>
      <w:r>
        <w:rPr>
          <w:rFonts w:ascii="Arial;Helvetica;sans-serif" w:hAnsi="Arial;Helvetica;sans-serif"/>
          <w:b/>
          <w:i w:val="false"/>
          <w:caps w:val="false"/>
          <w:smallCaps w:val="false"/>
          <w:color w:val="0055B7"/>
          <w:spacing w:val="-3"/>
          <w:sz w:val="24"/>
        </w:rPr>
        <w:t>ECONCILIATION OF</w:t>
      </w:r>
      <w:r>
        <w:rPr>
          <w:rFonts w:ascii="Arial;Helvetica;sans-serif" w:hAnsi="Arial;Helvetica;sans-serif"/>
          <w:b/>
          <w:i w:val="false"/>
          <w:caps w:val="false"/>
          <w:smallCaps w:val="false"/>
          <w:color w:val="0055B7"/>
          <w:spacing w:val="-3"/>
          <w:sz w:val="24"/>
        </w:rPr>
        <w:t xml:space="preserve"> N</w:t>
      </w:r>
      <w:r>
        <w:rPr>
          <w:rFonts w:ascii="Arial;Helvetica;sans-serif" w:hAnsi="Arial;Helvetica;sans-serif"/>
          <w:b/>
          <w:i w:val="false"/>
          <w:caps w:val="false"/>
          <w:smallCaps w:val="false"/>
          <w:color w:val="0055B7"/>
          <w:spacing w:val="-3"/>
          <w:sz w:val="24"/>
        </w:rPr>
        <w:t>ET</w:t>
      </w:r>
      <w:r>
        <w:rPr>
          <w:rFonts w:ascii="Arial;Helvetica;sans-serif" w:hAnsi="Arial;Helvetica;sans-serif"/>
          <w:b/>
          <w:i w:val="false"/>
          <w:caps w:val="false"/>
          <w:smallCaps w:val="false"/>
          <w:color w:val="0055B7"/>
          <w:spacing w:val="-3"/>
          <w:sz w:val="24"/>
        </w:rPr>
        <w:t xml:space="preserve"> I</w:t>
      </w:r>
      <w:r>
        <w:rPr>
          <w:rFonts w:ascii="Arial;Helvetica;sans-serif" w:hAnsi="Arial;Helvetica;sans-serif"/>
          <w:b/>
          <w:i w:val="false"/>
          <w:caps w:val="false"/>
          <w:smallCaps w:val="false"/>
          <w:color w:val="0055B7"/>
          <w:spacing w:val="-3"/>
          <w:sz w:val="24"/>
        </w:rPr>
        <w:t>NCOME TO</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DJUSTED</w:t>
      </w:r>
      <w:r>
        <w:rPr>
          <w:rFonts w:ascii="Arial;Helvetica;sans-serif" w:hAnsi="Arial;Helvetica;sans-serif"/>
          <w:b/>
          <w:i w:val="false"/>
          <w:caps w:val="false"/>
          <w:smallCaps w:val="false"/>
          <w:color w:val="0055B7"/>
          <w:spacing w:val="-3"/>
          <w:sz w:val="24"/>
        </w:rPr>
        <w:t xml:space="preserve"> EBITDA </w:t>
      </w:r>
      <w:r>
        <w:rPr>
          <w:rFonts w:ascii="Arial;Helvetica;sans-serif" w:hAnsi="Arial;Helvetica;sans-serif"/>
          <w:b/>
          <w:i w:val="false"/>
          <w:caps w:val="false"/>
          <w:smallCaps w:val="false"/>
          <w:color w:val="0055B7"/>
          <w:sz w:val="24"/>
        </w:rPr>
        <w:br/>
      </w:r>
      <w:r>
        <w:rPr>
          <w:rFonts w:ascii="Arial;Helvetica;sans-serif" w:hAnsi="Arial;Helvetica;sans-serif"/>
          <w:b/>
          <w:i/>
          <w:caps w:val="false"/>
          <w:smallCaps w:val="false"/>
          <w:color w:val="0055B7"/>
          <w:sz w:val="24"/>
        </w:rPr>
        <w:t>(unaudited)</w:t>
      </w:r>
      <w:r>
        <w:rPr>
          <w:rFonts w:ascii="Arial;Helvetica;sans-serif" w:hAnsi="Arial;Helvetica;sans-serif"/>
          <w:b/>
          <w:i w:val="false"/>
          <w:caps w:val="false"/>
          <w:smallCaps w:val="false"/>
          <w:color w:val="000000"/>
          <w:spacing w:val="5"/>
          <w:sz w:val="24"/>
        </w:rPr>
        <w:t xml:space="preserve"> </w:t>
      </w:r>
    </w:p>
    <w:tbl>
      <w:tblPr>
        <w:tblW w:w="12896" w:type="dxa"/>
        <w:jc w:val="left"/>
        <w:tblInd w:w="720" w:type="dxa"/>
        <w:tblLayout w:type="fixed"/>
        <w:tblCellMar>
          <w:top w:w="0" w:type="dxa"/>
          <w:left w:w="0" w:type="dxa"/>
          <w:bottom w:w="50" w:type="dxa"/>
          <w:right w:w="0" w:type="dxa"/>
        </w:tblCellMar>
      </w:tblPr>
      <w:tblGrid>
        <w:gridCol w:w="1918"/>
        <w:gridCol w:w="109"/>
        <w:gridCol w:w="109"/>
        <w:gridCol w:w="161"/>
        <w:gridCol w:w="335"/>
        <w:gridCol w:w="781"/>
        <w:gridCol w:w="164"/>
        <w:gridCol w:w="109"/>
        <w:gridCol w:w="109"/>
        <w:gridCol w:w="109"/>
        <w:gridCol w:w="226"/>
        <w:gridCol w:w="637"/>
        <w:gridCol w:w="109"/>
        <w:gridCol w:w="109"/>
        <w:gridCol w:w="109"/>
        <w:gridCol w:w="109"/>
        <w:gridCol w:w="226"/>
        <w:gridCol w:w="541"/>
        <w:gridCol w:w="109"/>
        <w:gridCol w:w="109"/>
        <w:gridCol w:w="109"/>
        <w:gridCol w:w="109"/>
        <w:gridCol w:w="109"/>
        <w:gridCol w:w="601"/>
        <w:gridCol w:w="109"/>
        <w:gridCol w:w="109"/>
        <w:gridCol w:w="109"/>
        <w:gridCol w:w="144"/>
        <w:gridCol w:w="298"/>
        <w:gridCol w:w="854"/>
        <w:gridCol w:w="145"/>
        <w:gridCol w:w="109"/>
        <w:gridCol w:w="109"/>
        <w:gridCol w:w="144"/>
        <w:gridCol w:w="298"/>
        <w:gridCol w:w="854"/>
        <w:gridCol w:w="145"/>
        <w:gridCol w:w="109"/>
        <w:gridCol w:w="109"/>
        <w:gridCol w:w="109"/>
        <w:gridCol w:w="226"/>
        <w:gridCol w:w="466"/>
        <w:gridCol w:w="109"/>
        <w:gridCol w:w="109"/>
        <w:gridCol w:w="109"/>
        <w:gridCol w:w="109"/>
        <w:gridCol w:w="109"/>
        <w:gridCol w:w="526"/>
        <w:gridCol w:w="109"/>
        <w:gridCol w:w="154"/>
      </w:tblGrid>
      <w:tr>
        <w:trPr/>
        <w:tc>
          <w:tcPr>
            <w:tcW w:w="1918" w:type="dxa"/>
            <w:vMerge w:val="restart"/>
            <w:tcBorders>
              <w:bottom w:val="single" w:sz="2" w:space="0" w:color="000000"/>
            </w:tcBorders>
            <w:vAlign w:val="center"/>
          </w:tcPr>
          <w:p>
            <w:pPr>
              <w:pStyle w:val="TableContents"/>
              <w:bidi w:val="0"/>
              <w:spacing w:lineRule="atLeast" w:line="180" w:before="0" w:after="0"/>
              <w:jc w:val="left"/>
              <w:rPr>
                <w:spacing w:val="0"/>
              </w:rPr>
            </w:pPr>
            <w:r>
              <w:rPr>
                <w:spacing w:val="0"/>
              </w:rPr>
              <w:t xml:space="preserve">($ millions, except percentages)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89" w:type="dxa"/>
            <w:gridSpan w:val="22"/>
            <w:tcBorders>
              <w:bottom w:val="single" w:sz="2" w:space="0" w:color="000000"/>
            </w:tcBorders>
            <w:vAlign w:val="center"/>
          </w:tcPr>
          <w:p>
            <w:pPr>
              <w:pStyle w:val="TableContents"/>
              <w:bidi w:val="0"/>
              <w:spacing w:before="0" w:after="0"/>
              <w:jc w:val="center"/>
              <w:rPr>
                <w:spacing w:val="0"/>
              </w:rPr>
            </w:pPr>
            <w:r>
              <w:rPr>
                <w:spacing w:val="0"/>
              </w:rPr>
              <w:t xml:space="preserve">Three months ended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299" w:type="dxa"/>
            <w:gridSpan w:val="22"/>
            <w:tcBorders>
              <w:bottom w:val="single" w:sz="2" w:space="0" w:color="000000"/>
            </w:tcBorders>
            <w:vAlign w:val="center"/>
          </w:tcPr>
          <w:p>
            <w:pPr>
              <w:pStyle w:val="TableContents"/>
              <w:bidi w:val="0"/>
              <w:spacing w:before="0" w:after="0"/>
              <w:jc w:val="center"/>
              <w:rPr>
                <w:spacing w:val="0"/>
              </w:rPr>
            </w:pPr>
            <w:r>
              <w:rPr>
                <w:spacing w:val="0"/>
              </w:rPr>
              <w:t xml:space="preserve">Year ended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918"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41"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December 31, </w:t>
            </w:r>
            <w:r>
              <w:rPr/>
              <w:br/>
            </w:r>
            <w:r>
              <w:rPr>
                <w:spacing w:val="-2"/>
              </w:rPr>
              <w:t xml:space="preserve">2025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1"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December 31, </w:t>
            </w:r>
            <w:r>
              <w:rPr/>
              <w:br/>
            </w:r>
            <w:r>
              <w:rPr>
                <w:spacing w:val="-2"/>
              </w:rPr>
              <w:t xml:space="preserve">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tcMar>
              <w:bottom w:w="43" w:type="dxa"/>
            </w:tcMar>
            <w:vAlign w:val="center"/>
          </w:tcPr>
          <w:p>
            <w:pPr>
              <w:pStyle w:val="TableContents"/>
              <w:bidi w:val="0"/>
              <w:spacing w:before="0" w:after="0"/>
              <w:jc w:val="center"/>
              <w:rPr/>
            </w:pPr>
            <w:r>
              <w:rPr>
                <w:spacing w:val="-2"/>
              </w:rPr>
              <w:t>$</w:t>
            </w:r>
            <w:r>
              <w:rPr/>
              <w:t xml:space="preserve"> </w:t>
              <w:br/>
            </w:r>
            <w:r>
              <w:rPr>
                <w:spacing w:val="0"/>
              </w:rPr>
              <w:t xml:space="preserve">Change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28" w:type="dxa"/>
            <w:gridSpan w:val="4"/>
            <w:tcBorders>
              <w:bottom w:val="single" w:sz="2" w:space="0" w:color="000000"/>
            </w:tcBorders>
            <w:tcMar>
              <w:bottom w:w="43" w:type="dxa"/>
            </w:tcMar>
            <w:vAlign w:val="center"/>
          </w:tcPr>
          <w:p>
            <w:pPr>
              <w:pStyle w:val="TableContents"/>
              <w:bidi w:val="0"/>
              <w:spacing w:before="0" w:after="0"/>
              <w:jc w:val="center"/>
              <w:rPr/>
            </w:pPr>
            <w:r>
              <w:rPr>
                <w:spacing w:val="-2"/>
              </w:rPr>
              <w:t>%</w:t>
            </w:r>
            <w:r>
              <w:rPr/>
              <w:t xml:space="preserve"> </w:t>
              <w:br/>
            </w:r>
            <w:r>
              <w:rPr>
                <w:spacing w:val="0"/>
              </w:rPr>
              <w:t xml:space="preserve">Change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41"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December 31, </w:t>
            </w:r>
            <w:r>
              <w:rPr/>
              <w:br/>
            </w:r>
            <w:r>
              <w:rPr>
                <w:spacing w:val="-2"/>
              </w:rPr>
              <w:t xml:space="preserve">2025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41"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December 31, </w:t>
            </w:r>
            <w:r>
              <w:rPr/>
              <w:br/>
            </w:r>
            <w:r>
              <w:rPr>
                <w:spacing w:val="-2"/>
              </w:rPr>
              <w:t xml:space="preserve">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pPr>
            <w:r>
              <w:rPr>
                <w:spacing w:val="-2"/>
              </w:rPr>
              <w:t>$</w:t>
            </w:r>
            <w:r>
              <w:rPr/>
              <w:t xml:space="preserve"> </w:t>
              <w:br/>
            </w:r>
            <w:r>
              <w:rPr>
                <w:spacing w:val="0"/>
              </w:rPr>
              <w:t xml:space="preserve">Change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before="0" w:after="0"/>
              <w:jc w:val="center"/>
              <w:rPr/>
            </w:pPr>
            <w:r>
              <w:rPr>
                <w:spacing w:val="-2"/>
              </w:rPr>
              <w:t>%</w:t>
            </w:r>
            <w:r>
              <w:rPr/>
              <w:t xml:space="preserve"> </w:t>
              <w:br/>
            </w:r>
            <w:r>
              <w:rPr>
                <w:spacing w:val="0"/>
              </w:rPr>
              <w:t xml:space="preserve">Change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tcMar>
              <w:bottom w:w="45" w:type="dxa"/>
            </w:tcMar>
            <w:vAlign w:val="center"/>
          </w:tcPr>
          <w:p>
            <w:pPr>
              <w:pStyle w:val="TableContents"/>
              <w:bidi w:val="0"/>
              <w:spacing w:before="0" w:after="0"/>
              <w:jc w:val="left"/>
              <w:rPr>
                <w:b/>
              </w:rPr>
            </w:pPr>
            <w:r>
              <w:rPr>
                <w:b/>
                <w:spacing w:val="0"/>
              </w:rPr>
              <w:t>Net income</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tcMar>
              <w:bottom w:w="45" w:type="dxa"/>
            </w:tcMar>
            <w:vAlign w:val="center"/>
          </w:tcPr>
          <w:p>
            <w:pPr>
              <w:pStyle w:val="TableContents"/>
              <w:bidi w:val="0"/>
              <w:spacing w:before="0" w:after="283"/>
              <w:jc w:val="right"/>
              <w:rPr/>
            </w:pPr>
            <w:r>
              <w:rPr/>
              <w:t>180</w:t>
            </w:r>
          </w:p>
        </w:tc>
        <w:tc>
          <w:tcPr>
            <w:tcW w:w="16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tcMar>
              <w:bottom w:w="45" w:type="dxa"/>
            </w:tcMar>
            <w:vAlign w:val="center"/>
          </w:tcPr>
          <w:p>
            <w:pPr>
              <w:pStyle w:val="TableContents"/>
              <w:bidi w:val="0"/>
              <w:spacing w:before="0" w:after="283"/>
              <w:jc w:val="right"/>
              <w:rPr/>
            </w:pPr>
            <w:r>
              <w:rPr/>
              <w:t>289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tcMar>
              <w:bottom w:w="45" w:type="dxa"/>
            </w:tcMar>
            <w:vAlign w:val="center"/>
          </w:tcPr>
          <w:p>
            <w:pPr>
              <w:pStyle w:val="TableContents"/>
              <w:bidi w:val="0"/>
              <w:spacing w:before="0" w:after="283"/>
              <w:jc w:val="right"/>
              <w:rPr/>
            </w:pPr>
            <w:r>
              <w:rPr/>
              <w:t>(109)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tcMar>
              <w:bottom w:w="45" w:type="dxa"/>
            </w:tcMar>
            <w:vAlign w:val="center"/>
          </w:tcPr>
          <w:p>
            <w:pPr>
              <w:pStyle w:val="TableContents"/>
              <w:bidi w:val="0"/>
              <w:spacing w:before="0" w:after="283"/>
              <w:jc w:val="right"/>
              <w:rPr/>
            </w:pPr>
            <w:r>
              <w:rPr/>
              <w:t>(37.7)%</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1,157</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1,200</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tcMar>
              <w:bottom w:w="45" w:type="dxa"/>
            </w:tcMar>
            <w:vAlign w:val="center"/>
          </w:tcPr>
          <w:p>
            <w:pPr>
              <w:pStyle w:val="TableContents"/>
              <w:bidi w:val="0"/>
              <w:spacing w:before="0" w:after="283"/>
              <w:jc w:val="right"/>
              <w:rPr/>
            </w:pPr>
            <w:r>
              <w:rPr/>
              <w:t>(43)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tcMar>
              <w:bottom w:w="45" w:type="dxa"/>
            </w:tcMar>
            <w:vAlign w:val="center"/>
          </w:tcPr>
          <w:p>
            <w:pPr>
              <w:pStyle w:val="TableContents"/>
              <w:bidi w:val="0"/>
              <w:spacing w:before="0" w:after="283"/>
              <w:jc w:val="right"/>
              <w:rPr/>
            </w:pPr>
            <w:r>
              <w:rPr/>
              <w:t>(3.6)%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shd w:fill="E6EEF8" w:val="clear"/>
            <w:tcMar>
              <w:bottom w:w="45" w:type="dxa"/>
            </w:tcMar>
            <w:vAlign w:val="center"/>
          </w:tcPr>
          <w:p>
            <w:pPr>
              <w:pStyle w:val="TableContents"/>
              <w:bidi w:val="0"/>
              <w:spacing w:before="0" w:after="0"/>
              <w:ind w:left="180" w:right="0" w:hanging="0"/>
              <w:jc w:val="left"/>
              <w:rPr>
                <w:spacing w:val="-1"/>
              </w:rPr>
            </w:pPr>
            <w:r>
              <w:rPr>
                <w:spacing w:val="-1"/>
              </w:rPr>
              <w:t xml:space="preserve">Interest expense, net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shd w:fill="E6EEF8" w:val="clear"/>
            <w:tcMar>
              <w:bottom w:w="45" w:type="dxa"/>
            </w:tcMar>
            <w:vAlign w:val="center"/>
          </w:tcPr>
          <w:p>
            <w:pPr>
              <w:pStyle w:val="TableContents"/>
              <w:bidi w:val="0"/>
              <w:spacing w:before="0" w:after="283"/>
              <w:jc w:val="right"/>
              <w:rPr/>
            </w:pPr>
            <w:r>
              <w:rPr/>
              <w:t>166</w:t>
            </w:r>
          </w:p>
        </w:tc>
        <w:tc>
          <w:tcPr>
            <w:tcW w:w="16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shd w:fill="E6EEF8" w:val="clear"/>
            <w:tcMar>
              <w:bottom w:w="45" w:type="dxa"/>
            </w:tcMar>
            <w:vAlign w:val="center"/>
          </w:tcPr>
          <w:p>
            <w:pPr>
              <w:pStyle w:val="TableContents"/>
              <w:bidi w:val="0"/>
              <w:spacing w:before="0" w:after="283"/>
              <w:jc w:val="right"/>
              <w:rPr/>
            </w:pPr>
            <w:r>
              <w:rPr/>
              <w:t>209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shd w:fill="E6EEF8" w:val="clear"/>
            <w:tcMar>
              <w:bottom w:w="45" w:type="dxa"/>
            </w:tcMar>
            <w:vAlign w:val="center"/>
          </w:tcPr>
          <w:p>
            <w:pPr>
              <w:pStyle w:val="TableContents"/>
              <w:bidi w:val="0"/>
              <w:spacing w:before="0" w:after="283"/>
              <w:jc w:val="right"/>
              <w:rPr/>
            </w:pPr>
            <w:r>
              <w:rPr/>
              <w:t>(43)</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shd w:fill="E6EEF8" w:val="clear"/>
            <w:tcMar>
              <w:bottom w:w="45" w:type="dxa"/>
            </w:tcMar>
            <w:vAlign w:val="center"/>
          </w:tcPr>
          <w:p>
            <w:pPr>
              <w:pStyle w:val="TableContents"/>
              <w:bidi w:val="0"/>
              <w:spacing w:before="0" w:after="283"/>
              <w:jc w:val="right"/>
              <w:rPr/>
            </w:pPr>
            <w:r>
              <w:rPr/>
              <w:t>(20.6)%</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812</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864</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shd w:fill="E6EEF8" w:val="clear"/>
            <w:tcMar>
              <w:bottom w:w="45" w:type="dxa"/>
            </w:tcMar>
            <w:vAlign w:val="center"/>
          </w:tcPr>
          <w:p>
            <w:pPr>
              <w:pStyle w:val="TableContents"/>
              <w:bidi w:val="0"/>
              <w:spacing w:before="0" w:after="283"/>
              <w:jc w:val="right"/>
              <w:rPr/>
            </w:pPr>
            <w:r>
              <w:rPr/>
              <w:t>(52)</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shd w:fill="E6EEF8" w:val="clear"/>
            <w:tcMar>
              <w:bottom w:w="45" w:type="dxa"/>
            </w:tcMar>
            <w:vAlign w:val="center"/>
          </w:tcPr>
          <w:p>
            <w:pPr>
              <w:pStyle w:val="TableContents"/>
              <w:bidi w:val="0"/>
              <w:spacing w:before="0" w:after="283"/>
              <w:jc w:val="right"/>
              <w:rPr/>
            </w:pPr>
            <w:r>
              <w:rPr/>
              <w:t>(6.0)%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tcMar>
              <w:bottom w:w="45" w:type="dxa"/>
            </w:tcMar>
            <w:vAlign w:val="center"/>
          </w:tcPr>
          <w:p>
            <w:pPr>
              <w:pStyle w:val="TableContents"/>
              <w:bidi w:val="0"/>
              <w:spacing w:before="0" w:after="0"/>
              <w:ind w:left="180" w:right="0" w:hanging="0"/>
              <w:jc w:val="left"/>
              <w:rPr>
                <w:spacing w:val="-1"/>
              </w:rPr>
            </w:pPr>
            <w:r>
              <w:rPr>
                <w:spacing w:val="-1"/>
              </w:rPr>
              <w:t xml:space="preserve">Provision for income taxes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tcMar>
              <w:bottom w:w="45" w:type="dxa"/>
            </w:tcMar>
            <w:vAlign w:val="center"/>
          </w:tcPr>
          <w:p>
            <w:pPr>
              <w:pStyle w:val="TableContents"/>
              <w:bidi w:val="0"/>
              <w:spacing w:before="0" w:after="283"/>
              <w:jc w:val="right"/>
              <w:rPr/>
            </w:pPr>
            <w:r>
              <w:rPr/>
              <w:t>26</w:t>
            </w:r>
          </w:p>
        </w:tc>
        <w:tc>
          <w:tcPr>
            <w:tcW w:w="16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tcMar>
              <w:bottom w:w="45" w:type="dxa"/>
            </w:tcMar>
            <w:vAlign w:val="center"/>
          </w:tcPr>
          <w:p>
            <w:pPr>
              <w:pStyle w:val="TableContents"/>
              <w:bidi w:val="0"/>
              <w:spacing w:before="0" w:after="283"/>
              <w:jc w:val="right"/>
              <w:rPr/>
            </w:pPr>
            <w:r>
              <w:rPr/>
              <w:t>16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tcMar>
              <w:bottom w:w="45" w:type="dxa"/>
            </w:tcMar>
            <w:vAlign w:val="center"/>
          </w:tcPr>
          <w:p>
            <w:pPr>
              <w:pStyle w:val="TableContents"/>
              <w:bidi w:val="0"/>
              <w:spacing w:before="0" w:after="283"/>
              <w:jc w:val="right"/>
              <w:rPr/>
            </w:pPr>
            <w:r>
              <w:rPr/>
              <w:t>10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tcMar>
              <w:bottom w:w="45" w:type="dxa"/>
            </w:tcMar>
            <w:vAlign w:val="center"/>
          </w:tcPr>
          <w:p>
            <w:pPr>
              <w:pStyle w:val="TableContents"/>
              <w:bidi w:val="0"/>
              <w:spacing w:before="0" w:after="283"/>
              <w:jc w:val="right"/>
              <w:rPr/>
            </w:pPr>
            <w:r>
              <w:rPr/>
              <w:t>62.5%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91</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46</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tcMar>
              <w:bottom w:w="45" w:type="dxa"/>
            </w:tcMar>
            <w:vAlign w:val="center"/>
          </w:tcPr>
          <w:p>
            <w:pPr>
              <w:pStyle w:val="TableContents"/>
              <w:bidi w:val="0"/>
              <w:spacing w:before="0" w:after="283"/>
              <w:jc w:val="right"/>
              <w:rPr/>
            </w:pPr>
            <w:r>
              <w:rPr/>
              <w:t>45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tcMar>
              <w:bottom w:w="45" w:type="dxa"/>
            </w:tcMar>
            <w:vAlign w:val="center"/>
          </w:tcPr>
          <w:p>
            <w:pPr>
              <w:pStyle w:val="TableContents"/>
              <w:bidi w:val="0"/>
              <w:spacing w:before="0" w:after="283"/>
              <w:jc w:val="right"/>
              <w:rPr/>
            </w:pPr>
            <w:r>
              <w:rPr/>
              <w:t>97.8%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shd w:fill="E6EEF8" w:val="clear"/>
            <w:tcMar>
              <w:bottom w:w="45" w:type="dxa"/>
            </w:tcMar>
            <w:vAlign w:val="center"/>
          </w:tcPr>
          <w:p>
            <w:pPr>
              <w:pStyle w:val="TableContents"/>
              <w:bidi w:val="0"/>
              <w:spacing w:before="0" w:after="0"/>
              <w:ind w:left="180" w:right="0" w:hanging="0"/>
              <w:jc w:val="left"/>
              <w:rPr>
                <w:spacing w:val="-1"/>
              </w:rPr>
            </w:pPr>
            <w:r>
              <w:rPr>
                <w:spacing w:val="-1"/>
              </w:rPr>
              <w:t xml:space="preserve">Depreciation and amortization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shd w:fill="E6EEF8" w:val="clear"/>
            <w:tcMar>
              <w:bottom w:w="45" w:type="dxa"/>
            </w:tcMar>
            <w:vAlign w:val="center"/>
          </w:tcPr>
          <w:p>
            <w:pPr>
              <w:pStyle w:val="TableContents"/>
              <w:bidi w:val="0"/>
              <w:spacing w:before="0" w:after="283"/>
              <w:jc w:val="right"/>
              <w:rPr/>
            </w:pPr>
            <w:r>
              <w:rPr/>
              <w:t>261</w:t>
            </w:r>
          </w:p>
        </w:tc>
        <w:tc>
          <w:tcPr>
            <w:tcW w:w="16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shd w:fill="E6EEF8" w:val="clear"/>
            <w:tcMar>
              <w:bottom w:w="45" w:type="dxa"/>
            </w:tcMar>
            <w:vAlign w:val="center"/>
          </w:tcPr>
          <w:p>
            <w:pPr>
              <w:pStyle w:val="TableContents"/>
              <w:bidi w:val="0"/>
              <w:spacing w:before="0" w:after="283"/>
              <w:jc w:val="right"/>
              <w:rPr/>
            </w:pPr>
            <w:r>
              <w:rPr/>
              <w:t>254</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shd w:fill="E6EEF8" w:val="clear"/>
            <w:tcMar>
              <w:bottom w:w="45" w:type="dxa"/>
            </w:tcMar>
            <w:vAlign w:val="center"/>
          </w:tcPr>
          <w:p>
            <w:pPr>
              <w:pStyle w:val="TableContents"/>
              <w:bidi w:val="0"/>
              <w:spacing w:before="0" w:after="283"/>
              <w:jc w:val="right"/>
              <w:rPr/>
            </w:pPr>
            <w:r>
              <w:rPr/>
              <w:t>7</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shd w:fill="E6EEF8" w:val="clear"/>
            <w:tcMar>
              <w:bottom w:w="45" w:type="dxa"/>
            </w:tcMar>
            <w:vAlign w:val="center"/>
          </w:tcPr>
          <w:p>
            <w:pPr>
              <w:pStyle w:val="TableContents"/>
              <w:bidi w:val="0"/>
              <w:spacing w:before="0" w:after="283"/>
              <w:jc w:val="right"/>
              <w:rPr/>
            </w:pPr>
            <w:r>
              <w:rPr/>
              <w:t>2.8%</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1,011</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977</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shd w:fill="E6EEF8" w:val="clear"/>
            <w:tcMar>
              <w:bottom w:w="45" w:type="dxa"/>
            </w:tcMar>
            <w:vAlign w:val="center"/>
          </w:tcPr>
          <w:p>
            <w:pPr>
              <w:pStyle w:val="TableContents"/>
              <w:bidi w:val="0"/>
              <w:spacing w:before="0" w:after="283"/>
              <w:jc w:val="right"/>
              <w:rPr/>
            </w:pPr>
            <w:r>
              <w:rPr/>
              <w:t>34</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shd w:fill="E6EEF8" w:val="clear"/>
            <w:tcMar>
              <w:bottom w:w="45" w:type="dxa"/>
            </w:tcMar>
            <w:vAlign w:val="center"/>
          </w:tcPr>
          <w:p>
            <w:pPr>
              <w:pStyle w:val="TableContents"/>
              <w:bidi w:val="0"/>
              <w:spacing w:before="0" w:after="283"/>
              <w:jc w:val="right"/>
              <w:rPr/>
            </w:pPr>
            <w:r>
              <w:rPr/>
              <w:t>3.5%</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tcMar>
              <w:bottom w:w="45" w:type="dxa"/>
            </w:tcMar>
            <w:vAlign w:val="center"/>
          </w:tcPr>
          <w:p>
            <w:pPr>
              <w:pStyle w:val="TableContents"/>
              <w:bidi w:val="0"/>
              <w:spacing w:lineRule="atLeast" w:line="142" w:before="0" w:after="0"/>
              <w:ind w:left="180" w:right="0" w:hanging="0"/>
              <w:jc w:val="left"/>
              <w:rPr/>
            </w:pPr>
            <w:r>
              <w:rPr>
                <w:spacing w:val="-1"/>
              </w:rPr>
              <w:t>Inventory-related adjustments</w:t>
            </w:r>
            <w:r>
              <w:rPr>
                <w:spacing w:val="-1"/>
                <w:sz w:val="11"/>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tcMar>
              <w:bottom w:w="45" w:type="dxa"/>
            </w:tcMar>
            <w:vAlign w:val="center"/>
          </w:tcPr>
          <w:p>
            <w:pPr>
              <w:pStyle w:val="TableContents"/>
              <w:bidi w:val="0"/>
              <w:spacing w:before="0" w:after="283"/>
              <w:jc w:val="right"/>
              <w:rPr/>
            </w:pPr>
            <w:r>
              <w:rPr/>
              <w:t>45</w:t>
            </w:r>
          </w:p>
        </w:tc>
        <w:tc>
          <w:tcPr>
            <w:tcW w:w="16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tcMar>
              <w:bottom w:w="45" w:type="dxa"/>
            </w:tcMar>
            <w:vAlign w:val="center"/>
          </w:tcPr>
          <w:p>
            <w:pPr>
              <w:pStyle w:val="TableContents"/>
              <w:bidi w:val="0"/>
              <w:spacing w:before="0" w:after="283"/>
              <w:jc w:val="right"/>
              <w:rPr/>
            </w:pPr>
            <w:r>
              <w:rPr/>
              <w:t>11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tcMar>
              <w:bottom w:w="45" w:type="dxa"/>
            </w:tcMar>
            <w:vAlign w:val="center"/>
          </w:tcPr>
          <w:p>
            <w:pPr>
              <w:pStyle w:val="TableContents"/>
              <w:bidi w:val="0"/>
              <w:spacing w:before="0" w:after="283"/>
              <w:jc w:val="right"/>
              <w:rPr/>
            </w:pPr>
            <w:r>
              <w:rPr/>
              <w:t>34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tcMar>
              <w:bottom w:w="45" w:type="dxa"/>
            </w:tcMar>
            <w:vAlign w:val="center"/>
          </w:tcPr>
          <w:p>
            <w:pPr>
              <w:pStyle w:val="TableContents"/>
              <w:bidi w:val="0"/>
              <w:spacing w:before="0" w:after="283"/>
              <w:jc w:val="right"/>
              <w:rPr/>
            </w:pPr>
            <w:r>
              <w:rPr/>
              <w:t>NM</w:t>
            </w:r>
            <w:r>
              <w:rPr>
                <w:sz w:val="11"/>
              </w:rPr>
              <w:t>(5)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83</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78</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tcMar>
              <w:bottom w:w="45" w:type="dxa"/>
            </w:tcMar>
            <w:vAlign w:val="center"/>
          </w:tcPr>
          <w:p>
            <w:pPr>
              <w:pStyle w:val="TableContents"/>
              <w:bidi w:val="0"/>
              <w:spacing w:before="0" w:after="283"/>
              <w:jc w:val="right"/>
              <w:rPr/>
            </w:pPr>
            <w:r>
              <w:rPr/>
              <w:t>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tcMar>
              <w:bottom w:w="45" w:type="dxa"/>
            </w:tcMar>
            <w:vAlign w:val="center"/>
          </w:tcPr>
          <w:p>
            <w:pPr>
              <w:pStyle w:val="TableContents"/>
              <w:bidi w:val="0"/>
              <w:spacing w:before="0" w:after="283"/>
              <w:jc w:val="right"/>
              <w:rPr/>
            </w:pPr>
            <w:r>
              <w:rPr/>
              <w:t>6.4%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shd w:fill="E6EEF8" w:val="clear"/>
            <w:tcMar>
              <w:bottom w:w="45" w:type="dxa"/>
            </w:tcMar>
            <w:vAlign w:val="center"/>
          </w:tcPr>
          <w:p>
            <w:pPr>
              <w:pStyle w:val="TableContents"/>
              <w:bidi w:val="0"/>
              <w:spacing w:before="0" w:after="0"/>
              <w:ind w:left="360" w:right="0" w:hanging="180"/>
              <w:jc w:val="left"/>
              <w:rPr>
                <w:spacing w:val="-1"/>
              </w:rPr>
            </w:pPr>
            <w:r>
              <w:rPr>
                <w:spacing w:val="-1"/>
              </w:rPr>
              <w:t xml:space="preserve">Stock-based compensation expense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shd w:fill="E6EEF8" w:val="clear"/>
            <w:tcMar>
              <w:bottom w:w="45" w:type="dxa"/>
            </w:tcMar>
            <w:vAlign w:val="center"/>
          </w:tcPr>
          <w:p>
            <w:pPr>
              <w:pStyle w:val="TableContents"/>
              <w:bidi w:val="0"/>
              <w:spacing w:before="0" w:after="283"/>
              <w:jc w:val="right"/>
              <w:rPr/>
            </w:pPr>
            <w:r>
              <w:rPr/>
              <w:t>27</w:t>
            </w:r>
          </w:p>
        </w:tc>
        <w:tc>
          <w:tcPr>
            <w:tcW w:w="16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shd w:fill="E6EEF8" w:val="clear"/>
            <w:tcMar>
              <w:bottom w:w="45" w:type="dxa"/>
            </w:tcMar>
            <w:vAlign w:val="center"/>
          </w:tcPr>
          <w:p>
            <w:pPr>
              <w:pStyle w:val="TableContents"/>
              <w:bidi w:val="0"/>
              <w:spacing w:before="0" w:after="283"/>
              <w:jc w:val="right"/>
              <w:rPr/>
            </w:pPr>
            <w:r>
              <w:rPr/>
              <w:t>11</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shd w:fill="E6EEF8" w:val="clear"/>
            <w:tcMar>
              <w:bottom w:w="45" w:type="dxa"/>
            </w:tcMar>
            <w:vAlign w:val="center"/>
          </w:tcPr>
          <w:p>
            <w:pPr>
              <w:pStyle w:val="TableContents"/>
              <w:bidi w:val="0"/>
              <w:spacing w:before="0" w:after="283"/>
              <w:jc w:val="right"/>
              <w:rPr/>
            </w:pPr>
            <w:r>
              <w:rPr/>
              <w:t>16</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shd w:fill="E6EEF8" w:val="clear"/>
            <w:tcMar>
              <w:bottom w:w="45" w:type="dxa"/>
            </w:tcMar>
            <w:vAlign w:val="center"/>
          </w:tcPr>
          <w:p>
            <w:pPr>
              <w:pStyle w:val="TableContents"/>
              <w:bidi w:val="0"/>
              <w:spacing w:before="0" w:after="283"/>
              <w:jc w:val="right"/>
              <w:rPr/>
            </w:pPr>
            <w:r>
              <w:rPr/>
              <w:t>NM</w:t>
            </w:r>
            <w:r>
              <w:rPr>
                <w:sz w:val="11"/>
              </w:rPr>
              <w:t>(5)</w:t>
            </w:r>
            <w:r>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79</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61</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shd w:fill="E6EEF8" w:val="clear"/>
            <w:tcMar>
              <w:bottom w:w="45" w:type="dxa"/>
            </w:tcMar>
            <w:vAlign w:val="center"/>
          </w:tcPr>
          <w:p>
            <w:pPr>
              <w:pStyle w:val="TableContents"/>
              <w:bidi w:val="0"/>
              <w:spacing w:before="0" w:after="283"/>
              <w:jc w:val="right"/>
              <w:rPr/>
            </w:pPr>
            <w:r>
              <w:rPr/>
              <w:t>18</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shd w:fill="E6EEF8" w:val="clear"/>
            <w:tcMar>
              <w:bottom w:w="45" w:type="dxa"/>
            </w:tcMar>
            <w:vAlign w:val="center"/>
          </w:tcPr>
          <w:p>
            <w:pPr>
              <w:pStyle w:val="TableContents"/>
              <w:bidi w:val="0"/>
              <w:spacing w:before="0" w:after="283"/>
              <w:jc w:val="right"/>
              <w:rPr/>
            </w:pPr>
            <w:r>
              <w:rPr/>
              <w:t>29.5%</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tcMar>
              <w:bottom w:w="45" w:type="dxa"/>
            </w:tcMar>
            <w:vAlign w:val="center"/>
          </w:tcPr>
          <w:p>
            <w:pPr>
              <w:pStyle w:val="TableContents"/>
              <w:bidi w:val="0"/>
              <w:spacing w:lineRule="atLeast" w:line="142" w:before="0" w:after="0"/>
              <w:ind w:left="180" w:right="0" w:hanging="0"/>
              <w:jc w:val="left"/>
              <w:rPr/>
            </w:pPr>
            <w:r>
              <w:rPr>
                <w:spacing w:val="-1"/>
              </w:rPr>
              <w:t>Litigation charges (gains), net</w:t>
            </w:r>
            <w:r>
              <w:rPr>
                <w:spacing w:val="-1"/>
                <w:sz w:val="11"/>
              </w:rPr>
              <w:t>(2)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tcMar>
              <w:bottom w:w="45" w:type="dxa"/>
            </w:tcMar>
            <w:vAlign w:val="center"/>
          </w:tcPr>
          <w:p>
            <w:pPr>
              <w:pStyle w:val="TableContents"/>
              <w:bidi w:val="0"/>
              <w:spacing w:before="0" w:after="283"/>
              <w:jc w:val="right"/>
              <w:rPr/>
            </w:pPr>
            <w:r>
              <w:rPr/>
              <w:t>14</w:t>
            </w:r>
          </w:p>
        </w:tc>
        <w:tc>
          <w:tcPr>
            <w:tcW w:w="16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tcMar>
              <w:bottom w:w="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tcMar>
              <w:bottom w:w="45" w:type="dxa"/>
            </w:tcMar>
            <w:vAlign w:val="center"/>
          </w:tcPr>
          <w:p>
            <w:pPr>
              <w:pStyle w:val="TableContents"/>
              <w:bidi w:val="0"/>
              <w:spacing w:before="0" w:after="283"/>
              <w:jc w:val="right"/>
              <w:rPr/>
            </w:pPr>
            <w:r>
              <w:rPr/>
              <w:t>14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tcMar>
              <w:bottom w:w="45" w:type="dxa"/>
            </w:tcMar>
            <w:vAlign w:val="center"/>
          </w:tcPr>
          <w:p>
            <w:pPr>
              <w:pStyle w:val="TableContents"/>
              <w:bidi w:val="0"/>
              <w:spacing w:before="0" w:after="283"/>
              <w:jc w:val="right"/>
              <w:rPr/>
            </w:pPr>
            <w:r>
              <w:rPr/>
              <w:t>NM</w:t>
            </w:r>
            <w:r>
              <w:rPr>
                <w:sz w:val="11"/>
              </w:rPr>
              <w:t>(5)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(33)</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2</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tcMar>
              <w:bottom w:w="45" w:type="dxa"/>
            </w:tcMar>
            <w:vAlign w:val="center"/>
          </w:tcPr>
          <w:p>
            <w:pPr>
              <w:pStyle w:val="TableContents"/>
              <w:bidi w:val="0"/>
              <w:spacing w:before="0" w:after="283"/>
              <w:jc w:val="right"/>
              <w:rPr/>
            </w:pPr>
            <w:r>
              <w:rPr/>
              <w:t>(35)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tcMar>
              <w:bottom w:w="45" w:type="dxa"/>
            </w:tcMar>
            <w:vAlign w:val="center"/>
          </w:tcPr>
          <w:p>
            <w:pPr>
              <w:pStyle w:val="TableContents"/>
              <w:bidi w:val="0"/>
              <w:spacing w:before="0" w:after="283"/>
              <w:jc w:val="right"/>
              <w:rPr/>
            </w:pPr>
            <w:r>
              <w:rPr/>
              <w:t>NM</w:t>
            </w:r>
            <w:r>
              <w:rPr>
                <w:sz w:val="11"/>
              </w:rPr>
              <w:t>(5)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shd w:fill="E6EEF8" w:val="clear"/>
            <w:tcMar>
              <w:bottom w:w="45" w:type="dxa"/>
            </w:tcMar>
            <w:vAlign w:val="center"/>
          </w:tcPr>
          <w:p>
            <w:pPr>
              <w:pStyle w:val="TableContents"/>
              <w:bidi w:val="0"/>
              <w:spacing w:lineRule="atLeast" w:line="142" w:before="0" w:after="0"/>
              <w:ind w:left="180" w:right="0" w:hanging="0"/>
              <w:jc w:val="left"/>
              <w:rPr/>
            </w:pPr>
            <w:r>
              <w:rPr>
                <w:spacing w:val="-1"/>
              </w:rPr>
              <w:t>Transaction-related costs</w:t>
            </w:r>
            <w:r>
              <w:rPr>
                <w:spacing w:val="-1"/>
                <w:sz w:val="11"/>
              </w:rPr>
              <w:t>(3)</w:t>
            </w:r>
            <w:r>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shd w:fill="E6EEF8" w:val="clear"/>
            <w:tcMar>
              <w:bottom w:w="45" w:type="dxa"/>
            </w:tcMar>
            <w:vAlign w:val="center"/>
          </w:tcPr>
          <w:p>
            <w:pPr>
              <w:pStyle w:val="TableContents"/>
              <w:bidi w:val="0"/>
              <w:spacing w:before="0" w:after="283"/>
              <w:jc w:val="right"/>
              <w:rPr/>
            </w:pPr>
            <w:r>
              <w:rPr/>
              <w:t>23</w:t>
            </w:r>
          </w:p>
        </w:tc>
        <w:tc>
          <w:tcPr>
            <w:tcW w:w="16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shd w:fill="E6EEF8" w:val="clear"/>
            <w:tcMar>
              <w:bottom w:w="45" w:type="dxa"/>
            </w:tcMar>
            <w:vAlign w:val="center"/>
          </w:tcPr>
          <w:p>
            <w:pPr>
              <w:pStyle w:val="TableContents"/>
              <w:bidi w:val="0"/>
              <w:spacing w:before="0" w:after="283"/>
              <w:jc w:val="right"/>
              <w:rPr/>
            </w:pPr>
            <w:r>
              <w:rPr/>
              <w:t>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shd w:fill="E6EEF8" w:val="clear"/>
            <w:tcMar>
              <w:bottom w:w="45" w:type="dxa"/>
            </w:tcMar>
            <w:vAlign w:val="center"/>
          </w:tcPr>
          <w:p>
            <w:pPr>
              <w:pStyle w:val="TableContents"/>
              <w:bidi w:val="0"/>
              <w:spacing w:before="0" w:after="283"/>
              <w:jc w:val="right"/>
              <w:rPr/>
            </w:pPr>
            <w:r>
              <w:rPr/>
              <w:t>14</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shd w:fill="E6EEF8" w:val="clear"/>
            <w:tcMar>
              <w:bottom w:w="45" w:type="dxa"/>
            </w:tcMar>
            <w:vAlign w:val="center"/>
          </w:tcPr>
          <w:p>
            <w:pPr>
              <w:pStyle w:val="TableContents"/>
              <w:bidi w:val="0"/>
              <w:spacing w:before="0" w:after="283"/>
              <w:jc w:val="right"/>
              <w:rPr/>
            </w:pPr>
            <w:r>
              <w:rPr/>
              <w:t>NM</w:t>
            </w:r>
            <w:r>
              <w:rPr>
                <w:sz w:val="11"/>
              </w:rPr>
              <w:t>(5)</w:t>
            </w:r>
            <w:r>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58</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18</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shd w:fill="E6EEF8" w:val="clear"/>
            <w:tcMar>
              <w:bottom w:w="45" w:type="dxa"/>
            </w:tcMar>
            <w:vAlign w:val="center"/>
          </w:tcPr>
          <w:p>
            <w:pPr>
              <w:pStyle w:val="TableContents"/>
              <w:bidi w:val="0"/>
              <w:spacing w:before="0" w:after="283"/>
              <w:jc w:val="right"/>
              <w:rPr/>
            </w:pPr>
            <w:r>
              <w:rPr/>
              <w:t>40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shd w:fill="E6EEF8" w:val="clear"/>
            <w:tcMar>
              <w:bottom w:w="45" w:type="dxa"/>
            </w:tcMar>
            <w:vAlign w:val="center"/>
          </w:tcPr>
          <w:p>
            <w:pPr>
              <w:pStyle w:val="TableContents"/>
              <w:bidi w:val="0"/>
              <w:spacing w:before="0" w:after="283"/>
              <w:jc w:val="right"/>
              <w:rPr/>
            </w:pPr>
            <w:r>
              <w:rPr/>
              <w:t>NM</w:t>
            </w:r>
            <w:r>
              <w:rPr>
                <w:sz w:val="11"/>
              </w:rPr>
              <w:t>(5)</w:t>
            </w:r>
            <w:r>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tcMar>
              <w:bottom w:w="45" w:type="dxa"/>
            </w:tcMar>
            <w:vAlign w:val="center"/>
          </w:tcPr>
          <w:p>
            <w:pPr>
              <w:pStyle w:val="TableContents"/>
              <w:bidi w:val="0"/>
              <w:spacing w:lineRule="atLeast" w:line="142" w:before="0" w:after="0"/>
              <w:ind w:left="180" w:right="0" w:hanging="0"/>
              <w:jc w:val="left"/>
              <w:rPr/>
            </w:pPr>
            <w:r>
              <w:rPr>
                <w:spacing w:val="-1"/>
              </w:rPr>
              <w:t>Other non-core charges</w:t>
            </w:r>
            <w:r>
              <w:rPr>
                <w:spacing w:val="-1"/>
                <w:sz w:val="11"/>
              </w:rPr>
              <w:t>(4)</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tcMar>
              <w:bottom w:w="45" w:type="dxa"/>
            </w:tcMar>
            <w:vAlign w:val="center"/>
          </w:tcPr>
          <w:p>
            <w:pPr>
              <w:pStyle w:val="TableContents"/>
              <w:bidi w:val="0"/>
              <w:spacing w:before="0" w:after="283"/>
              <w:jc w:val="right"/>
              <w:rPr/>
            </w:pPr>
            <w:r>
              <w:rPr/>
              <w:t>63</w:t>
            </w:r>
          </w:p>
        </w:tc>
        <w:tc>
          <w:tcPr>
            <w:tcW w:w="16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tcMar>
              <w:bottom w:w="45" w:type="dxa"/>
            </w:tcMar>
            <w:vAlign w:val="center"/>
          </w:tcPr>
          <w:p>
            <w:pPr>
              <w:pStyle w:val="TableContents"/>
              <w:bidi w:val="0"/>
              <w:spacing w:before="0" w:after="283"/>
              <w:jc w:val="right"/>
              <w:rPr/>
            </w:pPr>
            <w:r>
              <w:rPr/>
              <w:t>11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tcMar>
              <w:bottom w:w="45" w:type="dxa"/>
            </w:tcMar>
            <w:vAlign w:val="center"/>
          </w:tcPr>
          <w:p>
            <w:pPr>
              <w:pStyle w:val="TableContents"/>
              <w:bidi w:val="0"/>
              <w:spacing w:before="0" w:after="283"/>
              <w:jc w:val="right"/>
              <w:rPr/>
            </w:pPr>
            <w:r>
              <w:rPr/>
              <w:t>52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tcMar>
              <w:bottom w:w="45" w:type="dxa"/>
            </w:tcMar>
            <w:vAlign w:val="center"/>
          </w:tcPr>
          <w:p>
            <w:pPr>
              <w:pStyle w:val="TableContents"/>
              <w:bidi w:val="0"/>
              <w:spacing w:before="0" w:after="283"/>
              <w:jc w:val="right"/>
              <w:rPr/>
            </w:pPr>
            <w:r>
              <w:rPr/>
              <w:t>NM</w:t>
            </w:r>
            <w:r>
              <w:rPr>
                <w:sz w:val="11"/>
              </w:rPr>
              <w:t>(5)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209</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115</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tcMar>
              <w:bottom w:w="45" w:type="dxa"/>
            </w:tcMar>
            <w:vAlign w:val="center"/>
          </w:tcPr>
          <w:p>
            <w:pPr>
              <w:pStyle w:val="TableContents"/>
              <w:bidi w:val="0"/>
              <w:spacing w:before="0" w:after="283"/>
              <w:jc w:val="right"/>
              <w:rPr/>
            </w:pPr>
            <w:r>
              <w:rPr/>
              <w:t>94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tcMar>
              <w:bottom w:w="45" w:type="dxa"/>
            </w:tcMar>
            <w:vAlign w:val="center"/>
          </w:tcPr>
          <w:p>
            <w:pPr>
              <w:pStyle w:val="TableContents"/>
              <w:bidi w:val="0"/>
              <w:spacing w:before="0" w:after="283"/>
              <w:jc w:val="right"/>
              <w:rPr/>
            </w:pPr>
            <w:r>
              <w:rPr/>
              <w:t>81.7%</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shd w:fill="E6EEF8" w:val="clear"/>
            <w:tcMar>
              <w:bottom w:w="45" w:type="dxa"/>
            </w:tcMar>
            <w:vAlign w:val="center"/>
          </w:tcPr>
          <w:p>
            <w:pPr>
              <w:pStyle w:val="TableContents"/>
              <w:bidi w:val="0"/>
              <w:spacing w:before="0" w:after="0"/>
              <w:jc w:val="left"/>
              <w:rPr>
                <w:b/>
              </w:rPr>
            </w:pPr>
            <w:r>
              <w:rPr>
                <w:b/>
                <w:spacing w:val="0"/>
              </w:rPr>
              <w:t>Adjusted EBITDA</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shd w:fill="E6EEF8" w:val="clear"/>
            <w:tcMar>
              <w:bottom w:w="45" w:type="dxa"/>
            </w:tcMar>
            <w:vAlign w:val="center"/>
          </w:tcPr>
          <w:p>
            <w:pPr>
              <w:pStyle w:val="TableContents"/>
              <w:bidi w:val="0"/>
              <w:spacing w:before="0" w:after="283"/>
              <w:jc w:val="right"/>
              <w:rPr/>
            </w:pPr>
            <w:r>
              <w:rPr/>
              <w:t>805</w:t>
            </w:r>
          </w:p>
        </w:tc>
        <w:tc>
          <w:tcPr>
            <w:tcW w:w="16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shd w:fill="E6EEF8" w:val="clear"/>
            <w:tcMar>
              <w:bottom w:w="45" w:type="dxa"/>
            </w:tcMar>
            <w:vAlign w:val="center"/>
          </w:tcPr>
          <w:p>
            <w:pPr>
              <w:pStyle w:val="TableContents"/>
              <w:bidi w:val="0"/>
              <w:spacing w:before="0" w:after="283"/>
              <w:jc w:val="right"/>
              <w:rPr/>
            </w:pPr>
            <w:r>
              <w:rPr/>
              <w:t>810</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41" w:type="dxa"/>
            <w:tcBorders>
              <w:bottom w:val="single" w:sz="6" w:space="0" w:color="000000"/>
            </w:tcBorders>
            <w:shd w:fill="E6EEF8" w:val="clear"/>
            <w:tcMar>
              <w:bottom w:w="45" w:type="dxa"/>
            </w:tcMar>
            <w:vAlign w:val="center"/>
          </w:tcPr>
          <w:p>
            <w:pPr>
              <w:pStyle w:val="TableContents"/>
              <w:bidi w:val="0"/>
              <w:spacing w:before="0" w:after="283"/>
              <w:jc w:val="right"/>
              <w:rPr/>
            </w:pPr>
            <w:r>
              <w:rPr/>
              <w:t>(5)</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01" w:type="dxa"/>
            <w:tcBorders>
              <w:bottom w:val="single" w:sz="6" w:space="0" w:color="000000"/>
            </w:tcBorders>
            <w:shd w:fill="E6EEF8" w:val="clear"/>
            <w:tcMar>
              <w:bottom w:w="45" w:type="dxa"/>
            </w:tcMar>
            <w:vAlign w:val="center"/>
          </w:tcPr>
          <w:p>
            <w:pPr>
              <w:pStyle w:val="TableContents"/>
              <w:bidi w:val="0"/>
              <w:spacing w:before="0" w:after="283"/>
              <w:jc w:val="right"/>
              <w:rPr/>
            </w:pPr>
            <w:r>
              <w:rPr/>
              <w:t>(0.6)%</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3,467</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45" w:type="dxa"/>
            </w:tcMar>
            <w:vAlign w:val="center"/>
          </w:tcPr>
          <w:p>
            <w:pPr>
              <w:pStyle w:val="TableContents"/>
              <w:bidi w:val="0"/>
              <w:spacing w:before="0" w:after="283"/>
              <w:jc w:val="right"/>
              <w:rPr/>
            </w:pPr>
            <w:r>
              <w:rPr/>
              <w:t>3,361</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466" w:type="dxa"/>
            <w:tcBorders>
              <w:bottom w:val="single" w:sz="6" w:space="0" w:color="000000"/>
            </w:tcBorders>
            <w:shd w:fill="E6EEF8" w:val="clear"/>
            <w:tcMar>
              <w:bottom w:w="45" w:type="dxa"/>
            </w:tcMar>
            <w:vAlign w:val="center"/>
          </w:tcPr>
          <w:p>
            <w:pPr>
              <w:pStyle w:val="TableContents"/>
              <w:bidi w:val="0"/>
              <w:spacing w:before="0" w:after="283"/>
              <w:jc w:val="right"/>
              <w:rPr/>
            </w:pPr>
            <w:r>
              <w:rPr/>
              <w:t>106</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26" w:type="dxa"/>
            <w:tcBorders>
              <w:bottom w:val="single" w:sz="6" w:space="0" w:color="000000"/>
            </w:tcBorders>
            <w:shd w:fill="E6EEF8" w:val="clear"/>
            <w:tcMar>
              <w:bottom w:w="45" w:type="dxa"/>
            </w:tcMar>
            <w:vAlign w:val="center"/>
          </w:tcPr>
          <w:p>
            <w:pPr>
              <w:pStyle w:val="TableContents"/>
              <w:bidi w:val="0"/>
              <w:spacing w:before="0" w:after="283"/>
              <w:jc w:val="right"/>
              <w:rPr/>
            </w:pPr>
            <w:r>
              <w:rPr/>
              <w:t>3.2%</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tcMar>
              <w:bottom w:w="45" w:type="dxa"/>
            </w:tcMar>
            <w:vAlign w:val="center"/>
          </w:tcPr>
          <w:p>
            <w:pPr>
              <w:pStyle w:val="TableContents"/>
              <w:bidi w:val="0"/>
              <w:spacing w:before="0" w:after="0"/>
              <w:jc w:val="left"/>
              <w:rPr>
                <w:b/>
              </w:rPr>
            </w:pPr>
            <w:r>
              <w:rPr>
                <w:b/>
                <w:spacing w:val="0"/>
              </w:rPr>
              <w:t>Net income margin</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tcMar>
              <w:bottom w:w="45" w:type="dxa"/>
            </w:tcMar>
            <w:vAlign w:val="center"/>
          </w:tcPr>
          <w:p>
            <w:pPr>
              <w:pStyle w:val="TableContents"/>
              <w:bidi w:val="0"/>
              <w:spacing w:before="0" w:after="283"/>
              <w:jc w:val="right"/>
              <w:rPr/>
            </w:pPr>
            <w:r>
              <w:rPr/>
              <w:t>​</w:t>
            </w:r>
          </w:p>
        </w:tc>
        <w:tc>
          <w:tcPr>
            <w:tcW w:w="781" w:type="dxa"/>
            <w:tcBorders>
              <w:bottom w:val="single" w:sz="6" w:space="0" w:color="000000"/>
            </w:tcBorders>
            <w:tcMar>
              <w:bottom w:w="45" w:type="dxa"/>
            </w:tcMar>
            <w:vAlign w:val="center"/>
          </w:tcPr>
          <w:p>
            <w:pPr>
              <w:pStyle w:val="TableContents"/>
              <w:bidi w:val="0"/>
              <w:spacing w:before="0" w:after="283"/>
              <w:jc w:val="right"/>
              <w:rPr/>
            </w:pPr>
            <w:r>
              <w:rPr/>
              <w:t>2.3%</w:t>
            </w:r>
          </w:p>
        </w:tc>
        <w:tc>
          <w:tcPr>
            <w:tcW w:w="16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37" w:type="dxa"/>
            <w:tcBorders>
              <w:bottom w:val="single" w:sz="6" w:space="0" w:color="000000"/>
            </w:tcBorders>
            <w:tcMar>
              <w:bottom w:w="45" w:type="dxa"/>
            </w:tcMar>
            <w:vAlign w:val="center"/>
          </w:tcPr>
          <w:p>
            <w:pPr>
              <w:pStyle w:val="TableContents"/>
              <w:bidi w:val="0"/>
              <w:spacing w:before="0" w:after="283"/>
              <w:jc w:val="right"/>
              <w:rPr/>
            </w:pPr>
            <w:r>
              <w:rPr/>
              <w:t>4.3%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283"/>
              <w:jc w:val="right"/>
              <w:rPr/>
            </w:pPr>
            <w:r>
              <w:rPr/>
              <w:t>​</w:t>
            </w:r>
          </w:p>
        </w:tc>
        <w:tc>
          <w:tcPr>
            <w:tcW w:w="541"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601"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4.1%</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tcMar>
              <w:bottom w:w="45" w:type="dxa"/>
            </w:tcMar>
            <w:vAlign w:val="center"/>
          </w:tcPr>
          <w:p>
            <w:pPr>
              <w:pStyle w:val="TableContents"/>
              <w:bidi w:val="0"/>
              <w:spacing w:before="0" w:after="283"/>
              <w:jc w:val="right"/>
              <w:rPr/>
            </w:pPr>
            <w:r>
              <w:rPr/>
              <w:t>​</w:t>
            </w:r>
          </w:p>
        </w:tc>
        <w:tc>
          <w:tcPr>
            <w:tcW w:w="854" w:type="dxa"/>
            <w:tcBorders>
              <w:bottom w:val="single" w:sz="6" w:space="0" w:color="000000"/>
            </w:tcBorders>
            <w:tcMar>
              <w:bottom w:w="45" w:type="dxa"/>
            </w:tcMar>
            <w:vAlign w:val="center"/>
          </w:tcPr>
          <w:p>
            <w:pPr>
              <w:pStyle w:val="TableContents"/>
              <w:bidi w:val="0"/>
              <w:spacing w:before="0" w:after="283"/>
              <w:jc w:val="right"/>
              <w:rPr/>
            </w:pPr>
            <w:r>
              <w:rPr/>
              <w:t>4.7%</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283"/>
              <w:jc w:val="right"/>
              <w:rPr/>
            </w:pPr>
            <w:r>
              <w:rPr/>
              <w:t>​</w:t>
            </w:r>
          </w:p>
        </w:tc>
        <w:tc>
          <w:tcPr>
            <w:tcW w:w="466"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526"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18" w:type="dxa"/>
            <w:tcBorders>
              <w:bottom w:val="single" w:sz="6" w:space="0" w:color="000000"/>
            </w:tcBorders>
            <w:shd w:fill="E6EEF8" w:val="clear"/>
            <w:tcMar>
              <w:bottom w:w="30" w:type="dxa"/>
            </w:tcMar>
            <w:vAlign w:val="center"/>
          </w:tcPr>
          <w:p>
            <w:pPr>
              <w:pStyle w:val="TableContents"/>
              <w:bidi w:val="0"/>
              <w:spacing w:before="0" w:after="0"/>
              <w:jc w:val="left"/>
              <w:rPr>
                <w:b/>
              </w:rPr>
            </w:pPr>
            <w:r>
              <w:rPr>
                <w:b/>
                <w:spacing w:val="0"/>
              </w:rPr>
              <w:t>Adjusted EBITDA Margin</w:t>
            </w:r>
            <w:r>
              <w:rPr>
                <w:b/>
              </w:rPr>
              <w:t xml:space="preserve">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1"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335"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781" w:type="dxa"/>
            <w:tcBorders>
              <w:bottom w:val="single" w:sz="6" w:space="0" w:color="000000"/>
            </w:tcBorders>
            <w:shd w:fill="E6EEF8" w:val="clear"/>
            <w:tcMar>
              <w:bottom w:w="30" w:type="dxa"/>
            </w:tcMar>
            <w:vAlign w:val="center"/>
          </w:tcPr>
          <w:p>
            <w:pPr>
              <w:pStyle w:val="TableContents"/>
              <w:bidi w:val="0"/>
              <w:spacing w:before="0" w:after="283"/>
              <w:jc w:val="right"/>
              <w:rPr/>
            </w:pPr>
            <w:r>
              <w:rPr/>
              <w:t>10.3%</w:t>
            </w:r>
          </w:p>
        </w:tc>
        <w:tc>
          <w:tcPr>
            <w:tcW w:w="16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637" w:type="dxa"/>
            <w:tcBorders>
              <w:bottom w:val="single" w:sz="6" w:space="0" w:color="000000"/>
            </w:tcBorders>
            <w:shd w:fill="E6EEF8" w:val="clear"/>
            <w:tcMar>
              <w:bottom w:w="30" w:type="dxa"/>
            </w:tcMar>
            <w:vAlign w:val="center"/>
          </w:tcPr>
          <w:p>
            <w:pPr>
              <w:pStyle w:val="TableContents"/>
              <w:bidi w:val="0"/>
              <w:spacing w:before="0" w:after="283"/>
              <w:jc w:val="right"/>
              <w:rPr/>
            </w:pPr>
            <w:r>
              <w:rPr/>
              <w:t>11.9%</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80" w:type="dxa"/>
            </w:tcMar>
            <w:vAlign w:val="center"/>
          </w:tcPr>
          <w:p>
            <w:pPr>
              <w:pStyle w:val="TableContents"/>
              <w:bidi w:val="0"/>
              <w:spacing w:before="0" w:after="283"/>
              <w:jc w:val="right"/>
              <w:rPr/>
            </w:pPr>
            <w:r>
              <w:rPr/>
              <w:t>​</w:t>
            </w:r>
          </w:p>
        </w:tc>
        <w:tc>
          <w:tcPr>
            <w:tcW w:w="541" w:type="dxa"/>
            <w:tcBorders>
              <w:bottom w:val="single" w:sz="6" w:space="0" w:color="000000"/>
            </w:tcBorders>
            <w:shd w:fill="E6EEF8" w:val="clear"/>
            <w:tcMar>
              <w:bottom w:w="80"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0" w:type="dxa"/>
            </w:tcMar>
            <w:vAlign w:val="center"/>
          </w:tcPr>
          <w:p>
            <w:pPr>
              <w:pStyle w:val="TableContents"/>
              <w:bidi w:val="0"/>
              <w:spacing w:before="0" w:after="283"/>
              <w:jc w:val="right"/>
              <w:rPr/>
            </w:pPr>
            <w:r>
              <w:rPr/>
              <w:t>​</w:t>
            </w:r>
          </w:p>
        </w:tc>
        <w:tc>
          <w:tcPr>
            <w:tcW w:w="601" w:type="dxa"/>
            <w:tcBorders>
              <w:bottom w:val="single" w:sz="6" w:space="0" w:color="000000"/>
            </w:tcBorders>
            <w:shd w:fill="E6EEF8" w:val="clear"/>
            <w:tcMar>
              <w:bottom w:w="80"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30" w:type="dxa"/>
            </w:tcMar>
            <w:vAlign w:val="center"/>
          </w:tcPr>
          <w:p>
            <w:pPr>
              <w:pStyle w:val="TableContents"/>
              <w:bidi w:val="0"/>
              <w:spacing w:before="0" w:after="283"/>
              <w:jc w:val="right"/>
              <w:rPr/>
            </w:pPr>
            <w:r>
              <w:rPr/>
              <w:t>12.2%</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98"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854" w:type="dxa"/>
            <w:tcBorders>
              <w:bottom w:val="single" w:sz="6" w:space="0" w:color="000000"/>
            </w:tcBorders>
            <w:shd w:fill="E6EEF8" w:val="clear"/>
            <w:tcMar>
              <w:bottom w:w="30" w:type="dxa"/>
            </w:tcMar>
            <w:vAlign w:val="center"/>
          </w:tcPr>
          <w:p>
            <w:pPr>
              <w:pStyle w:val="TableContents"/>
              <w:bidi w:val="0"/>
              <w:spacing w:before="0" w:after="283"/>
              <w:jc w:val="right"/>
              <w:rPr/>
            </w:pPr>
            <w:r>
              <w:rPr/>
              <w:t xml:space="preserve">13.2% </w:t>
            </w:r>
          </w:p>
        </w:tc>
        <w:tc>
          <w:tcPr>
            <w:tcW w:w="145"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80" w:type="dxa"/>
            </w:tcMar>
            <w:vAlign w:val="center"/>
          </w:tcPr>
          <w:p>
            <w:pPr>
              <w:pStyle w:val="TableContents"/>
              <w:bidi w:val="0"/>
              <w:spacing w:before="0" w:after="283"/>
              <w:jc w:val="right"/>
              <w:rPr/>
            </w:pPr>
            <w:r>
              <w:rPr/>
              <w:t>​</w:t>
            </w:r>
          </w:p>
        </w:tc>
        <w:tc>
          <w:tcPr>
            <w:tcW w:w="466" w:type="dxa"/>
            <w:tcBorders>
              <w:bottom w:val="single" w:sz="6" w:space="0" w:color="000000"/>
            </w:tcBorders>
            <w:shd w:fill="E6EEF8" w:val="clear"/>
            <w:tcMar>
              <w:bottom w:w="80"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80" w:type="dxa"/>
            </w:tcMar>
            <w:vAlign w:val="center"/>
          </w:tcPr>
          <w:p>
            <w:pPr>
              <w:pStyle w:val="TableContents"/>
              <w:bidi w:val="0"/>
              <w:spacing w:before="0" w:after="283"/>
              <w:jc w:val="right"/>
              <w:rPr/>
            </w:pPr>
            <w:r>
              <w:rPr/>
              <w:t>​</w:t>
            </w:r>
          </w:p>
        </w:tc>
        <w:tc>
          <w:tcPr>
            <w:tcW w:w="526" w:type="dxa"/>
            <w:tcBorders>
              <w:bottom w:val="single" w:sz="6" w:space="0" w:color="000000"/>
            </w:tcBorders>
            <w:shd w:fill="E6EEF8" w:val="clear"/>
            <w:tcMar>
              <w:bottom w:w="80" w:type="dxa"/>
            </w:tcMar>
            <w:vAlign w:val="center"/>
          </w:tcPr>
          <w:p>
            <w:pPr>
              <w:pStyle w:val="TableContents"/>
              <w:bidi w:val="0"/>
              <w:spacing w:before="0" w:after="283"/>
              <w:jc w:val="righ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11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Includes inventory adjustment associated with non-cash last-in, first-out (“LIFO”) reserves. Inventory adjustments were $45 million, $(1) million, $83 million, and $53 million for the three months and the year ended December 31, 2025 and 2024, respectively. The three months and year ended December 31, 2024 also include $12 million and $25 million of amortization of the inventory step-up resulting from acquisitions.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9850" distB="0" distL="0" distR="0" simplePos="0" locked="0" layoutInCell="1" allowOverlap="1" relativeHeight="488">
                <wp:simplePos x="0" y="0"/>
                <wp:positionH relativeFrom="column">
                  <wp:align>left</wp:align>
                </wp:positionH>
                <wp:positionV relativeFrom="line">
                  <wp:align>top</wp:align>
                </wp:positionV>
                <wp:extent cx="228600" cy="254000"/>
                <wp:effectExtent l="0" t="0" r="0" b="0"/>
                <wp:wrapSquare wrapText="right"/>
                <wp:docPr id="500" name="Frame330"/>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the year ended December 31, 2025, represents a settlement adjustment of $(8) million related to the ethylene oxide (“EtO”) litigation, $(43) million related to settlement of an intellectual property dispute, and other legal settlements. For the year ended December 31, 2024, represents $2 million related to one-time legal costs. The three months ended December 31, 2025 includes $14 million related to other legal settlements.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89">
                <wp:simplePos x="0" y="0"/>
                <wp:positionH relativeFrom="column">
                  <wp:align>left</wp:align>
                </wp:positionH>
                <wp:positionV relativeFrom="line">
                  <wp:align>top</wp:align>
                </wp:positionV>
                <wp:extent cx="228600" cy="254000"/>
                <wp:effectExtent l="0" t="0" r="0" b="0"/>
                <wp:wrapSquare wrapText="right"/>
                <wp:docPr id="501" name="Frame331"/>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the three months and year ended December 31, 2025 and 2024, respectively, includes $5 million, $10 million, $28 million, and $22 million of acquisition and integration-related costs and adjustments; and $18 million, $5 million, $30 million and $9 million of expenses related to our IPO, consisting of legal, accounting, and advisory fees, as well as one-time employee bonuses, including those with an ongoing service requirement. The three months and year ended December 31, 2024 also includes $(6) million and $(13) million of one-time gain related to acquisition of equity investment, respectively.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90">
                <wp:simplePos x="0" y="0"/>
                <wp:positionH relativeFrom="column">
                  <wp:align>left</wp:align>
                </wp:positionH>
                <wp:positionV relativeFrom="line">
                  <wp:align>top</wp:align>
                </wp:positionV>
                <wp:extent cx="228600" cy="254000"/>
                <wp:effectExtent l="0" t="0" r="0" b="0"/>
                <wp:wrapSquare wrapText="right"/>
                <wp:docPr id="502" name="Frame332"/>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the three months and year ended December 31, 2025 and 2024, respectively, includes $(4) million, $(32) million, $87 million, and $(6) million of realized and unrealized foreign exchange and investment losses (gains); $58 million, $13 million, $64 million, and $56 million of loss on debt extinguishment and other refinancing costs and fees; $(1) million, $22 million, $31 million, and $38 million credit loss expense (recovery) related to certain customer receivables; and $5 million, $3 million, $20 million, and $23 million of other project costs.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91">
                <wp:simplePos x="0" y="0"/>
                <wp:positionH relativeFrom="column">
                  <wp:align>left</wp:align>
                </wp:positionH>
                <wp:positionV relativeFrom="line">
                  <wp:align>top</wp:align>
                </wp:positionV>
                <wp:extent cx="228600" cy="254000"/>
                <wp:effectExtent l="0" t="0" r="0" b="0"/>
                <wp:wrapSquare wrapText="right"/>
                <wp:docPr id="503" name="Frame333"/>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(4)</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08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Not meaningful. </w:t>
      </w:r>
      <w:r>
        <mc:AlternateContent>
          <mc:Choice Requires="wps">
            <w:drawing>
              <wp:anchor behindDoc="0" distT="50800" distB="0" distL="0" distR="0" simplePos="0" locked="0" layoutInCell="1" allowOverlap="1" relativeHeight="492">
                <wp:simplePos x="0" y="0"/>
                <wp:positionH relativeFrom="column">
                  <wp:align>left</wp:align>
                </wp:positionH>
                <wp:positionV relativeFrom="line">
                  <wp:align>top</wp:align>
                </wp:positionV>
                <wp:extent cx="228600" cy="254000"/>
                <wp:effectExtent l="0" t="0" r="0" b="0"/>
                <wp:wrapSquare wrapText="right"/>
                <wp:docPr id="504" name="Frame334"/>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1"/>
                          <w:sz w:val="16"/>
                        </w:rPr>
                        <w:t>(5)</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91" w:type="dxa"/>
        <w:jc w:val="left"/>
        <w:tblInd w:w="720" w:type="dxa"/>
        <w:tblLayout w:type="fixed"/>
        <w:tblCellMar>
          <w:top w:w="0" w:type="dxa"/>
          <w:left w:w="0" w:type="dxa"/>
          <w:bottom w:w="0" w:type="dxa"/>
          <w:right w:w="0" w:type="dxa"/>
        </w:tblCellMar>
      </w:tblPr>
      <w:tblGrid>
        <w:gridCol w:w="124"/>
        <w:gridCol w:w="1255"/>
        <w:gridCol w:w="109"/>
        <w:gridCol w:w="109"/>
        <w:gridCol w:w="871"/>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A-2</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FCFL"/>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9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A</w:t>
      </w:r>
      <w:r>
        <w:rPr>
          <w:rFonts w:ascii="Arial;Helvetica;sans-serif" w:hAnsi="Arial;Helvetica;sans-serif"/>
          <w:b w:val="false"/>
          <w:i w:val="false"/>
          <w:caps w:val="false"/>
          <w:smallCaps w:val="false"/>
          <w:color w:val="C3C5C8"/>
          <w:spacing w:val="-1"/>
          <w:sz w:val="15"/>
        </w:rPr>
        <w:t>PPENDIX</w:t>
      </w:r>
      <w:r>
        <w:rPr>
          <w:rFonts w:ascii="Arial;Helvetica;sans-serif" w:hAnsi="Arial;Helvetica;sans-serif"/>
          <w:b w:val="false"/>
          <w:i w:val="false"/>
          <w:caps w:val="false"/>
          <w:smallCaps w:val="false"/>
          <w:color w:val="C3C5C8"/>
          <w:spacing w:val="-1"/>
          <w:sz w:val="15"/>
        </w:rPr>
        <w:t xml:space="preserve"> A</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320" w:before="400" w:after="9230"/>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1"/>
          <w:sz w:val="28"/>
        </w:rPr>
        <w:t>Free Cash Flow</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Free Cash Flow is defined as net cash provided by/(used for) operating activities less net capital expenditures. The use of this non-GAAP measure does not imply or represent the residual cash flow for discretionary expenditures since the Company has certain non-discretionary obligations such as debt service, that are not deducted from the measure.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R</w:t>
      </w:r>
      <w:r>
        <w:rPr>
          <w:rFonts w:ascii="Arial;Helvetica;sans-serif" w:hAnsi="Arial;Helvetica;sans-serif"/>
          <w:b/>
          <w:i w:val="false"/>
          <w:caps w:val="false"/>
          <w:smallCaps w:val="false"/>
          <w:color w:val="0055B7"/>
          <w:spacing w:val="-3"/>
          <w:sz w:val="24"/>
        </w:rPr>
        <w:t>ECONCILIATION OF</w:t>
      </w:r>
      <w:r>
        <w:rPr>
          <w:rFonts w:ascii="Arial;Helvetica;sans-serif" w:hAnsi="Arial;Helvetica;sans-serif"/>
          <w:b/>
          <w:i w:val="false"/>
          <w:caps w:val="false"/>
          <w:smallCaps w:val="false"/>
          <w:color w:val="0055B7"/>
          <w:spacing w:val="-3"/>
          <w:sz w:val="24"/>
        </w:rPr>
        <w:t xml:space="preserve"> N</w:t>
      </w:r>
      <w:r>
        <w:rPr>
          <w:rFonts w:ascii="Arial;Helvetica;sans-serif" w:hAnsi="Arial;Helvetica;sans-serif"/>
          <w:b/>
          <w:i w:val="false"/>
          <w:caps w:val="false"/>
          <w:smallCaps w:val="false"/>
          <w:color w:val="0055B7"/>
          <w:spacing w:val="-3"/>
          <w:sz w:val="24"/>
        </w:rPr>
        <w:t>ET</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ASH</w:t>
      </w:r>
      <w:r>
        <w:rPr>
          <w:rFonts w:ascii="Arial;Helvetica;sans-serif" w:hAnsi="Arial;Helvetica;sans-serif"/>
          <w:b/>
          <w:i w:val="false"/>
          <w:caps w:val="false"/>
          <w:smallCaps w:val="false"/>
          <w:color w:val="0055B7"/>
          <w:spacing w:val="-3"/>
          <w:sz w:val="24"/>
        </w:rPr>
        <w:t xml:space="preserve"> P</w:t>
      </w:r>
      <w:r>
        <w:rPr>
          <w:rFonts w:ascii="Arial;Helvetica;sans-serif" w:hAnsi="Arial;Helvetica;sans-serif"/>
          <w:b/>
          <w:i w:val="false"/>
          <w:caps w:val="false"/>
          <w:smallCaps w:val="false"/>
          <w:color w:val="0055B7"/>
          <w:spacing w:val="-3"/>
          <w:sz w:val="24"/>
        </w:rPr>
        <w:t>ROVIDED BY</w:t>
      </w:r>
      <w:r>
        <w:rPr>
          <w:rFonts w:ascii="Arial;Helvetica;sans-serif" w:hAnsi="Arial;Helvetica;sans-serif"/>
          <w:b/>
          <w:i w:val="false"/>
          <w:caps w:val="false"/>
          <w:smallCaps w:val="false"/>
          <w:color w:val="0055B7"/>
          <w:spacing w:val="-3"/>
          <w:sz w:val="24"/>
        </w:rPr>
        <w:t xml:space="preserve"> O</w:t>
      </w:r>
      <w:r>
        <w:rPr>
          <w:rFonts w:ascii="Arial;Helvetica;sans-serif" w:hAnsi="Arial;Helvetica;sans-serif"/>
          <w:b/>
          <w:i w:val="false"/>
          <w:caps w:val="false"/>
          <w:smallCaps w:val="false"/>
          <w:color w:val="0055B7"/>
          <w:spacing w:val="-3"/>
          <w:sz w:val="24"/>
        </w:rPr>
        <w:t>PERATING</w:t>
      </w:r>
      <w:r>
        <w:rPr>
          <w:rFonts w:ascii="Arial;Helvetica;sans-serif" w:hAnsi="Arial;Helvetica;sans-serif"/>
          <w:b/>
          <w:i w:val="false"/>
          <w:caps w:val="false"/>
          <w:smallCaps w:val="false"/>
          <w:color w:val="0055B7"/>
          <w:spacing w:val="-3"/>
          <w:sz w:val="24"/>
        </w:rPr>
        <w:t xml:space="preserve"> A</w:t>
      </w:r>
      <w:r>
        <w:rPr>
          <w:rFonts w:ascii="Arial;Helvetica;sans-serif" w:hAnsi="Arial;Helvetica;sans-serif"/>
          <w:b/>
          <w:i w:val="false"/>
          <w:caps w:val="false"/>
          <w:smallCaps w:val="false"/>
          <w:color w:val="0055B7"/>
          <w:spacing w:val="-3"/>
          <w:sz w:val="24"/>
        </w:rPr>
        <w:t>CTIVITIES TO</w:t>
      </w:r>
      <w:r>
        <w:rPr>
          <w:rFonts w:ascii="Arial;Helvetica;sans-serif" w:hAnsi="Arial;Helvetica;sans-serif"/>
          <w:b/>
          <w:i w:val="false"/>
          <w:caps w:val="false"/>
          <w:smallCaps w:val="false"/>
          <w:color w:val="0055B7"/>
          <w:spacing w:val="-3"/>
          <w:sz w:val="24"/>
        </w:rPr>
        <w:t xml:space="preserve"> F</w:t>
      </w:r>
      <w:r>
        <w:rPr>
          <w:rFonts w:ascii="Arial;Helvetica;sans-serif" w:hAnsi="Arial;Helvetica;sans-serif"/>
          <w:b/>
          <w:i w:val="false"/>
          <w:caps w:val="false"/>
          <w:smallCaps w:val="false"/>
          <w:color w:val="0055B7"/>
          <w:spacing w:val="-3"/>
          <w:sz w:val="24"/>
        </w:rPr>
        <w:t>REE</w:t>
      </w:r>
      <w:r>
        <w:rPr>
          <w:rFonts w:ascii="Arial;Helvetica;sans-serif" w:hAnsi="Arial;Helvetica;sans-serif"/>
          <w:b/>
          <w:i w:val="false"/>
          <w:caps w:val="false"/>
          <w:smallCaps w:val="false"/>
          <w:color w:val="0055B7"/>
          <w:spacing w:val="-3"/>
          <w:sz w:val="24"/>
        </w:rPr>
        <w:t xml:space="preserve"> C</w:t>
      </w:r>
      <w:r>
        <w:rPr>
          <w:rFonts w:ascii="Arial;Helvetica;sans-serif" w:hAnsi="Arial;Helvetica;sans-serif"/>
          <w:b/>
          <w:i w:val="false"/>
          <w:caps w:val="false"/>
          <w:smallCaps w:val="false"/>
          <w:color w:val="0055B7"/>
          <w:spacing w:val="-3"/>
          <w:sz w:val="24"/>
        </w:rPr>
        <w:t>ASH</w:t>
      </w:r>
      <w:r>
        <w:rPr>
          <w:rFonts w:ascii="Arial;Helvetica;sans-serif" w:hAnsi="Arial;Helvetica;sans-serif"/>
          <w:b/>
          <w:i w:val="false"/>
          <w:caps w:val="false"/>
          <w:smallCaps w:val="false"/>
          <w:color w:val="0055B7"/>
          <w:spacing w:val="-3"/>
          <w:sz w:val="24"/>
        </w:rPr>
        <w:t xml:space="preserve"> F</w:t>
      </w:r>
      <w:r>
        <w:rPr>
          <w:rFonts w:ascii="Arial;Helvetica;sans-serif" w:hAnsi="Arial;Helvetica;sans-serif"/>
          <w:b/>
          <w:i w:val="false"/>
          <w:caps w:val="false"/>
          <w:smallCaps w:val="false"/>
          <w:color w:val="0055B7"/>
          <w:spacing w:val="-3"/>
          <w:sz w:val="24"/>
        </w:rPr>
        <w:t>LOW</w:t>
      </w:r>
      <w:r>
        <w:rPr>
          <w:rFonts w:ascii="Arial;Helvetica;sans-serif" w:hAnsi="Arial;Helvetica;sans-serif"/>
          <w:b/>
          <w:i w:val="false"/>
          <w:caps w:val="false"/>
          <w:smallCaps w:val="false"/>
          <w:color w:val="0055B7"/>
          <w:spacing w:val="-3"/>
          <w:sz w:val="24"/>
        </w:rPr>
        <w:t xml:space="preserve"> </w:t>
      </w:r>
      <w:r>
        <w:rPr>
          <w:rFonts w:ascii="Arial;Helvetica;sans-serif" w:hAnsi="Arial;Helvetica;sans-serif"/>
          <w:b/>
          <w:i w:val="false"/>
          <w:caps w:val="false"/>
          <w:smallCaps w:val="false"/>
          <w:color w:val="0055B7"/>
          <w:sz w:val="24"/>
        </w:rPr>
        <w:br/>
      </w:r>
      <w:r>
        <w:rPr>
          <w:rFonts w:ascii="Arial;Helvetica;sans-serif" w:hAnsi="Arial;Helvetica;sans-serif"/>
          <w:b/>
          <w:i/>
          <w:caps w:val="false"/>
          <w:smallCaps w:val="false"/>
          <w:color w:val="0055B7"/>
          <w:sz w:val="24"/>
        </w:rPr>
        <w:t>(unaudited)</w:t>
      </w:r>
      <w:r>
        <w:rPr>
          <w:rFonts w:ascii="Arial;Helvetica;sans-serif" w:hAnsi="Arial;Helvetica;sans-serif"/>
          <w:b/>
          <w:i w:val="false"/>
          <w:caps w:val="false"/>
          <w:smallCaps w:val="false"/>
          <w:color w:val="000000"/>
          <w:spacing w:val="5"/>
          <w:sz w:val="24"/>
        </w:rPr>
        <w:t xml:space="preserve"> </w:t>
      </w:r>
    </w:p>
    <w:tbl>
      <w:tblPr>
        <w:tblW w:w="9485" w:type="dxa"/>
        <w:jc w:val="left"/>
        <w:tblInd w:w="720" w:type="dxa"/>
        <w:tblLayout w:type="fixed"/>
        <w:tblCellMar>
          <w:top w:w="0" w:type="dxa"/>
          <w:left w:w="0" w:type="dxa"/>
          <w:bottom w:w="50" w:type="dxa"/>
          <w:right w:w="0" w:type="dxa"/>
        </w:tblCellMar>
      </w:tblPr>
      <w:tblGrid>
        <w:gridCol w:w="3414"/>
        <w:gridCol w:w="109"/>
        <w:gridCol w:w="109"/>
        <w:gridCol w:w="147"/>
        <w:gridCol w:w="307"/>
        <w:gridCol w:w="881"/>
        <w:gridCol w:w="149"/>
        <w:gridCol w:w="109"/>
        <w:gridCol w:w="109"/>
        <w:gridCol w:w="147"/>
        <w:gridCol w:w="307"/>
        <w:gridCol w:w="881"/>
        <w:gridCol w:w="149"/>
        <w:gridCol w:w="109"/>
        <w:gridCol w:w="109"/>
        <w:gridCol w:w="109"/>
        <w:gridCol w:w="226"/>
        <w:gridCol w:w="599"/>
        <w:gridCol w:w="109"/>
        <w:gridCol w:w="109"/>
        <w:gridCol w:w="109"/>
        <w:gridCol w:w="109"/>
        <w:gridCol w:w="109"/>
        <w:gridCol w:w="701"/>
        <w:gridCol w:w="109"/>
        <w:gridCol w:w="160"/>
      </w:tblGrid>
      <w:tr>
        <w:trPr/>
        <w:tc>
          <w:tcPr>
            <w:tcW w:w="3414" w:type="dxa"/>
            <w:vMerge w:val="restart"/>
            <w:tcBorders>
              <w:bottom w:val="single" w:sz="2" w:space="0" w:color="000000"/>
            </w:tcBorders>
            <w:vAlign w:val="center"/>
          </w:tcPr>
          <w:p>
            <w:pPr>
              <w:pStyle w:val="TableContents"/>
              <w:bidi w:val="0"/>
              <w:spacing w:lineRule="atLeast" w:line="180" w:before="0" w:after="0"/>
              <w:jc w:val="left"/>
              <w:rPr>
                <w:spacing w:val="0"/>
              </w:rPr>
            </w:pPr>
            <w:r>
              <w:rPr>
                <w:spacing w:val="0"/>
              </w:rPr>
              <w:t xml:space="preserve">($ millions)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93" w:type="dxa"/>
            <w:gridSpan w:val="22"/>
            <w:tcBorders>
              <w:bottom w:val="single" w:sz="2" w:space="0" w:color="000000"/>
            </w:tcBorders>
            <w:vAlign w:val="center"/>
          </w:tcPr>
          <w:p>
            <w:pPr>
              <w:pStyle w:val="TableContents"/>
              <w:bidi w:val="0"/>
              <w:spacing w:before="0" w:after="0"/>
              <w:jc w:val="center"/>
              <w:rPr>
                <w:spacing w:val="0"/>
              </w:rPr>
            </w:pPr>
            <w:r>
              <w:rPr>
                <w:spacing w:val="0"/>
              </w:rPr>
              <w:t xml:space="preserve">Year ended </w:t>
            </w:r>
          </w:p>
        </w:tc>
        <w:tc>
          <w:tcPr>
            <w:tcW w:w="160"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414"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4"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December 31,</w:t>
            </w:r>
            <w:r>
              <w:rPr/>
              <w:t xml:space="preserve"> </w:t>
              <w:br/>
            </w:r>
            <w:r>
              <w:rPr>
                <w:spacing w:val="-2"/>
              </w:rPr>
              <w:t xml:space="preserve">2025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4"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December 31,</w:t>
            </w:r>
            <w:r>
              <w:rPr/>
              <w:t xml:space="preserve"> </w:t>
              <w:br/>
            </w:r>
            <w:r>
              <w:rPr>
                <w:spacing w:val="-2"/>
              </w:rPr>
              <w:t xml:space="preserve">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43" w:type="dxa"/>
            <w:gridSpan w:val="4"/>
            <w:tcBorders>
              <w:bottom w:val="single" w:sz="2" w:space="0" w:color="000000"/>
            </w:tcBorders>
            <w:tcMar>
              <w:bottom w:w="43" w:type="dxa"/>
            </w:tcMar>
            <w:vAlign w:val="center"/>
          </w:tcPr>
          <w:p>
            <w:pPr>
              <w:pStyle w:val="TableContents"/>
              <w:bidi w:val="0"/>
              <w:spacing w:before="0" w:after="0"/>
              <w:jc w:val="center"/>
              <w:rPr/>
            </w:pPr>
            <w:r>
              <w:rPr>
                <w:spacing w:val="-2"/>
              </w:rPr>
              <w:t xml:space="preserve">$ </w:t>
            </w:r>
            <w:r>
              <w:rPr/>
              <w:br/>
            </w:r>
            <w:r>
              <w:rPr>
                <w:spacing w:val="0"/>
              </w:rPr>
              <w:t xml:space="preserve">Change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28" w:type="dxa"/>
            <w:gridSpan w:val="4"/>
            <w:tcBorders>
              <w:bottom w:val="single" w:sz="2" w:space="0" w:color="000000"/>
            </w:tcBorders>
            <w:tcMar>
              <w:bottom w:w="43" w:type="dxa"/>
            </w:tcMar>
            <w:vAlign w:val="center"/>
          </w:tcPr>
          <w:p>
            <w:pPr>
              <w:pStyle w:val="TableContents"/>
              <w:bidi w:val="0"/>
              <w:spacing w:before="0" w:after="0"/>
              <w:jc w:val="center"/>
              <w:rPr/>
            </w:pPr>
            <w:r>
              <w:rPr>
                <w:spacing w:val="-2"/>
              </w:rPr>
              <w:t>%</w:t>
            </w:r>
            <w:r>
              <w:rPr/>
              <w:t xml:space="preserve"> </w:t>
              <w:br/>
            </w:r>
            <w:r>
              <w:rPr>
                <w:spacing w:val="0"/>
              </w:rPr>
              <w:t xml:space="preserve">Change </w:t>
            </w:r>
          </w:p>
        </w:tc>
        <w:tc>
          <w:tcPr>
            <w:tcW w:w="160"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414" w:type="dxa"/>
            <w:tcBorders>
              <w:bottom w:val="single" w:sz="6" w:space="0" w:color="000000"/>
            </w:tcBorders>
            <w:tcMar>
              <w:bottom w:w="45" w:type="dxa"/>
            </w:tcMar>
            <w:vAlign w:val="center"/>
          </w:tcPr>
          <w:p>
            <w:pPr>
              <w:pStyle w:val="TableContents"/>
              <w:bidi w:val="0"/>
              <w:spacing w:before="0" w:after="283"/>
              <w:jc w:val="left"/>
              <w:rPr>
                <w:spacing w:val="-1"/>
              </w:rPr>
            </w:pPr>
            <w:r>
              <w:rPr>
                <w:spacing w:val="-1"/>
              </w:rPr>
              <w:t xml:space="preserve">Net cash provided by operating activities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 w:type="dxa"/>
            <w:tcBorders>
              <w:bottom w:val="single" w:sz="6" w:space="0" w:color="000000"/>
            </w:tcBorders>
            <w:tcMar>
              <w:bottom w:w="28" w:type="dxa"/>
            </w:tcMar>
            <w:vAlign w:val="center"/>
          </w:tcPr>
          <w:p>
            <w:pPr>
              <w:pStyle w:val="TableContents"/>
              <w:bidi w:val="0"/>
              <w:spacing w:before="0" w:after="283"/>
              <w:jc w:val="left"/>
              <w:rPr/>
            </w:pPr>
            <w:r>
              <w:rPr/>
              <w:t>​</w:t>
            </w:r>
          </w:p>
        </w:tc>
        <w:tc>
          <w:tcPr>
            <w:tcW w:w="307" w:type="dxa"/>
            <w:tcBorders>
              <w:bottom w:val="single" w:sz="6" w:space="0" w:color="000000"/>
            </w:tcBorders>
            <w:tcMar>
              <w:bottom w:w="45" w:type="dxa"/>
            </w:tcMar>
            <w:vAlign w:val="center"/>
          </w:tcPr>
          <w:p>
            <w:pPr>
              <w:pStyle w:val="TableContents"/>
              <w:bidi w:val="0"/>
              <w:spacing w:before="0" w:after="283"/>
              <w:jc w:val="right"/>
              <w:rPr/>
            </w:pPr>
            <w:r>
              <w:rPr/>
              <w:t>$</w:t>
            </w:r>
          </w:p>
        </w:tc>
        <w:tc>
          <w:tcPr>
            <w:tcW w:w="881" w:type="dxa"/>
            <w:tcBorders>
              <w:bottom w:val="single" w:sz="6" w:space="0" w:color="000000"/>
            </w:tcBorders>
            <w:tcMar>
              <w:bottom w:w="45" w:type="dxa"/>
            </w:tcMar>
            <w:vAlign w:val="center"/>
          </w:tcPr>
          <w:p>
            <w:pPr>
              <w:pStyle w:val="TableContents"/>
              <w:bidi w:val="0"/>
              <w:spacing w:before="0" w:after="283"/>
              <w:jc w:val="right"/>
              <w:rPr/>
            </w:pPr>
            <w:r>
              <w:rPr/>
              <w:t>1,744</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 w:type="dxa"/>
            <w:tcBorders>
              <w:bottom w:val="single" w:sz="6" w:space="0" w:color="000000"/>
            </w:tcBorders>
            <w:tcMar>
              <w:bottom w:w="28" w:type="dxa"/>
            </w:tcMar>
            <w:vAlign w:val="center"/>
          </w:tcPr>
          <w:p>
            <w:pPr>
              <w:pStyle w:val="TableContents"/>
              <w:bidi w:val="0"/>
              <w:spacing w:before="0" w:after="283"/>
              <w:jc w:val="left"/>
              <w:rPr/>
            </w:pPr>
            <w:r>
              <w:rPr/>
              <w:t>​</w:t>
            </w:r>
          </w:p>
        </w:tc>
        <w:tc>
          <w:tcPr>
            <w:tcW w:w="307" w:type="dxa"/>
            <w:tcBorders>
              <w:bottom w:val="single" w:sz="6" w:space="0" w:color="000000"/>
            </w:tcBorders>
            <w:tcMar>
              <w:bottom w:w="45" w:type="dxa"/>
            </w:tcMar>
            <w:vAlign w:val="center"/>
          </w:tcPr>
          <w:p>
            <w:pPr>
              <w:pStyle w:val="TableContents"/>
              <w:bidi w:val="0"/>
              <w:spacing w:before="0" w:after="283"/>
              <w:jc w:val="right"/>
              <w:rPr/>
            </w:pPr>
            <w:r>
              <w:rPr/>
              <w:t>$</w:t>
            </w:r>
          </w:p>
        </w:tc>
        <w:tc>
          <w:tcPr>
            <w:tcW w:w="881" w:type="dxa"/>
            <w:tcBorders>
              <w:bottom w:val="single" w:sz="6" w:space="0" w:color="000000"/>
            </w:tcBorders>
            <w:tcMar>
              <w:bottom w:w="45" w:type="dxa"/>
            </w:tcMar>
            <w:vAlign w:val="center"/>
          </w:tcPr>
          <w:p>
            <w:pPr>
              <w:pStyle w:val="TableContents"/>
              <w:bidi w:val="0"/>
              <w:spacing w:before="0" w:after="283"/>
              <w:jc w:val="right"/>
              <w:rPr/>
            </w:pPr>
            <w:r>
              <w:rPr/>
              <w:t>1,769</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599" w:type="dxa"/>
            <w:tcBorders>
              <w:bottom w:val="single" w:sz="6" w:space="0" w:color="000000"/>
            </w:tcBorders>
            <w:tcMar>
              <w:bottom w:w="45" w:type="dxa"/>
            </w:tcMar>
            <w:vAlign w:val="center"/>
          </w:tcPr>
          <w:p>
            <w:pPr>
              <w:pStyle w:val="TableContents"/>
              <w:bidi w:val="0"/>
              <w:spacing w:before="0" w:after="283"/>
              <w:jc w:val="right"/>
              <w:rPr/>
            </w:pPr>
            <w:r>
              <w:rPr/>
              <w:t>(25)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45" w:type="dxa"/>
            </w:tcMar>
            <w:vAlign w:val="center"/>
          </w:tcPr>
          <w:p>
            <w:pPr>
              <w:pStyle w:val="TableContents"/>
              <w:bidi w:val="0"/>
              <w:spacing w:before="0" w:after="283"/>
              <w:jc w:val="right"/>
              <w:rPr/>
            </w:pPr>
            <w:r>
              <w:rPr/>
              <w:t>​</w:t>
            </w:r>
          </w:p>
        </w:tc>
        <w:tc>
          <w:tcPr>
            <w:tcW w:w="701" w:type="dxa"/>
            <w:tcBorders>
              <w:bottom w:val="single" w:sz="6" w:space="0" w:color="000000"/>
            </w:tcBorders>
            <w:tcMar>
              <w:bottom w:w="45" w:type="dxa"/>
            </w:tcMar>
            <w:vAlign w:val="center"/>
          </w:tcPr>
          <w:p>
            <w:pPr>
              <w:pStyle w:val="TableContents"/>
              <w:bidi w:val="0"/>
              <w:spacing w:before="0" w:after="283"/>
              <w:jc w:val="right"/>
              <w:rPr/>
            </w:pPr>
            <w:r>
              <w:rPr/>
              <w:t>(1.4)%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3414" w:type="dxa"/>
            <w:tcBorders>
              <w:bottom w:val="single" w:sz="6" w:space="0" w:color="000000"/>
            </w:tcBorders>
            <w:shd w:fill="E6EEF8" w:val="clear"/>
            <w:tcMar>
              <w:bottom w:w="45" w:type="dxa"/>
            </w:tcMar>
            <w:vAlign w:val="center"/>
          </w:tcPr>
          <w:p>
            <w:pPr>
              <w:pStyle w:val="TableContents"/>
              <w:bidi w:val="0"/>
              <w:spacing w:before="0" w:after="283"/>
              <w:jc w:val="left"/>
              <w:rPr>
                <w:spacing w:val="-1"/>
              </w:rPr>
            </w:pPr>
            <w:r>
              <w:rPr>
                <w:spacing w:val="-1"/>
              </w:rPr>
              <w:t xml:space="preserve">Net capital expenditures </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7"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30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81" w:type="dxa"/>
            <w:tcBorders>
              <w:bottom w:val="single" w:sz="6" w:space="0" w:color="000000"/>
            </w:tcBorders>
            <w:shd w:fill="E6EEF8" w:val="clear"/>
            <w:tcMar>
              <w:bottom w:w="45" w:type="dxa"/>
            </w:tcMar>
            <w:vAlign w:val="center"/>
          </w:tcPr>
          <w:p>
            <w:pPr>
              <w:pStyle w:val="TableContents"/>
              <w:bidi w:val="0"/>
              <w:spacing w:before="0" w:after="283"/>
              <w:jc w:val="right"/>
              <w:rPr/>
            </w:pPr>
            <w:r>
              <w:rPr/>
              <w:t>(447)</w:t>
            </w:r>
          </w:p>
        </w:tc>
        <w:tc>
          <w:tcPr>
            <w:tcW w:w="14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47"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307"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881" w:type="dxa"/>
            <w:tcBorders>
              <w:bottom w:val="single" w:sz="6" w:space="0" w:color="000000"/>
            </w:tcBorders>
            <w:shd w:fill="E6EEF8" w:val="clear"/>
            <w:tcMar>
              <w:bottom w:w="45" w:type="dxa"/>
            </w:tcMar>
            <w:vAlign w:val="center"/>
          </w:tcPr>
          <w:p>
            <w:pPr>
              <w:pStyle w:val="TableContents"/>
              <w:bidi w:val="0"/>
              <w:spacing w:before="0" w:after="283"/>
              <w:jc w:val="right"/>
              <w:rPr/>
            </w:pPr>
            <w:r>
              <w:rPr/>
              <w:t>(354)</w:t>
            </w:r>
          </w:p>
        </w:tc>
        <w:tc>
          <w:tcPr>
            <w:tcW w:w="14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599" w:type="dxa"/>
            <w:tcBorders>
              <w:bottom w:val="single" w:sz="6" w:space="0" w:color="000000"/>
            </w:tcBorders>
            <w:shd w:fill="E6EEF8" w:val="clear"/>
            <w:tcMar>
              <w:bottom w:w="45" w:type="dxa"/>
            </w:tcMar>
            <w:vAlign w:val="center"/>
          </w:tcPr>
          <w:p>
            <w:pPr>
              <w:pStyle w:val="TableContents"/>
              <w:bidi w:val="0"/>
              <w:spacing w:before="0" w:after="283"/>
              <w:jc w:val="right"/>
              <w:rPr/>
            </w:pPr>
            <w:r>
              <w:rPr/>
              <w:t>(93)</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01" w:type="dxa"/>
            <w:tcBorders>
              <w:bottom w:val="single" w:sz="6" w:space="0" w:color="000000"/>
            </w:tcBorders>
            <w:shd w:fill="E6EEF8" w:val="clear"/>
            <w:tcMar>
              <w:bottom w:w="45" w:type="dxa"/>
            </w:tcMar>
            <w:vAlign w:val="center"/>
          </w:tcPr>
          <w:p>
            <w:pPr>
              <w:pStyle w:val="TableContents"/>
              <w:bidi w:val="0"/>
              <w:spacing w:before="0" w:after="283"/>
              <w:jc w:val="right"/>
              <w:rPr/>
            </w:pPr>
            <w:r>
              <w:rPr/>
              <w:t>26.3%</w:t>
            </w:r>
          </w:p>
        </w:tc>
        <w:tc>
          <w:tcPr>
            <w:tcW w:w="109"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c>
          <w:tcPr>
            <w:tcW w:w="160" w:type="dxa"/>
            <w:tcBorders>
              <w:bottom w:val="single" w:sz="6" w:space="0" w:color="000000"/>
            </w:tcBorders>
            <w:shd w:fill="E6EEF8" w:val="clear"/>
            <w:tcMar>
              <w:bottom w:w="28" w:type="dxa"/>
            </w:tcMar>
            <w:vAlign w:val="center"/>
          </w:tcPr>
          <w:p>
            <w:pPr>
              <w:pStyle w:val="TableContents"/>
              <w:bidi w:val="0"/>
              <w:spacing w:before="0" w:after="283"/>
              <w:jc w:val="left"/>
              <w:rPr/>
            </w:pPr>
            <w:r>
              <w:rPr/>
              <w:t>​</w:t>
            </w:r>
          </w:p>
        </w:tc>
      </w:tr>
      <w:tr>
        <w:trPr/>
        <w:tc>
          <w:tcPr>
            <w:tcW w:w="3414" w:type="dxa"/>
            <w:tcBorders>
              <w:bottom w:val="single" w:sz="6" w:space="0" w:color="000000"/>
            </w:tcBorders>
            <w:tcMar>
              <w:bottom w:w="30" w:type="dxa"/>
            </w:tcMar>
            <w:vAlign w:val="center"/>
          </w:tcPr>
          <w:p>
            <w:pPr>
              <w:pStyle w:val="TableContents"/>
              <w:bidi w:val="0"/>
              <w:spacing w:before="0" w:after="283"/>
              <w:jc w:val="left"/>
              <w:rPr>
                <w:spacing w:val="-1"/>
              </w:rPr>
            </w:pPr>
            <w:r>
              <w:rPr>
                <w:spacing w:val="-1"/>
              </w:rPr>
              <w:t xml:space="preserve">Free Cash Flow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 w:type="dxa"/>
            <w:tcBorders>
              <w:bottom w:val="single" w:sz="6" w:space="0" w:color="000000"/>
            </w:tcBorders>
            <w:tcMar>
              <w:bottom w:w="28" w:type="dxa"/>
            </w:tcMar>
            <w:vAlign w:val="center"/>
          </w:tcPr>
          <w:p>
            <w:pPr>
              <w:pStyle w:val="TableContents"/>
              <w:bidi w:val="0"/>
              <w:spacing w:before="0" w:after="283"/>
              <w:jc w:val="left"/>
              <w:rPr/>
            </w:pPr>
            <w:r>
              <w:rPr/>
              <w:t>​</w:t>
            </w:r>
          </w:p>
        </w:tc>
        <w:tc>
          <w:tcPr>
            <w:tcW w:w="307" w:type="dxa"/>
            <w:tcBorders>
              <w:bottom w:val="single" w:sz="6" w:space="0" w:color="000000"/>
            </w:tcBorders>
            <w:tcMar>
              <w:bottom w:w="30" w:type="dxa"/>
            </w:tcMar>
            <w:vAlign w:val="center"/>
          </w:tcPr>
          <w:p>
            <w:pPr>
              <w:pStyle w:val="TableContents"/>
              <w:bidi w:val="0"/>
              <w:spacing w:before="0" w:after="283"/>
              <w:jc w:val="right"/>
              <w:rPr/>
            </w:pPr>
            <w:r>
              <w:rPr/>
              <w:t>$</w:t>
            </w:r>
          </w:p>
        </w:tc>
        <w:tc>
          <w:tcPr>
            <w:tcW w:w="881" w:type="dxa"/>
            <w:tcBorders>
              <w:bottom w:val="single" w:sz="6" w:space="0" w:color="000000"/>
            </w:tcBorders>
            <w:tcMar>
              <w:bottom w:w="30" w:type="dxa"/>
            </w:tcMar>
            <w:vAlign w:val="center"/>
          </w:tcPr>
          <w:p>
            <w:pPr>
              <w:pStyle w:val="TableContents"/>
              <w:bidi w:val="0"/>
              <w:spacing w:before="0" w:after="283"/>
              <w:jc w:val="right"/>
              <w:rPr/>
            </w:pPr>
            <w:r>
              <w:rPr/>
              <w:t>1,297</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 w:type="dxa"/>
            <w:tcBorders>
              <w:bottom w:val="single" w:sz="6" w:space="0" w:color="000000"/>
            </w:tcBorders>
            <w:tcMar>
              <w:bottom w:w="28" w:type="dxa"/>
            </w:tcMar>
            <w:vAlign w:val="center"/>
          </w:tcPr>
          <w:p>
            <w:pPr>
              <w:pStyle w:val="TableContents"/>
              <w:bidi w:val="0"/>
              <w:spacing w:before="0" w:after="283"/>
              <w:jc w:val="left"/>
              <w:rPr/>
            </w:pPr>
            <w:r>
              <w:rPr/>
              <w:t>​</w:t>
            </w:r>
          </w:p>
        </w:tc>
        <w:tc>
          <w:tcPr>
            <w:tcW w:w="307" w:type="dxa"/>
            <w:tcBorders>
              <w:bottom w:val="single" w:sz="6" w:space="0" w:color="000000"/>
            </w:tcBorders>
            <w:tcMar>
              <w:bottom w:w="30" w:type="dxa"/>
            </w:tcMar>
            <w:vAlign w:val="center"/>
          </w:tcPr>
          <w:p>
            <w:pPr>
              <w:pStyle w:val="TableContents"/>
              <w:bidi w:val="0"/>
              <w:spacing w:before="0" w:after="283"/>
              <w:jc w:val="right"/>
              <w:rPr/>
            </w:pPr>
            <w:r>
              <w:rPr/>
              <w:t>$</w:t>
            </w:r>
          </w:p>
        </w:tc>
        <w:tc>
          <w:tcPr>
            <w:tcW w:w="881" w:type="dxa"/>
            <w:tcBorders>
              <w:bottom w:val="single" w:sz="6" w:space="0" w:color="000000"/>
            </w:tcBorders>
            <w:tcMar>
              <w:bottom w:w="30" w:type="dxa"/>
            </w:tcMar>
            <w:vAlign w:val="center"/>
          </w:tcPr>
          <w:p>
            <w:pPr>
              <w:pStyle w:val="TableContents"/>
              <w:bidi w:val="0"/>
              <w:spacing w:before="0" w:after="283"/>
              <w:jc w:val="right"/>
              <w:rPr/>
            </w:pPr>
            <w:r>
              <w:rPr/>
              <w:t>1,415</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30" w:type="dxa"/>
            </w:tcMar>
            <w:vAlign w:val="center"/>
          </w:tcPr>
          <w:p>
            <w:pPr>
              <w:pStyle w:val="TableContents"/>
              <w:bidi w:val="0"/>
              <w:spacing w:before="0" w:after="283"/>
              <w:jc w:val="right"/>
              <w:rPr/>
            </w:pPr>
            <w:r>
              <w:rPr/>
              <w:t>$</w:t>
            </w:r>
          </w:p>
        </w:tc>
        <w:tc>
          <w:tcPr>
            <w:tcW w:w="599" w:type="dxa"/>
            <w:tcBorders>
              <w:bottom w:val="single" w:sz="6" w:space="0" w:color="000000"/>
            </w:tcBorders>
            <w:tcMar>
              <w:bottom w:w="30" w:type="dxa"/>
            </w:tcMar>
            <w:vAlign w:val="center"/>
          </w:tcPr>
          <w:p>
            <w:pPr>
              <w:pStyle w:val="TableContents"/>
              <w:bidi w:val="0"/>
              <w:spacing w:before="0" w:after="283"/>
              <w:jc w:val="right"/>
              <w:rPr/>
            </w:pPr>
            <w:r>
              <w:rPr/>
              <w:t>(118)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30" w:type="dxa"/>
            </w:tcMar>
            <w:vAlign w:val="center"/>
          </w:tcPr>
          <w:p>
            <w:pPr>
              <w:pStyle w:val="TableContents"/>
              <w:bidi w:val="0"/>
              <w:spacing w:before="0" w:after="283"/>
              <w:jc w:val="right"/>
              <w:rPr/>
            </w:pPr>
            <w:r>
              <w:rPr/>
              <w:t>​</w:t>
            </w:r>
          </w:p>
        </w:tc>
        <w:tc>
          <w:tcPr>
            <w:tcW w:w="701" w:type="dxa"/>
            <w:tcBorders>
              <w:bottom w:val="single" w:sz="6" w:space="0" w:color="000000"/>
            </w:tcBorders>
            <w:tcMar>
              <w:bottom w:w="30" w:type="dxa"/>
            </w:tcMar>
            <w:vAlign w:val="center"/>
          </w:tcPr>
          <w:p>
            <w:pPr>
              <w:pStyle w:val="TableContents"/>
              <w:bidi w:val="0"/>
              <w:spacing w:before="0" w:after="283"/>
              <w:jc w:val="right"/>
              <w:rPr/>
            </w:pPr>
            <w:r>
              <w:rPr/>
              <w:t>(8.3)%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0"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91" w:type="dxa"/>
        <w:jc w:val="left"/>
        <w:tblInd w:w="720" w:type="dxa"/>
        <w:tblLayout w:type="fixed"/>
        <w:tblCellMar>
          <w:top w:w="0" w:type="dxa"/>
          <w:left w:w="0" w:type="dxa"/>
          <w:bottom w:w="0" w:type="dxa"/>
          <w:right w:w="0" w:type="dxa"/>
        </w:tblCellMar>
      </w:tblPr>
      <w:tblGrid>
        <w:gridCol w:w="124"/>
        <w:gridCol w:w="1255"/>
        <w:gridCol w:w="109"/>
        <w:gridCol w:w="109"/>
        <w:gridCol w:w="871"/>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A-3</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OSL"/>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90" w:after="283"/>
        <w:ind w:left="720" w:right="0" w:hanging="0"/>
        <w:jc w:val="lef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A</w:t>
      </w:r>
      <w:r>
        <w:rPr>
          <w:rFonts w:ascii="Arial;Helvetica;sans-serif" w:hAnsi="Arial;Helvetica;sans-serif"/>
          <w:b w:val="false"/>
          <w:i w:val="false"/>
          <w:caps w:val="false"/>
          <w:smallCaps w:val="false"/>
          <w:color w:val="C3C5C8"/>
          <w:spacing w:val="-1"/>
          <w:sz w:val="15"/>
        </w:rPr>
        <w:t>PPENDIX</w:t>
      </w:r>
      <w:r>
        <w:rPr>
          <w:rFonts w:ascii="Arial;Helvetica;sans-serif" w:hAnsi="Arial;Helvetica;sans-serif"/>
          <w:b w:val="false"/>
          <w:i w:val="false"/>
          <w:caps w:val="false"/>
          <w:smallCaps w:val="false"/>
          <w:color w:val="C3C5C8"/>
          <w:spacing w:val="-1"/>
          <w:sz w:val="15"/>
        </w:rPr>
        <w:t xml:space="preserve"> A </w:t>
      </w:r>
    </w:p>
    <w:p>
      <w:pPr>
        <w:pStyle w:val="TextBody"/>
        <w:bidi w:val="0"/>
        <w:spacing w:lineRule="atLeast" w:line="320" w:before="400" w:after="8330"/>
        <w:ind w:left="720" w:right="0" w:hanging="0"/>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O</w:t>
      </w:r>
      <w:r>
        <w:rPr>
          <w:rFonts w:ascii="Arial;Helvetica;sans-serif" w:hAnsi="Arial;Helvetica;sans-serif"/>
          <w:b/>
          <w:i w:val="false"/>
          <w:caps w:val="false"/>
          <w:smallCaps w:val="false"/>
          <w:color w:val="003CA6"/>
          <w:spacing w:val="-4"/>
          <w:sz w:val="28"/>
        </w:rPr>
        <w:t>RGANIC</w:t>
      </w:r>
      <w:r>
        <w:rPr>
          <w:rFonts w:ascii="Arial;Helvetica;sans-serif" w:hAnsi="Arial;Helvetica;sans-serif"/>
          <w:b/>
          <w:i w:val="false"/>
          <w:caps w:val="false"/>
          <w:smallCaps w:val="false"/>
          <w:color w:val="003CA6"/>
          <w:spacing w:val="-4"/>
          <w:sz w:val="28"/>
        </w:rPr>
        <w:t xml:space="preserve"> S</w:t>
      </w:r>
      <w:r>
        <w:rPr>
          <w:rFonts w:ascii="Arial;Helvetica;sans-serif" w:hAnsi="Arial;Helvetica;sans-serif"/>
          <w:b/>
          <w:i w:val="false"/>
          <w:caps w:val="false"/>
          <w:smallCaps w:val="false"/>
          <w:color w:val="003CA6"/>
          <w:spacing w:val="-4"/>
          <w:sz w:val="28"/>
        </w:rPr>
        <w:t>ALES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Organic Sales is defined as net sales excluding, when they occur, the impact of acquisitions, divestitures, and changes in foreign exchange rates from net sales changes. These amounts are calculated by translating current period GAAP results at the prior period foreign currency exchange rates and comparing these amounts to the current period GAAP results at the current period foreign currency exchange rates.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20" w:after="283"/>
        <w:jc w:val="left"/>
        <w:rPr>
          <w:rFonts w:ascii="Arial;Helvetica;sans-serif" w:hAnsi="Arial;Helvetica;sans-serif"/>
          <w:b/>
          <w:i w:val="false"/>
          <w:caps w:val="false"/>
          <w:smallCaps w:val="false"/>
          <w:color w:val="0055B7"/>
          <w:sz w:val="24"/>
        </w:rPr>
      </w:pPr>
      <w:r>
        <w:rPr>
          <w:rFonts w:ascii="Arial;Helvetica;sans-serif" w:hAnsi="Arial;Helvetica;sans-serif"/>
          <w:b/>
          <w:i w:val="false"/>
          <w:caps w:val="false"/>
          <w:smallCaps w:val="false"/>
          <w:color w:val="0055B7"/>
          <w:spacing w:val="-3"/>
          <w:sz w:val="24"/>
        </w:rPr>
        <w:t>R</w:t>
      </w:r>
      <w:r>
        <w:rPr>
          <w:rFonts w:ascii="Arial;Helvetica;sans-serif" w:hAnsi="Arial;Helvetica;sans-serif"/>
          <w:b/>
          <w:i w:val="false"/>
          <w:caps w:val="false"/>
          <w:smallCaps w:val="false"/>
          <w:color w:val="0055B7"/>
          <w:spacing w:val="-3"/>
          <w:sz w:val="24"/>
        </w:rPr>
        <w:t>ECONCILIATION OF</w:t>
      </w:r>
      <w:r>
        <w:rPr>
          <w:rFonts w:ascii="Arial;Helvetica;sans-serif" w:hAnsi="Arial;Helvetica;sans-serif"/>
          <w:b/>
          <w:i w:val="false"/>
          <w:caps w:val="false"/>
          <w:smallCaps w:val="false"/>
          <w:color w:val="0055B7"/>
          <w:spacing w:val="-3"/>
          <w:sz w:val="24"/>
        </w:rPr>
        <w:t xml:space="preserve"> N</w:t>
      </w:r>
      <w:r>
        <w:rPr>
          <w:rFonts w:ascii="Arial;Helvetica;sans-serif" w:hAnsi="Arial;Helvetica;sans-serif"/>
          <w:b/>
          <w:i w:val="false"/>
          <w:caps w:val="false"/>
          <w:smallCaps w:val="false"/>
          <w:color w:val="0055B7"/>
          <w:spacing w:val="-3"/>
          <w:sz w:val="24"/>
        </w:rPr>
        <w:t>ET</w:t>
      </w:r>
      <w:r>
        <w:rPr>
          <w:rFonts w:ascii="Arial;Helvetica;sans-serif" w:hAnsi="Arial;Helvetica;sans-serif"/>
          <w:b/>
          <w:i w:val="false"/>
          <w:caps w:val="false"/>
          <w:smallCaps w:val="false"/>
          <w:color w:val="0055B7"/>
          <w:spacing w:val="-3"/>
          <w:sz w:val="24"/>
        </w:rPr>
        <w:t xml:space="preserve"> S</w:t>
      </w:r>
      <w:r>
        <w:rPr>
          <w:rFonts w:ascii="Arial;Helvetica;sans-serif" w:hAnsi="Arial;Helvetica;sans-serif"/>
          <w:b/>
          <w:i w:val="false"/>
          <w:caps w:val="false"/>
          <w:smallCaps w:val="false"/>
          <w:color w:val="0055B7"/>
          <w:spacing w:val="-3"/>
          <w:sz w:val="24"/>
        </w:rPr>
        <w:t>ALES TO</w:t>
      </w:r>
      <w:r>
        <w:rPr>
          <w:rFonts w:ascii="Arial;Helvetica;sans-serif" w:hAnsi="Arial;Helvetica;sans-serif"/>
          <w:b/>
          <w:i w:val="false"/>
          <w:caps w:val="false"/>
          <w:smallCaps w:val="false"/>
          <w:color w:val="0055B7"/>
          <w:spacing w:val="-3"/>
          <w:sz w:val="24"/>
        </w:rPr>
        <w:t xml:space="preserve"> O</w:t>
      </w:r>
      <w:r>
        <w:rPr>
          <w:rFonts w:ascii="Arial;Helvetica;sans-serif" w:hAnsi="Arial;Helvetica;sans-serif"/>
          <w:b/>
          <w:i w:val="false"/>
          <w:caps w:val="false"/>
          <w:smallCaps w:val="false"/>
          <w:color w:val="0055B7"/>
          <w:spacing w:val="-3"/>
          <w:sz w:val="24"/>
        </w:rPr>
        <w:t>RGANIC</w:t>
      </w:r>
      <w:r>
        <w:rPr>
          <w:rFonts w:ascii="Arial;Helvetica;sans-serif" w:hAnsi="Arial;Helvetica;sans-serif"/>
          <w:b/>
          <w:i w:val="false"/>
          <w:caps w:val="false"/>
          <w:smallCaps w:val="false"/>
          <w:color w:val="0055B7"/>
          <w:spacing w:val="-3"/>
          <w:sz w:val="24"/>
        </w:rPr>
        <w:t xml:space="preserve"> S</w:t>
      </w:r>
      <w:r>
        <w:rPr>
          <w:rFonts w:ascii="Arial;Helvetica;sans-serif" w:hAnsi="Arial;Helvetica;sans-serif"/>
          <w:b/>
          <w:i w:val="false"/>
          <w:caps w:val="false"/>
          <w:smallCaps w:val="false"/>
          <w:color w:val="0055B7"/>
          <w:spacing w:val="-3"/>
          <w:sz w:val="24"/>
        </w:rPr>
        <w:t>ALES</w:t>
      </w:r>
      <w:r>
        <w:rPr>
          <w:rFonts w:ascii="Arial;Helvetica;sans-serif" w:hAnsi="Arial;Helvetica;sans-serif"/>
          <w:b/>
          <w:i w:val="false"/>
          <w:caps w:val="false"/>
          <w:smallCaps w:val="false"/>
          <w:color w:val="0055B7"/>
          <w:spacing w:val="-3"/>
          <w:sz w:val="24"/>
        </w:rPr>
        <w:t xml:space="preserve"> </w:t>
      </w:r>
      <w:r>
        <w:rPr>
          <w:rFonts w:ascii="Arial;Helvetica;sans-serif" w:hAnsi="Arial;Helvetica;sans-serif"/>
          <w:b/>
          <w:i w:val="false"/>
          <w:caps w:val="false"/>
          <w:smallCaps w:val="false"/>
          <w:color w:val="0055B7"/>
          <w:sz w:val="24"/>
        </w:rPr>
        <w:br/>
      </w:r>
      <w:r>
        <w:rPr>
          <w:rFonts w:ascii="Arial;Helvetica;sans-serif" w:hAnsi="Arial;Helvetica;sans-serif"/>
          <w:b/>
          <w:i/>
          <w:caps w:val="false"/>
          <w:smallCaps w:val="false"/>
          <w:color w:val="0055B7"/>
          <w:sz w:val="24"/>
        </w:rPr>
        <w:t>(unaudited)</w:t>
      </w:r>
      <w:r>
        <w:rPr>
          <w:rFonts w:ascii="Arial;Helvetica;sans-serif" w:hAnsi="Arial;Helvetica;sans-serif"/>
          <w:b/>
          <w:i w:val="false"/>
          <w:caps w:val="false"/>
          <w:smallCaps w:val="false"/>
          <w:color w:val="000000"/>
          <w:spacing w:val="5"/>
          <w:sz w:val="24"/>
        </w:rPr>
        <w:t xml:space="preserve"> </w:t>
      </w:r>
    </w:p>
    <w:tbl>
      <w:tblPr>
        <w:tblW w:w="9485" w:type="dxa"/>
        <w:jc w:val="left"/>
        <w:tblInd w:w="720" w:type="dxa"/>
        <w:tblLayout w:type="fixed"/>
        <w:tblCellMar>
          <w:top w:w="0" w:type="dxa"/>
          <w:left w:w="0" w:type="dxa"/>
          <w:bottom w:w="28" w:type="dxa"/>
          <w:right w:w="0" w:type="dxa"/>
        </w:tblCellMar>
      </w:tblPr>
      <w:tblGrid>
        <w:gridCol w:w="3788"/>
        <w:gridCol w:w="109"/>
        <w:gridCol w:w="109"/>
        <w:gridCol w:w="109"/>
        <w:gridCol w:w="226"/>
        <w:gridCol w:w="646"/>
        <w:gridCol w:w="109"/>
        <w:gridCol w:w="109"/>
        <w:gridCol w:w="109"/>
        <w:gridCol w:w="148"/>
        <w:gridCol w:w="148"/>
        <w:gridCol w:w="736"/>
        <w:gridCol w:w="151"/>
        <w:gridCol w:w="109"/>
        <w:gridCol w:w="109"/>
        <w:gridCol w:w="109"/>
        <w:gridCol w:w="226"/>
        <w:gridCol w:w="766"/>
        <w:gridCol w:w="109"/>
        <w:gridCol w:w="109"/>
        <w:gridCol w:w="109"/>
        <w:gridCol w:w="148"/>
        <w:gridCol w:w="148"/>
        <w:gridCol w:w="736"/>
        <w:gridCol w:w="151"/>
        <w:gridCol w:w="159"/>
      </w:tblGrid>
      <w:tr>
        <w:trPr/>
        <w:tc>
          <w:tcPr>
            <w:tcW w:w="37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491" w:type="dxa"/>
            <w:gridSpan w:val="10"/>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Three months ended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611" w:type="dxa"/>
            <w:gridSpan w:val="10"/>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Year ended </w:t>
            </w:r>
          </w:p>
        </w:tc>
        <w:tc>
          <w:tcPr>
            <w:tcW w:w="159" w:type="dxa"/>
            <w:tcBorders>
              <w:bottom w:val="single" w:sz="2" w:space="0" w:color="000000"/>
            </w:tcBorders>
            <w:vAlign w:val="center"/>
          </w:tcPr>
          <w:p>
            <w:pPr>
              <w:pStyle w:val="TableContents"/>
              <w:bidi w:val="0"/>
              <w:spacing w:before="0" w:after="283"/>
              <w:jc w:val="left"/>
              <w:rPr/>
            </w:pPr>
            <w:r>
              <w:rPr/>
              <w:t>​</w:t>
            </w:r>
          </w:p>
        </w:tc>
      </w:tr>
      <w:tr>
        <w:trPr/>
        <w:tc>
          <w:tcPr>
            <w:tcW w:w="3788" w:type="dxa"/>
            <w:tcBorders>
              <w:bottom w:val="single" w:sz="2" w:space="0" w:color="000000"/>
            </w:tcBorders>
            <w:tcMar>
              <w:bottom w:w="50" w:type="dxa"/>
            </w:tcMar>
            <w:vAlign w:val="center"/>
          </w:tcPr>
          <w:p>
            <w:pPr>
              <w:pStyle w:val="TableContents"/>
              <w:bidi w:val="0"/>
              <w:spacing w:before="0" w:after="0"/>
              <w:jc w:val="left"/>
              <w:rPr>
                <w:spacing w:val="0"/>
              </w:rPr>
            </w:pPr>
            <w:r>
              <w:rPr>
                <w:spacing w:val="0"/>
              </w:rPr>
              <w:t xml:space="preserve">($ millions, except percentages)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Amount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83"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Percentage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Amount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83"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Percentage </w:t>
            </w:r>
          </w:p>
        </w:tc>
        <w:tc>
          <w:tcPr>
            <w:tcW w:w="159" w:type="dxa"/>
            <w:tcBorders>
              <w:bottom w:val="single" w:sz="2" w:space="0" w:color="000000"/>
            </w:tcBorders>
            <w:vAlign w:val="center"/>
          </w:tcPr>
          <w:p>
            <w:pPr>
              <w:pStyle w:val="TableContents"/>
              <w:bidi w:val="0"/>
              <w:spacing w:before="0" w:after="283"/>
              <w:jc w:val="left"/>
              <w:rPr/>
            </w:pPr>
            <w:r>
              <w:rPr/>
              <w:t>​</w:t>
            </w:r>
          </w:p>
        </w:tc>
      </w:tr>
      <w:tr>
        <w:trPr/>
        <w:tc>
          <w:tcPr>
            <w:tcW w:w="3788" w:type="dxa"/>
            <w:tcBorders>
              <w:bottom w:val="single" w:sz="6" w:space="0" w:color="000000"/>
            </w:tcBorders>
            <w:tcMar>
              <w:bottom w:w="45" w:type="dxa"/>
            </w:tcMar>
            <w:vAlign w:val="center"/>
          </w:tcPr>
          <w:p>
            <w:pPr>
              <w:pStyle w:val="TableContents"/>
              <w:bidi w:val="0"/>
              <w:spacing w:before="0" w:after="283"/>
              <w:jc w:val="left"/>
              <w:rPr>
                <w:spacing w:val="-1"/>
              </w:rPr>
            </w:pPr>
            <w:r>
              <w:rPr>
                <w:spacing w:val="-1"/>
              </w:rPr>
              <w:t xml:space="preserve">Net sales for period ended December 31, 2025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46" w:type="dxa"/>
            <w:tcBorders>
              <w:bottom w:val="single" w:sz="6" w:space="0" w:color="000000"/>
            </w:tcBorders>
            <w:tcMar>
              <w:bottom w:w="45" w:type="dxa"/>
            </w:tcMar>
            <w:vAlign w:val="center"/>
          </w:tcPr>
          <w:p>
            <w:pPr>
              <w:pStyle w:val="TableContents"/>
              <w:bidi w:val="0"/>
              <w:spacing w:before="0" w:after="283"/>
              <w:jc w:val="right"/>
              <w:rPr/>
            </w:pPr>
            <w:r>
              <w:rPr/>
              <w:t>7,787</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right"/>
              <w:rPr/>
            </w:pPr>
            <w:r>
              <w:rPr/>
              <w:t>​</w:t>
            </w:r>
          </w:p>
        </w:tc>
        <w:tc>
          <w:tcPr>
            <w:tcW w:w="736" w:type="dxa"/>
            <w:tcBorders>
              <w:bottom w:val="single" w:sz="6" w:space="0" w:color="000000"/>
            </w:tcBorders>
            <w:vAlign w:val="center"/>
          </w:tcPr>
          <w:p>
            <w:pPr>
              <w:pStyle w:val="TableContents"/>
              <w:bidi w:val="0"/>
              <w:spacing w:before="0" w:after="283"/>
              <w:jc w:val="righ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766" w:type="dxa"/>
            <w:tcBorders>
              <w:bottom w:val="single" w:sz="6" w:space="0" w:color="000000"/>
            </w:tcBorders>
            <w:tcMar>
              <w:bottom w:w="45" w:type="dxa"/>
            </w:tcMar>
            <w:vAlign w:val="center"/>
          </w:tcPr>
          <w:p>
            <w:pPr>
              <w:pStyle w:val="TableContents"/>
              <w:bidi w:val="0"/>
              <w:spacing w:before="0" w:after="283"/>
              <w:jc w:val="right"/>
              <w:rPr/>
            </w:pPr>
            <w:r>
              <w:rPr/>
              <w:t>28,432</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right"/>
              <w:rPr/>
            </w:pPr>
            <w:r>
              <w:rPr/>
              <w:t>​</w:t>
            </w:r>
          </w:p>
        </w:tc>
        <w:tc>
          <w:tcPr>
            <w:tcW w:w="736" w:type="dxa"/>
            <w:tcBorders>
              <w:bottom w:val="single" w:sz="6" w:space="0" w:color="000000"/>
            </w:tcBorders>
            <w:vAlign w:val="center"/>
          </w:tcPr>
          <w:p>
            <w:pPr>
              <w:pStyle w:val="TableContents"/>
              <w:bidi w:val="0"/>
              <w:spacing w:before="0" w:after="283"/>
              <w:jc w:val="righ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9" w:type="dxa"/>
            <w:tcBorders>
              <w:bottom w:val="single" w:sz="6" w:space="0" w:color="000000"/>
            </w:tcBorders>
            <w:vAlign w:val="center"/>
          </w:tcPr>
          <w:p>
            <w:pPr>
              <w:pStyle w:val="TableContents"/>
              <w:bidi w:val="0"/>
              <w:spacing w:before="0" w:after="283"/>
              <w:jc w:val="left"/>
              <w:rPr/>
            </w:pPr>
            <w:r>
              <w:rPr/>
              <w:t>​</w:t>
            </w:r>
          </w:p>
        </w:tc>
      </w:tr>
      <w:tr>
        <w:trPr/>
        <w:tc>
          <w:tcPr>
            <w:tcW w:w="3788" w:type="dxa"/>
            <w:tcBorders>
              <w:bottom w:val="single" w:sz="6" w:space="0" w:color="000000"/>
            </w:tcBorders>
            <w:shd w:fill="E6EEF8" w:val="clear"/>
            <w:tcMar>
              <w:bottom w:w="45" w:type="dxa"/>
            </w:tcMar>
            <w:vAlign w:val="center"/>
          </w:tcPr>
          <w:p>
            <w:pPr>
              <w:pStyle w:val="TableContents"/>
              <w:bidi w:val="0"/>
              <w:spacing w:before="0" w:after="283"/>
              <w:jc w:val="left"/>
              <w:rPr>
                <w:spacing w:val="-1"/>
              </w:rPr>
            </w:pPr>
            <w:r>
              <w:rPr>
                <w:spacing w:val="-1"/>
              </w:rPr>
              <w:t xml:space="preserve">Net sales for period ended December 31, 2024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45" w:type="dxa"/>
            </w:tcMar>
            <w:vAlign w:val="center"/>
          </w:tcPr>
          <w:p>
            <w:pPr>
              <w:pStyle w:val="TableContents"/>
              <w:bidi w:val="0"/>
              <w:spacing w:before="0" w:after="283"/>
              <w:jc w:val="right"/>
              <w:rPr/>
            </w:pPr>
            <w:r>
              <w:rPr/>
              <w:t>6,784</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vAlign w:val="center"/>
          </w:tcPr>
          <w:p>
            <w:pPr>
              <w:pStyle w:val="TableContents"/>
              <w:bidi w:val="0"/>
              <w:spacing w:before="0" w:after="283"/>
              <w:jc w:val="right"/>
              <w:rPr/>
            </w:pPr>
            <w:r>
              <w:rPr/>
              <w:t>​</w:t>
            </w:r>
          </w:p>
        </w:tc>
        <w:tc>
          <w:tcPr>
            <w:tcW w:w="736" w:type="dxa"/>
            <w:tcBorders>
              <w:bottom w:val="single" w:sz="6" w:space="0" w:color="000000"/>
            </w:tcBorders>
            <w:shd w:fill="E6EEF8" w:val="clear"/>
            <w:vAlign w:val="center"/>
          </w:tcPr>
          <w:p>
            <w:pPr>
              <w:pStyle w:val="TableContents"/>
              <w:bidi w:val="0"/>
              <w:spacing w:before="0" w:after="283"/>
              <w:jc w:val="right"/>
              <w:rPr/>
            </w:pPr>
            <w:r>
              <w:rPr/>
              <w:t>​</w:t>
            </w:r>
          </w:p>
        </w:tc>
        <w:tc>
          <w:tcPr>
            <w:tcW w:w="151"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5" w:type="dxa"/>
            </w:tcMar>
            <w:vAlign w:val="center"/>
          </w:tcPr>
          <w:p>
            <w:pPr>
              <w:pStyle w:val="TableContents"/>
              <w:bidi w:val="0"/>
              <w:spacing w:before="0" w:after="283"/>
              <w:jc w:val="right"/>
              <w:rPr/>
            </w:pPr>
            <w:r>
              <w:rPr/>
              <w:t>25,507</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vAlign w:val="center"/>
          </w:tcPr>
          <w:p>
            <w:pPr>
              <w:pStyle w:val="TableContents"/>
              <w:bidi w:val="0"/>
              <w:spacing w:before="0" w:after="283"/>
              <w:jc w:val="right"/>
              <w:rPr/>
            </w:pPr>
            <w:r>
              <w:rPr/>
              <w:t>​</w:t>
            </w:r>
          </w:p>
        </w:tc>
        <w:tc>
          <w:tcPr>
            <w:tcW w:w="736" w:type="dxa"/>
            <w:tcBorders>
              <w:bottom w:val="single" w:sz="6" w:space="0" w:color="000000"/>
            </w:tcBorders>
            <w:shd w:fill="E6EEF8" w:val="clear"/>
            <w:vAlign w:val="center"/>
          </w:tcPr>
          <w:p>
            <w:pPr>
              <w:pStyle w:val="TableContents"/>
              <w:bidi w:val="0"/>
              <w:spacing w:before="0" w:after="283"/>
              <w:jc w:val="right"/>
              <w:rPr/>
            </w:pPr>
            <w:r>
              <w:rPr/>
              <w:t>​</w:t>
            </w:r>
          </w:p>
        </w:tc>
        <w:tc>
          <w:tcPr>
            <w:tcW w:w="151" w:type="dxa"/>
            <w:tcBorders>
              <w:bottom w:val="single" w:sz="6" w:space="0" w:color="000000"/>
            </w:tcBorders>
            <w:shd w:fill="E6EEF8" w:val="clear"/>
            <w:vAlign w:val="center"/>
          </w:tcPr>
          <w:p>
            <w:pPr>
              <w:pStyle w:val="TableContents"/>
              <w:bidi w:val="0"/>
              <w:spacing w:before="0" w:after="283"/>
              <w:jc w:val="left"/>
              <w:rPr/>
            </w:pPr>
            <w:r>
              <w:rPr/>
              <w:t>​</w:t>
            </w:r>
          </w:p>
        </w:tc>
        <w:tc>
          <w:tcPr>
            <w:tcW w:w="159" w:type="dxa"/>
            <w:tcBorders>
              <w:bottom w:val="single" w:sz="6" w:space="0" w:color="000000"/>
            </w:tcBorders>
            <w:vAlign w:val="center"/>
          </w:tcPr>
          <w:p>
            <w:pPr>
              <w:pStyle w:val="TableContents"/>
              <w:bidi w:val="0"/>
              <w:spacing w:before="0" w:after="283"/>
              <w:jc w:val="left"/>
              <w:rPr/>
            </w:pPr>
            <w:r>
              <w:rPr/>
              <w:t>​</w:t>
            </w:r>
          </w:p>
        </w:tc>
      </w:tr>
      <w:tr>
        <w:trPr/>
        <w:tc>
          <w:tcPr>
            <w:tcW w:w="3788" w:type="dxa"/>
            <w:tcBorders>
              <w:bottom w:val="single" w:sz="6" w:space="0" w:color="000000"/>
            </w:tcBorders>
            <w:tcMar>
              <w:bottom w:w="45" w:type="dxa"/>
            </w:tcMar>
            <w:vAlign w:val="center"/>
          </w:tcPr>
          <w:p>
            <w:pPr>
              <w:pStyle w:val="TableContents"/>
              <w:bidi w:val="0"/>
              <w:spacing w:before="0" w:after="283"/>
              <w:jc w:val="left"/>
              <w:rPr>
                <w:spacing w:val="-1"/>
              </w:rPr>
            </w:pPr>
            <w:r>
              <w:rPr>
                <w:spacing w:val="-1"/>
              </w:rPr>
              <w:t xml:space="preserve">Net sales growth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46" w:type="dxa"/>
            <w:tcBorders>
              <w:bottom w:val="single" w:sz="6" w:space="0" w:color="000000"/>
            </w:tcBorders>
            <w:tcMar>
              <w:bottom w:w="45" w:type="dxa"/>
            </w:tcMar>
            <w:vAlign w:val="center"/>
          </w:tcPr>
          <w:p>
            <w:pPr>
              <w:pStyle w:val="TableContents"/>
              <w:bidi w:val="0"/>
              <w:spacing w:before="0" w:after="283"/>
              <w:jc w:val="right"/>
              <w:rPr/>
            </w:pPr>
            <w:r>
              <w:rPr/>
              <w:t>1,003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tcMar>
              <w:bottom w:w="45" w:type="dxa"/>
            </w:tcMar>
            <w:vAlign w:val="center"/>
          </w:tcPr>
          <w:p>
            <w:pPr>
              <w:pStyle w:val="TableContents"/>
              <w:bidi w:val="0"/>
              <w:spacing w:before="0" w:after="283"/>
              <w:jc w:val="right"/>
              <w:rPr/>
            </w:pPr>
            <w:r>
              <w:rPr/>
              <w:t>​</w:t>
            </w:r>
          </w:p>
        </w:tc>
        <w:tc>
          <w:tcPr>
            <w:tcW w:w="736" w:type="dxa"/>
            <w:tcBorders>
              <w:bottom w:val="single" w:sz="6" w:space="0" w:color="000000"/>
            </w:tcBorders>
            <w:tcMar>
              <w:bottom w:w="45" w:type="dxa"/>
            </w:tcMar>
            <w:vAlign w:val="center"/>
          </w:tcPr>
          <w:p>
            <w:pPr>
              <w:pStyle w:val="TableContents"/>
              <w:bidi w:val="0"/>
              <w:spacing w:before="0" w:after="283"/>
              <w:jc w:val="right"/>
              <w:rPr/>
            </w:pPr>
            <w:r>
              <w:rPr/>
              <w:t>14.8%</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766" w:type="dxa"/>
            <w:tcBorders>
              <w:bottom w:val="single" w:sz="6" w:space="0" w:color="000000"/>
            </w:tcBorders>
            <w:tcMar>
              <w:bottom w:w="45" w:type="dxa"/>
            </w:tcMar>
            <w:vAlign w:val="center"/>
          </w:tcPr>
          <w:p>
            <w:pPr>
              <w:pStyle w:val="TableContents"/>
              <w:bidi w:val="0"/>
              <w:spacing w:before="0" w:after="283"/>
              <w:jc w:val="right"/>
              <w:rPr/>
            </w:pPr>
            <w:r>
              <w:rPr/>
              <w:t>2,925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tcMar>
              <w:bottom w:w="45" w:type="dxa"/>
            </w:tcMar>
            <w:vAlign w:val="center"/>
          </w:tcPr>
          <w:p>
            <w:pPr>
              <w:pStyle w:val="TableContents"/>
              <w:bidi w:val="0"/>
              <w:spacing w:before="0" w:after="283"/>
              <w:jc w:val="right"/>
              <w:rPr/>
            </w:pPr>
            <w:r>
              <w:rPr/>
              <w:t>​</w:t>
            </w:r>
          </w:p>
        </w:tc>
        <w:tc>
          <w:tcPr>
            <w:tcW w:w="736" w:type="dxa"/>
            <w:tcBorders>
              <w:bottom w:val="single" w:sz="6" w:space="0" w:color="000000"/>
            </w:tcBorders>
            <w:tcMar>
              <w:bottom w:w="45" w:type="dxa"/>
            </w:tcMar>
            <w:vAlign w:val="center"/>
          </w:tcPr>
          <w:p>
            <w:pPr>
              <w:pStyle w:val="TableContents"/>
              <w:bidi w:val="0"/>
              <w:spacing w:before="0" w:after="283"/>
              <w:jc w:val="right"/>
              <w:rPr/>
            </w:pPr>
            <w:r>
              <w:rPr/>
              <w:t>11.5%</w:t>
            </w:r>
          </w:p>
        </w:tc>
        <w:tc>
          <w:tcPr>
            <w:tcW w:w="151" w:type="dxa"/>
            <w:tcBorders>
              <w:bottom w:val="single" w:sz="6" w:space="0" w:color="000000"/>
            </w:tcBorders>
            <w:vAlign w:val="center"/>
          </w:tcPr>
          <w:p>
            <w:pPr>
              <w:pStyle w:val="TableContents"/>
              <w:bidi w:val="0"/>
              <w:spacing w:before="0" w:after="283"/>
              <w:jc w:val="left"/>
              <w:rPr/>
            </w:pPr>
            <w:r>
              <w:rPr/>
              <w:t>​</w:t>
            </w:r>
          </w:p>
        </w:tc>
        <w:tc>
          <w:tcPr>
            <w:tcW w:w="159" w:type="dxa"/>
            <w:tcBorders>
              <w:bottom w:val="single" w:sz="6" w:space="0" w:color="000000"/>
            </w:tcBorders>
            <w:vAlign w:val="center"/>
          </w:tcPr>
          <w:p>
            <w:pPr>
              <w:pStyle w:val="TableContents"/>
              <w:bidi w:val="0"/>
              <w:spacing w:before="0" w:after="283"/>
              <w:jc w:val="left"/>
              <w:rPr/>
            </w:pPr>
            <w:r>
              <w:rPr/>
              <w:t>​</w:t>
            </w:r>
          </w:p>
        </w:tc>
      </w:tr>
      <w:tr>
        <w:trPr/>
        <w:tc>
          <w:tcPr>
            <w:tcW w:w="3788" w:type="dxa"/>
            <w:tcBorders>
              <w:bottom w:val="single" w:sz="6" w:space="0" w:color="000000"/>
            </w:tcBorders>
            <w:shd w:fill="E6EEF8" w:val="clear"/>
            <w:tcMar>
              <w:bottom w:w="45" w:type="dxa"/>
            </w:tcMar>
            <w:vAlign w:val="center"/>
          </w:tcPr>
          <w:p>
            <w:pPr>
              <w:pStyle w:val="TableContents"/>
              <w:bidi w:val="0"/>
              <w:spacing w:before="0" w:after="283"/>
              <w:jc w:val="left"/>
              <w:rPr>
                <w:spacing w:val="-1"/>
              </w:rPr>
            </w:pPr>
            <w:r>
              <w:rPr>
                <w:spacing w:val="-1"/>
              </w:rPr>
              <w:t xml:space="preserve">Impact of acquisitions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45" w:type="dxa"/>
            </w:tcMar>
            <w:vAlign w:val="center"/>
          </w:tcPr>
          <w:p>
            <w:pPr>
              <w:pStyle w:val="TableContents"/>
              <w:bidi w:val="0"/>
              <w:spacing w:before="0" w:after="283"/>
              <w:jc w:val="right"/>
              <w:rPr/>
            </w:pPr>
            <w:r>
              <w:rPr/>
              <w:t>10</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36" w:type="dxa"/>
            <w:tcBorders>
              <w:bottom w:val="single" w:sz="6" w:space="0" w:color="000000"/>
            </w:tcBorders>
            <w:shd w:fill="E6EEF8" w:val="clear"/>
            <w:tcMar>
              <w:bottom w:w="45" w:type="dxa"/>
            </w:tcMar>
            <w:vAlign w:val="center"/>
          </w:tcPr>
          <w:p>
            <w:pPr>
              <w:pStyle w:val="TableContents"/>
              <w:bidi w:val="0"/>
              <w:spacing w:before="0" w:after="283"/>
              <w:jc w:val="right"/>
              <w:rPr/>
            </w:pPr>
            <w:r>
              <w:rPr/>
              <w:t>0.1%</w:t>
            </w:r>
          </w:p>
        </w:tc>
        <w:tc>
          <w:tcPr>
            <w:tcW w:w="151"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45" w:type="dxa"/>
            </w:tcMar>
            <w:vAlign w:val="center"/>
          </w:tcPr>
          <w:p>
            <w:pPr>
              <w:pStyle w:val="TableContents"/>
              <w:bidi w:val="0"/>
              <w:spacing w:before="0" w:after="283"/>
              <w:jc w:val="right"/>
              <w:rPr/>
            </w:pPr>
            <w:r>
              <w:rPr/>
              <w:t>237</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tcMar>
              <w:bottom w:w="45" w:type="dxa"/>
            </w:tcMar>
            <w:vAlign w:val="center"/>
          </w:tcPr>
          <w:p>
            <w:pPr>
              <w:pStyle w:val="TableContents"/>
              <w:bidi w:val="0"/>
              <w:spacing w:before="0" w:after="283"/>
              <w:jc w:val="right"/>
              <w:rPr/>
            </w:pPr>
            <w:r>
              <w:rPr/>
              <w:t>​</w:t>
            </w:r>
          </w:p>
        </w:tc>
        <w:tc>
          <w:tcPr>
            <w:tcW w:w="736" w:type="dxa"/>
            <w:tcBorders>
              <w:bottom w:val="single" w:sz="6" w:space="0" w:color="000000"/>
            </w:tcBorders>
            <w:shd w:fill="E6EEF8" w:val="clear"/>
            <w:tcMar>
              <w:bottom w:w="45" w:type="dxa"/>
            </w:tcMar>
            <w:vAlign w:val="center"/>
          </w:tcPr>
          <w:p>
            <w:pPr>
              <w:pStyle w:val="TableContents"/>
              <w:bidi w:val="0"/>
              <w:spacing w:before="0" w:after="283"/>
              <w:jc w:val="right"/>
              <w:rPr/>
            </w:pPr>
            <w:r>
              <w:rPr/>
              <w:t>0.9%</w:t>
            </w:r>
          </w:p>
        </w:tc>
        <w:tc>
          <w:tcPr>
            <w:tcW w:w="151" w:type="dxa"/>
            <w:tcBorders>
              <w:bottom w:val="single" w:sz="6" w:space="0" w:color="000000"/>
            </w:tcBorders>
            <w:shd w:fill="E6EEF8" w:val="clear"/>
            <w:vAlign w:val="center"/>
          </w:tcPr>
          <w:p>
            <w:pPr>
              <w:pStyle w:val="TableContents"/>
              <w:bidi w:val="0"/>
              <w:spacing w:before="0" w:after="283"/>
              <w:jc w:val="left"/>
              <w:rPr/>
            </w:pPr>
            <w:r>
              <w:rPr/>
              <w:t>​</w:t>
            </w:r>
          </w:p>
        </w:tc>
        <w:tc>
          <w:tcPr>
            <w:tcW w:w="159" w:type="dxa"/>
            <w:tcBorders>
              <w:bottom w:val="single" w:sz="6" w:space="0" w:color="000000"/>
            </w:tcBorders>
            <w:vAlign w:val="center"/>
          </w:tcPr>
          <w:p>
            <w:pPr>
              <w:pStyle w:val="TableContents"/>
              <w:bidi w:val="0"/>
              <w:spacing w:before="0" w:after="283"/>
              <w:jc w:val="left"/>
              <w:rPr/>
            </w:pPr>
            <w:r>
              <w:rPr/>
              <w:t>​</w:t>
            </w:r>
          </w:p>
        </w:tc>
      </w:tr>
      <w:tr>
        <w:trPr/>
        <w:tc>
          <w:tcPr>
            <w:tcW w:w="3788" w:type="dxa"/>
            <w:tcBorders>
              <w:bottom w:val="single" w:sz="6" w:space="0" w:color="000000"/>
            </w:tcBorders>
            <w:tcMar>
              <w:bottom w:w="45" w:type="dxa"/>
            </w:tcMar>
            <w:vAlign w:val="center"/>
          </w:tcPr>
          <w:p>
            <w:pPr>
              <w:pStyle w:val="TableContents"/>
              <w:bidi w:val="0"/>
              <w:spacing w:before="0" w:after="283"/>
              <w:jc w:val="left"/>
              <w:rPr>
                <w:spacing w:val="-1"/>
              </w:rPr>
            </w:pPr>
            <w:r>
              <w:rPr>
                <w:spacing w:val="-1"/>
              </w:rPr>
              <w:t xml:space="preserve">Impact from changes in foreign exchange rates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646" w:type="dxa"/>
            <w:tcBorders>
              <w:bottom w:val="single" w:sz="6" w:space="0" w:color="000000"/>
            </w:tcBorders>
            <w:tcMar>
              <w:bottom w:w="45" w:type="dxa"/>
            </w:tcMar>
            <w:vAlign w:val="center"/>
          </w:tcPr>
          <w:p>
            <w:pPr>
              <w:pStyle w:val="TableContents"/>
              <w:bidi w:val="0"/>
              <w:spacing w:before="0" w:after="283"/>
              <w:jc w:val="right"/>
              <w:rPr/>
            </w:pPr>
            <w:r>
              <w:rPr/>
              <w:t>17</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tcMar>
              <w:bottom w:w="45" w:type="dxa"/>
            </w:tcMar>
            <w:vAlign w:val="center"/>
          </w:tcPr>
          <w:p>
            <w:pPr>
              <w:pStyle w:val="TableContents"/>
              <w:bidi w:val="0"/>
              <w:spacing w:before="0" w:after="283"/>
              <w:jc w:val="right"/>
              <w:rPr/>
            </w:pPr>
            <w:r>
              <w:rPr/>
              <w:t>​</w:t>
            </w:r>
          </w:p>
        </w:tc>
        <w:tc>
          <w:tcPr>
            <w:tcW w:w="736" w:type="dxa"/>
            <w:tcBorders>
              <w:bottom w:val="single" w:sz="6" w:space="0" w:color="000000"/>
            </w:tcBorders>
            <w:tcMar>
              <w:bottom w:w="45" w:type="dxa"/>
            </w:tcMar>
            <w:vAlign w:val="center"/>
          </w:tcPr>
          <w:p>
            <w:pPr>
              <w:pStyle w:val="TableContents"/>
              <w:bidi w:val="0"/>
              <w:spacing w:before="0" w:after="283"/>
              <w:jc w:val="right"/>
              <w:rPr/>
            </w:pPr>
            <w:r>
              <w:rPr/>
              <w:t>0.3%</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766" w:type="dxa"/>
            <w:tcBorders>
              <w:bottom w:val="single" w:sz="6" w:space="0" w:color="000000"/>
            </w:tcBorders>
            <w:tcMar>
              <w:bottom w:w="45" w:type="dxa"/>
            </w:tcMar>
            <w:vAlign w:val="center"/>
          </w:tcPr>
          <w:p>
            <w:pPr>
              <w:pStyle w:val="TableContents"/>
              <w:bidi w:val="0"/>
              <w:spacing w:before="0" w:after="283"/>
              <w:jc w:val="right"/>
              <w:rPr/>
            </w:pPr>
            <w:r>
              <w:rPr/>
              <w:t>12</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tcMar>
              <w:bottom w:w="45" w:type="dxa"/>
            </w:tcMar>
            <w:vAlign w:val="center"/>
          </w:tcPr>
          <w:p>
            <w:pPr>
              <w:pStyle w:val="TableContents"/>
              <w:bidi w:val="0"/>
              <w:spacing w:before="0" w:after="283"/>
              <w:jc w:val="right"/>
              <w:rPr/>
            </w:pPr>
            <w:r>
              <w:rPr/>
              <w:t>​</w:t>
            </w:r>
          </w:p>
        </w:tc>
        <w:tc>
          <w:tcPr>
            <w:tcW w:w="736" w:type="dxa"/>
            <w:tcBorders>
              <w:bottom w:val="single" w:sz="6" w:space="0" w:color="000000"/>
            </w:tcBorders>
            <w:tcMar>
              <w:bottom w:w="45" w:type="dxa"/>
            </w:tcMar>
            <w:vAlign w:val="center"/>
          </w:tcPr>
          <w:p>
            <w:pPr>
              <w:pStyle w:val="TableContents"/>
              <w:bidi w:val="0"/>
              <w:spacing w:before="0" w:after="283"/>
              <w:jc w:val="right"/>
              <w:rPr/>
            </w:pPr>
            <w:r>
              <w:rPr/>
              <w:t>0.1%</w:t>
            </w:r>
          </w:p>
        </w:tc>
        <w:tc>
          <w:tcPr>
            <w:tcW w:w="151" w:type="dxa"/>
            <w:tcBorders>
              <w:bottom w:val="single" w:sz="6" w:space="0" w:color="000000"/>
            </w:tcBorders>
            <w:vAlign w:val="center"/>
          </w:tcPr>
          <w:p>
            <w:pPr>
              <w:pStyle w:val="TableContents"/>
              <w:bidi w:val="0"/>
              <w:spacing w:before="0" w:after="283"/>
              <w:jc w:val="left"/>
              <w:rPr/>
            </w:pPr>
            <w:r>
              <w:rPr/>
              <w:t>​</w:t>
            </w:r>
          </w:p>
        </w:tc>
        <w:tc>
          <w:tcPr>
            <w:tcW w:w="159" w:type="dxa"/>
            <w:tcBorders>
              <w:bottom w:val="single" w:sz="6" w:space="0" w:color="000000"/>
            </w:tcBorders>
            <w:vAlign w:val="center"/>
          </w:tcPr>
          <w:p>
            <w:pPr>
              <w:pStyle w:val="TableContents"/>
              <w:bidi w:val="0"/>
              <w:spacing w:before="0" w:after="283"/>
              <w:jc w:val="left"/>
              <w:rPr/>
            </w:pPr>
            <w:r>
              <w:rPr/>
              <w:t>​</w:t>
            </w:r>
          </w:p>
        </w:tc>
      </w:tr>
      <w:tr>
        <w:trPr/>
        <w:tc>
          <w:tcPr>
            <w:tcW w:w="3788" w:type="dxa"/>
            <w:tcBorders>
              <w:bottom w:val="single" w:sz="6" w:space="0" w:color="000000"/>
            </w:tcBorders>
            <w:shd w:fill="E6EEF8" w:val="clear"/>
            <w:tcMar>
              <w:bottom w:w="30" w:type="dxa"/>
            </w:tcMar>
            <w:vAlign w:val="center"/>
          </w:tcPr>
          <w:p>
            <w:pPr>
              <w:pStyle w:val="TableContents"/>
              <w:bidi w:val="0"/>
              <w:spacing w:before="0" w:after="283"/>
              <w:jc w:val="left"/>
              <w:rPr>
                <w:spacing w:val="-1"/>
              </w:rPr>
            </w:pPr>
            <w:r>
              <w:rPr>
                <w:spacing w:val="-1"/>
              </w:rPr>
              <w:t xml:space="preserve">Organic Sales </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646" w:type="dxa"/>
            <w:tcBorders>
              <w:bottom w:val="single" w:sz="6" w:space="0" w:color="000000"/>
            </w:tcBorders>
            <w:shd w:fill="E6EEF8" w:val="clear"/>
            <w:tcMar>
              <w:bottom w:w="30" w:type="dxa"/>
            </w:tcMar>
            <w:vAlign w:val="center"/>
          </w:tcPr>
          <w:p>
            <w:pPr>
              <w:pStyle w:val="TableContents"/>
              <w:bidi w:val="0"/>
              <w:spacing w:before="0" w:after="283"/>
              <w:jc w:val="right"/>
              <w:rPr/>
            </w:pPr>
            <w:r>
              <w:rPr/>
              <w:t>976</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736" w:type="dxa"/>
            <w:tcBorders>
              <w:bottom w:val="single" w:sz="6" w:space="0" w:color="000000"/>
            </w:tcBorders>
            <w:shd w:fill="E6EEF8" w:val="clear"/>
            <w:tcMar>
              <w:bottom w:w="30" w:type="dxa"/>
            </w:tcMar>
            <w:vAlign w:val="center"/>
          </w:tcPr>
          <w:p>
            <w:pPr>
              <w:pStyle w:val="TableContents"/>
              <w:bidi w:val="0"/>
              <w:spacing w:before="0" w:after="283"/>
              <w:jc w:val="right"/>
              <w:rPr/>
            </w:pPr>
            <w:r>
              <w:rPr/>
              <w:t>14.4%</w:t>
            </w:r>
          </w:p>
        </w:tc>
        <w:tc>
          <w:tcPr>
            <w:tcW w:w="151"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226"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766" w:type="dxa"/>
            <w:tcBorders>
              <w:bottom w:val="single" w:sz="6" w:space="0" w:color="000000"/>
            </w:tcBorders>
            <w:shd w:fill="E6EEF8" w:val="clear"/>
            <w:tcMar>
              <w:bottom w:w="30" w:type="dxa"/>
            </w:tcMar>
            <w:vAlign w:val="center"/>
          </w:tcPr>
          <w:p>
            <w:pPr>
              <w:pStyle w:val="TableContents"/>
              <w:bidi w:val="0"/>
              <w:spacing w:before="0" w:after="283"/>
              <w:jc w:val="right"/>
              <w:rPr/>
            </w:pPr>
            <w:r>
              <w:rPr/>
              <w:t>2,676</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09"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vAlign w:val="center"/>
          </w:tcPr>
          <w:p>
            <w:pPr>
              <w:pStyle w:val="TableContents"/>
              <w:bidi w:val="0"/>
              <w:spacing w:before="0" w:after="283"/>
              <w:jc w:val="left"/>
              <w:rPr/>
            </w:pPr>
            <w:r>
              <w:rPr/>
              <w:t>​</w:t>
            </w:r>
          </w:p>
        </w:tc>
        <w:tc>
          <w:tcPr>
            <w:tcW w:w="148" w:type="dxa"/>
            <w:tcBorders>
              <w:bottom w:val="single" w:sz="6" w:space="0" w:color="000000"/>
            </w:tcBorders>
            <w:shd w:fill="E6EEF8" w:val="clear"/>
            <w:tcMar>
              <w:bottom w:w="30" w:type="dxa"/>
            </w:tcMar>
            <w:vAlign w:val="center"/>
          </w:tcPr>
          <w:p>
            <w:pPr>
              <w:pStyle w:val="TableContents"/>
              <w:bidi w:val="0"/>
              <w:spacing w:before="0" w:after="283"/>
              <w:jc w:val="right"/>
              <w:rPr/>
            </w:pPr>
            <w:r>
              <w:rPr/>
              <w:t>​</w:t>
            </w:r>
          </w:p>
        </w:tc>
        <w:tc>
          <w:tcPr>
            <w:tcW w:w="736" w:type="dxa"/>
            <w:tcBorders>
              <w:bottom w:val="single" w:sz="6" w:space="0" w:color="000000"/>
            </w:tcBorders>
            <w:shd w:fill="E6EEF8" w:val="clear"/>
            <w:tcMar>
              <w:bottom w:w="30" w:type="dxa"/>
            </w:tcMar>
            <w:vAlign w:val="center"/>
          </w:tcPr>
          <w:p>
            <w:pPr>
              <w:pStyle w:val="TableContents"/>
              <w:bidi w:val="0"/>
              <w:spacing w:before="0" w:after="283"/>
              <w:jc w:val="right"/>
              <w:rPr/>
            </w:pPr>
            <w:r>
              <w:rPr/>
              <w:t>10.5%</w:t>
            </w:r>
          </w:p>
        </w:tc>
        <w:tc>
          <w:tcPr>
            <w:tcW w:w="151" w:type="dxa"/>
            <w:tcBorders>
              <w:bottom w:val="single" w:sz="6" w:space="0" w:color="000000"/>
            </w:tcBorders>
            <w:shd w:fill="E6EEF8" w:val="clear"/>
            <w:vAlign w:val="center"/>
          </w:tcPr>
          <w:p>
            <w:pPr>
              <w:pStyle w:val="TableContents"/>
              <w:bidi w:val="0"/>
              <w:spacing w:before="0" w:after="283"/>
              <w:jc w:val="left"/>
              <w:rPr/>
            </w:pPr>
            <w:r>
              <w:rPr/>
              <w:t>​</w:t>
            </w:r>
          </w:p>
        </w:tc>
        <w:tc>
          <w:tcPr>
            <w:tcW w:w="159"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91" w:type="dxa"/>
        <w:jc w:val="left"/>
        <w:tblInd w:w="720" w:type="dxa"/>
        <w:tblLayout w:type="fixed"/>
        <w:tblCellMar>
          <w:top w:w="0" w:type="dxa"/>
          <w:left w:w="0" w:type="dxa"/>
          <w:bottom w:w="0" w:type="dxa"/>
          <w:right w:w="0" w:type="dxa"/>
        </w:tblCellMar>
      </w:tblPr>
      <w:tblGrid>
        <w:gridCol w:w="124"/>
        <w:gridCol w:w="1255"/>
        <w:gridCol w:w="109"/>
        <w:gridCol w:w="109"/>
        <w:gridCol w:w="871"/>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A-4</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GOTA"/>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0" w:after="283"/>
        <w:ind w:left="720" w:right="0" w:hanging="0"/>
        <w:jc w:val="right"/>
        <w:rPr>
          <w:rFonts w:ascii="Arial;Helvetica;sans-serif" w:hAnsi="Arial;Helvetica;sans-serif"/>
          <w:b w:val="false"/>
          <w:i w:val="false"/>
          <w:caps w:val="false"/>
          <w:smallCaps w:val="false"/>
          <w:color w:val="C3C5C8"/>
          <w:sz w:val="15"/>
        </w:rPr>
      </w:pPr>
      <w:r>
        <w:rPr>
          <w:rFonts w:ascii="Arial;Helvetica;sans-serif" w:hAnsi="Arial;Helvetica;sans-serif"/>
          <w:b w:val="false"/>
          <w:i w:val="false"/>
          <w:caps w:val="false"/>
          <w:smallCaps w:val="false"/>
          <w:color w:val="C3C5C8"/>
          <w:spacing w:val="-1"/>
          <w:sz w:val="15"/>
        </w:rPr>
        <w:t>Appendix B</w:t>
      </w:r>
      <w:r>
        <w:rPr>
          <w:rFonts w:ascii="Arial;Helvetica;sans-serif" w:hAnsi="Arial;Helvetica;sans-serif"/>
          <w:b w:val="false"/>
          <w:i w:val="false"/>
          <w:caps w:val="false"/>
          <w:smallCaps w:val="false"/>
          <w:color w:val="C3C5C8"/>
          <w:sz w:val="15"/>
        </w:rPr>
        <w:t xml:space="preserve"> </w:t>
      </w:r>
    </w:p>
    <w:p>
      <w:pPr>
        <w:pStyle w:val="TextBody"/>
        <w:bidi w:val="0"/>
        <w:spacing w:lineRule="atLeast" w:line="480" w:before="400" w:after="3760"/>
        <w:ind w:left="720" w:right="0" w:hanging="0"/>
        <w:jc w:val="left"/>
        <w:rPr>
          <w:rFonts w:ascii="Arial;Helvetica;sans-serif" w:hAnsi="Arial;Helvetica;sans-serif"/>
          <w:b/>
          <w:i w:val="false"/>
          <w:caps w:val="false"/>
          <w:smallCaps w:val="false"/>
          <w:color w:val="003CA6"/>
          <w:sz w:val="44"/>
        </w:rPr>
      </w:pPr>
      <w:r>
        <w:rPr>
          <w:rFonts w:ascii="Arial;Helvetica;sans-serif" w:hAnsi="Arial;Helvetica;sans-serif"/>
          <w:b/>
          <w:i w:val="false"/>
          <w:caps w:val="false"/>
          <w:smallCaps w:val="false"/>
          <w:color w:val="003CA6"/>
          <w:spacing w:val="-1"/>
          <w:sz w:val="44"/>
        </w:rPr>
        <w:t>Appendix B</w:t>
      </w:r>
      <w:r>
        <w:rPr>
          <w:rFonts w:ascii="Arial;Helvetica;sans-serif" w:hAnsi="Arial;Helvetica;sans-serif"/>
          <w:b/>
          <w:i w:val="false"/>
          <w:caps w:val="false"/>
          <w:smallCaps w:val="false"/>
          <w:color w:val="003CA6"/>
          <w:sz w:val="44"/>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3CA6"/>
          <w:sz w:val="28"/>
        </w:rPr>
      </w:pPr>
      <w:r>
        <w:rPr>
          <w:rFonts w:ascii="Arial;Helvetica;sans-serif" w:hAnsi="Arial;Helvetica;sans-serif"/>
          <w:b/>
          <w:i w:val="false"/>
          <w:caps w:val="false"/>
          <w:smallCaps w:val="false"/>
          <w:color w:val="003CA6"/>
          <w:spacing w:val="-4"/>
          <w:sz w:val="28"/>
        </w:rPr>
        <w:t>GLOSSARY OF TERMS AND ACRONYMS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used in this Proxy Statement, unless otherwise defined in this Proxy Statement or the context requires otherwise: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Class A Units” refers to the interests in Medline Holdings called “Class A Units” that were outstanding prior to the reclassification of the partnership interests of Medline Holdings (the “Reclassification”). In connection with the Reclassification, (i) Class A Units held by Continuing Common Unitholders were converted into Common Units and (ii) Class A Units held by Exchanging Class A Unitholders were directly or indirectly exchanged for shares of Class A common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93">
                <wp:simplePos x="0" y="0"/>
                <wp:positionH relativeFrom="column">
                  <wp:align>left</wp:align>
                </wp:positionH>
                <wp:positionV relativeFrom="line">
                  <wp:align>top</wp:align>
                </wp:positionV>
                <wp:extent cx="139700" cy="350520"/>
                <wp:effectExtent l="0" t="0" r="0" b="0"/>
                <wp:wrapSquare wrapText="right"/>
                <wp:docPr id="505" name="Frame33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Class B Units” refers to the interests in Medline Holdings called “Class B Units” that were outstanding prior to the Reclassification, and does not include CUPI Units (as defined in Appendix B). In connection with the Reclassification, (i) Class B Units held by Continuing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94">
                <wp:simplePos x="0" y="0"/>
                <wp:positionH relativeFrom="column">
                  <wp:align>left</wp:align>
                </wp:positionH>
                <wp:positionV relativeFrom="line">
                  <wp:align>top</wp:align>
                </wp:positionV>
                <wp:extent cx="139700" cy="350520"/>
                <wp:effectExtent l="0" t="0" r="0" b="0"/>
                <wp:wrapSquare wrapText="right"/>
                <wp:docPr id="506" name="Frame336"/>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Common Units” refers to the new class of units of Medline Holdings created by the Reclassification.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95">
                <wp:simplePos x="0" y="0"/>
                <wp:positionH relativeFrom="column">
                  <wp:align>left</wp:align>
                </wp:positionH>
                <wp:positionV relativeFrom="line">
                  <wp:align>top</wp:align>
                </wp:positionV>
                <wp:extent cx="139700" cy="350520"/>
                <wp:effectExtent l="0" t="0" r="0" b="0"/>
                <wp:wrapSquare wrapText="right"/>
                <wp:docPr id="507" name="Frame337"/>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Continuing Common Unitholders” refers to certain pre-IPO holders of Class A Units and/or CUPI Units who hold Common Units following the Reclassification.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96">
                <wp:simplePos x="0" y="0"/>
                <wp:positionH relativeFrom="column">
                  <wp:align>left</wp:align>
                </wp:positionH>
                <wp:positionV relativeFrom="line">
                  <wp:align>top</wp:align>
                </wp:positionV>
                <wp:extent cx="139700" cy="350520"/>
                <wp:effectExtent l="0" t="0" r="0" b="0"/>
                <wp:wrapSquare wrapText="right"/>
                <wp:docPr id="508" name="Frame338"/>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33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Continuing Incentive Unitholders” refers to certain pre-IPO holders of Class B Units who hold Incentive Units following the Reclassification.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97">
                <wp:simplePos x="0" y="0"/>
                <wp:positionH relativeFrom="column">
                  <wp:align>left</wp:align>
                </wp:positionH>
                <wp:positionV relativeFrom="line">
                  <wp:align>top</wp:align>
                </wp:positionV>
                <wp:extent cx="139700" cy="350520"/>
                <wp:effectExtent l="0" t="0" r="0" b="0"/>
                <wp:wrapSquare wrapText="right"/>
                <wp:docPr id="509" name="Frame339"/>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CUPI Units” refers to the interests in Medline Holdings that are designated as “Catch-Up Class B Units” and were outstanding prior to the Reclassification. In connection with the Reclassification, (i) CUPI Units held by Continuing Common Unitholders were converted into Common Units and (ii) CUPI Units held by Exchanging CUPI Unitholders were directly or indirectly exchanged for shares of Class A common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98">
                <wp:simplePos x="0" y="0"/>
                <wp:positionH relativeFrom="column">
                  <wp:align>left</wp:align>
                </wp:positionH>
                <wp:positionV relativeFrom="line">
                  <wp:align>top</wp:align>
                </wp:positionV>
                <wp:extent cx="139700" cy="350520"/>
                <wp:effectExtent l="0" t="0" r="0" b="0"/>
                <wp:wrapSquare wrapText="right"/>
                <wp:docPr id="510" name="Frame340"/>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Exchanging Class A Unitholder” refers to pre-IPO holders of Class A Units whose Class A Units were directly or indirectly exchanged for shares of Class A common stock following the Reclassification.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499">
                <wp:simplePos x="0" y="0"/>
                <wp:positionH relativeFrom="column">
                  <wp:align>left</wp:align>
                </wp:positionH>
                <wp:positionV relativeFrom="line">
                  <wp:align>top</wp:align>
                </wp:positionV>
                <wp:extent cx="139700" cy="350520"/>
                <wp:effectExtent l="0" t="0" r="0" b="0"/>
                <wp:wrapSquare wrapText="right"/>
                <wp:docPr id="511" name="Frame341"/>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500">
                <wp:simplePos x="0" y="0"/>
                <wp:positionH relativeFrom="column">
                  <wp:align>left</wp:align>
                </wp:positionH>
                <wp:positionV relativeFrom="line">
                  <wp:align>top</wp:align>
                </wp:positionV>
                <wp:extent cx="139700" cy="350520"/>
                <wp:effectExtent l="0" t="0" r="0" b="0"/>
                <wp:wrapSquare wrapText="right"/>
                <wp:docPr id="512" name="Frame34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Exchanging CUPI Unitholder” refers to pre-IPO holders of CUPI Units whose CUPI Units were directly or indirectly exchanged for shares of Class A common stock following the Reclassification.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501">
                <wp:simplePos x="0" y="0"/>
                <wp:positionH relativeFrom="column">
                  <wp:align>left</wp:align>
                </wp:positionH>
                <wp:positionV relativeFrom="line">
                  <wp:align>top</wp:align>
                </wp:positionV>
                <wp:extent cx="139700" cy="350520"/>
                <wp:effectExtent l="0" t="0" r="0" b="0"/>
                <wp:wrapSquare wrapText="right"/>
                <wp:docPr id="513" name="Frame343"/>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existing owners” or “pre-IPO owners” refer to our Principal Stockholders, our Other Pre-IPO Investors and management and other equity holders who were the owners of Medline Holdings immediately prior to the Reorganization Transactions.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39700" distR="0" simplePos="0" locked="0" layoutInCell="1" allowOverlap="1" relativeHeight="502">
                <wp:simplePos x="0" y="0"/>
                <wp:positionH relativeFrom="column">
                  <wp:align>left</wp:align>
                </wp:positionH>
                <wp:positionV relativeFrom="line">
                  <wp:align>top</wp:align>
                </wp:positionV>
                <wp:extent cx="139700" cy="350520"/>
                <wp:effectExtent l="0" t="0" r="0" b="0"/>
                <wp:wrapSquare wrapText="right"/>
                <wp:docPr id="514" name="Frame344"/>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6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8"/>
        </w:rPr>
        <w:t>Incentive Units” refers to the new class of units of Medline Holdings created by the reclassification of the Class B Units in the Reclassification.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139700" distR="0" simplePos="0" locked="0" layoutInCell="1" allowOverlap="1" relativeHeight="503">
                <wp:simplePos x="0" y="0"/>
                <wp:positionH relativeFrom="column">
                  <wp:align>left</wp:align>
                </wp:positionH>
                <wp:positionV relativeFrom="line">
                  <wp:align>top</wp:align>
                </wp:positionV>
                <wp:extent cx="139700" cy="350520"/>
                <wp:effectExtent l="0" t="0" r="0" b="0"/>
                <wp:wrapSquare wrapText="right"/>
                <wp:docPr id="515" name="Frame345"/>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11pt;mso-wrap-distance-right:0pt;mso-wrap-distance-top:4pt;mso-wrap-distance-bottom:0pt;margin-top:4pt;mso-position-vertical:top;mso-position-vertical-relative:text;margin-left:11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76" w:type="dxa"/>
        <w:jc w:val="left"/>
        <w:tblInd w:w="720" w:type="dxa"/>
        <w:tblLayout w:type="fixed"/>
        <w:tblCellMar>
          <w:top w:w="0" w:type="dxa"/>
          <w:left w:w="0" w:type="dxa"/>
          <w:bottom w:w="0" w:type="dxa"/>
          <w:right w:w="0" w:type="dxa"/>
        </w:tblCellMar>
      </w:tblPr>
      <w:tblGrid>
        <w:gridCol w:w="124"/>
        <w:gridCol w:w="1255"/>
        <w:gridCol w:w="109"/>
        <w:gridCol w:w="109"/>
        <w:gridCol w:w="856"/>
        <w:gridCol w:w="109"/>
        <w:gridCol w:w="109"/>
        <w:gridCol w:w="2251"/>
        <w:gridCol w:w="154"/>
      </w:tblGrid>
      <w:tr>
        <w:trPr/>
        <w:tc>
          <w:tcPr>
            <w:tcW w:w="124"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left"/>
              <w:rPr/>
            </w:pPr>
            <w:r>
              <w:rPr>
                <w:spacing w:val="-1"/>
              </w:rPr>
              <w:t>MEDLINE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center"/>
              <w:rPr/>
            </w:pPr>
            <w:r>
              <w:rPr>
                <w:spacing w:val="-1"/>
              </w:rPr>
              <w:t>|</w:t>
            </w:r>
            <w:r>
              <w:rPr>
                <w:color w:val="000000"/>
                <w:spacing w:val="-1"/>
              </w:rPr>
              <w:t> </w:t>
            </w:r>
            <w:r>
              <w:rPr>
                <w:b/>
                <w:color w:val="0055B7"/>
                <w:spacing w:val="-2"/>
              </w:rPr>
              <w:t>B-1</w:t>
            </w:r>
            <w:r>
              <w:rPr>
                <w:color w:val="000000"/>
                <w:spacing w:val="-1"/>
              </w:rPr>
              <w:t> </w:t>
            </w: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0"/>
              <w:jc w:val="right"/>
              <w:rPr/>
            </w:pPr>
            <w:r>
              <w:rPr>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924800" cy="10182225"/>
            <wp:effectExtent l="0" t="0" r="0" b="0"/>
            <wp:docPr id="51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155" descr=""/>
                    <pic:cNvPicPr>
                      <a:picLocks noChangeAspect="1" noChangeArrowheads="1"/>
                    </pic:cNvPicPr>
                  </pic:nvPicPr>
                  <pic:blipFill>
                    <a:blip r:embed="rId172"/>
                    <a:stretch>
                      <a:fillRect/>
                    </a:stretch>
                  </pic:blipFill>
                  <pic:spPr bwMode="auto">
                    <a:xfrm>
                      <a:off x="0" y="0"/>
                      <a:ext cx="7924800" cy="1018222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51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156" descr=""/>
                    <pic:cNvPicPr>
                      <a:picLocks noChangeAspect="1" noChangeArrowheads="1"/>
                    </pic:cNvPicPr>
                  </pic:nvPicPr>
                  <pic:blipFill>
                    <a:blip r:embed="rId173"/>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00" w:after="0"/>
        <w:jc w:val="left"/>
        <w:rPr>
          <w:rFonts w:ascii="Arial;Helvetica;sans-serif" w:hAnsi="Arial;Helvetica;sans-serif"/>
          <w:b w:val="false"/>
          <w:i w:val="false"/>
          <w:caps w:val="false"/>
          <w:smallCaps w:val="false"/>
          <w:color w:val="FFFFFF"/>
          <w:spacing w:val="0"/>
          <w:sz w:val="2"/>
        </w:rPr>
      </w:pPr>
      <w:r>
        <w:rPr>
          <w:rFonts w:ascii="Arial;Helvetica;sans-serif" w:hAnsi="Arial;Helvetica;sans-serif"/>
          <w:b w:val="false"/>
          <w:i w:val="false"/>
          <w:caps w:val="false"/>
          <w:smallCaps w:val="false"/>
          <w:color w:val="FFFFFF"/>
          <w:spacing w:val="0"/>
          <w:sz w:val="2"/>
        </w:rPr>
        <w:t xml:space="preserve">Signature [PLEASE SIGN WITHIN BOX] Date Signature (Joint Owners) DateTO VOTE, MARK BLOCKS BELOW IN BLUE OR BLACK INK AS FOLLOWS:KEEP THIS PORTION FOR YOUR RECORDSTHIS PROXY CARD IS VALID ONLY WHEN SIGNED AND DATED. DETACH AND RETURN THIS PORTION ONLYV91149-P50675! ! !01) Charles N. Mills02) Joseph P. Baratta03) Jacob D. Best04) Todd M. Bluedorn05) James M. Boyle06) Richard A. Galanti07) Patrick J. Healy08) Andrew J. Mills09) Robert R. Schmidt10) Anushka M. Sunder11) Thomas W. Sweet12) Stephen H. WiseFor All Withhold AllFor All ExceptFor Against AbstainFor Against Abstain! ! !! ! !MEDLINE INC. To withhold authority to vote for any individual nominee(s), mark "For All Except" and write the number(s) of the nominee(s) on the line below.MEDLINE INC.3 LAKES DRIVENORTHFIELD, ILLINOIS 60093 Nominees:Please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officer.The proxies are authorized to vote, in their discretion, on any other matters that may come before the Annual Meeting or any adjournment </w:t>
      </w:r>
    </w:p>
    <w:p>
      <w:pPr>
        <w:pStyle w:val="TextBody"/>
        <w:bidi w:val="0"/>
        <w:spacing w:lineRule="atLeast" w:line="142" w:before="20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or postponement thereof.Support our sustainability efforts by signing up for electronic delivery of future proxy materials at www.proxyvote.com.1. Election of Directors2. Advisory Vote to Approve Our Executive Compensation.The Board of Directors recommends you vote FOR All of the following director nominees:The Board of Directors recommends you vote FOR the following proposal:The Board of Directors recommends you vote FOR the following proposal:3. Advisory Vote on the Frequency of Votes on Our Executive Compensation.4. Ratification of the Selection of Ernst &amp; Young LLP as Our Independent Auditor for Fiscal Year 2026.The Board of Directors recommends you vote 1 YEAR on the following proposal:! ! ! !1 Year 2 Years 3 Years AbstainVOTE BY INTERNET Before The Meeting - Go to www.proxyvote.com or scan the QR Barcode aboveUse the Internet to transmit your voting instructions and for electronic delivery of information up until 11:59 p.m. Eastern Time on June 10, 2026. Have your proxy card in hand when you access the website and follow the instructions to obtain your records and to create an electronic voting instruction form.During The Meeting - Go to www.virtualshareholdermeeting.com/MDLN2026You may attend the meeting via the Internet and vote during the meeting. Have the information that is printed in the box marked by the arrow available and follow the instructions.VOTE BY PHONE - 1-800-690-6903Use any touch-tone telephone to transmit your voting instructions up until 11:59 p.m. Eastern Time on June 10, 2026. Have your proxy card in hand when you call and then follow the instructions.VOTE BY MAILMark, sign and date your proxy card and return it in the postage-paid envelope we have provided or return it to Vote Processing, c/o Broadridge, 51 Mercedes Way, Edgewood, NY 11717.SCAN TO VIEW MATERIALS &amp; VOTE w</w:t>
      </w:r>
      <w:r>
        <w:rPr>
          <w:rFonts w:ascii="Arial;Helvetica;sans-serif" w:hAnsi="Arial;Helvetica;sans-serif"/>
          <w:b w:val="false"/>
          <w:i w:val="false"/>
          <w:caps w:val="false"/>
          <w:smallCaps w:val="false"/>
          <w:color w:val="000000"/>
          <w:sz w:val="2"/>
        </w:rPr>
        <w:t>​</w:t>
      </w:r>
      <w:r>
        <w:rPr>
          <w:rFonts w:ascii="Arial;Helvetica;sans-serif" w:hAnsi="Arial;Helvetica;sans-serif"/>
          <w:b w:val="false"/>
          <w:i w:val="false"/>
          <w:caps w:val="false"/>
          <w:smallCaps w:val="false"/>
          <w:color w:val="000000"/>
          <w:spacing w:val="-1"/>
          <w:sz w:val="2"/>
        </w:rPr>
        <w:t xml:space="preserve"> </w:t>
      </w:r>
    </w:p>
    <w:p>
      <w:pPr>
        <w:pStyle w:val="TextBody"/>
        <w:bidi w:val="0"/>
        <w:spacing w:before="0" w:after="0"/>
        <w:ind w:left="0" w:right="0" w:hanging="0"/>
        <w:jc w:val="left"/>
        <w:rPr>
          <w:caps w:val="false"/>
          <w:smallCaps w:val="false"/>
          <w:color w:val="FFFFFF"/>
        </w:rPr>
      </w:pPr>
      <w:r>
        <w:rPr>
          <w:caps w:val="false"/>
          <w:smallCaps w:val="false"/>
          <w:color w:val="FFFFFF"/>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20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51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157" descr=""/>
                    <pic:cNvPicPr>
                      <a:picLocks noChangeAspect="1" noChangeArrowheads="1"/>
                    </pic:cNvPicPr>
                  </pic:nvPicPr>
                  <pic:blipFill>
                    <a:blip r:embed="rId174"/>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30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V91150-P50675 MEDLINE INC. ANNUAL MEETING OF STOCKHOLDERSThursday, June 11, 202610:00 a.m. Central Time www.virtualshareholdermeeting.com/MDLN2026 Important Notice Regarding the Availability of Proxy Materials for the Annual Meeting ofStockholders to be Held on June 11, 2026: The Notice of Annual Meeting, 2026 Proxy Statement, and 2025 Annual Report are available at www.ProxyVote.com.MEDLINE INC.ANNUAL MEETING OF STOCKHOLDERSJUNE 11, 2026 10:00 AM CENTRAL TIMETHIS PROXY IS SOLICITED ON BEHALF OF THE BOARD OF DIRECTORSThis proxy is solicited by the Board of Directors for use at the Annual Meeting of Stockholders on June 11, 2026 (the “Annual Meeting”). The shares of Class A Common Stock and Class B Common Stock held in your account will be voted as you specify on the reverse side.This proxy, when properly signed, will be voted in the manner specified in this proxy card. However, if this proxy is signed but no choice is specified, this proxy will be voted FOR all of the director nominees listed in Proposal 1, FOR Proposal 2, FOR 1 YEAR on Proposal 3, and FOR Proposal 4.By signing this proxy, you revoke all prior proxies and appoint Nicole Fritz and Alex Liberman and each of them, with full power of substitution, to vote the shares of Class A Common Stock and Class B Common Stock on the matters shown on the reverse side of this card and any other matters that may come before the Annual Meeting or any adjournment or postponement thereof. Furthermore, this proxy will be voted in the discretion of the proxies upon such other business or matters as may properly come before the Annual Meeting or any adjournment or postponement thereof (including, if applicable, on any matter that the Board of Directors did not know would be presented at the Annual Meeting by a reasonable time before this proxy solicitation was made or for the election of a person to the Board of Directors if any nominee named in Proposal 1 becomes unable to serve or for good cause will not serve). 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9.jpeg"/><Relationship Id="rId14" Type="http://schemas.openxmlformats.org/officeDocument/2006/relationships/image" Target="media/image9.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3.jpeg"/><Relationship Id="rId36" Type="http://schemas.openxmlformats.org/officeDocument/2006/relationships/image" Target="media/image23.jpeg"/><Relationship Id="rId37" Type="http://schemas.openxmlformats.org/officeDocument/2006/relationships/image" Target="media/image25.jpeg"/><Relationship Id="rId38" Type="http://schemas.openxmlformats.org/officeDocument/2006/relationships/image" Target="media/image25.jpeg"/><Relationship Id="rId39" Type="http://schemas.openxmlformats.org/officeDocument/2006/relationships/image" Target="media/image26.jpeg"/><Relationship Id="rId40" Type="http://schemas.openxmlformats.org/officeDocument/2006/relationships/image" Target="media/image27.jpeg"/><Relationship Id="rId41" Type="http://schemas.openxmlformats.org/officeDocument/2006/relationships/image" Target="media/image28.gif"/><Relationship Id="rId42" Type="http://schemas.openxmlformats.org/officeDocument/2006/relationships/image" Target="media/image29.jpeg"/><Relationship Id="rId43" Type="http://schemas.openxmlformats.org/officeDocument/2006/relationships/image" Target="media/image30.jpeg"/><Relationship Id="rId44" Type="http://schemas.openxmlformats.org/officeDocument/2006/relationships/image" Target="media/image31.jpeg"/><Relationship Id="rId45" Type="http://schemas.openxmlformats.org/officeDocument/2006/relationships/image" Target="media/image32.jpeg"/><Relationship Id="rId46" Type="http://schemas.openxmlformats.org/officeDocument/2006/relationships/image" Target="media/image33.jpeg"/><Relationship Id="rId47" Type="http://schemas.openxmlformats.org/officeDocument/2006/relationships/image" Target="media/image34.jpeg"/><Relationship Id="rId48" Type="http://schemas.openxmlformats.org/officeDocument/2006/relationships/image" Target="media/image35.jpeg"/><Relationship Id="rId49" Type="http://schemas.openxmlformats.org/officeDocument/2006/relationships/image" Target="media/image36.jpeg"/><Relationship Id="rId50" Type="http://schemas.openxmlformats.org/officeDocument/2006/relationships/image" Target="media/image37.jpeg"/><Relationship Id="rId51" Type="http://schemas.openxmlformats.org/officeDocument/2006/relationships/image" Target="media/image38.jpeg"/><Relationship Id="rId52" Type="http://schemas.openxmlformats.org/officeDocument/2006/relationships/image" Target="media/image39.jpeg"/><Relationship Id="rId53" Type="http://schemas.openxmlformats.org/officeDocument/2006/relationships/image" Target="media/image37.jpeg"/><Relationship Id="rId54" Type="http://schemas.openxmlformats.org/officeDocument/2006/relationships/image" Target="media/image37.jpeg"/><Relationship Id="rId55" Type="http://schemas.openxmlformats.org/officeDocument/2006/relationships/image" Target="media/image34.jpeg"/><Relationship Id="rId56" Type="http://schemas.openxmlformats.org/officeDocument/2006/relationships/image" Target="media/image35.jpeg"/><Relationship Id="rId57" Type="http://schemas.openxmlformats.org/officeDocument/2006/relationships/image" Target="media/image31.jpeg"/><Relationship Id="rId58" Type="http://schemas.openxmlformats.org/officeDocument/2006/relationships/image" Target="media/image40.jpeg"/><Relationship Id="rId59" Type="http://schemas.openxmlformats.org/officeDocument/2006/relationships/image" Target="media/image41.jpeg"/><Relationship Id="rId60" Type="http://schemas.openxmlformats.org/officeDocument/2006/relationships/image" Target="media/image42.jpeg"/><Relationship Id="rId61" Type="http://schemas.openxmlformats.org/officeDocument/2006/relationships/image" Target="media/image43.jpeg"/><Relationship Id="rId62" Type="http://schemas.openxmlformats.org/officeDocument/2006/relationships/image" Target="media/image44.jpeg"/><Relationship Id="rId63" Type="http://schemas.openxmlformats.org/officeDocument/2006/relationships/image" Target="media/image34.jpeg"/><Relationship Id="rId64" Type="http://schemas.openxmlformats.org/officeDocument/2006/relationships/image" Target="media/image45.jpeg"/><Relationship Id="rId65" Type="http://schemas.openxmlformats.org/officeDocument/2006/relationships/image" Target="media/image31.jpeg"/><Relationship Id="rId66" Type="http://schemas.openxmlformats.org/officeDocument/2006/relationships/image" Target="media/image46.jpeg"/><Relationship Id="rId67" Type="http://schemas.openxmlformats.org/officeDocument/2006/relationships/image" Target="media/image35.jpeg"/><Relationship Id="rId68" Type="http://schemas.openxmlformats.org/officeDocument/2006/relationships/image" Target="media/image31.jpeg"/><Relationship Id="rId69" Type="http://schemas.openxmlformats.org/officeDocument/2006/relationships/image" Target="media/image47.jpeg"/><Relationship Id="rId70" Type="http://schemas.openxmlformats.org/officeDocument/2006/relationships/image" Target="media/image48.jpeg"/><Relationship Id="rId71" Type="http://schemas.openxmlformats.org/officeDocument/2006/relationships/image" Target="media/image49.jpeg"/><Relationship Id="rId72" Type="http://schemas.openxmlformats.org/officeDocument/2006/relationships/image" Target="media/image31.jpeg"/><Relationship Id="rId73" Type="http://schemas.openxmlformats.org/officeDocument/2006/relationships/image" Target="media/image37.jpeg"/><Relationship Id="rId74" Type="http://schemas.openxmlformats.org/officeDocument/2006/relationships/image" Target="media/image34.jpeg"/><Relationship Id="rId75" Type="http://schemas.openxmlformats.org/officeDocument/2006/relationships/image" Target="media/image35.jpeg"/><Relationship Id="rId76" Type="http://schemas.openxmlformats.org/officeDocument/2006/relationships/image" Target="media/image31.jpeg"/><Relationship Id="rId77" Type="http://schemas.openxmlformats.org/officeDocument/2006/relationships/image" Target="media/image40.jpeg"/><Relationship Id="rId78" Type="http://schemas.openxmlformats.org/officeDocument/2006/relationships/image" Target="media/image28.gif"/><Relationship Id="rId79" Type="http://schemas.openxmlformats.org/officeDocument/2006/relationships/image" Target="media/image28.gif"/><Relationship Id="rId80" Type="http://schemas.openxmlformats.org/officeDocument/2006/relationships/image" Target="media/image28.gif"/><Relationship Id="rId81" Type="http://schemas.openxmlformats.org/officeDocument/2006/relationships/image" Target="media/image28.gif"/><Relationship Id="rId82" Type="http://schemas.openxmlformats.org/officeDocument/2006/relationships/image" Target="media/image50.jpeg"/><Relationship Id="rId83" Type="http://schemas.openxmlformats.org/officeDocument/2006/relationships/image" Target="media/image51.jpeg"/><Relationship Id="rId84" Type="http://schemas.openxmlformats.org/officeDocument/2006/relationships/image" Target="media/image52.jpeg"/><Relationship Id="rId85" Type="http://schemas.openxmlformats.org/officeDocument/2006/relationships/image" Target="media/image53.jpeg"/><Relationship Id="rId86" Type="http://schemas.openxmlformats.org/officeDocument/2006/relationships/image" Target="media/image54.jpeg"/><Relationship Id="rId87" Type="http://schemas.openxmlformats.org/officeDocument/2006/relationships/image" Target="media/image55.jpeg"/><Relationship Id="rId88" Type="http://schemas.openxmlformats.org/officeDocument/2006/relationships/image" Target="media/image56.jpeg"/><Relationship Id="rId89" Type="http://schemas.openxmlformats.org/officeDocument/2006/relationships/image" Target="media/image16.jpeg"/><Relationship Id="rId90" Type="http://schemas.openxmlformats.org/officeDocument/2006/relationships/image" Target="media/image57.jpeg"/><Relationship Id="rId91" Type="http://schemas.openxmlformats.org/officeDocument/2006/relationships/image" Target="media/image29.jpeg"/><Relationship Id="rId92" Type="http://schemas.openxmlformats.org/officeDocument/2006/relationships/image" Target="media/image29.jpeg"/><Relationship Id="rId93" Type="http://schemas.openxmlformats.org/officeDocument/2006/relationships/image" Target="media/image30.jpeg"/><Relationship Id="rId94" Type="http://schemas.openxmlformats.org/officeDocument/2006/relationships/image" Target="media/image30.jpeg"/><Relationship Id="rId95" Type="http://schemas.openxmlformats.org/officeDocument/2006/relationships/image" Target="media/image32.jpeg"/><Relationship Id="rId96" Type="http://schemas.openxmlformats.org/officeDocument/2006/relationships/image" Target="media/image32.jpeg"/><Relationship Id="rId97" Type="http://schemas.openxmlformats.org/officeDocument/2006/relationships/image" Target="media/image33.jpeg"/><Relationship Id="rId98" Type="http://schemas.openxmlformats.org/officeDocument/2006/relationships/image" Target="media/image33.jpeg"/><Relationship Id="rId99" Type="http://schemas.openxmlformats.org/officeDocument/2006/relationships/image" Target="media/image38.jpeg"/><Relationship Id="rId100" Type="http://schemas.openxmlformats.org/officeDocument/2006/relationships/image" Target="media/image38.jpeg"/><Relationship Id="rId101" Type="http://schemas.openxmlformats.org/officeDocument/2006/relationships/image" Target="media/image39.jpeg"/><Relationship Id="rId102" Type="http://schemas.openxmlformats.org/officeDocument/2006/relationships/image" Target="media/image39.jpeg"/><Relationship Id="rId103" Type="http://schemas.openxmlformats.org/officeDocument/2006/relationships/image" Target="media/image41.jpeg"/><Relationship Id="rId104" Type="http://schemas.openxmlformats.org/officeDocument/2006/relationships/image" Target="media/image41.jpeg"/><Relationship Id="rId105" Type="http://schemas.openxmlformats.org/officeDocument/2006/relationships/image" Target="media/image42.jpeg"/><Relationship Id="rId106" Type="http://schemas.openxmlformats.org/officeDocument/2006/relationships/image" Target="media/image42.jpeg"/><Relationship Id="rId107" Type="http://schemas.openxmlformats.org/officeDocument/2006/relationships/image" Target="media/image43.jpeg"/><Relationship Id="rId108" Type="http://schemas.openxmlformats.org/officeDocument/2006/relationships/image" Target="media/image43.jpeg"/><Relationship Id="rId109" Type="http://schemas.openxmlformats.org/officeDocument/2006/relationships/image" Target="media/image44.jpeg"/><Relationship Id="rId110" Type="http://schemas.openxmlformats.org/officeDocument/2006/relationships/image" Target="media/image44.jpeg"/><Relationship Id="rId111" Type="http://schemas.openxmlformats.org/officeDocument/2006/relationships/image" Target="media/image47.jpeg"/><Relationship Id="rId112" Type="http://schemas.openxmlformats.org/officeDocument/2006/relationships/image" Target="media/image47.jpeg"/><Relationship Id="rId113" Type="http://schemas.openxmlformats.org/officeDocument/2006/relationships/image" Target="media/image48.jpeg"/><Relationship Id="rId114" Type="http://schemas.openxmlformats.org/officeDocument/2006/relationships/image" Target="media/image48.jpeg"/><Relationship Id="rId115" Type="http://schemas.openxmlformats.org/officeDocument/2006/relationships/image" Target="media/image58.jpeg"/><Relationship Id="rId116" Type="http://schemas.openxmlformats.org/officeDocument/2006/relationships/image" Target="media/image37.jpeg"/><Relationship Id="rId117" Type="http://schemas.openxmlformats.org/officeDocument/2006/relationships/image" Target="media/image47.jpeg"/><Relationship Id="rId118" Type="http://schemas.openxmlformats.org/officeDocument/2006/relationships/image" Target="media/image33.jpeg"/><Relationship Id="rId119" Type="http://schemas.openxmlformats.org/officeDocument/2006/relationships/image" Target="media/image39.jpeg"/><Relationship Id="rId120" Type="http://schemas.openxmlformats.org/officeDocument/2006/relationships/image" Target="media/image34.jpeg"/><Relationship Id="rId121" Type="http://schemas.openxmlformats.org/officeDocument/2006/relationships/image" Target="media/image44.jpeg"/><Relationship Id="rId122" Type="http://schemas.openxmlformats.org/officeDocument/2006/relationships/image" Target="media/image32.jpeg"/><Relationship Id="rId123" Type="http://schemas.openxmlformats.org/officeDocument/2006/relationships/image" Target="media/image43.jpeg"/><Relationship Id="rId124" Type="http://schemas.openxmlformats.org/officeDocument/2006/relationships/image" Target="media/image35.jpeg"/><Relationship Id="rId125" Type="http://schemas.openxmlformats.org/officeDocument/2006/relationships/image" Target="media/image43.jpeg"/><Relationship Id="rId126" Type="http://schemas.openxmlformats.org/officeDocument/2006/relationships/image" Target="media/image32.jpeg"/><Relationship Id="rId127" Type="http://schemas.openxmlformats.org/officeDocument/2006/relationships/image" Target="media/image44.jpeg"/><Relationship Id="rId128" Type="http://schemas.openxmlformats.org/officeDocument/2006/relationships/image" Target="media/image31.jpeg"/><Relationship Id="rId129" Type="http://schemas.openxmlformats.org/officeDocument/2006/relationships/image" Target="media/image32.jpeg"/><Relationship Id="rId130" Type="http://schemas.openxmlformats.org/officeDocument/2006/relationships/image" Target="media/image29.jpeg"/><Relationship Id="rId131" Type="http://schemas.openxmlformats.org/officeDocument/2006/relationships/image" Target="media/image43.jpeg"/><Relationship Id="rId132" Type="http://schemas.openxmlformats.org/officeDocument/2006/relationships/image" Target="media/image44.jpeg"/><Relationship Id="rId133" Type="http://schemas.openxmlformats.org/officeDocument/2006/relationships/image" Target="media/image47.jpeg"/><Relationship Id="rId134" Type="http://schemas.openxmlformats.org/officeDocument/2006/relationships/image" Target="media/image15.jpeg"/><Relationship Id="rId135" Type="http://schemas.openxmlformats.org/officeDocument/2006/relationships/image" Target="media/image15.jpeg"/><Relationship Id="rId136" Type="http://schemas.openxmlformats.org/officeDocument/2006/relationships/image" Target="media/image9.jpeg"/><Relationship Id="rId137" Type="http://schemas.openxmlformats.org/officeDocument/2006/relationships/image" Target="media/image9.jpeg"/><Relationship Id="rId138" Type="http://schemas.openxmlformats.org/officeDocument/2006/relationships/image" Target="media/image59.jpeg"/><Relationship Id="rId139" Type="http://schemas.openxmlformats.org/officeDocument/2006/relationships/image" Target="media/image60.jpeg"/><Relationship Id="rId140" Type="http://schemas.openxmlformats.org/officeDocument/2006/relationships/image" Target="media/image61.jpeg"/><Relationship Id="rId141" Type="http://schemas.openxmlformats.org/officeDocument/2006/relationships/image" Target="media/image28.gif"/><Relationship Id="rId142" Type="http://schemas.openxmlformats.org/officeDocument/2006/relationships/image" Target="media/image28.gif"/><Relationship Id="rId143" Type="http://schemas.openxmlformats.org/officeDocument/2006/relationships/image" Target="media/image38.jpeg"/><Relationship Id="rId144" Type="http://schemas.openxmlformats.org/officeDocument/2006/relationships/image" Target="media/image62.jpeg"/><Relationship Id="rId145" Type="http://schemas.openxmlformats.org/officeDocument/2006/relationships/image" Target="media/image63.jpeg"/><Relationship Id="rId146" Type="http://schemas.openxmlformats.org/officeDocument/2006/relationships/image" Target="media/image64.jpeg"/><Relationship Id="rId147" Type="http://schemas.openxmlformats.org/officeDocument/2006/relationships/image" Target="media/image65.jpeg"/><Relationship Id="rId148" Type="http://schemas.openxmlformats.org/officeDocument/2006/relationships/image" Target="media/image59.jpeg"/><Relationship Id="rId149" Type="http://schemas.openxmlformats.org/officeDocument/2006/relationships/image" Target="media/image60.jpeg"/><Relationship Id="rId150" Type="http://schemas.openxmlformats.org/officeDocument/2006/relationships/image" Target="media/image61.jpeg"/><Relationship Id="rId151" Type="http://schemas.openxmlformats.org/officeDocument/2006/relationships/image" Target="media/image44.jpeg"/><Relationship Id="rId152" Type="http://schemas.openxmlformats.org/officeDocument/2006/relationships/image" Target="media/image32.jpeg"/><Relationship Id="rId153" Type="http://schemas.openxmlformats.org/officeDocument/2006/relationships/image" Target="media/image43.jpeg"/><Relationship Id="rId154" Type="http://schemas.openxmlformats.org/officeDocument/2006/relationships/image" Target="media/image66.jpeg"/><Relationship Id="rId155" Type="http://schemas.openxmlformats.org/officeDocument/2006/relationships/image" Target="media/image67.jpeg"/><Relationship Id="rId156" Type="http://schemas.openxmlformats.org/officeDocument/2006/relationships/image" Target="media/image68.jpeg"/><Relationship Id="rId157" Type="http://schemas.openxmlformats.org/officeDocument/2006/relationships/image" Target="media/image28.gif"/><Relationship Id="rId158" Type="http://schemas.openxmlformats.org/officeDocument/2006/relationships/image" Target="media/image47.jpeg"/><Relationship Id="rId159" Type="http://schemas.openxmlformats.org/officeDocument/2006/relationships/image" Target="media/image33.jpeg"/><Relationship Id="rId160" Type="http://schemas.openxmlformats.org/officeDocument/2006/relationships/image" Target="media/image39.jpeg"/><Relationship Id="rId161" Type="http://schemas.openxmlformats.org/officeDocument/2006/relationships/image" Target="media/image5.jpeg"/><Relationship Id="rId162" Type="http://schemas.openxmlformats.org/officeDocument/2006/relationships/image" Target="media/image7.jpeg"/><Relationship Id="rId163" Type="http://schemas.openxmlformats.org/officeDocument/2006/relationships/image" Target="media/image11.jpeg"/><Relationship Id="rId164" Type="http://schemas.openxmlformats.org/officeDocument/2006/relationships/image" Target="media/image11.jpeg"/><Relationship Id="rId165" Type="http://schemas.openxmlformats.org/officeDocument/2006/relationships/image" Target="media/image10.jpeg"/><Relationship Id="rId166" Type="http://schemas.openxmlformats.org/officeDocument/2006/relationships/image" Target="media/image12.jpeg"/><Relationship Id="rId167" Type="http://schemas.openxmlformats.org/officeDocument/2006/relationships/image" Target="media/image8.jpeg"/><Relationship Id="rId168" Type="http://schemas.openxmlformats.org/officeDocument/2006/relationships/image" Target="media/image12.jpeg"/><Relationship Id="rId169" Type="http://schemas.openxmlformats.org/officeDocument/2006/relationships/image" Target="media/image10.jpeg"/><Relationship Id="rId170" Type="http://schemas.openxmlformats.org/officeDocument/2006/relationships/image" Target="media/image8.jpeg"/><Relationship Id="rId171" Type="http://schemas.openxmlformats.org/officeDocument/2006/relationships/image" Target="media/image8.jpeg"/><Relationship Id="rId172" Type="http://schemas.openxmlformats.org/officeDocument/2006/relationships/image" Target="media/image69.jpeg"/><Relationship Id="rId173" Type="http://schemas.openxmlformats.org/officeDocument/2006/relationships/image" Target="media/image70.jpeg"/><Relationship Id="rId174" Type="http://schemas.openxmlformats.org/officeDocument/2006/relationships/image" Target="media/image71.jpeg"/><Relationship Id="rId175" Type="http://schemas.openxmlformats.org/officeDocument/2006/relationships/fontTable" Target="fontTable.xml"/><Relationship Id="rId1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43635</Words>
  <Characters>242952</Characters>
  <CharactersWithSpaces>295579</CharactersWithSpaces>
  <Paragraphs>11984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