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HEALY PATRICK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HELLMAN &amp; FRIEDMAN LLC 415 MISSION STREET, SUITE 5700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94105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Medline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MDLN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006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700,315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700,315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80,373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39,189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distribution in kind of shares of the Class A common stock of Medline Inc. ("Class A Common Stock") previously held directly by Hellman &amp; Friedman Capital Partners X (Parallel), L.P., HFCP X (Parallel - A), L.P., and Mend Investment Holdings I, L.P. in relation to the Reporting Person's and a family trust's respective indirect interests in such distributing entities.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beneficially owned indirectly by the Reporting Person through a trust for the benefit of certain of the Reporting Person's family members. The Reporting Person disclaims beneficial ownership of the shares of Class A Common Stock held by the trust, except to the extent of his pecuniary interest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distribution in kind of shares of Class A Common Stock previously held directly by Mend Investment Holdings I, L.P. in relation to the trust's indirect interest in such entity.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beneficially owned indirectly by the Reporting Person through a trust for the benefit of certain of the Reporting Person's family members. The Reporting Person disclaims beneficial ownership of the shares of Class A Common Stock held by the trust,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J. Healy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911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2025-12-22T20:22:22Z</dcterms:created>
  <dcterms:modified xsi:type="dcterms:W3CDTF">2025-12-22T20:22:22Z</dcterms:modified>
</cp:coreProperties>
</file>