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94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943725"/>
                    </a:xfrm>
                    <a:prstGeom prst="rect">
                      <a:avLst/>
                    </a:prstGeom>
                    <a:noFill/>
                  </pic:spPr>
                </pic:pic>
              </a:graphicData>
            </a:graphic>
          </wp:anchor>
        </w:drawing>
      </w:r>
    </w:p>
    <w:p>
      <w:pPr>
        <w:sectPr>
          <w:pgSz w:w="11900" w:h="1690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Liberman Alexander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90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900"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226,923</w:t>
            </w:r>
            <w:r>
              <w:rPr>
                <w:rFonts w:ascii="Times New Roman" w:cs="Times New Roman" w:eastAsia="Times New Roman" w:hAnsi="Times New Roman"/>
                <w:sz w:val="25"/>
                <w:szCs w:val="25"/>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96"/>
              </w:rPr>
              <w:t>D</w:t>
            </w:r>
          </w:p>
        </w:tc>
        <w:tc>
          <w:tcPr>
            <w:tcW w:w="3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234,177</w:t>
            </w:r>
            <w:r>
              <w:rPr>
                <w:rFonts w:ascii="Times New Roman" w:cs="Times New Roman" w:eastAsia="Times New Roman" w:hAnsi="Times New Roman"/>
                <w:sz w:val="25"/>
                <w:szCs w:val="25"/>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12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w:t>
            </w:r>
          </w:p>
        </w:tc>
        <w:tc>
          <w:tcPr>
            <w:tcW w:w="15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4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680" w:type="dxa"/>
            <w:vAlign w:val="bottom"/>
            <w:gridSpan w:val="7"/>
          </w:tcPr>
          <w:p>
            <w:pPr>
              <w:ind w:left="3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Security</w:t>
            </w:r>
          </w:p>
        </w:tc>
        <w:tc>
          <w:tcPr>
            <w:tcW w:w="320" w:type="dxa"/>
            <w:vAlign w:val="bottom"/>
          </w:tcPr>
          <w:p>
            <w:pPr>
              <w:spacing w:after="0"/>
              <w:rPr>
                <w:sz w:val="14"/>
                <w:szCs w:val="14"/>
                <w:color w:val="auto"/>
              </w:rPr>
            </w:pP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2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42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226,923</w:t>
            </w:r>
          </w:p>
        </w:tc>
        <w:tc>
          <w:tcPr>
            <w:tcW w:w="740" w:type="dxa"/>
            <w:vAlign w:val="bottom"/>
            <w:gridSpan w:val="2"/>
            <w:vMerge w:val="restart"/>
          </w:tcPr>
          <w:p>
            <w:pPr>
              <w:jc w:val="center"/>
              <w:ind w:left="328"/>
              <w:spacing w:after="0"/>
              <w:rPr>
                <w:sz w:val="20"/>
                <w:szCs w:val="20"/>
                <w:color w:val="auto"/>
              </w:rPr>
            </w:pPr>
            <w:r>
              <w:rPr>
                <w:rFonts w:ascii="Times New Roman" w:cs="Times New Roman" w:eastAsia="Times New Roman" w:hAnsi="Times New Roman"/>
                <w:sz w:val="13"/>
                <w:szCs w:val="13"/>
                <w:color w:val="008000"/>
                <w:w w:val="92"/>
              </w:rPr>
              <w:t>(3)</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42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234,177</w:t>
            </w:r>
          </w:p>
        </w:tc>
        <w:tc>
          <w:tcPr>
            <w:tcW w:w="740" w:type="dxa"/>
            <w:vAlign w:val="bottom"/>
            <w:gridSpan w:val="2"/>
            <w:vMerge w:val="restart"/>
          </w:tcPr>
          <w:p>
            <w:pPr>
              <w:jc w:val="center"/>
              <w:ind w:left="328"/>
              <w:spacing w:after="0"/>
              <w:rPr>
                <w:sz w:val="20"/>
                <w:szCs w:val="20"/>
                <w:color w:val="auto"/>
              </w:rPr>
            </w:pPr>
            <w:r>
              <w:rPr>
                <w:rFonts w:ascii="Times New Roman" w:cs="Times New Roman" w:eastAsia="Times New Roman" w:hAnsi="Times New Roman"/>
                <w:sz w:val="13"/>
                <w:szCs w:val="13"/>
                <w:color w:val="008000"/>
                <w:w w:val="92"/>
              </w:rPr>
              <w:t>(3)</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line="284" w:lineRule="exact"/>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2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13"/>
                <w:szCs w:val="13"/>
                <w:color w:val="008000"/>
                <w:w w:val="96"/>
              </w:rPr>
              <w:t>(4)(5)(6)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1,129,447</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15.42</w:t>
            </w:r>
            <w:r>
              <w:rPr>
                <w:rFonts w:ascii="Times New Roman" w:cs="Times New Roman" w:eastAsia="Times New Roman" w:hAnsi="Times New Roman"/>
                <w:sz w:val="13"/>
                <w:szCs w:val="13"/>
                <w:color w:val="008000"/>
                <w:w w:val="81"/>
              </w:rPr>
              <w:t>(4)(5)</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2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13"/>
                <w:szCs w:val="13"/>
                <w:color w:val="008000"/>
                <w:w w:val="96"/>
              </w:rPr>
              <w:t>(4)(5)(7)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141,836</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15.23</w:t>
            </w:r>
            <w:r>
              <w:rPr>
                <w:rFonts w:ascii="Times New Roman" w:cs="Times New Roman" w:eastAsia="Times New Roman" w:hAnsi="Times New Roman"/>
                <w:sz w:val="13"/>
                <w:szCs w:val="13"/>
                <w:color w:val="008000"/>
                <w:w w:val="81"/>
              </w:rPr>
              <w:t>(4)(5)</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2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13"/>
                <w:szCs w:val="13"/>
                <w:color w:val="008000"/>
                <w:w w:val="96"/>
              </w:rPr>
              <w:t>(4)(5)(8)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(4)(5)(8)</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105,200</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19.01</w:t>
            </w:r>
            <w:r>
              <w:rPr>
                <w:rFonts w:ascii="Times New Roman" w:cs="Times New Roman" w:eastAsia="Times New Roman" w:hAnsi="Times New Roman"/>
                <w:sz w:val="13"/>
                <w:szCs w:val="13"/>
                <w:color w:val="008000"/>
                <w:w w:val="81"/>
              </w:rPr>
              <w:t>(4)(5)</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20" w:type="dxa"/>
            <w:vAlign w:val="bottom"/>
            <w:gridSpan w:val="2"/>
            <w:vMerge w:val="restart"/>
          </w:tcPr>
          <w:p>
            <w:pPr>
              <w:jc w:val="center"/>
              <w:ind w:left="352"/>
              <w:spacing w:after="0"/>
              <w:rPr>
                <w:sz w:val="20"/>
                <w:szCs w:val="20"/>
                <w:color w:val="auto"/>
              </w:rPr>
            </w:pPr>
            <w:r>
              <w:rPr>
                <w:rFonts w:ascii="Times New Roman" w:cs="Times New Roman" w:eastAsia="Times New Roman" w:hAnsi="Times New Roman"/>
                <w:sz w:val="13"/>
                <w:szCs w:val="13"/>
                <w:color w:val="008000"/>
                <w:w w:val="96"/>
              </w:rPr>
              <w:t>(4)(5)(9)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(4)(5)(9)</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72,245</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39"/>
                <w:szCs w:val="39"/>
                <w:color w:val="0000FF"/>
                <w:w w:val="81"/>
                <w:vertAlign w:val="subscript"/>
              </w:rPr>
              <w:t>27.68</w:t>
            </w:r>
            <w:r>
              <w:rPr>
                <w:rFonts w:ascii="Times New Roman" w:cs="Times New Roman" w:eastAsia="Times New Roman" w:hAnsi="Times New Roman"/>
                <w:sz w:val="13"/>
                <w:szCs w:val="13"/>
                <w:color w:val="008000"/>
                <w:w w:val="81"/>
              </w:rPr>
              <w:t>(4)(5)</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20" w:type="dxa"/>
            <w:vAlign w:val="bottom"/>
            <w:vMerge w:val="continue"/>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a trust, of which the Reporting Person's spouse is the trustee.</w:t>
      </w:r>
    </w:p>
    <w:p>
      <w:pPr>
        <w:spacing w:after="0" w:line="52" w:lineRule="exact"/>
        <w:rPr>
          <w:rFonts w:ascii="Times New Roman" w:cs="Times New Roman" w:eastAsia="Times New Roman" w:hAnsi="Times New Roman"/>
          <w:sz w:val="15"/>
          <w:szCs w:val="15"/>
          <w:color w:val="008000"/>
        </w:rPr>
      </w:pPr>
    </w:p>
    <w:p>
      <w:pPr>
        <w:jc w:val="both"/>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(the "Exchange Agreement"), holders have the right to exchange their Common Units for shares of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29"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3" w:lineRule="exact"/>
        <w:rPr>
          <w:rFonts w:ascii="Times New Roman" w:cs="Times New Roman" w:eastAsia="Times New Roman" w:hAnsi="Times New Roman"/>
          <w:sz w:val="15"/>
          <w:szCs w:val="15"/>
          <w:color w:val="008000"/>
        </w:rPr>
      </w:pPr>
    </w:p>
    <w:p>
      <w:pPr>
        <w:ind w:left="40" w:right="6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4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80% of these Incentive Units have vested, and the remaining 20% vest on October 21, 2026.</w:t>
      </w:r>
    </w:p>
    <w:p>
      <w:pPr>
        <w:sectPr>
          <w:pgSz w:w="11900" w:h="16900"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April 1,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March 29,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85" w:right="559" w:bottom="1440" w:gutter="0" w:footer="0" w:header="0"/>
        </w:sectPr>
      </w:pPr>
    </w:p>
    <w:bookmarkStart w:id="2" w:name="page3"/>
    <w:bookmarkEnd w:id="2"/>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1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ind w:left="60"/>
              <w:spacing w:after="0"/>
              <w:rPr>
                <w:sz w:val="20"/>
                <w:szCs w:val="20"/>
                <w:color w:val="auto"/>
              </w:rPr>
            </w:pPr>
            <w:r>
              <w:rPr>
                <w:rFonts w:ascii="Times New Roman" w:cs="Times New Roman" w:eastAsia="Times New Roman" w:hAnsi="Times New Roman"/>
                <w:sz w:val="24"/>
                <w:szCs w:val="24"/>
                <w:color w:val="auto"/>
              </w:rPr>
              <w:t>/s/ Alexander M. Liberman</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Alexander M. Liberman</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60217"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2025-12-17T18:20:14Z</dcterms:created>
  <dcterms:modified xsi:type="dcterms:W3CDTF">2025-12-17T18:20:14Z</dcterms:modified>
</cp:coreProperties>
</file>