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6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-577215</wp:posOffset>
            </wp:positionV>
            <wp:extent cx="55245" cy="59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607060</wp:posOffset>
            </wp:positionV>
            <wp:extent cx="7004050"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898255"/>
                    </a:xfrm>
                    <a:prstGeom prst="rect">
                      <a:avLst/>
                    </a:prstGeom>
                    <a:noFill/>
                  </pic:spPr>
                </pic:pic>
              </a:graphicData>
            </a:graphic>
          </wp:anchor>
        </w:drawing>
      </w:r>
    </w:p>
    <w:p>
      <w:pPr>
        <w:spacing w:after="0" w:line="971" w:lineRule="exact"/>
        <w:rPr>
          <w:sz w:val="24"/>
          <w:szCs w:val="24"/>
          <w:color w:val="auto"/>
        </w:rPr>
      </w:pPr>
    </w:p>
    <w:p>
      <w:pPr>
        <w:sectPr>
          <w:pgSz w:w="11900" w:h="16838" w:orient="portrait"/>
          <w:cols w:equalWidth="0" w:num="2">
            <w:col w:w="2320" w:space="480"/>
            <w:col w:w="8280"/>
          </w:cols>
          <w:pgMar w:left="460" w:top="209"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8"/>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Group Inc.</w:t>
              </w:r>
            </w:hyperlink>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gridSpan w:val="7"/>
          </w:tcPr>
          <w:p>
            <w:pPr>
              <w:ind w:left="60"/>
              <w:spacing w:after="0" w:line="95"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Medline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w w:val="95"/>
              </w:rPr>
              <w:t>(Check all applicable)</w:t>
            </w: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60" w:type="dxa"/>
            <w:vAlign w:val="bottom"/>
            <w:gridSpan w:val="3"/>
            <w:vMerge w:val="restart"/>
          </w:tcPr>
          <w:p>
            <w:pPr>
              <w:ind w:left="500"/>
              <w:spacing w:after="0"/>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below)</w:t>
            </w: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40" w:type="dxa"/>
            <w:vAlign w:val="bottom"/>
            <w:gridSpan w:val="8"/>
            <w:vMerge w:val="restart"/>
          </w:tcPr>
          <w:p>
            <w:pPr>
              <w:ind w:left="60"/>
              <w:spacing w:after="0"/>
              <w:rPr>
                <w:sz w:val="20"/>
                <w:szCs w:val="20"/>
                <w:color w:val="auto"/>
              </w:rPr>
            </w:pPr>
            <w:r>
              <w:rPr>
                <w:rFonts w:ascii="Arial" w:cs="Arial" w:eastAsia="Arial" w:hAnsi="Arial"/>
                <w:sz w:val="12"/>
                <w:szCs w:val="12"/>
                <w:color w:val="auto"/>
                <w:w w:val="98"/>
              </w:rPr>
              <w:t>3. Date of Earliest Transaction (Month/Day/Year)</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19"/>
                <w:szCs w:val="19"/>
                <w:color w:val="auto"/>
              </w:rPr>
            </w:pPr>
          </w:p>
        </w:tc>
        <w:tc>
          <w:tcPr>
            <w:tcW w:w="1500" w:type="dxa"/>
            <w:vAlign w:val="bottom"/>
            <w:gridSpan w:val="7"/>
          </w:tcPr>
          <w:p>
            <w:pPr>
              <w:ind w:left="540"/>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20" w:type="dxa"/>
            <w:vAlign w:val="bottom"/>
            <w:tcBorders>
              <w:bottom w:val="single" w:sz="8" w:color="2C2C2C"/>
            </w:tcBorders>
            <w:gridSpan w:val="5"/>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360" w:type="dxa"/>
            <w:vAlign w:val="bottom"/>
            <w:gridSpan w:val="8"/>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DC</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20004-2505</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60" w:type="dxa"/>
            <w:vAlign w:val="bottom"/>
            <w:tcBorders>
              <w:top w:val="single" w:sz="8" w:color="2C2C2C"/>
            </w:tcBorders>
            <w:gridSpan w:val="18"/>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2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3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5"/>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ind w:left="720"/>
              <w:spacing w:after="0" w:line="119"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5"/>
          </w:tcPr>
          <w:p>
            <w:pPr>
              <w:ind w:left="720"/>
              <w:spacing w:after="0" w:line="119"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 or Indirect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Following Reported</w:t>
            </w: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4"/>
          </w:tcPr>
          <w:p>
            <w:pPr>
              <w:jc w:val="center"/>
              <w:ind w:left="715"/>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(1)</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152,460,797</w:t>
            </w:r>
          </w:p>
        </w:tc>
        <w:tc>
          <w:tcPr>
            <w:tcW w:w="36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4"/>
          </w:tcPr>
          <w:p>
            <w:pPr>
              <w:jc w:val="center"/>
              <w:ind w:left="715"/>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62,842,239</w:t>
            </w:r>
          </w:p>
        </w:tc>
        <w:tc>
          <w:tcPr>
            <w:tcW w:w="36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4"/>
          </w:tcPr>
          <w:p>
            <w:pPr>
              <w:jc w:val="center"/>
              <w:ind w:left="715"/>
              <w:spacing w:after="0"/>
              <w:rPr>
                <w:sz w:val="20"/>
                <w:szCs w:val="20"/>
                <w:color w:val="auto"/>
              </w:rPr>
            </w:pPr>
            <w:r>
              <w:rPr>
                <w:rFonts w:ascii="Times New Roman" w:cs="Times New Roman" w:eastAsia="Times New Roman" w:hAnsi="Times New Roman"/>
                <w:sz w:val="15"/>
                <w:szCs w:val="15"/>
                <w:color w:val="0000FF"/>
              </w:rPr>
              <w:t>03/05/2026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(9)</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153,673,564</w:t>
            </w:r>
          </w:p>
        </w:tc>
        <w:tc>
          <w:tcPr>
            <w:tcW w:w="36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4"/>
          </w:tcPr>
          <w:p>
            <w:pPr>
              <w:jc w:val="center"/>
              <w:ind w:left="715"/>
              <w:spacing w:after="0"/>
              <w:rPr>
                <w:sz w:val="20"/>
                <w:szCs w:val="20"/>
                <w:color w:val="auto"/>
              </w:rPr>
            </w:pPr>
            <w:r>
              <w:rPr>
                <w:rFonts w:ascii="Times New Roman" w:cs="Times New Roman" w:eastAsia="Times New Roman" w:hAnsi="Times New Roman"/>
                <w:sz w:val="15"/>
                <w:szCs w:val="15"/>
                <w:color w:val="0000FF"/>
              </w:rPr>
              <w:t>03/05/2026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61,629,472</w:t>
            </w:r>
          </w:p>
        </w:tc>
        <w:tc>
          <w:tcPr>
            <w:tcW w:w="36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60" w:type="dxa"/>
            <w:vAlign w:val="bottom"/>
            <w:gridSpan w:val="18"/>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15"/>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380" w:type="dxa"/>
            <w:vAlign w:val="bottom"/>
            <w:tcBorders>
              <w:right w:val="single" w:sz="8" w:color="2C2C2C"/>
            </w:tcBorders>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380" w:type="dxa"/>
            <w:vAlign w:val="bottom"/>
            <w:tcBorders>
              <w:right w:val="single" w:sz="8" w:color="2C2C2C"/>
            </w:tcBorders>
            <w:gridSpan w:val="3"/>
          </w:tcPr>
          <w:p>
            <w:pPr>
              <w:ind w:left="300"/>
              <w:spacing w:after="0" w:line="119"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w w:val="96"/>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00FF"/>
                <w:w w:val="98"/>
              </w:rPr>
              <w:t>03/04/2026</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8,085,116</w:t>
            </w:r>
            <w:r>
              <w:rPr>
                <w:rFonts w:ascii="Times New Roman" w:cs="Times New Roman" w:eastAsia="Times New Roman" w:hAnsi="Times New Roman"/>
                <w:sz w:val="19"/>
                <w:szCs w:val="19"/>
                <w:color w:val="008000"/>
                <w:w w:val="89"/>
                <w:vertAlign w:val="superscript"/>
              </w:rPr>
              <w:t>(1)</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8,085,116</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62,842,239</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w w:val="95"/>
              </w:rPr>
              <w:t>See footnotes</w:t>
            </w:r>
            <w:r>
              <w:rPr>
                <w:rFonts w:ascii="Times New Roman" w:cs="Times New Roman" w:eastAsia="Times New Roman" w:hAnsi="Times New Roman"/>
                <w:sz w:val="19"/>
                <w:szCs w:val="19"/>
                <w:color w:val="008000"/>
                <w:w w:val="95"/>
                <w:vertAlign w:val="superscript"/>
              </w:rPr>
              <w:t>(3)(4)(5)</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00FF"/>
                <w:w w:val="98"/>
              </w:rPr>
              <w:t>03/05/2026</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1,212,767</w:t>
            </w:r>
            <w:r>
              <w:rPr>
                <w:rFonts w:ascii="Times New Roman" w:cs="Times New Roman" w:eastAsia="Times New Roman" w:hAnsi="Times New Roman"/>
                <w:sz w:val="19"/>
                <w:szCs w:val="19"/>
                <w:color w:val="008000"/>
                <w:w w:val="89"/>
                <w:vertAlign w:val="superscript"/>
              </w:rPr>
              <w:t>(9)</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1,212,767</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61,629,472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(10)(11)</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80" w:type="dxa"/>
            <w:vAlign w:val="bottom"/>
            <w:gridSpan w:val="7"/>
          </w:tcPr>
          <w:p>
            <w:pPr>
              <w:ind w:left="60"/>
              <w:spacing w:after="0" w:line="208"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Group Inc.</w:t>
              </w:r>
            </w:hyperlink>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gridSpan w:val="2"/>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Carlyle Holdings I GP Inc.</w:t>
              </w:r>
            </w:hyperlink>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-4993005</wp:posOffset>
            </wp:positionV>
            <wp:extent cx="2794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135505"/>
                    </a:xfrm>
                    <a:prstGeom prst="rect">
                      <a:avLst/>
                    </a:prstGeom>
                    <a:noFill/>
                  </pic:spPr>
                </pic:pic>
              </a:graphicData>
            </a:graphic>
          </wp:anchor>
        </w:drawing>
      </w:r>
    </w:p>
    <w:p>
      <w:pPr>
        <w:sectPr>
          <w:pgSz w:w="11900" w:h="16838" w:orient="portrait"/>
          <w:cols w:equalWidth="0" w:num="1">
            <w:col w:w="11080"/>
          </w:cols>
          <w:pgMar w:left="460" w:top="209" w:right="359" w:bottom="0" w:gutter="0" w:footer="0" w:header="0"/>
          <w:type w:val="continuous"/>
        </w:sectPr>
      </w:pPr>
    </w:p>
    <w:p>
      <w:pPr>
        <w:spacing w:after="0" w:line="27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0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-125730</wp:posOffset>
            </wp:positionV>
            <wp:extent cx="40640" cy="1052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0640" cy="1052068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-125730</wp:posOffset>
            </wp:positionV>
            <wp:extent cx="40640" cy="10520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0640" cy="10520680"/>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Carlyle Holdings I GP Sub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69215</wp:posOffset>
            </wp:positionV>
            <wp:extent cx="267843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52"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Carlyle Holdings I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DC</w:t>
            </w:r>
          </w:p>
        </w:tc>
        <w:tc>
          <w:tcPr>
            <w:tcW w:w="156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7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620" w:type="dxa"/>
            <w:vAlign w:val="bottom"/>
            <w:gridSpan w:val="4"/>
          </w:tcPr>
          <w:p>
            <w:pPr>
              <w:spacing w:after="0" w:line="204" w:lineRule="exact"/>
              <w:rPr>
                <w:rFonts w:ascii="Times New Roman" w:cs="Times New Roman" w:eastAsia="Times New Roman" w:hAnsi="Times New Roman"/>
                <w:sz w:val="19"/>
                <w:szCs w:val="19"/>
                <w:color w:val="0000EE"/>
              </w:rPr>
            </w:pPr>
            <w:hyperlink r:id="rId28">
              <w:r>
                <w:rPr>
                  <w:rFonts w:ascii="Times New Roman" w:cs="Times New Roman" w:eastAsia="Times New Roman" w:hAnsi="Times New Roman"/>
                  <w:sz w:val="19"/>
                  <w:szCs w:val="19"/>
                  <w:color w:val="0000EE"/>
                </w:rPr>
                <w:t>CG Subsidiary Holdings L.L.C.</w:t>
              </w:r>
            </w:hyperlink>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DC</w:t>
            </w:r>
          </w:p>
        </w:tc>
        <w:tc>
          <w:tcPr>
            <w:tcW w:w="156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7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1320" w:type="dxa"/>
            <w:vAlign w:val="bottom"/>
            <w:gridSpan w:val="2"/>
          </w:tcPr>
          <w:p>
            <w:pPr>
              <w:spacing w:after="0" w:line="204" w:lineRule="exact"/>
              <w:rPr>
                <w:rFonts w:ascii="Times New Roman" w:cs="Times New Roman" w:eastAsia="Times New Roman" w:hAnsi="Times New Roman"/>
                <w:sz w:val="19"/>
                <w:szCs w:val="19"/>
                <w:color w:val="0000EE"/>
              </w:rPr>
            </w:pPr>
            <w:hyperlink r:id="rId29">
              <w:r>
                <w:rPr>
                  <w:rFonts w:ascii="Times New Roman" w:cs="Times New Roman" w:eastAsia="Times New Roman" w:hAnsi="Times New Roman"/>
                  <w:sz w:val="19"/>
                  <w:szCs w:val="19"/>
                  <w:color w:val="0000EE"/>
                </w:rPr>
                <w:t>TC Group, LLC</w:t>
              </w:r>
            </w:hyperlink>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-2417445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-2417445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-1791970</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-1791970</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-1211580</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-1211580</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41">
              <w:r>
                <w:rPr>
                  <w:rFonts w:ascii="Times New Roman" w:cs="Times New Roman" w:eastAsia="Times New Roman" w:hAnsi="Times New Roman"/>
                  <w:sz w:val="19"/>
                  <w:szCs w:val="19"/>
                  <w:color w:val="0000EE"/>
                </w:rPr>
                <w:t>TC Group Sub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4"/>
          </w:tcPr>
          <w:p>
            <w:pPr>
              <w:spacing w:after="0" w:line="204" w:lineRule="exact"/>
              <w:rPr>
                <w:rFonts w:ascii="Times New Roman" w:cs="Times New Roman" w:eastAsia="Times New Roman" w:hAnsi="Times New Roman"/>
                <w:sz w:val="19"/>
                <w:szCs w:val="19"/>
                <w:color w:val="0000EE"/>
              </w:rPr>
            </w:pPr>
            <w:hyperlink r:id="rId47">
              <w:r>
                <w:rPr>
                  <w:rFonts w:ascii="Times New Roman" w:cs="Times New Roman" w:eastAsia="Times New Roman" w:hAnsi="Times New Roman"/>
                  <w:sz w:val="19"/>
                  <w:szCs w:val="19"/>
                  <w:color w:val="0000EE"/>
                </w:rPr>
                <w:t>TC Group VII S1, L.L.C.</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82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4"/>
          </w:tcPr>
          <w:p>
            <w:pPr>
              <w:spacing w:after="0" w:line="204" w:lineRule="exact"/>
              <w:rPr>
                <w:rFonts w:ascii="Times New Roman" w:cs="Times New Roman" w:eastAsia="Times New Roman" w:hAnsi="Times New Roman"/>
                <w:sz w:val="19"/>
                <w:szCs w:val="19"/>
                <w:color w:val="0000EE"/>
              </w:rPr>
            </w:pPr>
            <w:hyperlink r:id="rId48">
              <w:r>
                <w:rPr>
                  <w:rFonts w:ascii="Times New Roman" w:cs="Times New Roman" w:eastAsia="Times New Roman" w:hAnsi="Times New Roman"/>
                  <w:sz w:val="19"/>
                  <w:szCs w:val="19"/>
                  <w:color w:val="0000EE"/>
                </w:rPr>
                <w:t>TC Group VII S1,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-2417445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-2417445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-1791970</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-1791970</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-1211580</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-1211580</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-827405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-827405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-201930</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-201930</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88265</wp:posOffset>
            </wp:positionV>
            <wp:extent cx="267843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678430" cy="40640"/>
                    </a:xfrm>
                    <a:prstGeom prst="rect">
                      <a:avLst/>
                    </a:prstGeom>
                    <a:noFill/>
                  </pic:spPr>
                </pic:pic>
              </a:graphicData>
            </a:graphic>
          </wp:anchor>
        </w:drawing>
      </w:r>
    </w:p>
    <w:p>
      <w:pPr>
        <w:sectPr>
          <w:pgSz w:w="11900" w:h="16838" w:orient="portrait"/>
          <w:cols w:equalWidth="0" w:num="1">
            <w:col w:w="9999"/>
          </w:cols>
          <w:pgMar w:left="460" w:top="120" w:right="1440" w:bottom="0" w:gutter="0" w:footer="0" w:header="0"/>
        </w:sectPr>
      </w:pPr>
    </w:p>
    <w:bookmarkStart w:id="2" w:name="page3"/>
    <w:bookmarkEnd w:id="2"/>
    <w:tbl>
      <w:tblPr>
        <w:tblLayout w:type="fixed"/>
        <w:tblInd w:w="29" w:type="dxa"/>
        <w:tblCellMar>
          <w:top w:w="0" w:type="dxa"/>
          <w:left w:w="0" w:type="dxa"/>
          <w:bottom w:w="0" w:type="dxa"/>
          <w:right w:w="0" w:type="dxa"/>
        </w:tblCellMar>
      </w:tblPr>
      <w:tr>
        <w:trPr>
          <w:trHeight w:val="15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4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9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20004-2505</w:t>
            </w:r>
          </w:p>
        </w:tc>
      </w:tr>
      <w:tr>
        <w:trPr>
          <w:trHeight w:val="136"/>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40" w:type="dxa"/>
            <w:vAlign w:val="bottom"/>
          </w:tcPr>
          <w:p>
            <w:pPr>
              <w:ind w:left="1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-498475</wp:posOffset>
            </wp:positionV>
            <wp:extent cx="2813685" cy="570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813685" cy="570230"/>
                    </a:xfrm>
                    <a:prstGeom prst="rect">
                      <a:avLst/>
                    </a:prstGeom>
                    <a:noFill/>
                  </pic:spPr>
                </pic:pic>
              </a:graphicData>
            </a:graphic>
          </wp:anchor>
        </w:drawing>
      </w:r>
    </w:p>
    <w:p>
      <w:pPr>
        <w:spacing w:after="0" w:line="96"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9" w:right="42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of Medline Holdings, LP ("Common Units") to an equivalent number of shares of the Issuer's Class A common stock ("Class A Common Stock") on March 4, 2026: (i) 1,752,046 Common Units to Class A Common Stock held by CP Circle UNLV Holdco, L.P. and (ii) 6,333,070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ind w:left="9" w:right="3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rFonts w:ascii="Times New Roman" w:cs="Times New Roman" w:eastAsia="Times New Roman" w:hAnsi="Times New Roman"/>
          <w:sz w:val="12"/>
          <w:szCs w:val="12"/>
          <w:color w:val="008000"/>
        </w:rPr>
      </w:pPr>
    </w:p>
    <w:p>
      <w:pPr>
        <w:ind w:left="9" w:right="60"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ind w:left="9" w:right="80"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4" w:lineRule="exact"/>
        <w:rPr>
          <w:rFonts w:ascii="Times New Roman" w:cs="Times New Roman" w:eastAsia="Times New Roman" w:hAnsi="Times New Roman"/>
          <w:sz w:val="12"/>
          <w:szCs w:val="12"/>
          <w:color w:val="008000"/>
        </w:rPr>
      </w:pPr>
    </w:p>
    <w:p>
      <w:pPr>
        <w:ind w:left="9" w:hanging="9"/>
        <w:spacing w:after="0" w:line="23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4,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6)</w:t>
      </w:r>
    </w:p>
    <w:p>
      <w:pPr>
        <w:spacing w:after="0" w:line="24" w:lineRule="exact"/>
        <w:rPr>
          <w:rFonts w:ascii="Times New Roman" w:cs="Times New Roman" w:eastAsia="Times New Roman" w:hAnsi="Times New Roman"/>
          <w:sz w:val="12"/>
          <w:szCs w:val="12"/>
          <w:color w:val="008000"/>
        </w:rPr>
      </w:pPr>
    </w:p>
    <w:p>
      <w:pPr>
        <w:ind w:left="9" w:right="22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(x) 1,754,661 shares of Class A Common Stock and 13,617,928 Common Units and shares of Class B Common Stock held by CP Circle UNLV Holdco, L.P. and (xi) 6,342,524 shares of Class A Common Stock and 49,224,311 Common Units and shares of Class B Common Stock held by CP Circle ML-1 Holdco, L.P.</w:t>
      </w:r>
    </w:p>
    <w:p>
      <w:pPr>
        <w:spacing w:after="0" w:line="16" w:lineRule="exact"/>
        <w:rPr>
          <w:rFonts w:ascii="Times New Roman" w:cs="Times New Roman" w:eastAsia="Times New Roman" w:hAnsi="Times New Roman"/>
          <w:sz w:val="12"/>
          <w:szCs w:val="12"/>
          <w:color w:val="008000"/>
        </w:rPr>
      </w:pPr>
    </w:p>
    <w:p>
      <w:pPr>
        <w:ind w:left="9" w:right="10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6" w:lineRule="exact"/>
        <w:rPr>
          <w:rFonts w:ascii="Times New Roman" w:cs="Times New Roman" w:eastAsia="Times New Roman" w:hAnsi="Times New Roman"/>
          <w:sz w:val="12"/>
          <w:szCs w:val="12"/>
          <w:color w:val="008000"/>
        </w:rPr>
      </w:pPr>
    </w:p>
    <w:p>
      <w:pPr>
        <w:ind w:left="9" w:right="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Class B Common Stock held by CP Circle UNLV Holdco, L.P. and CP Circle ML-1 Holdco, L.P. as a result of an exchange of an equivalent number of Common Units to shares of Class A Common Stock.</w:t>
      </w:r>
    </w:p>
    <w:p>
      <w:pPr>
        <w:spacing w:after="0" w:line="16" w:lineRule="exact"/>
        <w:rPr>
          <w:rFonts w:ascii="Times New Roman" w:cs="Times New Roman" w:eastAsia="Times New Roman" w:hAnsi="Times New Roman"/>
          <w:sz w:val="12"/>
          <w:szCs w:val="12"/>
          <w:color w:val="008000"/>
        </w:rPr>
      </w:pPr>
    </w:p>
    <w:p>
      <w:pPr>
        <w:ind w:left="9" w:right="60" w:hanging="9"/>
        <w:spacing w:after="0" w:line="254"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to an equivalent number of shares of Class A Common Stock on March 5, 2026: (i) 262,807 Common Units to Class A Common Stock held by CP Circle UNLV Holdco, L.P. and (ii) 949,960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jc w:val="both"/>
        <w:ind w:left="9" w:hanging="9"/>
        <w:spacing w:after="0" w:line="235" w:lineRule="auto"/>
        <w:tabs>
          <w:tab w:leader="none" w:pos="18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5,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11)</w:t>
      </w:r>
    </w:p>
    <w:p>
      <w:pPr>
        <w:spacing w:after="0" w:line="24" w:lineRule="exact"/>
        <w:rPr>
          <w:rFonts w:ascii="Times New Roman" w:cs="Times New Roman" w:eastAsia="Times New Roman" w:hAnsi="Times New Roman"/>
          <w:sz w:val="12"/>
          <w:szCs w:val="12"/>
          <w:color w:val="008000"/>
        </w:rPr>
      </w:pPr>
    </w:p>
    <w:p>
      <w:pPr>
        <w:ind w:left="9" w:right="100" w:hanging="9"/>
        <w:spacing w:after="0" w:line="254" w:lineRule="auto"/>
        <w:tabs>
          <w:tab w:leader="none" w:pos="18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10) (x) 2,017,468 shares of Class A Common Stock and 13,355,121 Common Units and shares of Class B Common Stock held by CP Circle UNLV Holdco, L.P. and (xi) 7,292,484 shares of Class A Common Stock and 48,274,351 Common Units and shares of Class B Common Stock held by CP Circle ML-1 Holdco, L.P.</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5" w:lineRule="exact"/>
        <w:rPr>
          <w:sz w:val="20"/>
          <w:szCs w:val="20"/>
          <w:color w:val="auto"/>
        </w:rPr>
      </w:pPr>
    </w:p>
    <w:p>
      <w:pPr>
        <w:ind w:left="9"/>
        <w:spacing w:after="0" w:line="237" w:lineRule="auto"/>
        <w:rPr>
          <w:sz w:val="20"/>
          <w:szCs w:val="20"/>
          <w:color w:val="auto"/>
        </w:rPr>
      </w:pPr>
      <w:r>
        <w:rPr>
          <w:rFonts w:ascii="Times New Roman" w:cs="Times New Roman" w:eastAsia="Times New Roman" w:hAnsi="Times New Roman"/>
          <w:sz w:val="12"/>
          <w:szCs w:val="12"/>
          <w:color w:val="008000"/>
        </w:rPr>
        <w:t>Due to the limitations of the electronic filing system,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and CP Circle ML-7 Holdco, L.P. are filing a separate Form 4.</w:t>
      </w:r>
    </w:p>
    <w:p>
      <w:pPr>
        <w:sectPr>
          <w:pgSz w:w="11900" w:h="16838" w:orient="portrait"/>
          <w:cols w:equalWidth="0" w:num="1">
            <w:col w:w="10909"/>
          </w:cols>
          <w:pgMar w:left="491" w:top="128" w:right="499" w:bottom="1440" w:gutter="0" w:footer="0" w:header="0"/>
        </w:sectPr>
      </w:pPr>
    </w:p>
    <w:p>
      <w:pPr>
        <w:spacing w:after="0" w:line="48"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The Carlyle Group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217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2174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Anne K. Frederick,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22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695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6957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Carlyle Holdings I GP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608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Anne K.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79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263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263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Carlyle Holdings I GP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6334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6334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Carlyle Holdings I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608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sole member,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6332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6332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22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Carlyle Holdings I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134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1348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Anne K.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792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263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263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CG Subsidiary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706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3949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03949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480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480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8709" w:space="60"/>
            <w:col w:w="2140"/>
          </w:cols>
          <w:pgMar w:left="491" w:top="128" w:right="499" w:bottom="1440" w:gutter="0" w:footer="0" w:header="0"/>
          <w:type w:val="continuous"/>
        </w:sectPr>
      </w:pPr>
    </w:p>
    <w:p>
      <w:pPr>
        <w:ind w:left="6569"/>
        <w:spacing w:after="0"/>
        <w:rPr>
          <w:sz w:val="20"/>
          <w:szCs w:val="20"/>
          <w:color w:val="auto"/>
        </w:rPr>
      </w:pPr>
      <w:r>
        <w:rPr>
          <w:rFonts w:ascii="Times New Roman" w:cs="Times New Roman" w:eastAsia="Times New Roman" w:hAnsi="Times New Roman"/>
          <w:sz w:val="15"/>
          <w:szCs w:val="15"/>
          <w:color w:val="0000FF"/>
        </w:rPr>
        <w:t>TC Group, L.L.C.,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716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37160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22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0941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09410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Group,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347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3477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By: /s/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3949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03949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480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4803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VII S1,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036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Jeremy 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055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VII S1,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299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22999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Group VII S1,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004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partner, By: /s/ Jeremy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56832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683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8729" w:space="40"/>
            <w:col w:w="2140"/>
          </w:cols>
          <w:pgMar w:left="491" w:top="128" w:right="499" w:bottom="1440" w:gutter="0" w:footer="0" w:header="0"/>
          <w:type w:val="continuous"/>
        </w:sectPr>
      </w:pPr>
    </w:p>
    <w:p>
      <w:pPr>
        <w:ind w:left="6569"/>
        <w:spacing w:after="0"/>
        <w:tabs>
          <w:tab w:leader="none" w:pos="8749"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4060" w:hanging="9"/>
        <w:spacing w:after="0" w:line="335"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13" Type="http://schemas.openxmlformats.org/officeDocument/2006/relationships/hyperlink" Target="http://www.sec.gov/cgi-bin/browse-edgar?action=getcompany&amp;CIK=0001527166"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1548626" TargetMode="External"/><Relationship Id="rId19" Type="http://schemas.openxmlformats.org/officeDocument/2006/relationships/hyperlink" Target="http://www.sec.gov/cgi-bin/browse-edgar?action=getcompany&amp;CIK=0001548627" TargetMode="External"/><Relationship Id="rId22" Type="http://schemas.openxmlformats.org/officeDocument/2006/relationships/hyperlink" Target="http://www.sec.gov/cgi-bin/browse-edgar?action=getcompany&amp;CIK=0001548628" TargetMode="External"/><Relationship Id="rId28" Type="http://schemas.openxmlformats.org/officeDocument/2006/relationships/hyperlink" Target="http://www.sec.gov/cgi-bin/browse-edgar?action=getcompany&amp;CIK=0001790577" TargetMode="External"/><Relationship Id="rId29" Type="http://schemas.openxmlformats.org/officeDocument/2006/relationships/hyperlink" Target="http://www.sec.gov/cgi-bin/browse-edgar?action=getcompany&amp;CIK=0000933790" TargetMode="External"/><Relationship Id="rId41" Type="http://schemas.openxmlformats.org/officeDocument/2006/relationships/hyperlink" Target="http://www.sec.gov/cgi-bin/browse-edgar?action=getcompany&amp;CIK=0001548639" TargetMode="External"/><Relationship Id="rId47" Type="http://schemas.openxmlformats.org/officeDocument/2006/relationships/hyperlink" Target="http://www.sec.gov/cgi-bin/browse-edgar?action=getcompany&amp;CIK=0001772672" TargetMode="External"/><Relationship Id="rId48" Type="http://schemas.openxmlformats.org/officeDocument/2006/relationships/hyperlink" Target="http://www.sec.gov/cgi-bin/browse-edgar?action=getcompany&amp;CIK=00017726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2026-03-06T18:04:28Z</dcterms:created>
  <dcterms:modified xsi:type="dcterms:W3CDTF">2026-03-06T18:04:28Z</dcterms:modified>
</cp:coreProperties>
</file>