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Medline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001-43022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33-1845288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 Lakes Drive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Northfield, IL 60093</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(847) 949-5500</w:t>
      </w:r>
    </w:p>
    <w:p>
      <w:pPr>
        <w:spacing w:after="0" w:line="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w:t>
      </w: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MDLN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Refinancing Transactions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4" w:right="240"/>
        <w:spacing w:after="0" w:line="256" w:lineRule="auto"/>
        <w:rPr>
          <w:sz w:val="20"/>
          <w:szCs w:val="20"/>
          <w:color w:val="auto"/>
        </w:rPr>
      </w:pPr>
      <w:r>
        <w:rPr>
          <w:rFonts w:ascii="Times New Roman" w:cs="Times New Roman" w:eastAsia="Times New Roman" w:hAnsi="Times New Roman"/>
          <w:sz w:val="18"/>
          <w:szCs w:val="18"/>
          <w:color w:val="auto"/>
        </w:rPr>
        <w:t>On May 28, 2026, Medline Borrower, LP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Medline Co-Issuer, Inc. (the “</w:t>
      </w:r>
      <w:r>
        <w:rPr>
          <w:rFonts w:ascii="Times New Roman" w:cs="Times New Roman" w:eastAsia="Times New Roman" w:hAnsi="Times New Roman"/>
          <w:sz w:val="18"/>
          <w:szCs w:val="18"/>
          <w:u w:val="single" w:color="auto"/>
          <w:color w:val="auto"/>
        </w:rPr>
        <w:t>Co-Issuer</w:t>
      </w:r>
      <w:r>
        <w:rPr>
          <w:rFonts w:ascii="Times New Roman" w:cs="Times New Roman" w:eastAsia="Times New Roman" w:hAnsi="Times New Roman"/>
          <w:sz w:val="18"/>
          <w:szCs w:val="18"/>
          <w:color w:val="auto"/>
        </w:rPr>
        <w:t>” and, together with the Issuer, the “</w:t>
      </w:r>
      <w:r>
        <w:rPr>
          <w:rFonts w:ascii="Times New Roman" w:cs="Times New Roman" w:eastAsia="Times New Roman" w:hAnsi="Times New Roman"/>
          <w:sz w:val="18"/>
          <w:szCs w:val="18"/>
          <w:u w:val="single" w:color="auto"/>
          <w:color w:val="auto"/>
        </w:rPr>
        <w:t>Issuers</w:t>
      </w:r>
      <w:r>
        <w:rPr>
          <w:rFonts w:ascii="Times New Roman" w:cs="Times New Roman" w:eastAsia="Times New Roman" w:hAnsi="Times New Roman"/>
          <w:sz w:val="18"/>
          <w:szCs w:val="18"/>
          <w:color w:val="auto"/>
        </w:rPr>
        <w:t>”), indirect subsidiaries of Medline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$1,250.0 million aggregate principal amount of 5.000% senior secured notes due 2031 (the “</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and $750.0 million aggregate principal amount of 5.250% senior secured notes due 2033 (the “</w:t>
      </w:r>
      <w:r>
        <w:rPr>
          <w:rFonts w:ascii="Times New Roman" w:cs="Times New Roman" w:eastAsia="Times New Roman" w:hAnsi="Times New Roman"/>
          <w:sz w:val="18"/>
          <w:szCs w:val="18"/>
          <w:u w:val="single" w:color="auto"/>
          <w:color w:val="auto"/>
        </w:rPr>
        <w:t>2033 Notes</w:t>
      </w:r>
      <w:r>
        <w:rPr>
          <w:rFonts w:ascii="Times New Roman" w:cs="Times New Roman" w:eastAsia="Times New Roman" w:hAnsi="Times New Roman"/>
          <w:sz w:val="18"/>
          <w:szCs w:val="18"/>
          <w:color w:val="auto"/>
        </w:rPr>
        <w:t>” and, together with the 2031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under an Indenture, dated as of May 28,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Issuers, Medline Intermediate, LP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the direct parent of the Issuer, the subsidiary guarantors party thereto and Wilmington Trust, National Association, as trustee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paying agent, transfer agent, registrar and notes collateral agent (in such capacity, the “</w:t>
      </w:r>
      <w:r>
        <w:rPr>
          <w:rFonts w:ascii="Times New Roman" w:cs="Times New Roman" w:eastAsia="Times New Roman" w:hAnsi="Times New Roman"/>
          <w:sz w:val="18"/>
          <w:szCs w:val="18"/>
          <w:u w:val="single" w:color="auto"/>
          <w:color w:val="auto"/>
        </w:rPr>
        <w:t>Notes Collateral Agent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Concurrently with the Notes offering, the Issuer refinanced its existing senior secured dollar-denominated term loan facility due 2030 (the “</w:t>
      </w:r>
      <w:r>
        <w:rPr>
          <w:rFonts w:ascii="Times New Roman" w:cs="Times New Roman" w:eastAsia="Times New Roman" w:hAnsi="Times New Roman"/>
          <w:sz w:val="18"/>
          <w:szCs w:val="18"/>
          <w:u w:val="single" w:color="auto"/>
          <w:color w:val="auto"/>
        </w:rPr>
        <w:t>2030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 Facility</w:t>
      </w:r>
      <w:r>
        <w:rPr>
          <w:rFonts w:ascii="Times New Roman" w:cs="Times New Roman" w:eastAsia="Times New Roman" w:hAnsi="Times New Roman"/>
          <w:sz w:val="18"/>
          <w:szCs w:val="18"/>
          <w:color w:val="auto"/>
        </w:rPr>
        <w:t>”) with a new senior secured dollar-denominated term loan facility in an aggregate principal amount of approximately $2,750.0 million (the “</w:t>
      </w:r>
      <w:r>
        <w:rPr>
          <w:rFonts w:ascii="Times New Roman" w:cs="Times New Roman" w:eastAsia="Times New Roman" w:hAnsi="Times New Roman"/>
          <w:sz w:val="18"/>
          <w:szCs w:val="18"/>
          <w:u w:val="single" w:color="auto"/>
          <w:color w:val="auto"/>
        </w:rPr>
        <w:t>2033 Refinancing Term Loan Facility</w:t>
      </w:r>
      <w:r>
        <w:rPr>
          <w:rFonts w:ascii="Times New Roman" w:cs="Times New Roman" w:eastAsia="Times New Roman" w:hAnsi="Times New Roman"/>
          <w:sz w:val="18"/>
          <w:szCs w:val="18"/>
          <w:color w:val="auto"/>
        </w:rPr>
        <w:t>” and, together with the existing revolving credit facility, the “</w:t>
      </w:r>
      <w:r>
        <w:rPr>
          <w:rFonts w:ascii="Times New Roman" w:cs="Times New Roman" w:eastAsia="Times New Roman" w:hAnsi="Times New Roman"/>
          <w:sz w:val="18"/>
          <w:szCs w:val="18"/>
          <w:u w:val="single" w:color="auto"/>
          <w:color w:val="auto"/>
        </w:rPr>
        <w:t>Senior Secured Credit Facilities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net proceeds from the Notes offering, together with the borrowings under the 2033 Refinancing Term Loan Facility and cash on hand, were used to</w:t>
      </w:r>
    </w:p>
    <w:p>
      <w:pPr>
        <w:spacing w:after="0" w:line="27" w:lineRule="exact"/>
        <w:rPr>
          <w:sz w:val="20"/>
          <w:szCs w:val="20"/>
          <w:color w:val="auto"/>
        </w:rPr>
      </w:pPr>
    </w:p>
    <w:p>
      <w:pPr>
        <w:ind w:left="4" w:right="200" w:hanging="4"/>
        <w:spacing w:after="0" w:line="255"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in full all outstanding indebtedness under the Issuer’s existing senior secured dollar-denominated term loan facility due 2028, (ii) refinance approximately $724.0 million of the 2030 Term Loan Facility, (iii) redeem approximately $500.0 million of the Issuers’ 6.250% Senior Secured Notes due 2029 and (iv) pay the related fees and expenses with respect to (i) through (iii).</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Indenture</w:t>
      </w:r>
    </w:p>
    <w:p>
      <w:pPr>
        <w:spacing w:after="0" w:line="121"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terms of the Notes and the Indenture. Capitalized terms used herein, but not defined herein, will have the meanings given to them in the Indenture.</w:t>
      </w:r>
    </w:p>
    <w:p>
      <w:pPr>
        <w:spacing w:after="0" w:line="16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Notes and the related Guarantees (as defined below) are secured by substantially all assets of the Issuers and the guarantors which assets also secure the Issuers’ and the guarantors’ obligations under the Senior Secured Credit Facilities, the Issuers’ 3.875% Senior Secured Notes due 2029 and the Issuers’ 6.250% Senior Secured Notes due 2029 (collectively, the “</w:t>
      </w:r>
      <w:r>
        <w:rPr>
          <w:rFonts w:ascii="Times New Roman" w:cs="Times New Roman" w:eastAsia="Times New Roman" w:hAnsi="Times New Roman"/>
          <w:sz w:val="18"/>
          <w:szCs w:val="18"/>
          <w:u w:val="single" w:color="auto"/>
          <w:color w:val="auto"/>
        </w:rPr>
        <w:t>Existing Secured Notes</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subject to permitted liens.</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Interest; Ranking; Guarantees; Collateral</w:t>
      </w:r>
    </w:p>
    <w:p>
      <w:pPr>
        <w:spacing w:after="0" w:line="119"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Interest on the Notes accrues at the rate of 5.000% per annum in the case of the 2031 Notes and 5.250% per annum in the case of the 2033 Notes and, in both cases, is payable semi-annually in arrears on June 15 and December 15 of each year, commencing on December 15, 2026. The 2031 Notes mature on June 15, 2031 and the 2033 Notes mature on June 15, 2033. The Notes are unconditionally guaranteed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by Holdings and each of the Issuer’s wholly owned domestic restricted subsidiaries (other than the Co-Issuer) that guarantee the Senior Secured Credit Facilities.</w:t>
      </w:r>
    </w:p>
    <w:p>
      <w:pPr>
        <w:spacing w:after="0" w:line="180"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In addition, prior to the date an Investment Grade Event occurs and the Issuer and its restricted subsidiaries would be permitted to incur all liens existing as of such date (after giving effect to the release of the liens on the Collateral securing the Notes obligations and the liens on any other indebtedness released substantially concurrently) pursuant to the Indenture as if such liens were incurred on such date (such date, the “</w:t>
      </w:r>
      <w:r>
        <w:rPr>
          <w:rFonts w:ascii="Times New Roman" w:cs="Times New Roman" w:eastAsia="Times New Roman" w:hAnsi="Times New Roman"/>
          <w:sz w:val="18"/>
          <w:szCs w:val="18"/>
          <w:u w:val="single" w:color="auto"/>
          <w:color w:val="auto"/>
        </w:rPr>
        <w:t>Collateral Release Date</w:t>
      </w:r>
      <w:r>
        <w:rPr>
          <w:rFonts w:ascii="Times New Roman" w:cs="Times New Roman" w:eastAsia="Times New Roman" w:hAnsi="Times New Roman"/>
          <w:sz w:val="18"/>
          <w:szCs w:val="18"/>
          <w:color w:val="auto"/>
        </w:rPr>
        <w:t>”), the Notes are collateralized by first-priority perfected security interests in (i) all the capital stock of, or other equity interests in, the Issuer and each of the Issuer’s and the subsidiary guarantors’ material direct or indirect wholly owned restricted domestic subsidiaries and 65% of the capital stock of, or other equity interests in, each of the Issuer’s or any subsidiary guarantors’ direct wholly owned first-tier restricted foreign subsidiaries, and (ii) certain tangible and intangible assets of the Issuers and those of the subsidiary guarantors (subject to certain exceptions and qualifications). The assets securing the Notes and the Company’s obligations under the Senior Secured Credit Facilities and the Existing Secured Notes are also subject to a intercreditor agreement, dated as of October 21, 2021, among Bank of America, N.A., as Bank Collateral Agent, the collateral agents for the Existing Secured Notes, the Issuers, the guarantors party thereto and the Notes Collateral Agent (as amended as of the date hereof, the “</w:t>
      </w:r>
      <w:r>
        <w:rPr>
          <w:rFonts w:ascii="Times New Roman" w:cs="Times New Roman" w:eastAsia="Times New Roman" w:hAnsi="Times New Roman"/>
          <w:sz w:val="18"/>
          <w:szCs w:val="18"/>
          <w:u w:val="single" w:color="auto"/>
          <w:color w:val="auto"/>
        </w:rPr>
        <w:t>Pari Passu Intercreditor Agreement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 xml:space="preserve">The Notes are the Issuers’ and the Guarantees are the guarantors’ senior secured obligations, ranking equally in right of payment with all of the Issuers’ and each guarantor’s existing and future senior indebtedness, senior in right of payment to all of the Issuers’ and each guarantor’s future subordinated indebtedness and other obligations that expressly provide for their subordination to the Notes and the Guarantees, effectively senior to all of the Issuers’ and each guarantor’s existing and future unsecured indebtedness, to the extent of the value of the collateral securing the Notes, equally in priority as to the collateral securing the Notes with respect to borrowings and guarantees under the Senior Secured Credit Facilities, the Existing Secured Notes and any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and structurally subordinate to all existing and future indebtedness, claims of holders of preferred stock and other liabilities of any subsidiary of an Issuer or a guarantor that is not a guarantor or co-issuer of the Notes.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93" w:right="4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Optional Redemption</w:t>
      </w:r>
    </w:p>
    <w:p>
      <w:pPr>
        <w:spacing w:after="0" w:line="119"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2031 Notes are redeemable at any time prior to May 15, 2031, in whole or in part, at the Issuers’ option, at a redemption price equal to the greater of 100% of the principal amount of the 2031 Notes to be redeemed and an applicable “make-whole” price specified in the Indenture and the 2031 Notes, plus accrued and unpaid interest, if any, to, but excluding, the redemption date. The 2031 Notes are redeemable at any time on or after May 15, 2031, in whole or in part, at the Issuers’ option, at a redemption price equal to 100% of the principal amount of the 2031 Notes to be redeemed plus accrued and unpaid interest, if any, to, but excluding, the redemption date.</w:t>
      </w:r>
    </w:p>
    <w:p>
      <w:pPr>
        <w:spacing w:after="0" w:line="183"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The 2033 Notes are redeemable at any time prior to April 15, 2033, in whole or in part, at the Issuers’ option, at a redemption price equal to the greater of 100% of the principal amount of the 2033 Notes to be redeemed and an applicable “make-whole” price specified in the Indenture and the 2033 Notes, plus accrued and unpaid interest, if any, to, but excluding, the redemption date. The 2033 Notes are redeemable at any time on or after April 15, 2033, in whole or in part, at the Issuers’ option, at a redemption price equal to 100% of the principal amount of the 2033 Notes to be redeemed plus accrued and unpaid interest, if any, to, but excluding, the redemption date.</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119"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Subject to certain limitations, in the event of a Change of Control Triggering Event, the Issuers will be required to offer to repurchase the Notes at a price of 101% of their principal amount plus accrued and unpaid interest, if any, to, but excluding, the date of repurchase.</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Covenants; Events of Default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Indenture contains certain covenants, including, among others, covenants that restrict the ability of the Issuers and certain of its subsidiaries to</w:t>
      </w:r>
    </w:p>
    <w:p>
      <w:pPr>
        <w:spacing w:after="0" w:line="27" w:lineRule="exact"/>
        <w:rPr>
          <w:sz w:val="20"/>
          <w:szCs w:val="20"/>
          <w:color w:val="auto"/>
        </w:rPr>
      </w:pPr>
    </w:p>
    <w:p>
      <w:pPr>
        <w:ind w:left="4" w:right="160" w:hanging="4"/>
        <w:spacing w:after="0" w:line="252"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 (ii) merge, consolidate or transfer or sell all or substantially all of the Issuers’ or the guarantors’ assets; (iii) following the Collateral Release Date, enter into certain sale and leaseback transactions; and (iv) permit restricted subsidiaries that are not guarantors to guarantee certain indebtedness without also guaranteeing the Notes. Upon the satisfaction of the conditions for the Collateral Release Date, including the occurrence of an Investment Grade Event, the Collateral and the Guarantees will be released, the Issuers and their restricted subsidiaries will no longer be subject to the covenant limiting guarantees by restricted subsidiaries or the covenant requiring the grant of security interests in after-acquired collateral, and the liens covenant will be modified, as described in the Indenture. Following such release, the Collateral and the Guarantees will not be reinstated upon any subsequent downgrade or withdrawal of such investment grade ratings.</w:t>
      </w:r>
    </w:p>
    <w:p>
      <w:pPr>
        <w:spacing w:after="0" w:line="188"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Indenture also contains customary provisions for events of default. In the case of an event of default, the principal amount of the Notes plus accrued and unpaid interest may be accelerated.</w:t>
      </w:r>
    </w:p>
    <w:p>
      <w:pPr>
        <w:spacing w:after="0" w:line="162"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 description above is qualified in its entirety by the Indenture, which is filed as Exhibit 4.1 to this Current Report on Form 8-K, and the forms of the Notes, which are filed as Exhibits 4.2 and 4.3, respectively, to this Current Report on Form 8-K, each of which is incorporated by reference herein.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Amendment</w:t>
      </w:r>
    </w:p>
    <w:p>
      <w:pPr>
        <w:spacing w:after="0" w:line="121"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On May 28, 2026, Holdings, the Issuer and the subsidiary guarantors party thereto, entered into Amendment No. 7 to the Credit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which amended the Credit Agreement, dated as of October 21, 2021, among Holdings, the Issuer, the subsidiary guarantors party thereto, the lenders, the L/C issuers party thereto and Bank of America, N.A., as administrative agent, collateral agent, a lender and an L/C issuer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to refinance the 2030 Term Loan Facility with the incurrence of the 2033 Refinancing Term Loan Facility.</w:t>
      </w:r>
    </w:p>
    <w:p>
      <w:pPr>
        <w:spacing w:after="0" w:line="180"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The 2033 Refinancing Term Loan Facility will mature on May 28, 2033 (the “</w:t>
      </w:r>
      <w:r>
        <w:rPr>
          <w:rFonts w:ascii="Times New Roman" w:cs="Times New Roman" w:eastAsia="Times New Roman" w:hAnsi="Times New Roman"/>
          <w:sz w:val="18"/>
          <w:szCs w:val="18"/>
          <w:u w:val="single" w:color="auto"/>
          <w:color w:val="auto"/>
        </w:rPr>
        <w:t>2033 Refinancing Term Loan Facility Maturity Date</w:t>
      </w:r>
      <w:r>
        <w:rPr>
          <w:rFonts w:ascii="Times New Roman" w:cs="Times New Roman" w:eastAsia="Times New Roman" w:hAnsi="Times New Roman"/>
          <w:sz w:val="18"/>
          <w:szCs w:val="18"/>
          <w:color w:val="auto"/>
        </w:rPr>
        <w:t>”) and is subject to the same affirmative and negative covenants and events of default as the 2030 Term Loan Facility outstanding under the Credit Agreement immediately prior to the Amendment. The term loans under the 2033 Refinancing Term Loan Facility amortize in equal quarterly installments in an aggregate annual amount equal to 1.00% of the original principal amount of such term loans as of the date of the Amendment, with the balance being payable on the 2033 Refinancing Term Loan Facility Maturity Date.</w:t>
      </w:r>
    </w:p>
    <w:p>
      <w:pPr>
        <w:spacing w:after="0" w:line="183"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Borrowings under the 2033 Refinancing Term Loan Facility bear interest, at the Issuer’s option, at a rate per annum equal to an applicable margin over either (a) a base rate determined by reference to the highest of (1) the “Prime Rate” in the United States as published in The Wall Street Journal, (2) the federal funds effective rate plus 1/2 of 1%, and (3) Term SOFR for a one-month interest period plus 1.00% or (b) a Term SOFR rate determined by reference to the applicable Term SOFR rate published on the Federal Reserve Bank of New York’s Website for the interest period relevant to such borrowing, subject to a Term SOFR floor equal to 0.50%.</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95" w:right="459" w:bottom="1440" w:gutter="0" w:footer="0" w:header="0"/>
        </w:sectPr>
      </w:pPr>
    </w:p>
    <w:bookmarkStart w:id="3" w:name="page4"/>
    <w:bookmarkEnd w:id="3"/>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Any voluntary prepayment, refinancing or repricing of the term loans under the 2033 Refinancing Term Loan Facility in connection with certain repricing transactions that occur prior to the 6-month anniversary of the date of the Amendment is subject to a prepayment premium of 1.0% of the principal amount of the term loans so prepaid, refinanced or repriced, subject to certain exceptions. The 2033 Refinancing Term Loan Facility is subject to mandatory prepayment on the same terms, and subject to the same exceptions, as the 2030 Term Loan Facility outstanding under the Credit Agreement immediately prior to the Amendment.</w:t>
      </w:r>
    </w:p>
    <w:p>
      <w:pPr>
        <w:spacing w:after="0" w:line="183" w:lineRule="exact"/>
        <w:rPr>
          <w:sz w:val="20"/>
          <w:szCs w:val="20"/>
          <w:color w:val="auto"/>
        </w:rPr>
      </w:pPr>
    </w:p>
    <w:p>
      <w:pPr>
        <w:ind w:left="4" w:right="6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subject to, and qualified in its entirety by, the full text of the Amendment, which is filed as Exhibit 10.1 to this Form 8-K and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2.03 relating to the Notes, the Indenture and the Amendment is contained in Item 1.01 of this Current Report on Form 8-K and is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380"/>
        <w:spacing w:after="0" w:line="281" w:lineRule="auto"/>
        <w:rPr>
          <w:sz w:val="20"/>
          <w:szCs w:val="20"/>
          <w:color w:val="auto"/>
        </w:rPr>
      </w:pPr>
      <w:r>
        <w:rPr>
          <w:rFonts w:ascii="Times New Roman" w:cs="Times New Roman" w:eastAsia="Times New Roman" w:hAnsi="Times New Roman"/>
          <w:sz w:val="17"/>
          <w:szCs w:val="17"/>
          <w:color w:val="auto"/>
        </w:rPr>
        <w:t>On May 28, 2026, certain selling stockholders affiliated with Blackstone Inc., Hellman &amp; Friedman LLC and a wholly owned subsidiary of the Abu Dhabi Investment Authority (together, the “</w:t>
      </w:r>
      <w:r>
        <w:rPr>
          <w:rFonts w:ascii="Times New Roman" w:cs="Times New Roman" w:eastAsia="Times New Roman" w:hAnsi="Times New Roman"/>
          <w:sz w:val="17"/>
          <w:szCs w:val="17"/>
          <w:u w:val="single" w:color="auto"/>
          <w:color w:val="auto"/>
        </w:rPr>
        <w:t>Selling Stockholders</w:t>
      </w:r>
      <w:r>
        <w:rPr>
          <w:rFonts w:ascii="Times New Roman" w:cs="Times New Roman" w:eastAsia="Times New Roman" w:hAnsi="Times New Roman"/>
          <w:sz w:val="17"/>
          <w:szCs w:val="17"/>
          <w:color w:val="auto"/>
        </w:rPr>
        <w:t>”) completed the previously-announced underwritten public offering of 72,554,594 shares of the Company’s Class A common stock, $0.0001 par value per share, at a public offering price of $37.00 per share. The Selling Stockholders granted the underwriters a 30-day option to purchase up to an additional 10,883,189 shares of the Company’s Class A common stock.</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4" w:right="120"/>
        <w:spacing w:after="0" w:line="254" w:lineRule="auto"/>
        <w:rPr>
          <w:sz w:val="20"/>
          <w:szCs w:val="20"/>
          <w:color w:val="auto"/>
        </w:rPr>
      </w:pPr>
      <w:r>
        <w:rPr>
          <w:rFonts w:ascii="Times New Roman" w:cs="Times New Roman" w:eastAsia="Times New Roman" w:hAnsi="Times New Roman"/>
          <w:sz w:val="18"/>
          <w:szCs w:val="18"/>
          <w:color w:val="auto"/>
        </w:rPr>
        <w:t>Affiliates of Blackstone and Carlyle each beneficially own in excess of 10% of our issued and outstanding common stock and affiliates of Blackstone received in excess of 5% of the net proceeds of the equity offering. Because Blackstone Securities Partners L.P. and TCG Capital Markets L.L.C. acted as underwriters in the equity offering, and their affiliates each own in excess of 10% of our issued and outstanding common stock and affiliates of Blackstone Securities Partners L.P. received in excess of 5% of the net proceeds of this offering, Blackstone Securities Partners L.P. and TCG Capital Markets L.L.C. were each deemed to have a “conflict of interest” under FINRA Rule 5121. Accordingly, the offering was made in compliance with the requirements of FINRA Rule 5121. Pursuant to that rule, the appointment of a “qualified independent underwriter” was not required in connection with the equity offering as a “bona fide public market,” as defined in FINRA Rule 5121, existed for our Class A common stock. Neither Blackstone Securities Partners L.P. nor TCG Capital Markets L.L.C. confirmed sales of the securities to any account over which they exercise discretionary authority without the specific written approval of the account holder.</w:t>
      </w:r>
    </w:p>
    <w:p>
      <w:pPr>
        <w:spacing w:after="0" w:line="333"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20" w:type="dxa"/>
            <w:vAlign w:val="bottom"/>
            <w:gridSpan w:val="10"/>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gridSpan w:val="8"/>
          </w:tcPr>
          <w:p>
            <w:pPr>
              <w:ind w:left="3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4.1</w:t>
            </w:r>
          </w:p>
        </w:tc>
        <w:tc>
          <w:tcPr>
            <w:tcW w:w="440" w:type="dxa"/>
            <w:vAlign w:val="bottom"/>
          </w:tcPr>
          <w:p>
            <w:pPr>
              <w:spacing w:after="0"/>
              <w:rPr>
                <w:sz w:val="22"/>
                <w:szCs w:val="22"/>
                <w:color w:val="auto"/>
              </w:rPr>
            </w:pPr>
          </w:p>
        </w:tc>
        <w:tc>
          <w:tcPr>
            <w:tcW w:w="8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Indenture, dated as of May 28, 2026, among Medline Borrower, LP, as the Issuer, Medline Co-Issuer, Inc., as the Co-Issuer,</w:t>
            </w:r>
          </w:p>
        </w:tc>
        <w:tc>
          <w:tcPr>
            <w:tcW w:w="680" w:type="dxa"/>
            <w:vAlign w:val="bottom"/>
            <w:gridSpan w:val="5"/>
          </w:tcPr>
          <w:p>
            <w:pPr>
              <w:spacing w:after="0"/>
              <w:rPr>
                <w:sz w:val="22"/>
                <w:szCs w:val="22"/>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Medline Intermediate, LP, as Holdings, the Subsidiary Guarantors named therein, and Wilmington Trust, National Association, as</w:t>
            </w:r>
          </w:p>
        </w:tc>
        <w:tc>
          <w:tcPr>
            <w:tcW w:w="2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Trustee, Paying Agent, Transfer Agent, Registrar and Notes Collateral Agent.</w:t>
            </w: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4.2</w:t>
            </w:r>
          </w:p>
        </w:tc>
        <w:tc>
          <w:tcPr>
            <w:tcW w:w="44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Form of the 5.000% Senior Secured Note due 2031 (included in Exhibit 4.1 hereto).</w:t>
            </w: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4.3</w:t>
            </w:r>
          </w:p>
        </w:tc>
        <w:tc>
          <w:tcPr>
            <w:tcW w:w="44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Form of the 5.250% Senior Secured Note due 2033 (included in Exhibit 4.1 hereto).</w:t>
            </w: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440" w:type="dxa"/>
            <w:vAlign w:val="bottom"/>
          </w:tcPr>
          <w:p>
            <w:pPr>
              <w:spacing w:after="0"/>
              <w:rPr>
                <w:sz w:val="24"/>
                <w:szCs w:val="24"/>
                <w:color w:val="auto"/>
              </w:rPr>
            </w:pPr>
          </w:p>
        </w:tc>
        <w:tc>
          <w:tcPr>
            <w:tcW w:w="94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Amendment No. 7 to the Credit Agreement, dated as of May 28, 2026, among Medline Intermediate, LP, Medline Borrower, LP, as</w:t>
            </w:r>
          </w:p>
        </w:tc>
        <w:tc>
          <w:tcPr>
            <w:tcW w:w="1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successor in interest to Mozart Debt Merger Sub Inc., the guarantors from time to time party thereto, the lending institutions and</w:t>
            </w:r>
          </w:p>
        </w:tc>
        <w:tc>
          <w:tcPr>
            <w:tcW w:w="34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L/C issuers from time to time party thereto, and Bank of America, N.A., as administrative agent, collateral agent, lender and</w:t>
            </w:r>
          </w:p>
        </w:tc>
      </w:tr>
      <w:tr>
        <w:trPr>
          <w:trHeight w:val="196"/>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L/C issuer.</w:t>
            </w:r>
          </w:p>
        </w:tc>
        <w:tc>
          <w:tcPr>
            <w:tcW w:w="640" w:type="dxa"/>
            <w:vAlign w:val="bottom"/>
            <w:gridSpan w:val="4"/>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64" w:right="3760" w:hanging="5464"/>
        <w:spacing w:after="0" w:line="454" w:lineRule="auto"/>
        <w:tabs>
          <w:tab w:leader="none" w:pos="14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ectPr>
          <w:pgSz w:w="11900" w:h="16838" w:orient="portrait"/>
          <w:cols w:equalWidth="0" w:num="1">
            <w:col w:w="11024"/>
          </w:cols>
          <w:pgMar w:left="436" w:top="297" w:right="43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MEDLINE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B. Drazin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B. Drazin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ectPr>
          <w:pgSz w:w="11900" w:h="16838" w:orient="portrait"/>
          <w:cols w:equalWidth="0" w:num="1">
            <w:col w:w="10940"/>
          </w:cols>
          <w:pgMar w:left="440" w:top="293" w:right="5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May 28,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MEDLINE BORROWER, LP, as the Issuer,</w:t>
      </w:r>
    </w:p>
    <w:p>
      <w:pPr>
        <w:spacing w:after="0" w:line="22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MEDLINE CO-ISSUER, INC., as the Co-Issuer,</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MEDLINE INTERMEDIATE, LP, as Holdings,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Subsidiary Guarantors named herein,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as Trustee, Paying Agent, Transfer Agent, Registrar and Notes Collateral Agent</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$1,250,000,000 5.000% SENIOR SECURED NOTES DUE 2031</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$750,000,000 5.250% SENIOR SECURED NOTES DUE 2033</w:t>
      </w:r>
    </w:p>
    <w:p>
      <w:pPr>
        <w:sectPr>
          <w:pgSz w:w="11900" w:h="16838" w:orient="portrait"/>
          <w:cols w:equalWidth="0" w:num="1">
            <w:col w:w="10020"/>
          </w:cols>
          <w:pgMar w:left="1440" w:top="117"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958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r>
      <w:tr>
        <w:trPr>
          <w:trHeight w:val="392"/>
        </w:trPr>
        <w:tc>
          <w:tcPr>
            <w:tcW w:w="108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86"/>
        </w:trPr>
        <w:tc>
          <w:tcPr>
            <w:tcW w:w="1080" w:type="dxa"/>
            <w:vAlign w:val="bottom"/>
          </w:tcPr>
          <w:p>
            <w:pPr>
              <w:spacing w:after="0"/>
              <w:rPr>
                <w:sz w:val="24"/>
                <w:szCs w:val="24"/>
                <w:color w:val="auto"/>
              </w:rPr>
            </w:pPr>
          </w:p>
        </w:tc>
        <w:tc>
          <w:tcPr>
            <w:tcW w:w="95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8"/>
              </w:rPr>
              <w:t>ARTICLE 1</w:t>
            </w:r>
          </w:p>
        </w:tc>
        <w:tc>
          <w:tcPr>
            <w:tcW w:w="3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95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DEFINITIONS AND INCORPORATION BY REFERENCE</w:t>
            </w:r>
          </w:p>
        </w:tc>
        <w:tc>
          <w:tcPr>
            <w:tcW w:w="300" w:type="dxa"/>
            <w:vAlign w:val="bottom"/>
          </w:tcPr>
          <w:p>
            <w:pPr>
              <w:spacing w:after="0"/>
              <w:rPr>
                <w:sz w:val="20"/>
                <w:szCs w:val="20"/>
                <w:color w:val="auto"/>
              </w:rPr>
            </w:pPr>
          </w:p>
        </w:tc>
      </w:tr>
      <w:tr>
        <w:trPr>
          <w:trHeight w:val="302"/>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1.01.</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1.02.</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Other 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1.03.</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Rules of Construction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1.04.</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Acts of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1.05.</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Timing of Payment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1.06.</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Limited Condition Transactions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1.07.</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Certain Compliance Calculations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1.08.</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1.09.</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6"/>
        </w:trPr>
        <w:tc>
          <w:tcPr>
            <w:tcW w:w="1080" w:type="dxa"/>
            <w:vAlign w:val="bottom"/>
          </w:tcPr>
          <w:p>
            <w:pPr>
              <w:spacing w:after="0"/>
              <w:rPr>
                <w:sz w:val="24"/>
                <w:szCs w:val="24"/>
                <w:color w:val="auto"/>
              </w:rPr>
            </w:pPr>
          </w:p>
        </w:tc>
        <w:tc>
          <w:tcPr>
            <w:tcW w:w="95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8"/>
              </w:rPr>
              <w:t>ARTICLE 2</w:t>
            </w:r>
          </w:p>
        </w:tc>
        <w:tc>
          <w:tcPr>
            <w:tcW w:w="3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958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THE NOTES</w:t>
            </w:r>
          </w:p>
        </w:tc>
        <w:tc>
          <w:tcPr>
            <w:tcW w:w="300" w:type="dxa"/>
            <w:vAlign w:val="bottom"/>
          </w:tcPr>
          <w:p>
            <w:pPr>
              <w:spacing w:after="0"/>
              <w:rPr>
                <w:sz w:val="20"/>
                <w:szCs w:val="20"/>
                <w:color w:val="auto"/>
              </w:rPr>
            </w:pPr>
          </w:p>
        </w:tc>
      </w:tr>
      <w:tr>
        <w:trPr>
          <w:trHeight w:val="302"/>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2.01.</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Form and Dating; Terms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2.02.</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Execution and Authentication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2.03.</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Registrars, Transfer Agents and Paying Agents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2.04.</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Notes Paying Agent to Hold Money in Trust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2.05.</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Holder Lists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2.06.</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Transfer and Exchange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2.07.</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Replacement Notes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2.08.</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Outstanding Notes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2.09.</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Treasury Notes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2.10.</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Temporary Notes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2.11.</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Cancellation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2.12.</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Defaulted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2.13.</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CUSIP, ISIN or Common Code Numbers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06"/>
        </w:trPr>
        <w:tc>
          <w:tcPr>
            <w:tcW w:w="1080" w:type="dxa"/>
            <w:vAlign w:val="bottom"/>
          </w:tcPr>
          <w:p>
            <w:pPr>
              <w:spacing w:after="0"/>
              <w:rPr>
                <w:sz w:val="24"/>
                <w:szCs w:val="24"/>
                <w:color w:val="auto"/>
              </w:rPr>
            </w:pPr>
          </w:p>
        </w:tc>
        <w:tc>
          <w:tcPr>
            <w:tcW w:w="95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8"/>
              </w:rPr>
              <w:t>ARTICLE 3</w:t>
            </w:r>
          </w:p>
        </w:tc>
        <w:tc>
          <w:tcPr>
            <w:tcW w:w="3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95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REDEMPTION</w:t>
            </w:r>
          </w:p>
        </w:tc>
        <w:tc>
          <w:tcPr>
            <w:tcW w:w="300" w:type="dxa"/>
            <w:vAlign w:val="bottom"/>
          </w:tcPr>
          <w:p>
            <w:pPr>
              <w:spacing w:after="0"/>
              <w:rPr>
                <w:sz w:val="20"/>
                <w:szCs w:val="20"/>
                <w:color w:val="auto"/>
              </w:rPr>
            </w:pPr>
          </w:p>
        </w:tc>
      </w:tr>
      <w:tr>
        <w:trPr>
          <w:trHeight w:val="302"/>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3.01.</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Notices to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3.02.</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Selection of Notes to Be Redeemed or Purchased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3.03.</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Notice of Redemption or Purchase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3.04.</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Effect of Notice of Redemption or Purchase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3.05.</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Deposit of Redemption Price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3.06.</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Notes Redeemed in Part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3.07.</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Optional Redemption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3.08.</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3.09.</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Mandatory Redemption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75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ARTICLE 4</w:t>
            </w:r>
          </w:p>
        </w:tc>
        <w:tc>
          <w:tcPr>
            <w:tcW w:w="232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75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COVENANTS</w:t>
            </w:r>
          </w:p>
        </w:tc>
        <w:tc>
          <w:tcPr>
            <w:tcW w:w="2320" w:type="dxa"/>
            <w:vAlign w:val="bottom"/>
          </w:tcPr>
          <w:p>
            <w:pPr>
              <w:spacing w:after="0"/>
              <w:rPr>
                <w:sz w:val="20"/>
                <w:szCs w:val="20"/>
                <w:color w:val="auto"/>
              </w:rPr>
            </w:pPr>
          </w:p>
        </w:tc>
      </w:tr>
      <w:tr>
        <w:trPr>
          <w:trHeight w:val="302"/>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4.01.</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Payment of Notes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4.02.</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Maintenance of Office or Agency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4.03.</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Reports and Other Information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4.04.</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Compliance Certificate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4.05.</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Taxes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4.06.</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Stay, Extension and Usury Laws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4.07.</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4.08.</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4.09.</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4.10.</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4.11.</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4.12.</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Liens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4.13.</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Company Existence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4.14.</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Offer to Repurchase Upon Change of Control Triggering Event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4.15.</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Limitations on Guarantees of Indebtedness by Restricted Subsidiaries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4.16.</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Sale and Lease-Back Transactions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4.17.</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Release of Collateral and Guarantees upon Investment Grade Event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4.18.</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After-Acquired Collateral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4.19.</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Post-Closing Covenant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06"/>
        </w:trPr>
        <w:tc>
          <w:tcPr>
            <w:tcW w:w="1080" w:type="dxa"/>
            <w:vAlign w:val="bottom"/>
          </w:tcPr>
          <w:p>
            <w:pPr>
              <w:spacing w:after="0"/>
              <w:rPr>
                <w:sz w:val="24"/>
                <w:szCs w:val="24"/>
                <w:color w:val="auto"/>
              </w:rPr>
            </w:pPr>
          </w:p>
        </w:tc>
        <w:tc>
          <w:tcPr>
            <w:tcW w:w="75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ARTICLE 5</w:t>
            </w:r>
          </w:p>
        </w:tc>
        <w:tc>
          <w:tcPr>
            <w:tcW w:w="232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75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SUCCESSORS</w:t>
            </w:r>
          </w:p>
        </w:tc>
        <w:tc>
          <w:tcPr>
            <w:tcW w:w="2320" w:type="dxa"/>
            <w:vAlign w:val="bottom"/>
          </w:tcPr>
          <w:p>
            <w:pPr>
              <w:spacing w:after="0"/>
              <w:rPr>
                <w:sz w:val="20"/>
                <w:szCs w:val="20"/>
                <w:color w:val="auto"/>
              </w:rPr>
            </w:pPr>
          </w:p>
        </w:tc>
      </w:tr>
      <w:tr>
        <w:trPr>
          <w:trHeight w:val="302"/>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5.01.</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Merger, Consolidation or Sale of All or Substantially All Assets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5.02.</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Successor Person Substituted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06"/>
        </w:trPr>
        <w:tc>
          <w:tcPr>
            <w:tcW w:w="1080" w:type="dxa"/>
            <w:vAlign w:val="bottom"/>
          </w:tcPr>
          <w:p>
            <w:pPr>
              <w:spacing w:after="0"/>
              <w:rPr>
                <w:sz w:val="24"/>
                <w:szCs w:val="24"/>
                <w:color w:val="auto"/>
              </w:rPr>
            </w:pPr>
          </w:p>
        </w:tc>
        <w:tc>
          <w:tcPr>
            <w:tcW w:w="75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ARTICLE 6</w:t>
            </w:r>
          </w:p>
        </w:tc>
        <w:tc>
          <w:tcPr>
            <w:tcW w:w="232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75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DEFAULTS AND REMEDIES</w:t>
            </w:r>
          </w:p>
        </w:tc>
        <w:tc>
          <w:tcPr>
            <w:tcW w:w="2320" w:type="dxa"/>
            <w:vAlign w:val="bottom"/>
          </w:tcPr>
          <w:p>
            <w:pPr>
              <w:spacing w:after="0"/>
              <w:rPr>
                <w:sz w:val="20"/>
                <w:szCs w:val="20"/>
                <w:color w:val="auto"/>
              </w:rPr>
            </w:pPr>
          </w:p>
        </w:tc>
      </w:tr>
      <w:tr>
        <w:trPr>
          <w:trHeight w:val="302"/>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6.01.</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Events of Default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6.02.</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Acceleration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6.03.</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Other Remedies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6.04.</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Waiver of Past Defaults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6.05.</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Control by Majority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6.06.</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Limitation on Suits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6.07.</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Right of Holders to Sue for Payment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6.08.</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Collection Suit by Trustee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6.09.</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Restoration of Rights and Remedies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6.10.</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Rights and Remedies Cumulative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6.11.</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Delay or Omission Not Waiver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6.12.</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Trustee May File Proofs of Claim</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6.13.</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Priorities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6.14.</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Undertaking for Costs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6.15.</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Underlying Cure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6"/>
        </w:trPr>
        <w:tc>
          <w:tcPr>
            <w:tcW w:w="1080" w:type="dxa"/>
            <w:vAlign w:val="bottom"/>
          </w:tcPr>
          <w:p>
            <w:pPr>
              <w:spacing w:after="0"/>
              <w:rPr>
                <w:sz w:val="24"/>
                <w:szCs w:val="24"/>
                <w:color w:val="auto"/>
              </w:rPr>
            </w:pPr>
          </w:p>
        </w:tc>
        <w:tc>
          <w:tcPr>
            <w:tcW w:w="75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ARTICLE 7</w:t>
            </w:r>
          </w:p>
        </w:tc>
        <w:tc>
          <w:tcPr>
            <w:tcW w:w="232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75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TRUSTEE AND AGENTS</w:t>
            </w:r>
          </w:p>
        </w:tc>
        <w:tc>
          <w:tcPr>
            <w:tcW w:w="2320" w:type="dxa"/>
            <w:vAlign w:val="bottom"/>
          </w:tcPr>
          <w:p>
            <w:pPr>
              <w:spacing w:after="0"/>
              <w:rPr>
                <w:sz w:val="20"/>
                <w:szCs w:val="20"/>
                <w:color w:val="auto"/>
              </w:rPr>
            </w:pPr>
          </w:p>
        </w:tc>
      </w:tr>
      <w:tr>
        <w:trPr>
          <w:trHeight w:val="302"/>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7.01.</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Duties of Trustee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7.02.</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Rights of Trustee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7.03.</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Individual Rights of Trustee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7.04.</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Trustee’s Disclaimer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7.05.</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Notice of Defaults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7.06.</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Indemnity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7.07.</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Replacement of Trustee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7.08.</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Successor Trustee by Merger, etc.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7.09.</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Eligibility; Disqualification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7.10.</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Security Documents; Intercreditor Agreements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7.11.</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Limitation on Duty of Trustee in Respect of Collateral; Indemnification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06"/>
        </w:trPr>
        <w:tc>
          <w:tcPr>
            <w:tcW w:w="1180" w:type="dxa"/>
            <w:vAlign w:val="bottom"/>
          </w:tcPr>
          <w:p>
            <w:pPr>
              <w:spacing w:after="0"/>
              <w:rPr>
                <w:sz w:val="24"/>
                <w:szCs w:val="24"/>
                <w:color w:val="auto"/>
              </w:rPr>
            </w:pPr>
          </w:p>
        </w:tc>
        <w:tc>
          <w:tcPr>
            <w:tcW w:w="85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ARTICLE 8</w:t>
            </w:r>
          </w:p>
        </w:tc>
        <w:tc>
          <w:tcPr>
            <w:tcW w:w="1260" w:type="dxa"/>
            <w:vAlign w:val="bottom"/>
          </w:tcPr>
          <w:p>
            <w:pPr>
              <w:spacing w:after="0"/>
              <w:rPr>
                <w:sz w:val="24"/>
                <w:szCs w:val="24"/>
                <w:color w:val="auto"/>
              </w:rPr>
            </w:pPr>
          </w:p>
        </w:tc>
      </w:tr>
      <w:tr>
        <w:trPr>
          <w:trHeight w:val="234"/>
        </w:trPr>
        <w:tc>
          <w:tcPr>
            <w:tcW w:w="1180" w:type="dxa"/>
            <w:vAlign w:val="bottom"/>
          </w:tcPr>
          <w:p>
            <w:pPr>
              <w:spacing w:after="0"/>
              <w:rPr>
                <w:sz w:val="20"/>
                <w:szCs w:val="20"/>
                <w:color w:val="auto"/>
              </w:rPr>
            </w:pPr>
          </w:p>
        </w:tc>
        <w:tc>
          <w:tcPr>
            <w:tcW w:w="85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LEGAL DEFEASANCE AND COVENANT DEFEASANCE</w:t>
            </w:r>
          </w:p>
        </w:tc>
        <w:tc>
          <w:tcPr>
            <w:tcW w:w="1260" w:type="dxa"/>
            <w:vAlign w:val="bottom"/>
          </w:tcPr>
          <w:p>
            <w:pPr>
              <w:spacing w:after="0"/>
              <w:rPr>
                <w:sz w:val="20"/>
                <w:szCs w:val="20"/>
                <w:color w:val="auto"/>
              </w:rPr>
            </w:pPr>
          </w:p>
        </w:tc>
      </w:tr>
      <w:tr>
        <w:trPr>
          <w:trHeight w:val="302"/>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8.01.</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Option to Effect Legal Defeasance or 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8.02.</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Legal Defeasance and Discharge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8.03.</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8.04.</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Conditions to Legal or 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8.05.</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Deposited Money and U.S. Government Securities to be Held in Trust; Other Miscellaneous Provisions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8.06.</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Repayment to Issuer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8.07.</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Reinstatement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06"/>
        </w:trPr>
        <w:tc>
          <w:tcPr>
            <w:tcW w:w="1180" w:type="dxa"/>
            <w:vAlign w:val="bottom"/>
          </w:tcPr>
          <w:p>
            <w:pPr>
              <w:spacing w:after="0"/>
              <w:rPr>
                <w:sz w:val="24"/>
                <w:szCs w:val="24"/>
                <w:color w:val="auto"/>
              </w:rPr>
            </w:pPr>
          </w:p>
        </w:tc>
        <w:tc>
          <w:tcPr>
            <w:tcW w:w="85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ARTICLE 9</w:t>
            </w:r>
          </w:p>
        </w:tc>
        <w:tc>
          <w:tcPr>
            <w:tcW w:w="1260" w:type="dxa"/>
            <w:vAlign w:val="bottom"/>
          </w:tcPr>
          <w:p>
            <w:pPr>
              <w:spacing w:after="0"/>
              <w:rPr>
                <w:sz w:val="24"/>
                <w:szCs w:val="24"/>
                <w:color w:val="auto"/>
              </w:rPr>
            </w:pPr>
          </w:p>
        </w:tc>
      </w:tr>
      <w:tr>
        <w:trPr>
          <w:trHeight w:val="234"/>
        </w:trPr>
        <w:tc>
          <w:tcPr>
            <w:tcW w:w="1180" w:type="dxa"/>
            <w:vAlign w:val="bottom"/>
          </w:tcPr>
          <w:p>
            <w:pPr>
              <w:spacing w:after="0"/>
              <w:rPr>
                <w:sz w:val="20"/>
                <w:szCs w:val="20"/>
                <w:color w:val="auto"/>
              </w:rPr>
            </w:pPr>
          </w:p>
        </w:tc>
        <w:tc>
          <w:tcPr>
            <w:tcW w:w="85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AMENDMENT, SUPPLEMENT AND WAIVER</w:t>
            </w:r>
          </w:p>
        </w:tc>
        <w:tc>
          <w:tcPr>
            <w:tcW w:w="1260" w:type="dxa"/>
            <w:vAlign w:val="bottom"/>
          </w:tcPr>
          <w:p>
            <w:pPr>
              <w:spacing w:after="0"/>
              <w:rPr>
                <w:sz w:val="20"/>
                <w:szCs w:val="20"/>
                <w:color w:val="auto"/>
              </w:rPr>
            </w:pPr>
          </w:p>
        </w:tc>
      </w:tr>
      <w:tr>
        <w:trPr>
          <w:trHeight w:val="302"/>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9.01.</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Without Consent of Holders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9.02.</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With Consent of Holders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9.03.</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Revocation and Effect of Consents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9.04.</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Notation on or Exchange of Notes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9.05.</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Trustee to Sign Amendments, etc.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9.06.</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Additional Voting Terms; Calculation of Principal Amount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9.07.</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No Impairment of Right of Holders to Receive Payment.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06"/>
        </w:trPr>
        <w:tc>
          <w:tcPr>
            <w:tcW w:w="1180" w:type="dxa"/>
            <w:vAlign w:val="bottom"/>
          </w:tcPr>
          <w:p>
            <w:pPr>
              <w:spacing w:after="0"/>
              <w:rPr>
                <w:sz w:val="24"/>
                <w:szCs w:val="24"/>
                <w:color w:val="auto"/>
              </w:rPr>
            </w:pPr>
          </w:p>
        </w:tc>
        <w:tc>
          <w:tcPr>
            <w:tcW w:w="85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ARTICLE 10</w:t>
            </w:r>
          </w:p>
        </w:tc>
        <w:tc>
          <w:tcPr>
            <w:tcW w:w="1260" w:type="dxa"/>
            <w:vAlign w:val="bottom"/>
          </w:tcPr>
          <w:p>
            <w:pPr>
              <w:spacing w:after="0"/>
              <w:rPr>
                <w:sz w:val="24"/>
                <w:szCs w:val="24"/>
                <w:color w:val="auto"/>
              </w:rPr>
            </w:pPr>
          </w:p>
        </w:tc>
      </w:tr>
      <w:tr>
        <w:trPr>
          <w:trHeight w:val="234"/>
        </w:trPr>
        <w:tc>
          <w:tcPr>
            <w:tcW w:w="1180" w:type="dxa"/>
            <w:vAlign w:val="bottom"/>
          </w:tcPr>
          <w:p>
            <w:pPr>
              <w:spacing w:after="0"/>
              <w:rPr>
                <w:sz w:val="20"/>
                <w:szCs w:val="20"/>
                <w:color w:val="auto"/>
              </w:rPr>
            </w:pPr>
          </w:p>
        </w:tc>
        <w:tc>
          <w:tcPr>
            <w:tcW w:w="85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GUARANTEES</w:t>
            </w:r>
          </w:p>
        </w:tc>
        <w:tc>
          <w:tcPr>
            <w:tcW w:w="1260" w:type="dxa"/>
            <w:vAlign w:val="bottom"/>
          </w:tcPr>
          <w:p>
            <w:pPr>
              <w:spacing w:after="0"/>
              <w:rPr>
                <w:sz w:val="20"/>
                <w:szCs w:val="20"/>
                <w:color w:val="auto"/>
              </w:rPr>
            </w:pPr>
          </w:p>
        </w:tc>
      </w:tr>
      <w:tr>
        <w:trPr>
          <w:trHeight w:val="302"/>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10.01.</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Guarantee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10.02.</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Limitation on Guarantor Liability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10.03.</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Execution and Delivery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10.04.</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Subrogation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10.05.</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Benefits Acknowledged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10.06.</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Release of Guarantees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06"/>
        </w:trPr>
        <w:tc>
          <w:tcPr>
            <w:tcW w:w="1180" w:type="dxa"/>
            <w:vAlign w:val="bottom"/>
          </w:tcPr>
          <w:p>
            <w:pPr>
              <w:spacing w:after="0"/>
              <w:rPr>
                <w:sz w:val="24"/>
                <w:szCs w:val="24"/>
                <w:color w:val="auto"/>
              </w:rPr>
            </w:pPr>
          </w:p>
        </w:tc>
        <w:tc>
          <w:tcPr>
            <w:tcW w:w="85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ARTICLE 11</w:t>
            </w:r>
          </w:p>
        </w:tc>
        <w:tc>
          <w:tcPr>
            <w:tcW w:w="1260" w:type="dxa"/>
            <w:vAlign w:val="bottom"/>
          </w:tcPr>
          <w:p>
            <w:pPr>
              <w:spacing w:after="0"/>
              <w:rPr>
                <w:sz w:val="24"/>
                <w:szCs w:val="24"/>
                <w:color w:val="auto"/>
              </w:rPr>
            </w:pPr>
          </w:p>
        </w:tc>
      </w:tr>
      <w:tr>
        <w:trPr>
          <w:trHeight w:val="234"/>
        </w:trPr>
        <w:tc>
          <w:tcPr>
            <w:tcW w:w="1180" w:type="dxa"/>
            <w:vAlign w:val="bottom"/>
          </w:tcPr>
          <w:p>
            <w:pPr>
              <w:spacing w:after="0"/>
              <w:rPr>
                <w:sz w:val="20"/>
                <w:szCs w:val="20"/>
                <w:color w:val="auto"/>
              </w:rPr>
            </w:pPr>
          </w:p>
        </w:tc>
        <w:tc>
          <w:tcPr>
            <w:tcW w:w="85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SATISFACTION AND DISCHARGE</w:t>
            </w:r>
          </w:p>
        </w:tc>
        <w:tc>
          <w:tcPr>
            <w:tcW w:w="1260" w:type="dxa"/>
            <w:vAlign w:val="bottom"/>
          </w:tcPr>
          <w:p>
            <w:pPr>
              <w:spacing w:after="0"/>
              <w:rPr>
                <w:sz w:val="20"/>
                <w:szCs w:val="20"/>
                <w:color w:val="auto"/>
              </w:rPr>
            </w:pPr>
          </w:p>
        </w:tc>
      </w:tr>
      <w:tr>
        <w:trPr>
          <w:trHeight w:val="302"/>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11.01.</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Satisfaction and Discharge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11.02.</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Application of Trust Money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9" w:name="page10"/>
    <w:bookmarkEnd w:id="9"/>
    <w:p>
      <w:pPr>
        <w:ind w:left="5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12</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[RESERVED]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COLLATERAL</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13.01.</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Security Documents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13.02.</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Release of Collateral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13.03.</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Suits to Protect the Collateral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13.04.</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Authorization of Receipt of Funds by the Trustee Under the Security Documents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13.05.</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Purchaser Protected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13.06.</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Powers Exercisable by Receiver or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13.07.</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Notes Collateral Agent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06"/>
        </w:trPr>
        <w:tc>
          <w:tcPr>
            <w:tcW w:w="1140" w:type="dxa"/>
            <w:vAlign w:val="bottom"/>
          </w:tcPr>
          <w:p>
            <w:pPr>
              <w:spacing w:after="0"/>
              <w:rPr>
                <w:sz w:val="24"/>
                <w:szCs w:val="24"/>
                <w:color w:val="auto"/>
              </w:rPr>
            </w:pPr>
          </w:p>
        </w:tc>
        <w:tc>
          <w:tcPr>
            <w:tcW w:w="866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ARTICLE 14</w:t>
            </w:r>
          </w:p>
        </w:tc>
        <w:tc>
          <w:tcPr>
            <w:tcW w:w="11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866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MISCELLANEOUS</w:t>
            </w:r>
          </w:p>
        </w:tc>
        <w:tc>
          <w:tcPr>
            <w:tcW w:w="1160" w:type="dxa"/>
            <w:vAlign w:val="bottom"/>
          </w:tcPr>
          <w:p>
            <w:pPr>
              <w:spacing w:after="0"/>
              <w:rPr>
                <w:sz w:val="20"/>
                <w:szCs w:val="20"/>
                <w:color w:val="auto"/>
              </w:rPr>
            </w:pPr>
          </w:p>
        </w:tc>
      </w:tr>
      <w:tr>
        <w:trPr>
          <w:trHeight w:val="30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14.01.</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Notices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14.02.</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14.03.</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Certificate and Opinion as to Conditions Precedent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14.04.</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Statements Required in Certificate or Opinion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14.05.</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Rules by Trustee and Agents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14.06.</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No Personal Liability of Directors, Officers, Employees and Stockholders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14.07.</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Governing Law</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14.08.</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Waiver of Jury Trial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14.09.</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Force Majeure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14.10.</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No Adverse Interpretation of Other Agreements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14.11.</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Successors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14.12.</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14.13.</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Intercreditor Agreements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14.14.</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Counterpart Originals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14.15.</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Table of Contents, Headings, etc.</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14.16.</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Trust Indenture Act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14.17.</w:t>
            </w:r>
          </w:p>
        </w:tc>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USA Patriot Act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8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8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2031 NOTE</w:t>
            </w:r>
          </w:p>
        </w:tc>
        <w:tc>
          <w:tcPr>
            <w:tcW w:w="1160" w:type="dxa"/>
            <w:vAlign w:val="bottom"/>
          </w:tcPr>
          <w:p>
            <w:pPr>
              <w:spacing w:after="0"/>
              <w:rPr>
                <w:sz w:val="24"/>
                <w:szCs w:val="24"/>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8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2033 NOTE</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8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CERTIFICATE OF TRANSFER</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8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CERTIFICATE OF EXCHANGE</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8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SUPPLEMENTAL INDENTURE TO BE DELIVERED BY SUBSEQUENT GUARANTORS</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8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JUNIOR LIEN INTERCREDITOR AGREEMENT</w:t>
            </w:r>
          </w:p>
        </w:tc>
        <w:tc>
          <w:tcPr>
            <w:tcW w:w="116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8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ABL/FIXED ASSET INTERCREDITOR AGREEMENT</w:t>
            </w:r>
          </w:p>
        </w:tc>
        <w:tc>
          <w:tcPr>
            <w:tcW w:w="1160" w:type="dxa"/>
            <w:vAlign w:val="bottom"/>
          </w:tcPr>
          <w:p>
            <w:pPr>
              <w:spacing w:after="0"/>
              <w:rPr>
                <w:sz w:val="20"/>
                <w:szCs w:val="20"/>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0" w:right="49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May 28, 2026, among Medline Borrower, LP, a Delaware limited partnership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Medline Co-Issuer, Inc., 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color w:val="auto"/>
        </w:rPr>
        <w:t>Co-Issuer</w:t>
      </w:r>
      <w:r>
        <w:rPr>
          <w:rFonts w:ascii="Times New Roman" w:cs="Times New Roman" w:eastAsia="Times New Roman" w:hAnsi="Times New Roman"/>
          <w:sz w:val="18"/>
          <w:szCs w:val="18"/>
          <w:color w:val="auto"/>
        </w:rPr>
        <w:t>” and, together with the Issuer,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Medline Intermediate, LP, a Delaware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the Subsidiary Guarantors (as defined herein) named herein and Wilmington Trust, National Association, as Trustee, Paying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Registrar and Notes Collateral Agent.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 I T N E S E T H</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the Issuers have duly authorized the creation of an issue of $1,250,000,000 aggregate principal amount of the Issuers’ 5.000% Senior Secured Notes due 2031 (the “</w:t>
      </w:r>
      <w:r>
        <w:rPr>
          <w:rFonts w:ascii="Times New Roman" w:cs="Times New Roman" w:eastAsia="Times New Roman" w:hAnsi="Times New Roman"/>
          <w:sz w:val="18"/>
          <w:szCs w:val="18"/>
          <w:b w:val="1"/>
          <w:bCs w:val="1"/>
          <w:color w:val="auto"/>
        </w:rPr>
        <w:t>Initial 2031 Notes</w:t>
      </w:r>
      <w:r>
        <w:rPr>
          <w:rFonts w:ascii="Times New Roman" w:cs="Times New Roman" w:eastAsia="Times New Roman" w:hAnsi="Times New Roman"/>
          <w:sz w:val="18"/>
          <w:szCs w:val="18"/>
          <w:color w:val="auto"/>
        </w:rPr>
        <w:t>”) and $750,000,000 aggregate principal amount of the Issuers’ 5.250% Senior Secured Notes due 2033 (the “</w:t>
      </w:r>
      <w:r>
        <w:rPr>
          <w:rFonts w:ascii="Times New Roman" w:cs="Times New Roman" w:eastAsia="Times New Roman" w:hAnsi="Times New Roman"/>
          <w:sz w:val="18"/>
          <w:szCs w:val="18"/>
          <w:b w:val="1"/>
          <w:bCs w:val="1"/>
          <w:color w:val="auto"/>
        </w:rPr>
        <w:t>Initial 2033 Notes</w:t>
      </w:r>
      <w:r>
        <w:rPr>
          <w:rFonts w:ascii="Times New Roman" w:cs="Times New Roman" w:eastAsia="Times New Roman" w:hAnsi="Times New Roman"/>
          <w:sz w:val="18"/>
          <w:szCs w:val="18"/>
          <w:color w:val="auto"/>
        </w:rPr>
        <w:t>” and, together with the Initial 2031 Notes, the “</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WHEREAS, the obligations of the Issuers with respect to the due and punctual payment of the principal of, premium, if any, and interest on the Notes (as defined herein) and the performance and observation of each covenant and agreement under this Indenture (as defined herein) on the part of the Issuers to be performed or observed will be unconditionally and irrevocably guaranteed on a senior secured basis by Holdings and each Subsidiary Guarantor; and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each of the Issuers and the Guarantors has duly authorized the execution and delivery of this Indenture (as defined herein).</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NOW, THEREFORE, the Issuers, the Guarantors, the Trustee and the Notes Collateral Agent agree as follows for the benefit of each other and for the equal and ratable benefit of the Holders (as defined herein).</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1</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DEFINITIONS AND INCORPORATION BY REFERENCE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144A Global Note</w:t>
      </w:r>
      <w:r>
        <w:rPr>
          <w:rFonts w:ascii="Times New Roman" w:cs="Times New Roman" w:eastAsia="Times New Roman" w:hAnsi="Times New Roman"/>
          <w:sz w:val="17"/>
          <w:szCs w:val="17"/>
          <w:color w:val="auto"/>
        </w:rPr>
        <w:t xml:space="preserve">” means a Global Note, substantially in the form of </w:t>
      </w:r>
      <w:r>
        <w:rPr>
          <w:rFonts w:ascii="Times New Roman" w:cs="Times New Roman" w:eastAsia="Times New Roman" w:hAnsi="Times New Roman"/>
          <w:sz w:val="17"/>
          <w:szCs w:val="17"/>
          <w:u w:val="single" w:color="auto"/>
          <w:color w:val="auto"/>
        </w:rPr>
        <w:t>Exhibit A-1</w:t>
      </w:r>
      <w:r>
        <w:rPr>
          <w:rFonts w:ascii="Times New Roman" w:cs="Times New Roman" w:eastAsia="Times New Roman" w:hAnsi="Times New Roman"/>
          <w:sz w:val="17"/>
          <w:szCs w:val="17"/>
          <w:color w:val="auto"/>
        </w:rPr>
        <w:t xml:space="preserve"> hereto for the 2031 Notes and </w:t>
      </w:r>
      <w:r>
        <w:rPr>
          <w:rFonts w:ascii="Times New Roman" w:cs="Times New Roman" w:eastAsia="Times New Roman" w:hAnsi="Times New Roman"/>
          <w:sz w:val="17"/>
          <w:szCs w:val="17"/>
          <w:u w:val="single" w:color="auto"/>
          <w:color w:val="auto"/>
        </w:rPr>
        <w:t>Exhibit A-2</w:t>
      </w:r>
      <w:r>
        <w:rPr>
          <w:rFonts w:ascii="Times New Roman" w:cs="Times New Roman" w:eastAsia="Times New Roman" w:hAnsi="Times New Roman"/>
          <w:sz w:val="17"/>
          <w:szCs w:val="17"/>
          <w:color w:val="auto"/>
        </w:rPr>
        <w:t xml:space="preserve"> hereto for the 2033 Notes, in each case, bearing the Global Note Legend and the Private Placement Legend and deposited with or on behalf of, and registered in the name of, the applicable Depositary or its nominee, issued in a denomination equal to the outstanding principal amount of Notes sold in reliance on Rule 144A.</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Acquisition Date</w:t>
      </w:r>
      <w:r>
        <w:rPr>
          <w:rFonts w:ascii="Times New Roman" w:cs="Times New Roman" w:eastAsia="Times New Roman" w:hAnsi="Times New Roman"/>
          <w:sz w:val="18"/>
          <w:szCs w:val="18"/>
          <w:color w:val="auto"/>
        </w:rPr>
        <w:t>” means October 21, 2021.</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Transaction Expenses</w:t>
      </w:r>
      <w:r>
        <w:rPr>
          <w:rFonts w:ascii="Times New Roman" w:cs="Times New Roman" w:eastAsia="Times New Roman" w:hAnsi="Times New Roman"/>
          <w:sz w:val="18"/>
          <w:szCs w:val="18"/>
          <w:color w:val="auto"/>
        </w:rPr>
        <w:t>” means any fees or expenses incurred or paid by the Investors, the Issuers or any of their Affiliates in connection with the 2021 Transactions (including payments to future, present or former employees, directors, officers, managers, members, partners, independent contractors or consultants as change of control payments, severance payments, consent payments, special or retention bonuses and charges for repurchase or rollover, acceleration or payments of, or modifications to, stock option or other equity-based awards (including the payments of amounts due in connection with the Phantom Equity Plan), expenses in connection with hedging transactions related to the Senior Secured Credit Facilities and any original issue discount or upfront fees), the Support and Services Agreement, the Existing 3.875% Secured Notes Indenture, the Existing Unsecured Indenture, the Existing 3.875% Secured Notes, the Existing Unsecured Notes, the Existing Security Documents, the Loan Documents (as defined in the Senior Secured Credit Facilities), the Initial CMBS Financing and the transactions contemplated hereby and thereby.</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11" w:name="page12"/>
    <w:bookmarkEnd w:id="11"/>
    <w:p>
      <w:pPr>
        <w:ind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2021 Transactions</w:t>
      </w:r>
      <w:r>
        <w:rPr>
          <w:rFonts w:ascii="Times New Roman" w:cs="Times New Roman" w:eastAsia="Times New Roman" w:hAnsi="Times New Roman"/>
          <w:sz w:val="18"/>
          <w:szCs w:val="18"/>
          <w:color w:val="auto"/>
        </w:rPr>
        <w:t>” means the Acquisition, the making of the equity investment by the Investors on the 2021 Acquisition Date, the issuance of the Existing 3.875% Secured Notes and the related guarantees, the issuance of the Existing Unsecured Notes and related guarantees, the borrowings under, and the entry into, the Senior Secured Credit Facilities and the Initial CMBS Financing on the 2021 Acquisition Date, the payment of 2021 Transaction Expenses and other transactions contemplated by the Acquisition Agreement or in connection therewith or incidental thereto as described in the offering memorandum related to the Existing 3.875% Secured Notes and the Existing Unsecured Notes.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2031 Notes</w:t>
      </w:r>
      <w:r>
        <w:rPr>
          <w:rFonts w:ascii="Times New Roman" w:cs="Times New Roman" w:eastAsia="Times New Roman" w:hAnsi="Times New Roman"/>
          <w:sz w:val="18"/>
          <w:szCs w:val="18"/>
          <w:color w:val="auto"/>
        </w:rPr>
        <w:t>” means Initial 2031 Notes and any Additional 2031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2033 Notes</w:t>
      </w:r>
      <w:r>
        <w:rPr>
          <w:rFonts w:ascii="Times New Roman" w:cs="Times New Roman" w:eastAsia="Times New Roman" w:hAnsi="Times New Roman"/>
          <w:sz w:val="18"/>
          <w:szCs w:val="18"/>
          <w:color w:val="auto"/>
        </w:rPr>
        <w:t>” means Initial 2033 Notes and any Additional 2033 Notes.</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Priority Collateral</w:t>
      </w:r>
      <w:r>
        <w:rPr>
          <w:rFonts w:ascii="Times New Roman" w:cs="Times New Roman" w:eastAsia="Times New Roman" w:hAnsi="Times New Roman"/>
          <w:sz w:val="18"/>
          <w:szCs w:val="18"/>
          <w:color w:val="auto"/>
        </w:rPr>
        <w:t>” means all Collateral identified as “ABL Collateral,” “ABL Priority Collateral” or a similar defined term in a Senior ABL Credit Agreement or an ABL/Fixed Asset Intercreditor Agreement, including, but not limited to, the following:</w:t>
      </w:r>
    </w:p>
    <w:p>
      <w:pPr>
        <w:spacing w:after="0" w:line="51" w:lineRule="exact"/>
        <w:rPr>
          <w:sz w:val="20"/>
          <w:szCs w:val="20"/>
          <w:color w:val="auto"/>
        </w:rPr>
      </w:pPr>
    </w:p>
    <w:p>
      <w:pPr>
        <w:ind w:left="440" w:right="540" w:firstLine="419"/>
        <w:spacing w:after="0" w:line="282" w:lineRule="auto"/>
        <w:tabs>
          <w:tab w:leader="none" w:pos="11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(other than to the extent constituting identifiable proceeds of Fixed Asset Priority Collateral), chattel paper and payment intangibles;</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accounts (and all balances, cash, checks and other negotiable instruments, funds and other evidences of payment held therein), securities accounts (and all balances, cash, checks, securities, securities entitlements, financial asset and instruments (whether negotiable or otherwise), funds and other evidences of payment held therein), and commodities accounts (and all balances, cash, checks, securities, securities entitlements, financial asset and instruments (whether negotiable or otherwise)), other than a deposit account, securities account or commodities account containing exclusively identifiable proceeds of Fixed Asset Priority Collateral;</w:t>
      </w:r>
    </w:p>
    <w:p>
      <w:pPr>
        <w:spacing w:after="0" w:line="7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evidencing, governing, securing or otherwise reasonably related to any of the foregoing, all documents, general intangibles, instruments, investment property (other than Capital Stock), commercial tort claims, letters of credit, letter of credit rights and supporting obligations;</w:t>
      </w:r>
    </w:p>
    <w:p>
      <w:pPr>
        <w:spacing w:after="0" w:line="6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records and documents related to the foregoing (including databases, customer lists and other records, whether tangible or electronic, which contain any information relating to any of the foregoing); and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0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and products of any or all of the foregoing in whatever form received, including proceeds of business interruption and other insurance and claims against third parties.</w:t>
      </w:r>
    </w:p>
    <w:p>
      <w:pPr>
        <w:spacing w:after="0" w:line="158"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ABL/Fixed Asset Intercreditor Agreement</w:t>
      </w:r>
      <w:r>
        <w:rPr>
          <w:rFonts w:ascii="Times New Roman" w:cs="Times New Roman" w:eastAsia="Times New Roman" w:hAnsi="Times New Roman"/>
          <w:sz w:val="17"/>
          <w:szCs w:val="17"/>
          <w:color w:val="auto"/>
        </w:rPr>
        <w:t xml:space="preserve">” means an intercreditor agreement substantially in the form of </w:t>
      </w:r>
      <w:r>
        <w:rPr>
          <w:rFonts w:ascii="Times New Roman" w:cs="Times New Roman" w:eastAsia="Times New Roman" w:hAnsi="Times New Roman"/>
          <w:sz w:val="17"/>
          <w:szCs w:val="17"/>
          <w:u w:val="single" w:color="auto"/>
          <w:color w:val="auto"/>
        </w:rPr>
        <w:t>Exhibit F</w:t>
      </w:r>
      <w:r>
        <w:rPr>
          <w:rFonts w:ascii="Times New Roman" w:cs="Times New Roman" w:eastAsia="Times New Roman" w:hAnsi="Times New Roman"/>
          <w:sz w:val="17"/>
          <w:szCs w:val="17"/>
          <w:color w:val="auto"/>
        </w:rPr>
        <w:t xml:space="preserve"> hereto (which agreement in such form or with changes thereto permitted by Section 9.01 hereof the Notes Collateral Agent is authorized to enter into) entered into among the Notes Collateral Agent, the Bank Collateral Agent and the applicable Collateral Agent for the lenders and other secured parties under the Senior ABL Credit Agreement in connection with the incurrence of any Senior ABL Revolving Credit Obligations, as it may be amended from time to time.</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Change</w:t>
      </w:r>
      <w:r>
        <w:rPr>
          <w:rFonts w:ascii="Times New Roman" w:cs="Times New Roman" w:eastAsia="Times New Roman" w:hAnsi="Times New Roman"/>
          <w:sz w:val="18"/>
          <w:szCs w:val="18"/>
          <w:color w:val="auto"/>
        </w:rPr>
        <w:t>” has the meaning set forth in the definition of “GAAP.”</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the transactions directly or indirectly related to or contemplated pursuant to the Acquisition Agreement.</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Agreement</w:t>
      </w:r>
      <w:r>
        <w:rPr>
          <w:rFonts w:ascii="Times New Roman" w:cs="Times New Roman" w:eastAsia="Times New Roman" w:hAnsi="Times New Roman"/>
          <w:sz w:val="18"/>
          <w:szCs w:val="18"/>
          <w:color w:val="auto"/>
        </w:rPr>
        <w:t>” means the purchase and sale agreement, dated as of June 5, 2021, by and among Mozart Buyer LP, Mozart Debt Merger Sub Inc, Mozart RE Debt Merger Sub Inc., Mozart Holdco, Inc. and Medline Industries, Inc. and the other parties thereto, as amended, modified and supplemented from time to time.</w:t>
      </w:r>
    </w:p>
    <w:p>
      <w:pPr>
        <w:spacing w:after="0" w:line="17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Consideration</w:t>
      </w:r>
      <w:r>
        <w:rPr>
          <w:rFonts w:ascii="Times New Roman" w:cs="Times New Roman" w:eastAsia="Times New Roman" w:hAnsi="Times New Roman"/>
          <w:sz w:val="18"/>
          <w:szCs w:val="18"/>
          <w:color w:val="auto"/>
        </w:rPr>
        <w:t>” means, in connection with any acquisition, the aggregate amount (as valued at the fair market value of such acquisition at the time such acquisition is made) of, without duplication: (a) the purchase consideration paid or payable for such acquisition, whether payable at or prior to the consummation of such acquisition or deferred for payment at any future time, whether or not any such future payment is subject to the occurrence of any contingency, and including any and all payments representing the purchase price and any assumptions of Indebtedness and/or guarantee obligations, “earn-outs” and other agreements to make any payment the amount of which is, or the terms of payment of which are, in any respect subject to or contingent upon the revenues, income, cash flow or profits (or the like) of any Person or business and (b) the aggregate amount of Indebtedness assumed in connection with such acquisition; provided in each case, that any such future payment that is subject to a contingency shall be considered Acquisition Consideration only to the extent of the reserve, if any, required under GAAP (as determined at the time of the consummation of such acquisition) to be established in respect thereof by the Issuer or its Restricted Subsidiaries.</w:t>
      </w:r>
    </w:p>
    <w:p>
      <w:pPr>
        <w:spacing w:after="0" w:line="188"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2031 Notes</w:t>
      </w:r>
      <w:r>
        <w:rPr>
          <w:rFonts w:ascii="Times New Roman" w:cs="Times New Roman" w:eastAsia="Times New Roman" w:hAnsi="Times New Roman"/>
          <w:sz w:val="18"/>
          <w:szCs w:val="18"/>
          <w:color w:val="auto"/>
        </w:rPr>
        <w:t>” means any additional 2031 Notes (other than the Initial 2031 Notes) issued from time to time under this Indenture in accordance with Sections 2.01, 2.02 and 4.12 hereof.</w:t>
      </w:r>
    </w:p>
    <w:p>
      <w:pPr>
        <w:spacing w:after="0" w:line="15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2033 Notes</w:t>
      </w:r>
      <w:r>
        <w:rPr>
          <w:rFonts w:ascii="Times New Roman" w:cs="Times New Roman" w:eastAsia="Times New Roman" w:hAnsi="Times New Roman"/>
          <w:sz w:val="18"/>
          <w:szCs w:val="18"/>
          <w:color w:val="auto"/>
        </w:rPr>
        <w:t>” means any additional 2033 Notes (other than the Initial 2033 Notes) issued from time to time under this Indenture in accordance with Sections 2.01, 2.02 and 4.12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means, collectively, the Additional 2031 Notes and the Additional 2033 Notes.</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Pari Passu Obligations</w:t>
      </w:r>
      <w:r>
        <w:rPr>
          <w:rFonts w:ascii="Times New Roman" w:cs="Times New Roman" w:eastAsia="Times New Roman" w:hAnsi="Times New Roman"/>
          <w:sz w:val="18"/>
          <w:szCs w:val="18"/>
          <w:color w:val="auto"/>
        </w:rPr>
        <w:t xml:space="preserve">” means any Indebtedness having Pari Passu Lien Priority relative to the Notes with respect to the Collateral and is not secured by any other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authorized representative of the holders of such Indebtedness shall have executed a joinder to the Pari Passu Intercreditor Agreement. For the avoidance of doubt, any Senior ABL Revolving Credit Obligations shall not be considered Additional Pari Passu Obligations.</w:t>
      </w:r>
    </w:p>
    <w:p>
      <w:pPr>
        <w:spacing w:after="0" w:line="176"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Pari Passu Secured Parties</w:t>
      </w:r>
      <w:r>
        <w:rPr>
          <w:rFonts w:ascii="Times New Roman" w:cs="Times New Roman" w:eastAsia="Times New Roman" w:hAnsi="Times New Roman"/>
          <w:sz w:val="18"/>
          <w:szCs w:val="18"/>
          <w:color w:val="auto"/>
        </w:rPr>
        <w:t>” means the holders of any Additional Pari Passu Obligations and any trustee, authorized representative or agent of such Additional Pari Passu Obligations.</w:t>
      </w:r>
    </w:p>
    <w:p>
      <w:pPr>
        <w:spacing w:after="0" w:line="15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No Person shall be an “Affiliate” of the Issuer or any Subsidiary solely because it is an unrelated portfolio operating company of an Investor. For purposes of this definition,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under common control with</w:t>
      </w:r>
      <w:r>
        <w:rPr>
          <w:rFonts w:ascii="Times New Roman" w:cs="Times New Roman" w:eastAsia="Times New Roman" w:hAnsi="Times New Roman"/>
          <w:sz w:val="18"/>
          <w:szCs w:val="18"/>
          <w:color w:val="auto"/>
        </w:rPr>
        <w:t>”),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79"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Holder</w:t>
      </w:r>
      <w:r>
        <w:rPr>
          <w:rFonts w:ascii="Times New Roman" w:cs="Times New Roman" w:eastAsia="Times New Roman" w:hAnsi="Times New Roman"/>
          <w:sz w:val="18"/>
          <w:szCs w:val="18"/>
          <w:color w:val="auto"/>
        </w:rPr>
        <w:t>” means, at any time, any Holder that is a direct or indirect holding company of Holdings or the Issuer or an Investor (including portfolio companies of the Investors notwithstanding the exclusion in the definition of “Investors”) (other than Holdings, the Issuer or any of its Subsidiaries and other than any Debt Fund Affiliate) or a Non-Debt Fund Affiliate of an Investor at such time.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3" w:name="page14"/>
    <w:bookmarkEnd w:id="1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any Registrar, Transfer Agent, Paying Agent or Authentication Agent.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Indebtedness</w:t>
      </w:r>
      <w:r>
        <w:rPr>
          <w:rFonts w:ascii="Times New Roman" w:cs="Times New Roman" w:eastAsia="Times New Roman" w:hAnsi="Times New Roman"/>
          <w:sz w:val="18"/>
          <w:szCs w:val="18"/>
          <w:color w:val="auto"/>
        </w:rPr>
        <w:t>” has the meaning set forth in the definition of “Weighted Average Life to Maturity.”</w:t>
      </w:r>
    </w:p>
    <w:p>
      <w:pPr>
        <w:spacing w:after="0" w:line="225"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Procedures</w:t>
      </w:r>
      <w:r>
        <w:rPr>
          <w:rFonts w:ascii="Times New Roman" w:cs="Times New Roman" w:eastAsia="Times New Roman" w:hAnsi="Times New Roman"/>
          <w:sz w:val="18"/>
          <w:szCs w:val="18"/>
          <w:color w:val="auto"/>
        </w:rPr>
        <w:t>” means, with respect to any transfer or exchange of or for, redemption of, or notice with respect to beneficial interests in any Global Note or the redemption or repurchase of any Global Note, the rules and procedures of DTC, the Depositary, Euroclear and/or Clearstream that apply to such transfer, exchange, redemption or repurchase.</w:t>
      </w:r>
    </w:p>
    <w:p>
      <w:pPr>
        <w:spacing w:after="0" w:line="171"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Attributable Debt</w:t>
      </w:r>
      <w:r>
        <w:rPr>
          <w:rFonts w:ascii="Times New Roman" w:cs="Times New Roman" w:eastAsia="Times New Roman" w:hAnsi="Times New Roman"/>
          <w:sz w:val="17"/>
          <w:szCs w:val="17"/>
          <w:color w:val="auto"/>
        </w:rPr>
        <w:t>” means, with respect to a Sale and Lease-Back Transaction with respect to any Principal Property, at the time of determination, the lesser of: (a) the fair market value of such property (as determined by the Board of the Issuer or a parent entity in good faith); (b) the present value of the total net amount of rent required to be paid under such lease during the remaining term thereof (including any period for which such lease has been extended and excluding any unexercised renewal or other extension options exercisable by the lessee, and excluding amounts on account of maintenance and repairs, services, taxes and similar charges and contingent rents), discounted at the rate of interest set forth or implicit in the terms of such lease (or, if not practicable to determine such rate, the weighted average interest rate per annum borne by the Notes) compounded semi-annually or</w:t>
      </w:r>
    </w:p>
    <w:p>
      <w:pPr>
        <w:spacing w:after="0" w:line="4" w:lineRule="exact"/>
        <w:rPr>
          <w:sz w:val="20"/>
          <w:szCs w:val="20"/>
          <w:color w:val="auto"/>
        </w:rPr>
      </w:pPr>
    </w:p>
    <w:p>
      <w:pPr>
        <w:ind w:left="4" w:right="80" w:hanging="4"/>
        <w:spacing w:after="0" w:line="252"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obligation with respect to the Sale and Lease-Back Transaction constitutes a Financing Lease Obligation, the amount equal to the capitalized amount of such obligation determined in accordance with GAAP and included in the financial statements of the lessee. In the case of any lease which is terminable by the lessee upon the payment of a penalty, such net amount will be the lesser of the net amount determined assuming termination upon the first date such lease may be terminated (in which case the net amount will also include the amount of the penalty, but no rent will be considered as required to be paid under such lease subsequent to the first date upon which it may be so terminated) or the net amount determined assuming no such termination.</w:t>
      </w:r>
    </w:p>
    <w:p>
      <w:pPr>
        <w:spacing w:after="0" w:line="186"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Collateral Agent</w:t>
      </w:r>
      <w:r>
        <w:rPr>
          <w:rFonts w:ascii="Times New Roman" w:cs="Times New Roman" w:eastAsia="Times New Roman" w:hAnsi="Times New Roman"/>
          <w:sz w:val="18"/>
          <w:szCs w:val="18"/>
          <w:color w:val="auto"/>
        </w:rPr>
        <w:t>” means Bank of America, N.A., in its capacity as collateral agent for the lenders and other secured parties under the Senior Secured Credit Facilities, together with its successors and permitted assigns under the Senior Secured Credit Facilities.</w:t>
      </w:r>
    </w:p>
    <w:p>
      <w:pPr>
        <w:spacing w:after="0" w:line="155" w:lineRule="exact"/>
        <w:rPr>
          <w:sz w:val="20"/>
          <w:szCs w:val="20"/>
          <w:color w:val="auto"/>
        </w:rPr>
      </w:pPr>
    </w:p>
    <w:p>
      <w:pPr>
        <w:ind w:left="4" w:right="4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Products</w:t>
      </w:r>
      <w:r>
        <w:rPr>
          <w:rFonts w:ascii="Times New Roman" w:cs="Times New Roman" w:eastAsia="Times New Roman" w:hAnsi="Times New Roman"/>
          <w:sz w:val="18"/>
          <w:szCs w:val="18"/>
          <w:color w:val="auto"/>
        </w:rPr>
        <w:t>” means any facilities or services related to cash management, including treasury, depository, overdraft, credit or debit card, purchase card, automatic clearinghouse transfer transactions, controlled disbursements, foreign exchange facilities, stored value cards, merchant services, electronic funds transfer and other cash management or similar arrangements.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U.S. Code,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the Bankruptcy Code or any similar federal, state or applicable non-U.S. law for the relief of debtors.</w:t>
      </w:r>
    </w:p>
    <w:p>
      <w:pPr>
        <w:spacing w:after="0" w:line="225"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Blackstone Funds</w:t>
      </w:r>
      <w:r>
        <w:rPr>
          <w:rFonts w:ascii="Times New Roman" w:cs="Times New Roman" w:eastAsia="Times New Roman" w:hAnsi="Times New Roman"/>
          <w:sz w:val="18"/>
          <w:szCs w:val="18"/>
          <w:color w:val="auto"/>
        </w:rPr>
        <w:t>” means, individually or collectively, Blackstone Inc. and its Affiliates and any investment fund, partnership, co-investment vehicle and/or other similar vehicles or accounts, in each case managed, advised or controlled by Blackstone Inc. or one or more of its Affiliates, or any successor of any of the foregoing.</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14" w:name="page15"/>
    <w:bookmarkEnd w:id="14"/>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with respect to a Person means the board of directors, board of managers, sole member or managing member or other governing body of such Person, or if such Person is owned or managed by a single entity or has a general partner, the board of directors, board of managers, sole member or managing member or other governing body of such entity or general partner, or in each case, any duly authorized committee thereof, and the term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applicable Board.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Base</w:t>
      </w:r>
      <w:r>
        <w:rPr>
          <w:rFonts w:ascii="Times New Roman" w:cs="Times New Roman" w:eastAsia="Times New Roman" w:hAnsi="Times New Roman"/>
          <w:sz w:val="18"/>
          <w:szCs w:val="18"/>
          <w:color w:val="auto"/>
        </w:rPr>
        <w:t>” at any given time means an amount equal to:</w:t>
      </w:r>
    </w:p>
    <w:p>
      <w:pPr>
        <w:spacing w:after="0" w:line="119" w:lineRule="exact"/>
        <w:rPr>
          <w:sz w:val="20"/>
          <w:szCs w:val="20"/>
          <w:color w:val="auto"/>
        </w:rPr>
      </w:pPr>
    </w:p>
    <w:p>
      <w:pPr>
        <w:ind w:left="1100" w:hanging="241"/>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 of the face amount of all accounts receivable owned by the Issuer and its Restricted Subsidiaries; </w:t>
      </w:r>
      <w:r>
        <w:rPr>
          <w:rFonts w:ascii="Times New Roman" w:cs="Times New Roman" w:eastAsia="Times New Roman" w:hAnsi="Times New Roman"/>
          <w:sz w:val="18"/>
          <w:szCs w:val="18"/>
          <w:i w:val="1"/>
          <w:iCs w:val="1"/>
          <w:color w:val="auto"/>
        </w:rPr>
        <w:t>plus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 of the book value of all inventory owned by the Issuer and its Restricted Subsidiaries;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all cash held in a deposit account pledged or to be pledged for the benefit of the lenders under a Senior ABL Credit Agreement;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each case, of the Issuer and its Restricted Subsidiaries in accordance with GAAP, as of the most recently ended fiscal month internally available to the Issuer immediately preceding the date of determination and measured as of the date of incurrence or establishment of commitments (at the Issuer’s election).</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Borrowing Base shall be calculated on a pro forma basis to include any accounts receivable and inventory owned by an entity that is to be merged with or into or acquired by the Issuer or a Restricted Subsidiary or is to become a Restricted Subsidiary on the date of determination or any cash of such entity that will become subject to clause (c) above.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each day which is not a Legal Holiday.</w:t>
      </w:r>
    </w:p>
    <w:p>
      <w:pPr>
        <w:spacing w:after="0" w:line="22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Expansion</w:t>
      </w:r>
      <w:r>
        <w:rPr>
          <w:rFonts w:ascii="Times New Roman" w:cs="Times New Roman" w:eastAsia="Times New Roman" w:hAnsi="Times New Roman"/>
          <w:sz w:val="18"/>
          <w:szCs w:val="18"/>
          <w:color w:val="auto"/>
        </w:rPr>
        <w:t>” means (a) each facility which is either a new facility, branch, store or office or an expansion, relocation, remodeling or substantial modernization of an existing facility, branch, store or office owned by the Issuer or a Restricted Subsidiary and (b) each creation or expansion into new markets (in one or a series of related transactions) of a business unit to the extent such business unit commences operations or each expansion (in one or a series of related transactions) of business into a new market.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100" w:hanging="241"/>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 or shares in the capital of such corporation;</w:t>
      </w:r>
    </w:p>
    <w:p>
      <w:pPr>
        <w:spacing w:after="0" w:line="117"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 and</w:t>
      </w:r>
    </w:p>
    <w:p>
      <w:pPr>
        <w:spacing w:after="0" w:line="117"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5" w:name="page16"/>
    <w:bookmarkEnd w:id="15"/>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Capitalized Software Expenditures</w:t>
      </w:r>
      <w:r>
        <w:rPr>
          <w:rFonts w:ascii="Times New Roman" w:cs="Times New Roman" w:eastAsia="Times New Roman" w:hAnsi="Times New Roman"/>
          <w:sz w:val="18"/>
          <w:szCs w:val="18"/>
          <w:color w:val="auto"/>
        </w:rPr>
        <w:t>” means,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176"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Captive Insurance Subsidiary</w:t>
      </w:r>
      <w:r>
        <w:rPr>
          <w:rFonts w:ascii="Times New Roman" w:cs="Times New Roman" w:eastAsia="Times New Roman" w:hAnsi="Times New Roman"/>
          <w:sz w:val="18"/>
          <w:szCs w:val="18"/>
          <w:color w:val="auto"/>
        </w:rPr>
        <w:t>” means (i) any Subsidiary of the Issuer operating for the purpose of (a) insuring the businesses, operations or properties owned or operated by the Issuer or any of its Subsidiaries, including their future, present or former employees, directors, officers, managers, members, partners, independent contractors or consultants, and related benefits and/or (b) conducting any activities or business incidental thereto (it being understood and agreed that activities which are relevant or appropriate to qualify as an insurance company for U.S. federal or state tax purposes or other national, regional or local tax purposes shall be considered “activities or business incidental thereto”) or (ii) any Subsidiary of any such insurance subsidiary operating for the same purpose described in clause (i) above.</w:t>
      </w:r>
    </w:p>
    <w:p>
      <w:pPr>
        <w:spacing w:after="0" w:line="182"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Carlyle Funds</w:t>
      </w:r>
      <w:r>
        <w:rPr>
          <w:rFonts w:ascii="Times New Roman" w:cs="Times New Roman" w:eastAsia="Times New Roman" w:hAnsi="Times New Roman"/>
          <w:sz w:val="18"/>
          <w:szCs w:val="18"/>
          <w:color w:val="auto"/>
        </w:rPr>
        <w:t>” means, individually or collectively, The Carlyle Group Inc. and its Affiliates and any investment fund, partnership, co-investment vehicle and/or other similar vehicles or accounts, in each case managed, advised or controlled by The Carlyle Group Inc. or one or more of its Affiliates, or any successor of any of the foregoing.</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100" w:hanging="241"/>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dollars;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Canadian dollars, pounds sterling, yen, euros or any national currency of any participating member state of the EMU; or</w:t>
      </w:r>
    </w:p>
    <w:p>
      <w:pPr>
        <w:spacing w:after="0" w:line="117" w:lineRule="exact"/>
        <w:rPr>
          <w:sz w:val="20"/>
          <w:szCs w:val="20"/>
          <w:color w:val="auto"/>
        </w:rPr>
      </w:pPr>
    </w:p>
    <w:p>
      <w:pPr>
        <w:ind w:left="1420" w:right="220" w:firstLine="8"/>
        <w:spacing w:after="0" w:line="282" w:lineRule="auto"/>
        <w:tabs>
          <w:tab w:leader="none" w:pos="16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other currencies held by the Issuer or any Restricted Subsidiary from time to time in the ordinary course of business or consistent with past practice or industry norm;</w:t>
      </w:r>
    </w:p>
    <w:p>
      <w:pPr>
        <w:spacing w:after="0" w:line="53"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and unconditionally guaranteed or insured by the U.S. government or any agency or instrumentality thereof the securities of which are unconditionally guaranteed as a full faith and credit obligation of such government with maturities of 24 months or less from the date of acquisition;</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and eurodollar time deposits with maturities of 24 months or less from the date of acquisition, demand deposits, bankers’ acceptances with maturities not exceeding 24 months and overnight bank deposits, in each case with any domestic or foreign commercial bank having capital and surplus of not less than $100 million (or the foreign currency equivalent as of the date of determination);</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for underlying securities of the types described in clauses (c), (d), (g) and (h) of this definition entered into with any financial institution or recognized securities dealer meeting the qualifications specified in clause (d) above;</w:t>
      </w:r>
    </w:p>
    <w:p>
      <w:pPr>
        <w:spacing w:after="0" w:line="53"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0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and variable or fixed rate notes rated at least P-2 by Moody’s, at least A-2 by S&amp;P or at least F-2 by Fitch (or, if at any time none of Moody’s, S&amp;P or Fitch shall be rating such obligations, an equivalent rating from another Rating Agency) and in each case maturing within 24 months after the date of creation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6" w:name="page17"/>
    <w:bookmarkEnd w:id="16"/>
    <w:p>
      <w:pPr>
        <w:ind w:left="1124" w:hanging="261"/>
        <w:spacing w:after="0"/>
        <w:tabs>
          <w:tab w:leader="none" w:pos="11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marketable short-term money market and similar funds having a rating of at least P-2, A-2 or F-2 from Moody’s, S&amp;P or Fitch,</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respectively (or, if at any time none of Moody’s, S&amp;P or Fitch shall be rating such obligations, an equivalent rating from another Rating Agency);</w:t>
      </w:r>
    </w:p>
    <w:p>
      <w:pPr>
        <w:spacing w:after="0" w:line="98"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or unconditionally guaranteed by, any state, commonwealth or territory of the</w:t>
      </w:r>
    </w:p>
    <w:p>
      <w:pPr>
        <w:spacing w:after="0" w:line="27" w:lineRule="exact"/>
        <w:rPr>
          <w:sz w:val="20"/>
          <w:szCs w:val="20"/>
          <w:color w:val="auto"/>
        </w:rPr>
      </w:pPr>
    </w:p>
    <w:p>
      <w:pPr>
        <w:ind w:left="444" w:right="140"/>
        <w:spacing w:after="0" w:line="260" w:lineRule="auto"/>
        <w:rPr>
          <w:sz w:val="20"/>
          <w:szCs w:val="20"/>
          <w:color w:val="auto"/>
        </w:rPr>
      </w:pPr>
      <w:r>
        <w:rPr>
          <w:rFonts w:ascii="Times New Roman" w:cs="Times New Roman" w:eastAsia="Times New Roman" w:hAnsi="Times New Roman"/>
          <w:sz w:val="18"/>
          <w:szCs w:val="18"/>
          <w:color w:val="auto"/>
        </w:rPr>
        <w:t>United States or any political subdivision, public instrumentality or taxing authority thereof with maturities of 24 months or less from the date of acquisition;</w:t>
      </w:r>
    </w:p>
    <w:p>
      <w:pPr>
        <w:spacing w:after="0" w:line="73" w:lineRule="exact"/>
        <w:rPr>
          <w:sz w:val="20"/>
          <w:szCs w:val="20"/>
          <w:color w:val="auto"/>
        </w:rPr>
      </w:pPr>
    </w:p>
    <w:p>
      <w:pPr>
        <w:ind w:left="444" w:right="20" w:firstLine="419"/>
        <w:spacing w:after="0" w:line="258" w:lineRule="auto"/>
        <w:tabs>
          <w:tab w:leader="none" w:pos="108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or unconditionally guaranteed by, any foreign government or any political subdivision, public instrumentality or taxing authority thereof, in each case (other than in the case of such obligations issued or guaranteed by any participating member state of the EMU) having an Investment Grade Rating from Moody’s, S&amp;P or Fitch (or, if at any time none of Moody’s, S&amp;P or Fitch shall be rating such obligations, an equivalent rating from another Rating Agency) with maturities of 24 months or less from the date of acquisition;</w:t>
      </w:r>
    </w:p>
    <w:p>
      <w:pPr>
        <w:spacing w:after="0" w:line="75" w:lineRule="exact"/>
        <w:rPr>
          <w:rFonts w:ascii="Times New Roman" w:cs="Times New Roman" w:eastAsia="Times New Roman" w:hAnsi="Times New Roman"/>
          <w:sz w:val="18"/>
          <w:szCs w:val="18"/>
          <w:color w:val="auto"/>
        </w:rPr>
      </w:pPr>
    </w:p>
    <w:p>
      <w:pPr>
        <w:jc w:val="both"/>
        <w:ind w:left="444" w:right="180" w:firstLine="419"/>
        <w:spacing w:after="0" w:line="266" w:lineRule="auto"/>
        <w:tabs>
          <w:tab w:leader="none" w:pos="108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24 months or less from the date of acquisition in money market funds rated A (or the equivalent thereof) or better by S&amp;P, A2 (or the equivalent thereof) or better by Moody’s or F-2 by Fitch (or, if at any time none of Moody’s, S&amp;P or Fitch shall be rating such obligations, an equivalent rating from another Rating Agency);</w:t>
      </w:r>
    </w:p>
    <w:p>
      <w:pPr>
        <w:spacing w:after="0" w:line="67" w:lineRule="exact"/>
        <w:rPr>
          <w:rFonts w:ascii="Times New Roman" w:cs="Times New Roman" w:eastAsia="Times New Roman" w:hAnsi="Times New Roman"/>
          <w:sz w:val="18"/>
          <w:szCs w:val="18"/>
          <w:color w:val="auto"/>
        </w:rPr>
      </w:pPr>
    </w:p>
    <w:p>
      <w:pPr>
        <w:ind w:left="444" w:right="320" w:firstLine="419"/>
        <w:spacing w:after="0" w:line="282" w:lineRule="auto"/>
        <w:tabs>
          <w:tab w:leader="none" w:pos="11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maturities of 24 months or less from the date of acquisition backed by standby letters of credit issued by any financial institution or recognized securities dealer meeting the qualifications specified in clause (d) above;</w:t>
      </w:r>
    </w:p>
    <w:p>
      <w:pPr>
        <w:spacing w:after="0" w:line="53" w:lineRule="exact"/>
        <w:rPr>
          <w:rFonts w:ascii="Times New Roman" w:cs="Times New Roman" w:eastAsia="Times New Roman" w:hAnsi="Times New Roman"/>
          <w:sz w:val="18"/>
          <w:szCs w:val="18"/>
          <w:color w:val="auto"/>
        </w:rPr>
      </w:pPr>
    </w:p>
    <w:p>
      <w:pPr>
        <w:ind w:left="444" w:right="260" w:firstLine="419"/>
        <w:spacing w:after="0" w:line="282" w:lineRule="auto"/>
        <w:tabs>
          <w:tab w:leader="none" w:pos="108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Preferred Stock issued by Persons with a rating of “A” or higher from S&amp;P, “A2” or higher from Moody’s or “F-2” or higher from Fitch with maturities of 24 months or less from the date of acquisition; and</w:t>
      </w:r>
    </w:p>
    <w:p>
      <w:pPr>
        <w:spacing w:after="0" w:line="53"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funds investing at least 90% of their assets in currencies, instruments or securities of the types described in clauses</w:t>
      </w:r>
    </w:p>
    <w:p>
      <w:pPr>
        <w:spacing w:after="0" w:line="2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(l) above.</w:t>
      </w:r>
    </w:p>
    <w:p>
      <w:pPr>
        <w:spacing w:after="0" w:line="207"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In the case of Investments by any Foreign Subsidiary that is a Restricted Subsidiary or Investments made in a country outside the United States of America, Cash Equivalents shall also include (i) investments of the type and maturity described in clauses (a) through (h) and clauses (j), (k), (l) and</w:t>
      </w:r>
    </w:p>
    <w:p>
      <w:pPr>
        <w:ind w:left="4" w:hanging="4"/>
        <w:spacing w:after="0" w:line="253" w:lineRule="auto"/>
        <w:tabs>
          <w:tab w:leader="none" w:pos="3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of foreign obligors, which Investments or obligors (or the parents of such obligors) have ratings described in such clauses or equivalent ratings from comparable foreign rating agencies and (ii) other short-term investments utilized by Foreign Subsidiaries that are Restricted Subsidiaries in accordance with normal investment practices for cash management in investments analogous to the foregoing investments in clauses (a) through (m) and in this paragraph.</w:t>
      </w:r>
    </w:p>
    <w:p>
      <w:pPr>
        <w:spacing w:after="0" w:line="189"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In addition, in the case of Investments by any Captive Insurance Subsidiary, Cash Equivalents shall also include (a) such Investments with average maturities of twelve months or less from the date of acquisition in issuers rated BBB- (or the equivalent thereof) or better by S&amp;P or Baa3 (or the equivalent thereof) or better by Moody’s, in each case at the time of such Investment and (b) any Investment with a maturity of more than twelve months that would otherwise constitute Cash Equivalents of the kind described in any of clauses (a) through (m) of this definition or clause (a) above, if the maturity of such Investment was twelve months or less; provided that the effective maturity of such Investment does not exceed 15 years.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7" w:name="page18"/>
    <w:bookmarkEnd w:id="17"/>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Cash Equivalents shall include amounts denominated in currencies other than those set forth in clauses (a) and (b)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amounts are converted into any currency listed in clauses (a) and (b) as promptly as practicable and in any event within ten Business Days following the receipt of such amounts.</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any items identified as Cash Equivalents under this definition will be deemed to be Cash Equivalents for all purposes under this Indenture regardless of the treatment of such items under GAAP.</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means a “controlled foreign corporation” within the meaning of Section 957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any of the following after the Issue Date:</w:t>
      </w:r>
    </w:p>
    <w:p>
      <w:pPr>
        <w:spacing w:after="0" w:line="121" w:lineRule="exact"/>
        <w:rPr>
          <w:sz w:val="20"/>
          <w:szCs w:val="20"/>
          <w:color w:val="auto"/>
        </w:rPr>
      </w:pPr>
    </w:p>
    <w:p>
      <w:pPr>
        <w:ind w:left="440" w:right="100" w:firstLine="419"/>
        <w:spacing w:after="0" w:line="253"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lease, transfer, conveyance or other disposition in one or a series of related transactions (other than by merger, consolidation or amalgamation), of all or substantially all of the assets of the Issuer and its Subsidiaries, taken as a whole, to any Person other than any Permitted Holder, the Issuer, the Co-Issuer or any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sale, lease, transfer, conveyance or other disposition shall not constitute a Change of Control unless any Person (other than any Permitted Holder or a Holding Company) or Persons (other than any Permitted Holders or a Holding Company) that are together a group (within the meaning of Section 13(d)(3) or Section 14(d)(2) of the Exchange Act as in effect on the Issue Date), including any such group acting for the purpose of acquiring, holding or disposing of securities (within the meaning of</w:t>
      </w:r>
    </w:p>
    <w:p>
      <w:pPr>
        <w:spacing w:after="0" w:line="5" w:lineRule="exact"/>
        <w:rPr>
          <w:rFonts w:ascii="Times New Roman" w:cs="Times New Roman" w:eastAsia="Times New Roman" w:hAnsi="Times New Roman"/>
          <w:sz w:val="18"/>
          <w:szCs w:val="18"/>
          <w:color w:val="auto"/>
        </w:rPr>
      </w:pPr>
    </w:p>
    <w:p>
      <w:pPr>
        <w:ind w:left="440"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13d-5(b)(1) under the Exchange Act as in effect on the Issue Date), becomes the beneficial owner (within the meaning of Rule 13d-3 under the Exchange Act as in effect on the Issue Date), directly or indirectly, of more than 50.0%, on a fully diluted basis, of the total voting power of the Voting Stock of the transferee Person in such sale, lease, transfer, conveyance or other disposition of assets, as the case may be; or</w:t>
      </w:r>
    </w:p>
    <w:p>
      <w:pPr>
        <w:spacing w:after="0" w:line="77"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becomes aware of (by way of a report or any other filing pursuant to Section 13(d) of the Exchange Act, proxy, vote, written notice or otherwise) the acquisition by (A) any Person (other than any Permitted Holder) or (B) Persons (other than any Permitted Holders) that are together a group (within the meaning of Section 13(d)(3) or Section 14(d)(2) of the Exchange Act as in effect on the Issue Date), including any such group acting for the purpose of acquiring, holding or disposing of securities (within the meaning of Rule 13d-5(b)(1) under the Exchange Act as in effect on the Issue Date), in a single transaction or in a related series of transactions, by way of merger, consolidation or other business combination or purchase of beneficial ownership (within the meaning of Rule 13d-3 under the Exchange Act as in effect on the Issue Date) of more than 50.0%, on a fully diluted basis, of the total voting power of the Voting Stock of the Issuer directly or indirectly through any of its direct or indirect parent holding companies, unless the Permitted Holders otherwise have the right (pursuant to contract, proxy or otherwise), directly or indirectly, to designate, nominate or appoint directors (or similar position) having a majority of the aggregate votes on the Board of the Issuer (or any parent entity),</w:t>
      </w:r>
    </w:p>
    <w:p>
      <w:pPr>
        <w:spacing w:after="0" w:line="194"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in each case, other than in connection with any transaction or series of transactions in which the Issuer shall become a Subsidiary of a Holding Company.</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preceding or any provision of Rule 13d-3 or 13d-5 of the Exchange Act, (i) a Person or group shall not be deemed to beneficially own Voting Stock subject to an equity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(other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8" w:name="page19"/>
    <w:bookmarkEnd w:id="18"/>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than a Permitted Holder) includes one or more Permitted Holders, the issued and outstanding Voting Stock of the Issuer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Voting Stock of another Person as a result of its ownership of Voting Stock or other securities of such other Person’s parent entity (or related contractual rights) unless it owns 50.0% or more of the total voting power of the Voting Stock entitled to vote for the election of directors of such parent entity having a majority of the aggregate votes on the Board of such parent entity and (iv) the right to acquire Voting Stock (as long as such Person does not have the right to direct the voting of the Voting Stock subject to such right) or any veto power in connection with the acquisition or disposition of Voting Stock will not cause a party to be a beneficial owner.</w:t>
      </w:r>
    </w:p>
    <w:p>
      <w:pPr>
        <w:spacing w:after="0" w:line="188" w:lineRule="exact"/>
        <w:rPr>
          <w:sz w:val="20"/>
          <w:szCs w:val="20"/>
          <w:color w:val="auto"/>
        </w:rPr>
      </w:pPr>
    </w:p>
    <w:p>
      <w:pPr>
        <w:ind w:left="4" w:right="4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Triggering Event</w:t>
      </w:r>
      <w:r>
        <w:rPr>
          <w:rFonts w:ascii="Times New Roman" w:cs="Times New Roman" w:eastAsia="Times New Roman" w:hAnsi="Times New Roman"/>
          <w:sz w:val="18"/>
          <w:szCs w:val="18"/>
          <w:color w:val="auto"/>
        </w:rPr>
        <w:t xml:space="preserve">” means, with respect to any series of the Notes, (x) at any time prior to an Investment Grade Event, a Change of Control, unless the Consolidated Total Debt Ratio after giving pro forma effect to such Change of Control is either not greater than (i) 6.45 to 1.00 or (ii) the Consolidated Total Debt Ratio immediately prior to such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when calculating the Consolidated Total Debt Ratio for purposes of this definition, the Issuer shall be entitled at its option to make such calculations as it would if making calculations of baskets or ratios in connection with a Limited Condition Transaction and (y) at any time upon and following an Investment Grade Event, (1) if on the earlier of (a) the date of the first public announcement of a Change of Control or of the Issuer’s intention to effect such Change of Control and (b) the occurrence of such Change of Control, the Notes have an Investment Grade Rating from two or more Rating Agencies, (i) a Change of Control that is accompanied or followed by a downgrade of the Notes within the Ratings Decline Period for such Change of Control by at least two Rating Agencies such that such series of the Notes no longer have an Investment Grade Rating from such Rating Agencies and (ii) each such Rating Agency’s rating of such series of the Notes on any day during such Ratings Decline Period for such Change of Control is below the rating by such Rating Agency in effect immediately preceding the first public announcement of the Change of Control (or the occurrence thereof if such Change of Control occurs prior to the first public announcement thereof); provided, however, that a downgrade of the Notes by the applicable Rating Agency will not be deemed to have occurred in respect of a Change of Control (and thus will not be deemed a downgrade for purposes of this definition) if such Rating Agency making the reduction in rating does not publicly announce or confirm or inform the Issuer or the Trustee in writing at the request of the Issuer that the reduction was the result, in whole or in part, of any event or circumstance comprised of or arising as a result of, or in respect of, the Change of Control (whether or not the applicable Change of Control has occurred at the time of such downgrade) or</w:t>
      </w:r>
    </w:p>
    <w:p>
      <w:pPr>
        <w:spacing w:after="0" w:line="1" w:lineRule="exact"/>
        <w:rPr>
          <w:sz w:val="20"/>
          <w:szCs w:val="20"/>
          <w:color w:val="auto"/>
        </w:rPr>
      </w:pPr>
    </w:p>
    <w:p>
      <w:pPr>
        <w:ind w:left="4" w:hanging="4"/>
        <w:spacing w:after="0" w:line="251"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Notes do not have an Investment Grade Rating from at least two Rating Agencies, (i) a Change of Control that is accompanied or followed by a downgrade of the Notes by one or more gradations, including gradations within ratings categories as well as between ratings categories (or withdrawal of the rating of the Notes), within the Ratings Decline Period for such Change of Control by at least two Rating Agencies and (ii) each such Rating Agency’s rating of the Notes on any day during such Ratings Decline Period for such Change of Control is below the rating by such Rating Agency in effect immediately preceding the first public announcement of the Change of Control (or the occurrence thereof if such Change of Control occurs prior to the first public announcement thereof) or has been withdrawn; provided, however, that a downgrade of the Notes by the applicable Rating Agency will not be deemed to have occurred in respect of a Change of Control (and thus will not be deemed a downgrade for purposes of this definition) if such Rating Agency making the reduction in rating does not publicly announce or confirm or inform the Issuer or the Trustee in writing at the request of the Issuer that the reduction was the result, in whole or in part, of any event or circumstance comprised of or arising as a result of, or in respect of, the Change of Control (whether or not the applicable Change of Control has occurred at the time of such downgrade).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9" w:name="page20"/>
    <w:bookmarkEnd w:id="1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Clearstream</w:t>
      </w:r>
      <w:r>
        <w:rPr>
          <w:rFonts w:ascii="Times New Roman" w:cs="Times New Roman" w:eastAsia="Times New Roman" w:hAnsi="Times New Roman"/>
          <w:sz w:val="18"/>
          <w:szCs w:val="18"/>
          <w:color w:val="auto"/>
        </w:rPr>
        <w:t>” means Clearstream Banking, a société anonyme or any successor clearing agency.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CMBS Assets</w:t>
      </w:r>
      <w:r>
        <w:rPr>
          <w:rFonts w:ascii="Times New Roman" w:cs="Times New Roman" w:eastAsia="Times New Roman" w:hAnsi="Times New Roman"/>
          <w:sz w:val="18"/>
          <w:szCs w:val="18"/>
          <w:color w:val="auto"/>
        </w:rPr>
        <w:t>” means, collectively, all real property and related assets owned by the Issuer and its Subsidiaries located in the United States.</w:t>
      </w:r>
    </w:p>
    <w:p>
      <w:pPr>
        <w:spacing w:after="0" w:line="225"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CMBS Borrower Subsidiary</w:t>
      </w:r>
      <w:r>
        <w:rPr>
          <w:rFonts w:ascii="Times New Roman" w:cs="Times New Roman" w:eastAsia="Times New Roman" w:hAnsi="Times New Roman"/>
          <w:sz w:val="18"/>
          <w:szCs w:val="18"/>
          <w:color w:val="auto"/>
        </w:rPr>
        <w:t>” means any Subsidiary of the Issuer (i) party to a CMBS Loan, indenture or other financing secured or supported by interests in CMBS Assets and other real property, (ii) any Subsidiary of a Person described in the foregoing clause (i) or (iii) otherwise designated by the Issuer as a “CMBS Borrower Subsidiary” from time to time.</w:t>
      </w:r>
    </w:p>
    <w:p>
      <w:pPr>
        <w:spacing w:after="0" w:line="171"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CMBS Loans</w:t>
      </w:r>
      <w:r>
        <w:rPr>
          <w:rFonts w:ascii="Times New Roman" w:cs="Times New Roman" w:eastAsia="Times New Roman" w:hAnsi="Times New Roman"/>
          <w:sz w:val="18"/>
          <w:szCs w:val="18"/>
          <w:color w:val="auto"/>
        </w:rPr>
        <w:t>” means, collectively, one or more mortgage, mezzanine or other loans or other indebtedness secured or supported by interests in one or more CMBS Assets.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all of the assets and property of any Issuer or any Guarantor, whether real, personal or mixed securing or purported to secure any Notes Obligations, other than Excluded Assets.</w:t>
      </w:r>
    </w:p>
    <w:p>
      <w:pPr>
        <w:spacing w:after="0" w:line="155" w:lineRule="exact"/>
        <w:rPr>
          <w:sz w:val="20"/>
          <w:szCs w:val="20"/>
          <w:color w:val="auto"/>
        </w:rPr>
      </w:pPr>
    </w:p>
    <w:p>
      <w:pPr>
        <w:jc w:val="both"/>
        <w:ind w:left="4" w:right="4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Collateral Agent</w:t>
      </w:r>
      <w:r>
        <w:rPr>
          <w:rFonts w:ascii="Times New Roman" w:cs="Times New Roman" w:eastAsia="Times New Roman" w:hAnsi="Times New Roman"/>
          <w:sz w:val="17"/>
          <w:szCs w:val="17"/>
          <w:color w:val="auto"/>
        </w:rPr>
        <w:t>” means (1) in the case of any Senior Secured Credit Facility Obligations, the Bank Collateral Agent, (2) in the case of the Existing Pari Passu Notes Obligations, the Existing 3.875% Notes Collateral Agent and the Existing 6.250% Notes Collateral Agent, as applicable,</w:t>
      </w:r>
    </w:p>
    <w:p>
      <w:pPr>
        <w:spacing w:after="0" w:line="1" w:lineRule="exact"/>
        <w:rPr>
          <w:sz w:val="20"/>
          <w:szCs w:val="20"/>
          <w:color w:val="auto"/>
        </w:rPr>
      </w:pPr>
    </w:p>
    <w:p>
      <w:pPr>
        <w:ind w:left="4" w:right="40" w:hanging="4"/>
        <w:spacing w:after="0" w:line="290" w:lineRule="auto"/>
        <w:tabs>
          <w:tab w:leader="none" w:pos="25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Notes Obligations, the Notes Collateral Agent and (4) in the case of any Additional Pari Passu Obligations, Senior ABL Revolving Credit Obligations or other secured debt not prohibited by this Indenture, the collateral agent, administrative agent or trustee with respect hereto.</w:t>
      </w:r>
    </w:p>
    <w:p>
      <w:pPr>
        <w:spacing w:after="0" w:line="15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and Guarantee Requirement</w:t>
      </w:r>
      <w:r>
        <w:rPr>
          <w:rFonts w:ascii="Times New Roman" w:cs="Times New Roman" w:eastAsia="Times New Roman" w:hAnsi="Times New Roman"/>
          <w:sz w:val="18"/>
          <w:szCs w:val="18"/>
          <w:color w:val="auto"/>
        </w:rPr>
        <w:t>” means, at any time prior to the Collateral Release Date, the requirement that: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 the Notes Collateral Agent shall have received each Security Document required to be delivered on the Issue Date pursuant to</w:t>
      </w:r>
    </w:p>
    <w:p>
      <w:pPr>
        <w:spacing w:after="0" w:line="27" w:lineRule="exact"/>
        <w:rPr>
          <w:sz w:val="20"/>
          <w:szCs w:val="20"/>
          <w:color w:val="auto"/>
        </w:rPr>
      </w:pPr>
    </w:p>
    <w:p>
      <w:pPr>
        <w:ind w:left="444" w:right="20"/>
        <w:spacing w:after="0" w:line="260" w:lineRule="auto"/>
        <w:rPr>
          <w:sz w:val="20"/>
          <w:szCs w:val="20"/>
          <w:color w:val="auto"/>
        </w:rPr>
      </w:pPr>
      <w:r>
        <w:rPr>
          <w:rFonts w:ascii="Times New Roman" w:cs="Times New Roman" w:eastAsia="Times New Roman" w:hAnsi="Times New Roman"/>
          <w:sz w:val="18"/>
          <w:szCs w:val="18"/>
          <w:color w:val="auto"/>
        </w:rPr>
        <w:t>Section 13.01 hereof or from time to time pursuant to Section 4.18 hereof and the Security Agreement, subject to the limitations and exceptions of this Indenture and the Security Documents, duly executed by each Issuer and each Guarantor party thereto;</w:t>
      </w:r>
    </w:p>
    <w:p>
      <w:pPr>
        <w:spacing w:after="0" w:line="73" w:lineRule="exact"/>
        <w:rPr>
          <w:sz w:val="20"/>
          <w:szCs w:val="20"/>
          <w:color w:val="auto"/>
        </w:rPr>
      </w:pPr>
    </w:p>
    <w:p>
      <w:pPr>
        <w:ind w:left="444" w:right="620" w:firstLine="419"/>
        <w:spacing w:after="0" w:line="282" w:lineRule="auto"/>
        <w:tabs>
          <w:tab w:leader="none" w:pos="11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shall have been guaranteed by Holdings and each Subsidiary of the Issuer (other than the Excluded Subsidiaries) pursuant to the Guarantees;</w:t>
      </w:r>
    </w:p>
    <w:p>
      <w:pPr>
        <w:spacing w:after="0" w:line="53" w:lineRule="exact"/>
        <w:rPr>
          <w:rFonts w:ascii="Times New Roman" w:cs="Times New Roman" w:eastAsia="Times New Roman" w:hAnsi="Times New Roman"/>
          <w:sz w:val="18"/>
          <w:szCs w:val="18"/>
          <w:color w:val="auto"/>
        </w:rPr>
      </w:pPr>
    </w:p>
    <w:p>
      <w:pPr>
        <w:ind w:left="444" w:firstLine="419"/>
        <w:spacing w:after="0" w:line="255" w:lineRule="auto"/>
        <w:tabs>
          <w:tab w:leader="none" w:pos="11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Pari Passu Intercreditor Agreement, the Obligations and the Guarantees shall have been secured pursuant to the Security Agreement by a first-priority perfected security interest in (i) all the Equity Interests of the Issuer and (ii) all Equity Interests of each Restricted Subsidiary (that is not an Excluded Subsidiary (other than any Restricted Subsidiary that is an Excluded Subsidiary solely pursuant to clause (f) or (j)(y) of the definition thereof)) directly owned by any Issuer or any Guarantor, subject to exceptions and limitations otherwise set forth in this Indenture and the Security Documents (to the extent appropriate in the applicable jurisdiction) (and the Notes Collateral Agent shall have received certificates or other instruments representing all such Equity Interests (if any), together with undated stock powers or other instruments of transfer with respect thereto endorsed in blank);</w:t>
      </w:r>
    </w:p>
    <w:p>
      <w:pPr>
        <w:spacing w:after="0" w:line="80" w:lineRule="exact"/>
        <w:rPr>
          <w:rFonts w:ascii="Times New Roman" w:cs="Times New Roman" w:eastAsia="Times New Roman" w:hAnsi="Times New Roman"/>
          <w:sz w:val="18"/>
          <w:szCs w:val="18"/>
          <w:color w:val="auto"/>
        </w:rPr>
      </w:pPr>
    </w:p>
    <w:p>
      <w:pPr>
        <w:ind w:left="444" w:right="200" w:firstLine="419"/>
        <w:spacing w:after="0" w:line="266" w:lineRule="auto"/>
        <w:tabs>
          <w:tab w:leader="none" w:pos="11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intercompany debt that is evidenced by a promissory note shall have been delivered to the Notes Collateral Agent pursuant to the Security Agreement and the Notes Collateral Agent shall have received all such promissory notes, together with undated instruments of transfer with respect thereto endorsed in blank;</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6" w:right="479" w:bottom="1440" w:gutter="0" w:footer="0" w:header="0"/>
        </w:sectPr>
      </w:pPr>
    </w:p>
    <w:bookmarkStart w:id="20" w:name="page21"/>
    <w:bookmarkEnd w:id="20"/>
    <w:p>
      <w:pPr>
        <w:ind w:firstLine="419"/>
        <w:spacing w:after="0" w:line="258" w:lineRule="auto"/>
        <w:tabs>
          <w:tab w:leader="none" w:pos="6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Obligations and the Guarantees shall have been secured by a perfected security interest in substantially all now owned or at any time hereafter acquired tangible and intangible assets of each Issuer and each Guarantor (including Equity Interests, intercompany debt, accounts, inventory, equipment, investment property, contract rights, IP Rights (as defined in the Senior Secured Credit Facilities), other general intangibles, and proceeds of the foregoing), in each case, subject to exceptions and limitations otherwise set forth in this Indenture and the Security Documents (to the extent appropriate in the applicable jurisdiction), in each case with the priority required by the Security Documents;</w:t>
      </w:r>
    </w:p>
    <w:p>
      <w:pPr>
        <w:spacing w:after="0" w:line="75" w:lineRule="exact"/>
        <w:rPr>
          <w:rFonts w:ascii="Times New Roman" w:cs="Times New Roman" w:eastAsia="Times New Roman" w:hAnsi="Times New Roman"/>
          <w:sz w:val="18"/>
          <w:szCs w:val="18"/>
          <w:color w:val="auto"/>
        </w:rPr>
      </w:pPr>
    </w:p>
    <w:p>
      <w:pPr>
        <w:ind w:right="180" w:firstLine="419"/>
        <w:spacing w:after="0" w:line="256"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contemplated by this Indenture or any Security Document, all certificates, agreements, documents and instruments, including Uniform Commercial Code financing statements and filings with the United States Patent and Trademark Office and United States Copyright Office, required by the Security Documents, applicable law or reasonably requested by the Notes Collateral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Notes Collateral Agent for filing, registration or recording.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provisions of this definition or anything in this Indenture or any other Security Document to the contrary:</w:t>
      </w:r>
    </w:p>
    <w:p>
      <w:pPr>
        <w:spacing w:after="0" w:line="117" w:lineRule="exact"/>
        <w:rPr>
          <w:sz w:val="20"/>
          <w:szCs w:val="20"/>
          <w:color w:val="auto"/>
        </w:rPr>
      </w:pPr>
    </w:p>
    <w:p>
      <w:pPr>
        <w:ind w:right="280" w:firstLine="419"/>
        <w:spacing w:after="0" w:line="312" w:lineRule="auto"/>
        <w:tabs>
          <w:tab w:leader="none" w:pos="71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foregoing definition shall not require, unless otherwise stated in the definition of “Excluded Assets”, the creation or perfection of pledges of, security interests in, mortgages on, or the obtaining of title insurance or taking other actions with respect to the Excluded Assets;</w:t>
      </w:r>
    </w:p>
    <w:p>
      <w:pPr>
        <w:spacing w:after="0" w:line="31" w:lineRule="exact"/>
        <w:rPr>
          <w:rFonts w:ascii="Times New Roman" w:cs="Times New Roman" w:eastAsia="Times New Roman" w:hAnsi="Times New Roman"/>
          <w:sz w:val="17"/>
          <w:szCs w:val="17"/>
          <w:color w:val="auto"/>
        </w:rPr>
      </w:pPr>
    </w:p>
    <w:p>
      <w:pPr>
        <w:ind w:firstLine="419"/>
        <w:spacing w:after="0" w:line="254" w:lineRule="auto"/>
        <w:tabs>
          <w:tab w:leader="none" w:pos="7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foregoing definition shall not require control agreements or other control or similar arrangements with respect to any cash, deposit accounts or securities accounts or any other assets requiring perfection through control agreements; (ii) no actions in any non-U.S. jurisdiction or required by the laws of any non-U.S. jurisdiction shall be required in order to create any security interests in assets located or titled outside of the U.S., including any intellectual property registered in any non-U.S. jurisdiction, or to perfect such security interests (it being understood that there shall be no security agreements or pledge agreements governed under the laws of any non-U.S. jurisdiction) and (iii) except to the extent that perfection and priority may be achieved by the filing of a financing statement under the Uniform Commercial Code with respect to an Issuer or a Guarantor, neither this Indenture nor the Security Documents shall contain any requirements as to perfection or priority with respect to any assets or property described in clauses (i) or (ii) of this clause (B);</w:t>
      </w:r>
    </w:p>
    <w:p>
      <w:pPr>
        <w:spacing w:after="0" w:line="83" w:lineRule="exact"/>
        <w:rPr>
          <w:rFonts w:ascii="Times New Roman" w:cs="Times New Roman" w:eastAsia="Times New Roman" w:hAnsi="Times New Roman"/>
          <w:sz w:val="18"/>
          <w:szCs w:val="18"/>
          <w:color w:val="auto"/>
        </w:rPr>
      </w:pPr>
    </w:p>
    <w:p>
      <w:pPr>
        <w:ind w:right="100" w:firstLine="419"/>
        <w:spacing w:after="0" w:line="256" w:lineRule="auto"/>
        <w:tabs>
          <w:tab w:leader="none" w:pos="7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Foreign Subsidiary becomes a Guarantor, such Guarantor shall grant a perfected lien on substantially all of its assets pursuant to arrangements reasonably agreed between the Bank Collateral Agent and the Issuer with respect to the corresponding requirement in the Senior Secured Credit Facilities, pursuant to documentation and subject to customary limitations in such jurisdiction, and nothing in the definition of “Excluded Asset” or other limitation in this Indenture shall in any way limit or restrict the pledge of assets and property by any such Foreign Subsidiary that is a Guarantor or the pledge of the Equity Interests of such Foreign Subsidiary by any Issuer or any Guarantor that holds such Equity Interests;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21" w:name="page22"/>
    <w:bookmarkEnd w:id="21"/>
    <w:p>
      <w:pPr>
        <w:ind w:left="440" w:right="120" w:firstLine="419"/>
        <w:spacing w:after="0" w:line="282" w:lineRule="auto"/>
        <w:tabs>
          <w:tab w:leader="none" w:pos="11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required to be granted from time to time pursuant to the Collateral and Guarantee Requirement shall be subject to exceptions and limitations (if any) set forth in this Indenture and the Security Documents;</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deliveries and/or documents required pursuant to this definition shall be deemed to be satisfactory in respect of such matters under this Indenture and the Security Documents to the extent that such deliveries and/or documents are determined, in the judgment of the Bank Collateral Agent, to be satisfactory in respect of any such matters under the Senior Secured Credit Facilities; and</w:t>
      </w:r>
    </w:p>
    <w:p>
      <w:pPr>
        <w:spacing w:after="0" w:line="67" w:lineRule="exact"/>
        <w:rPr>
          <w:rFonts w:ascii="Times New Roman" w:cs="Times New Roman" w:eastAsia="Times New Roman" w:hAnsi="Times New Roman"/>
          <w:sz w:val="18"/>
          <w:szCs w:val="18"/>
          <w:color w:val="auto"/>
        </w:rPr>
      </w:pPr>
    </w:p>
    <w:p>
      <w:pPr>
        <w:ind w:left="440" w:firstLine="419"/>
        <w:spacing w:after="0" w:line="255" w:lineRule="auto"/>
        <w:tabs>
          <w:tab w:leader="none" w:pos="11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periods, with respect to the perfection of the security in, or obtaining of title insurance, legal opinions or other deliverables on, particular assets or collateral that are acquired by any Issuer or any Guarantor following the Issue Date in order to satisfy the Collateral and Guarantee Requirement with respect to such after-acquired collateral, shall be extended to the respective time periods as (i) permitted by the Senior Secured Credit Facilities or otherwise agreed to by the Bank Collateral Agent or (ii) otherwise established by the Issuer following its good faith determination that such action cannot be accomplished without undue effort or expense by the time or times at which it would otherwise be required to be accomplished by this Indenture or the Security Documents, as evidenced in a certification in an Officer’s Certificate delivered to the Trustee and Notes Collateral Agent.</w:t>
      </w:r>
    </w:p>
    <w:p>
      <w:pPr>
        <w:spacing w:after="0" w:line="185"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w:t>
      </w:r>
      <w:r>
        <w:rPr>
          <w:rFonts w:ascii="Times New Roman" w:cs="Times New Roman" w:eastAsia="Times New Roman" w:hAnsi="Times New Roman"/>
          <w:sz w:val="18"/>
          <w:szCs w:val="18"/>
          <w:color w:val="auto"/>
        </w:rPr>
        <w:t>”, unless otherwise specifically indicated, when used with respect to any Person refers to such Person consolidated with its Restricted Subsidiaries.</w:t>
      </w:r>
    </w:p>
    <w:p>
      <w:pPr>
        <w:spacing w:after="0" w:line="15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Depreciation and Amortization Expense</w:t>
      </w:r>
      <w:r>
        <w:rPr>
          <w:rFonts w:ascii="Times New Roman" w:cs="Times New Roman" w:eastAsia="Times New Roman" w:hAnsi="Times New Roman"/>
          <w:sz w:val="18"/>
          <w:szCs w:val="18"/>
          <w:color w:val="auto"/>
        </w:rPr>
        <w:t>” means with respect to any Person for any period, the total amount of depreciation and amortization expense and capitalized fees, including, without limitation, the amortization of capitalized fees or costs related to any Qualified Securitization Facility of such Person and the amortization of media development costs, intangible assets, content databases, internal labor costs, deferred financing fees or costs, debt issuance costs, commissions, fees and expenses and Capitalized Software Expenditures of such Person and its Restricted Subsidiaries for such period on a consolidated basis and otherwise determined in accordance with GAAP.</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means, with respect to any Person for any period, without duplication, the sum of:</w:t>
      </w:r>
    </w:p>
    <w:p>
      <w:pPr>
        <w:spacing w:after="0" w:line="121" w:lineRule="exact"/>
        <w:rPr>
          <w:sz w:val="20"/>
          <w:szCs w:val="20"/>
          <w:color w:val="auto"/>
        </w:rPr>
      </w:pPr>
    </w:p>
    <w:p>
      <w:pPr>
        <w:ind w:left="440" w:right="40" w:firstLine="419"/>
        <w:spacing w:after="0" w:line="253" w:lineRule="auto"/>
        <w:tabs>
          <w:tab w:leader="none" w:pos="11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cash interest expense of such Person and its Restricted Subsidiaries for such period with respect to all outstanding Indebtedness to the extent included in the calculation of Consolidated Total Indebtedness, to the extent such expense was deducted (and not added back) in computing Consolidated Net Income (including (i) amortization of original issue discount resulting from the issuance of Indebtedness at less than par, (ii) all commissions, discounts and other fees and charges owed with respect to letters of credit or bankers acceptances, (iii) [reserved], (iv) the interest component of Financing Lease Obligations, and (v) net payments, if any made (less net payments, if any, received), pursuant to interest rate Hedging Obligations with respect to Indebtedness, and excluding (o) annual agency or similar fees paid to the administrative agents, collateral agents and other agents under any Credit Facilities, (p) any additional interest with respect to failure to comply with any registration rights agreement owing with respect to any securities, (q) costs associated with obtaining Hedging Obligations, (r) any expense resulting from the discounting of any Indebtedness in connection with the application of recapitalization accounting or, if applicable, purchase or acquisition accounting in connection with the 2021 Transactions, any acquisition or other transaction, (s) penalties and interest relating to taxes, (t) any “additional interest” or “liquidated damages” with respect to other securities for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2" w:name="page23"/>
    <w:bookmarkEnd w:id="22"/>
    <w:p>
      <w:pPr>
        <w:ind w:left="440"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failure to timely comply with registration rights obligations, (u) amortization or expensing of deferred financing fees, amendment and consent fees, debt issuance costs, commissions, fees, expenses and discounted liabilities and any other amounts of non-cash interest, (v) any expensing of bridge, commitment and other financing fees and any other fees related to the 2021 Transactions, any acquisitions after the 2021 Acquisition Date or other transaction, (w) Securitization Fees, commissions, discounts, yield, make-whole premium and other fees and charges (including any interest expense) incurred in connection with any Qualified Securitization Facility, (x) any accretion of accrued interest on discounted liabilities and any prepayment, make-whole or breakage premium, penalty or cost, (y) interest expense attributable to a parent entity resulting from push-down accounting and (z) any lease, rental or other expense in connection with a Non-Financing Lease Obligation); </w:t>
      </w:r>
      <w:r>
        <w:rPr>
          <w:rFonts w:ascii="Times New Roman" w:cs="Times New Roman" w:eastAsia="Times New Roman" w:hAnsi="Times New Roman"/>
          <w:sz w:val="18"/>
          <w:szCs w:val="18"/>
          <w:i w:val="1"/>
          <w:iCs w:val="1"/>
          <w:color w:val="auto"/>
        </w:rPr>
        <w:t>plus</w:t>
      </w:r>
    </w:p>
    <w:p>
      <w:pPr>
        <w:spacing w:after="0" w:line="81" w:lineRule="exact"/>
        <w:rPr>
          <w:sz w:val="20"/>
          <w:szCs w:val="20"/>
          <w:color w:val="auto"/>
        </w:rPr>
      </w:pPr>
    </w:p>
    <w:p>
      <w:pPr>
        <w:ind w:left="440" w:right="200" w:firstLine="419"/>
        <w:spacing w:after="0" w:line="282"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capitalized interest of such Person and its Restricted Subsidiaries for such period, whether paid or accrued (but excluding any interest capitalized accrued, accreted or paid in respect of Subordinated Shareholder Funding and any pay in kind interest); </w:t>
      </w:r>
      <w:r>
        <w:rPr>
          <w:rFonts w:ascii="Times New Roman" w:cs="Times New Roman" w:eastAsia="Times New Roman" w:hAnsi="Times New Roman"/>
          <w:sz w:val="18"/>
          <w:szCs w:val="18"/>
          <w:i w:val="1"/>
          <w:iCs w:val="1"/>
          <w:color w:val="auto"/>
        </w:rPr>
        <w:t>less</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of such Person and its Restricted Subsidiaries for such period.</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definition, interest on a Financing Lease Obligation shall be deemed to accrue at an interest rate reasonably determined by such Person to be the rate of interest implicit in such Financing Lease Obligation in accordance with GAAP (or, if not implicit, as otherwise determined in accordance with GAAP). Notwithstanding the foregoing, no interest payable in connection with any CMBS Loan or Foreign RE Loan shall be included in calculating Consolidated Interest Expense pursuant hereto.</w:t>
      </w:r>
    </w:p>
    <w:p>
      <w:pPr>
        <w:spacing w:after="0" w:line="176" w:lineRule="exact"/>
        <w:rPr>
          <w:sz w:val="20"/>
          <w:szCs w:val="20"/>
          <w:color w:val="auto"/>
        </w:rPr>
      </w:pPr>
    </w:p>
    <w:p>
      <w:pPr>
        <w:ind w:right="1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Net Income</w:t>
      </w:r>
      <w:r>
        <w:rPr>
          <w:rFonts w:ascii="Times New Roman" w:cs="Times New Roman" w:eastAsia="Times New Roman" w:hAnsi="Times New Roman"/>
          <w:sz w:val="17"/>
          <w:szCs w:val="17"/>
          <w:color w:val="auto"/>
        </w:rPr>
        <w:t xml:space="preserve">” means, with respect to any Person for any period, the aggregate of the Net Income of such Person and its Restricted Subsidiaries for such period, on a consolidated basis, and otherwise determined in accordance with GAAP;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without duplication:</w:t>
      </w:r>
    </w:p>
    <w:p>
      <w:pPr>
        <w:spacing w:after="0" w:line="28" w:lineRule="exact"/>
        <w:rPr>
          <w:sz w:val="20"/>
          <w:szCs w:val="20"/>
          <w:color w:val="auto"/>
        </w:rPr>
      </w:pPr>
    </w:p>
    <w:p>
      <w:pPr>
        <w:ind w:left="440" w:firstLine="419"/>
        <w:spacing w:after="0" w:line="252" w:lineRule="auto"/>
        <w:tabs>
          <w:tab w:leader="none" w:pos="11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exceptional, one-time, infrequent, non-operating, unusual or nonrecurring gains, losses or expenses (including all fees and expenses relating thereto) (including any extraordinary, exceptional, one-time, infrequent, non-operating, unusual or nonrecurring operating expenses directly attributable to the implementation of cost savings initiatives and any accruals or reserves in respect of any extraordinary, exceptional, unusual or nonrecurring items, charges or expenses (including relating to any multi-year strategic initiatives)), costs associated with preparations for, and implementation of, compliance with the requirements of the Sarbanes-Oxley Act of 2002 and other Public Company Costs, 2021 Transaction Expenses, Permitted Change of Control Costs, restructuring and duplicative running costs, restructuring charges or reserves (including any restructuring charge relating to any Tax Restructuring), earn-out payments or other consideration paid or payable in connection with an acquisition to the extent recorded as cash compensation expense, relocation costs, start-up or initial costs for any project or new production line, division or new line of business, facility consolidation and closing costs, severance costs and expenses, one-time charges (including compensation charges), payments made pursuant to the terms of change in control agreements that the Issuer or a Subsidiary or a parent entity of the Issuer had entered into with any future, present or former employees, directors, officers, managers, members, partners, independent contractors or consultants of the Issuer, a Subsidiary or a parent entity of the Issuer, pre-opening, opening, consolidation, discontinuation, re-configuration, integration, ramp-up costs, moving and closing costs and expenses for locations, facilities and stores, losses, costs or cost inefficiencies related to facility or property disruptions or shutdowns, signing, retention and completion bonuses, recruiting costs, costs incurred in connection with any strategic initiatives, transition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3" w:name="page24"/>
    <w:bookmarkEnd w:id="2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costs, litigation and arbitration costs, charges, fees and expenses (including settlements), expenses in connection with one-time rate changes, costs incurred in connection with acquisitions, investments and dispositions, travel and out-of-pocket costs, professional fees for legal, accounting and other services, human resources costs (including relocation bonuses), litigation and arbitration costs, charges, fees and expenses (including settlements), management transition costs, advertising costs, losses associated with temporary decreases in business volume and expenses related to maintaining underutilized personnel, non-recurring product and intellectual property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costs, charges or expenses attributable to the implementation of cost-savings initiatives or operating expense reductions, product margin synergies and other synergies and similar initiatives and other expenses relating to the realization of synergies, and curtailments or modifications to pension and post-retirement employee benefit plans shall be excluded;</w:t>
      </w:r>
    </w:p>
    <w:p>
      <w:pPr>
        <w:spacing w:after="0" w:line="86" w:lineRule="exact"/>
        <w:rPr>
          <w:sz w:val="20"/>
          <w:szCs w:val="20"/>
          <w:color w:val="auto"/>
        </w:rPr>
      </w:pPr>
    </w:p>
    <w:p>
      <w:pPr>
        <w:ind w:right="120" w:firstLine="419"/>
        <w:spacing w:after="0" w:line="276" w:lineRule="auto"/>
        <w:tabs>
          <w:tab w:leader="none" w:pos="67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election of the Issuer with respect to any quarterly period, the cumulative effect of a change in accounting principles and changes as a result of the adoption or modification of accounting policies (including, but not limited to, the impact of Accounting Standards Update</w:t>
      </w:r>
    </w:p>
    <w:p>
      <w:pPr>
        <w:ind w:right="1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2016-12 Revenue from Contracts with Customers (Topic 606) or similar revenue recognition policies promulgated or that become effective after the Issue Date) during any such period shall be excluded;</w:t>
      </w:r>
    </w:p>
    <w:p>
      <w:pPr>
        <w:spacing w:after="0" w:line="73" w:lineRule="exact"/>
        <w:rPr>
          <w:rFonts w:ascii="Times New Roman" w:cs="Times New Roman" w:eastAsia="Times New Roman" w:hAnsi="Times New Roman"/>
          <w:sz w:val="17"/>
          <w:szCs w:val="17"/>
          <w:color w:val="auto"/>
        </w:rPr>
      </w:pPr>
    </w:p>
    <w:p>
      <w:pPr>
        <w:ind w:right="260" w:firstLine="419"/>
        <w:spacing w:after="0" w:line="266" w:lineRule="auto"/>
        <w:tabs>
          <w:tab w:leader="none" w:pos="6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effect of gains or losses on (i) disposal, abandonment or discontinuance of disposed, abandoned or discontinued operations, as applicable, and any accretion or accrual of discontinued liabilities on the disposal of such disposed, abandoned and discontinued operation and (ii) facilities or distribution centers that have been closed during such period, shall be excluded;</w:t>
      </w:r>
    </w:p>
    <w:p>
      <w:pPr>
        <w:spacing w:after="0" w:line="67"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effect of gains or losses (less all fees, expenses and charges relating thereto) attributable to (i) asset dispositions (including dispositions of books of business, client lists or related goodwill in connection with the departure of related employees or producers) or abandonments or the sale or other disposition of any Capital Stock of any Person or (ii) returned surplus assets of any pension plan, in each case other than in the ordinary course of business shall be excluded;</w:t>
      </w:r>
    </w:p>
    <w:p>
      <w:pPr>
        <w:spacing w:after="0" w:line="71" w:lineRule="exact"/>
        <w:rPr>
          <w:rFonts w:ascii="Times New Roman" w:cs="Times New Roman" w:eastAsia="Times New Roman" w:hAnsi="Times New Roman"/>
          <w:sz w:val="18"/>
          <w:szCs w:val="18"/>
          <w:color w:val="auto"/>
        </w:rPr>
      </w:pPr>
    </w:p>
    <w:p>
      <w:pPr>
        <w:ind w:right="300" w:firstLine="419"/>
        <w:spacing w:after="0" w:line="256" w:lineRule="auto"/>
        <w:tabs>
          <w:tab w:leader="none" w:pos="6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Income for such period of any Person that is not a Subsidiary, or is an Unrestricted Subsidiary, or that is accounted for by the equity method of accounting shall be excluded;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Consolidated Net Income of such Person shall be increased by the amount of dividends or distributions or other payments that are actually paid in Cash Equivalents (including all cash paid from the CMBS Borrower Subsidiaries or Foreign RE Borrower Subsidiaries to the Issuer or any of its Subsidiaries or to the extent converted, or having the ability to be converted, into Cash Equivalents), or that could, in the reasonable determination of the Issuer, have been distributed, to such Person or a Restricted Subsidiary thereof in respect of such period;</w:t>
      </w:r>
    </w:p>
    <w:p>
      <w:pPr>
        <w:spacing w:after="0" w:line="79"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20"/>
          </w:cols>
          <w:pgMar w:left="880" w:top="270" w:right="499" w:bottom="1440" w:gutter="0" w:footer="0" w:header="0"/>
        </w:sectPr>
      </w:pPr>
    </w:p>
    <w:bookmarkStart w:id="24" w:name="page25"/>
    <w:bookmarkEnd w:id="24"/>
    <w:p>
      <w:pPr>
        <w:ind w:right="20" w:firstLine="419"/>
        <w:spacing w:after="0" w:line="256"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effects of adjustments (including the effects of such adjustments pushed down to such Person and its Restricted Subsidiaries) in such Person’s consolidated financial statements pursuant to GAAP (including in the inventory (including any impact of changes to inventory valuation policy methods, including changes in capitalization of variances), property and equipment, software, loans and leases, goodwill, intangible assets, in-process research and development, deferred revenue and debt line items thereof) resulting from the application of recapitalization accounting or purchase or acquisition accounting, as the case may be, in relation to the 2021 Transactions or any other consummated acquisition, joint venture investment or other transaction or the amortization or write-off or write-down of any amounts thereof, net of taxes, shall be excluded;</w:t>
      </w:r>
    </w:p>
    <w:p>
      <w:pPr>
        <w:spacing w:after="0" w:line="79" w:lineRule="exact"/>
        <w:rPr>
          <w:rFonts w:ascii="Times New Roman" w:cs="Times New Roman" w:eastAsia="Times New Roman" w:hAnsi="Times New Roman"/>
          <w:sz w:val="18"/>
          <w:szCs w:val="18"/>
          <w:color w:val="auto"/>
        </w:rPr>
      </w:pPr>
    </w:p>
    <w:p>
      <w:pPr>
        <w:ind w:right="280" w:firstLine="419"/>
        <w:spacing w:after="0" w:line="282"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after-tax effect of income (loss) from the extinguishment or conversion of (i) Indebtedness, (ii) Hedging Obligations or (iii) other derivative instruments shall be excluded;</w:t>
      </w:r>
    </w:p>
    <w:p>
      <w:pPr>
        <w:spacing w:after="0" w:line="53" w:lineRule="exact"/>
        <w:rPr>
          <w:rFonts w:ascii="Times New Roman" w:cs="Times New Roman" w:eastAsia="Times New Roman" w:hAnsi="Times New Roman"/>
          <w:sz w:val="18"/>
          <w:szCs w:val="18"/>
          <w:color w:val="auto"/>
        </w:rPr>
      </w:pPr>
    </w:p>
    <w:p>
      <w:pPr>
        <w:ind w:right="160" w:firstLine="419"/>
        <w:spacing w:after="0" w:line="261" w:lineRule="auto"/>
        <w:tabs>
          <w:tab w:leader="none" w:pos="6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 charge or asset write-off or write-down, including impairment charges or asset write-offs or write-downs related to goodwill, intangible assets, long-lived assets, investments in debt and equity securities and investments recorded using the equity method or as a result of a change in law or regulation, in each case, pursuant to GAAP, and the amortization of intangibles arising pursuant to GAAP shall be excluded;</w:t>
      </w:r>
    </w:p>
    <w:p>
      <w:pPr>
        <w:spacing w:after="0" w:line="71" w:lineRule="exact"/>
        <w:rPr>
          <w:rFonts w:ascii="Times New Roman" w:cs="Times New Roman" w:eastAsia="Times New Roman" w:hAnsi="Times New Roman"/>
          <w:sz w:val="18"/>
          <w:szCs w:val="18"/>
          <w:color w:val="auto"/>
        </w:rPr>
      </w:pPr>
    </w:p>
    <w:p>
      <w:pPr>
        <w:ind w:right="20" w:firstLine="419"/>
        <w:spacing w:after="0" w:line="254" w:lineRule="auto"/>
        <w:tabs>
          <w:tab w:leader="none" w:pos="6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equity-based or non-cash compensation or similar charge or expense or reduction of revenue including any such charge, expense or amount arising from grants of stock appreciation or similar rights, stock options, restricted stock, profits interests or other rights or equity or equity-based incentive programs (“</w:t>
      </w:r>
      <w:r>
        <w:rPr>
          <w:rFonts w:ascii="Times New Roman" w:cs="Times New Roman" w:eastAsia="Times New Roman" w:hAnsi="Times New Roman"/>
          <w:sz w:val="18"/>
          <w:szCs w:val="18"/>
          <w:b w:val="1"/>
          <w:bCs w:val="1"/>
          <w:color w:val="auto"/>
        </w:rPr>
        <w:t>equity incentives</w:t>
      </w:r>
      <w:r>
        <w:rPr>
          <w:rFonts w:ascii="Times New Roman" w:cs="Times New Roman" w:eastAsia="Times New Roman" w:hAnsi="Times New Roman"/>
          <w:sz w:val="18"/>
          <w:szCs w:val="18"/>
          <w:color w:val="auto"/>
        </w:rPr>
        <w:t>”), any other management or employee benefit plan or agreement, pension plan or other long-term or post-employment plan, any one-time cash charges associated with the equity incentives or other long-term incentive compensation plans (including under deferred compensation arrangements of the Issuer or any of its direct or indirect parent entities or subsidiaries), roll-over, acceleration, or payout of Equity Interests by future, present or former employees, directors, officers, managers, members, partners, independent contractors or consultants or business partners of the Issuer or any of its direct or indirect parent entities or subsidiaries, and any cash awards granted to future, present or former employees, directors, officers, managers, members, partners, independent contractors, consultants or business partners of the Issuer and its Subsidiaries or any of its direct or indirect parent entities in replacement for forfeited awards, shall be excluded;</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fees, costs, expenses, premiums or charges incurred during such period, or any amortization thereof for such period, in connection with any acquisition, recapitalization, Investment, asset sale, disposition, option buyout, incurrence or repayment of Indebtedness (including such fees, expenses, premiums or charges related to (A) the offering and issuance of the Notes, the Existing Notes and other securities and the syndication and incurrence of any Credit Facilities (including any Senior ABL Credit Agreement) and (B) the rating of the Notes, the Existing Notes, other securities or any Credit Facilities (including any Senior ABL Credit Agreement) by the Rating Agencies), issuance of Equity Interests of the Issuer or its direct or indirect parent entities, refinancing transaction or amendment or modification of any debt instrument (including any amendment or other modification of the Notes, the Existing Notes and other securities and any Credit Facilities (including any Senior ABL Credit Agreement)) or other transaction and including, in each case, any such transaction consummated on or prior to the Issue Date and any such transaction undertaken but not completed, any Public Company Costs and any charges or non-recurring merger costs incurred during such period as a result of any such transaction, in each case whether or not successful or consummated (including, for the avoidance of doubt the effects of expensing all transaction related expenses in accordance with Financial Accounting Standards Board Accounting Standards Codification Topic No.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shall be excluded;</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25" w:name="page26"/>
    <w:bookmarkEnd w:id="25"/>
    <w:p>
      <w:pPr>
        <w:ind w:right="80" w:firstLine="419"/>
        <w:spacing w:after="0" w:line="266" w:lineRule="auto"/>
        <w:tabs>
          <w:tab w:leader="none" w:pos="63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accruals and reserves that are established or adjusted in connection with the 2021 Transactions or any other acquisition or other Investment or transaction that are so required to be established or adjusted as a result of such acquisition or transaction in accordance with GAAP or changes as a result of modifications of accounting policies shall be excluded;</w:t>
      </w:r>
    </w:p>
    <w:p>
      <w:pPr>
        <w:spacing w:after="0" w:line="67" w:lineRule="exact"/>
        <w:rPr>
          <w:rFonts w:ascii="Times New Roman" w:cs="Times New Roman" w:eastAsia="Times New Roman" w:hAnsi="Times New Roman"/>
          <w:sz w:val="18"/>
          <w:szCs w:val="18"/>
          <w:color w:val="auto"/>
        </w:rPr>
      </w:pPr>
    </w:p>
    <w:p>
      <w:pPr>
        <w:ind w:right="60" w:firstLine="419"/>
        <w:spacing w:after="0" w:line="261" w:lineRule="auto"/>
        <w:tabs>
          <w:tab w:leader="none" w:pos="7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charges or losses to the extent covered by insurance or indemnity and actually reimbursed, or, so long as such Person has made a determination that there exists reasonable evidence that such amount will in fact be reimbursed by the insurer or indemnifying party and only to the extent that such amount is in fact reimbursed within 365 days of the date of the insurable or indemnifiable event (net of any amount so added back in any prior period to the extent not so reimbursed within the applicable 365-day period), shall be excluded;</w:t>
      </w:r>
    </w:p>
    <w:p>
      <w:pPr>
        <w:spacing w:after="0" w:line="69"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noncash compensation expense resulting from the application of Accounting Standards Codification Topic No. 718, </w:t>
      </w:r>
      <w:r>
        <w:rPr>
          <w:rFonts w:ascii="Times New Roman" w:cs="Times New Roman" w:eastAsia="Times New Roman" w:hAnsi="Times New Roman"/>
          <w:sz w:val="18"/>
          <w:szCs w:val="18"/>
          <w:i w:val="1"/>
          <w:iCs w:val="1"/>
          <w:color w:val="auto"/>
        </w:rPr>
        <w:t>Compensation</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 Stock Compensation </w:t>
      </w:r>
      <w:r>
        <w:rPr>
          <w:rFonts w:ascii="Times New Roman" w:cs="Times New Roman" w:eastAsia="Times New Roman" w:hAnsi="Times New Roman"/>
          <w:sz w:val="18"/>
          <w:szCs w:val="18"/>
          <w:color w:val="auto"/>
        </w:rPr>
        <w:t>or any other applicable accounting principle relating to the expensing of equity-related compensation, shall be excluded;</w:t>
      </w:r>
    </w:p>
    <w:p>
      <w:pPr>
        <w:spacing w:after="0" w:line="98" w:lineRule="exact"/>
        <w:rPr>
          <w:rFonts w:ascii="Times New Roman" w:cs="Times New Roman" w:eastAsia="Times New Roman" w:hAnsi="Times New Roman"/>
          <w:sz w:val="18"/>
          <w:szCs w:val="18"/>
          <w:color w:val="auto"/>
        </w:rPr>
      </w:pPr>
    </w:p>
    <w:p>
      <w:pPr>
        <w:ind w:right="160" w:firstLine="419"/>
        <w:spacing w:after="0" w:line="261" w:lineRule="auto"/>
        <w:tabs>
          <w:tab w:leader="none" w:pos="67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pension or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Statement of Financial Accounting Standards No. 87, 106 and 112; and any other items of a similar nature, shall be excluded;</w:t>
      </w:r>
    </w:p>
    <w:p>
      <w:pPr>
        <w:spacing w:after="0" w:line="71" w:lineRule="exact"/>
        <w:rPr>
          <w:rFonts w:ascii="Times New Roman" w:cs="Times New Roman" w:eastAsia="Times New Roman" w:hAnsi="Times New Roman"/>
          <w:sz w:val="18"/>
          <w:szCs w:val="18"/>
          <w:color w:val="auto"/>
        </w:rPr>
      </w:pPr>
    </w:p>
    <w:p>
      <w:pPr>
        <w:ind w:right="120" w:firstLine="419"/>
        <w:spacing w:after="0" w:line="282" w:lineRule="auto"/>
        <w:tabs>
          <w:tab w:leader="none" w:pos="67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or expense related to changes in the fair value of contingent liabilities recorded in connection with the 2021 Transactions or any other acquisition or other Investment shall be excluded;</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discounts, commissions, fees and other charges (including interest expense) associated with any Qualified Securitization Facility shall be excluded;</w:t>
      </w:r>
    </w:p>
    <w:p>
      <w:pPr>
        <w:spacing w:after="0" w:line="53" w:lineRule="exact"/>
        <w:rPr>
          <w:rFonts w:ascii="Times New Roman" w:cs="Times New Roman" w:eastAsia="Times New Roman" w:hAnsi="Times New Roman"/>
          <w:sz w:val="18"/>
          <w:szCs w:val="18"/>
          <w:color w:val="auto"/>
        </w:rPr>
      </w:pPr>
    </w:p>
    <w:p>
      <w:pPr>
        <w:ind w:right="180" w:firstLine="419"/>
        <w:spacing w:after="0" w:line="282" w:lineRule="auto"/>
        <w:tabs>
          <w:tab w:leader="none" w:pos="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adjustments to accruals and reserves during a period relating to any change in the methodology of calculating reserves for returns, rebates and other chargebacks (including government program rebates) shall be excluded;</w:t>
      </w:r>
    </w:p>
    <w:p>
      <w:pPr>
        <w:spacing w:after="0" w:line="53" w:lineRule="exact"/>
        <w:rPr>
          <w:rFonts w:ascii="Times New Roman" w:cs="Times New Roman" w:eastAsia="Times New Roman" w:hAnsi="Times New Roman"/>
          <w:sz w:val="18"/>
          <w:szCs w:val="18"/>
          <w:color w:val="auto"/>
        </w:rPr>
      </w:pPr>
    </w:p>
    <w:p>
      <w:pPr>
        <w:ind w:right="80" w:firstLine="419"/>
        <w:spacing w:after="0" w:line="282" w:lineRule="auto"/>
        <w:tabs>
          <w:tab w:leader="none" w:pos="65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accruals or obligations accrued related to workers’ compensation programs to the extent that expenses deducted in the calculation of Net Income exceed the net amounts paid in cash related to workers’ compensation programs in that period;</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cash tax benefits related to the tax amortization of intangible assets in such period shall be included;</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shall be excluded:</w:t>
      </w:r>
    </w:p>
    <w:p>
      <w:pPr>
        <w:spacing w:after="0" w:line="117" w:lineRule="exact"/>
        <w:rPr>
          <w:rFonts w:ascii="Times New Roman" w:cs="Times New Roman" w:eastAsia="Times New Roman" w:hAnsi="Times New Roman"/>
          <w:sz w:val="18"/>
          <w:szCs w:val="18"/>
          <w:color w:val="auto"/>
        </w:rPr>
      </w:pPr>
    </w:p>
    <w:p>
      <w:pPr>
        <w:jc w:val="both"/>
        <w:ind w:left="540" w:firstLine="408"/>
        <w:spacing w:after="0" w:line="312" w:lineRule="auto"/>
        <w:tabs>
          <w:tab w:leader="none" w:pos="1196"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realized or unrealized net gain or loss (after any offset) resulting in such period from Hedging Obligations and the application of Accounting Standards Codification Topic No.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or any other comparable accounting standard or regulation;</w:t>
      </w:r>
    </w:p>
    <w:p>
      <w:pPr>
        <w:spacing w:after="0" w:line="31" w:lineRule="exact"/>
        <w:rPr>
          <w:rFonts w:ascii="Times New Roman" w:cs="Times New Roman" w:eastAsia="Times New Roman" w:hAnsi="Times New Roman"/>
          <w:sz w:val="17"/>
          <w:szCs w:val="17"/>
          <w:color w:val="auto"/>
        </w:rPr>
      </w:pPr>
    </w:p>
    <w:p>
      <w:pPr>
        <w:ind w:left="540" w:right="40" w:firstLine="408"/>
        <w:spacing w:after="0" w:line="261" w:lineRule="auto"/>
        <w:tabs>
          <w:tab w:leader="none" w:pos="1196"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realized or unrealized net gain or loss (after any offset) resulting in such period from currency translation or transaction gains or losses including those related to currency remeasurements of Indebtedness (including any net loss or gain resulting from Hedging Obligations for currency exchange risk and those resulting from intercompany Indebtedness) and any other foreign currency translation or transactions gains and losses to the extent such gains or losses are non-cash items;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6" w:name="page27"/>
    <w:bookmarkEnd w:id="26"/>
    <w:p>
      <w:pPr>
        <w:ind w:left="980" w:right="740" w:firstLine="408"/>
        <w:spacing w:after="0" w:line="284" w:lineRule="auto"/>
        <w:tabs>
          <w:tab w:leader="none" w:pos="163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adjustments resulting for the application of Accounting Standards Codification Topic No.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or any comparable applicable accounting standard;</w:t>
      </w:r>
    </w:p>
    <w:p>
      <w:pPr>
        <w:spacing w:after="0" w:line="52"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63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Issuer, with respect to any quarterly period, effects of adjustments to accruals and reserves during a prior period relating to any change in the methodology of calculating reserves for returns, rebates and other chargebacks;</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3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non-compete and contingent consideration obligations (including to the extent accounted for as bonuses or otherwise) and adjustments thereof and purchase price adjustments; and</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capitalized, accrued or accredited or pay in kind interest or principal on Subordinated Shareholder Funding; and</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treated as a disregarded entity or partnership for U.S. federal, state and/or local income tax purposes for such period or any portion thereof, the amount of Tax Distributions actually made to any direct or indirect parent company of such Person in respect of such period shall be included in calculating Consolidated Net Income as though such amounts had been paid as taxes directly by such Person for such period.</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extent not already included in the Consolidated Net Income of such Person and its Restricted Subsidiaries, notwithstanding anything to the contrary in the foregoing, Consolidated Net Income shall include the amount of proceeds received or due from business interruption insurance and reimbursements of any expenses and charges that are covered by indemnification or other reimbursement provisions in connection with any acquisition, Investment or any sale, conveyance, transfer or other disposition of assets permitted under this Indenture.</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Tangible Assets</w:t>
      </w:r>
      <w:r>
        <w:rPr>
          <w:rFonts w:ascii="Times New Roman" w:cs="Times New Roman" w:eastAsia="Times New Roman" w:hAnsi="Times New Roman"/>
          <w:sz w:val="18"/>
          <w:szCs w:val="18"/>
          <w:color w:val="auto"/>
        </w:rPr>
        <w:t>” means, with respect to any Person, the aggregate amount of assets (less applicable reserves and other properly deductible items) after deducting therefrom (a) all current liabilities (excluding any Indebtedness of less than 12 months from the date of such Person’s most recent consolidated balance sheet but which by its terms is renewable or extendable beyond 12 months from such date at the option of such Person) and (b) all goodwill, trade names, patents, unamortized debt discount and expense and any other like intangibles, all as set forth on such Person’s most recent consolidated balance sheet and determined in accordance with GAAP with such pro forma adjustments as are appropriate and consistent with the pro forma adjustment provisions set forth in the definition of Fixed Charge Coverage Ratio and as determined in good faith by the Issuer.</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Pari Passu Debt Ratio</w:t>
      </w:r>
      <w:r>
        <w:rPr>
          <w:rFonts w:ascii="Times New Roman" w:cs="Times New Roman" w:eastAsia="Times New Roman" w:hAnsi="Times New Roman"/>
          <w:sz w:val="18"/>
          <w:szCs w:val="18"/>
          <w:color w:val="auto"/>
        </w:rPr>
        <w:t xml:space="preserve">” means, as of any date of determination, the ratio of (1)(a) Consolidated Total Indebtedness of the Issuer and its Restricted Subsidiaries that is secured by Liens on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Notes or Senior ABL Revolving Credit Obligations, as applicable, as of such date of determination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Cash Equivalents that would be stated on the balance sheet of the Issuer and its Restricted Subsidiaries as of such date of determination, in each case with such pro forma adjustments as are appropriate and consistent with the pro forma adjustment provisions set forth in the definition of Fixed Charge Coverage Ratio and as determined in good faith by the Issuer and (b) in connection with the creation or incurrence of any Lien pursuant to the definition of “Permitted Liens,” the Reserved Indebtedness Amount of the Issuer and its Restricted Subsidiaries that is secured by Liens on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Notes or Senior ABL Revolving Credit Obligations, as applicable, as of such date of determination, in each case with such pro forma adjustments as are appropriate and consistent with the pro forma adjustment provisions set forth in the definition of Fixed Charge Coverage Ratio and as determined in good faith by the Issuer to (2) LTM EBITDA.</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40" w:top="268" w:right="539" w:bottom="1440" w:gutter="0" w:footer="0" w:header="0"/>
        </w:sectPr>
      </w:pPr>
    </w:p>
    <w:bookmarkStart w:id="27" w:name="page28"/>
    <w:bookmarkEnd w:id="27"/>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Consolidated Secured Debt Ratio</w:t>
      </w:r>
      <w:r>
        <w:rPr>
          <w:rFonts w:ascii="Times New Roman" w:cs="Times New Roman" w:eastAsia="Times New Roman" w:hAnsi="Times New Roman"/>
          <w:sz w:val="18"/>
          <w:szCs w:val="18"/>
          <w:color w:val="auto"/>
        </w:rPr>
        <w:t>” means, as of any date of determination, the ratio of (1)(a) Consolidated Total Indebtedness of the Issuer and its Restricted Subsidiaries that is secured by Liens on the Collateral as of such date of determination minus Cash Equivalents that would be stated on the balance sheet of the Issuer and its Restricted Subsidiaries as of such date of determination, in each case with such pro forma adjustments as are appropriate and consistent with the pro forma adjustment provisions set forth in the definition of Fixed Charge Coverage Ratio and as determined in good faith by the Issuer and (b) in connection with the creation or incurrence of any Lien pursuant to the definition of “Permitted Liens,” the Reserved Indebtedness Amount of the Issuer and its Restricted Subsidiaries that is secured by Liens on the Collateral as of such date of determination, in each case with such pro forma adjustments as are appropriate and consistent with the pro forma adjustment provisions set forth in the definition of Fixed Charge Coverage Ratio and as determined in good faith by the Issuer to (2) LTM EBITDA.</w:t>
      </w:r>
    </w:p>
    <w:p>
      <w:pPr>
        <w:spacing w:after="0" w:line="18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Total Debt Ratio</w:t>
      </w:r>
      <w:r>
        <w:rPr>
          <w:rFonts w:ascii="Times New Roman" w:cs="Times New Roman" w:eastAsia="Times New Roman" w:hAnsi="Times New Roman"/>
          <w:sz w:val="17"/>
          <w:szCs w:val="17"/>
          <w:color w:val="auto"/>
        </w:rPr>
        <w:t>” means, as of any date of determination, the ratio of (1) Consolidated Total Indebtedness of the Issuer and its Restricted Subsidiaries as of such date of determination minus Cash Equivalents that would be stated on the balance sheet of the Issuer and its Restricted Subsidiaries as of such date of determination, in each case with such pro forma adjustments as are appropriate and consistent with the pro forma adjustment provisions set forth in the definition of Fixed Charge Coverage Ratio and as determined in good faith by the Issuer to (2) LTM EBITDA.</w:t>
      </w:r>
    </w:p>
    <w:p>
      <w:pPr>
        <w:spacing w:after="0" w:line="16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Indebtedness</w:t>
      </w:r>
      <w:r>
        <w:rPr>
          <w:rFonts w:ascii="Times New Roman" w:cs="Times New Roman" w:eastAsia="Times New Roman" w:hAnsi="Times New Roman"/>
          <w:sz w:val="18"/>
          <w:szCs w:val="18"/>
          <w:color w:val="auto"/>
        </w:rPr>
        <w:t xml:space="preserve">” means, as of any date of determination, an amount equal to the aggregate amount of all outstanding Senior Indebtedness of the Issuer and its Restricted Subsidiaries on a consolidated basis consisting of Senior Indebtedness for borrowed money, Obligations in respect of Financing Lease Obligations and debt obligations evidenced by bonds, notes, debentures, promissory notes and similar instruments, as determined in accordance with GAAP (including discounts for any original issue discount in connection with such Indebtedness but excluding for the avoidance of doubt all undrawn amounts under revolving credit facilities and letters of credit, and all obligations relating to Qualified Securitization Facilities and Non-Financing Lease Obligations and excluding the effects of any discounting of Indebtedness resulting from the application of repurchase or purchase or acquisition accounting in connection with the 2021 Transactions, any other acquisition or other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Total Indebtedness shall not include Indebtedness in respect of (A) any letter of credit, except to the extent of unreimbursed amounts under standby letters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unreimbursed amounts under commercial letters of credit shall not be counted as Consolidated Total Indebtedness until five Business Days after such amount is drawn (B) Hedging Obligations and (C) any CMBS Loan or any Foreign RE Loan. The U.S. Dollar Equivalent principal amount of any Indebtedness denominated in a foreign currency will reflect the currency translation effects, determined in accordance with GAAP, of Hedging Obligations for currency exchange risks with respect to the applicable currency in effect on the date of determination of the U.S. Dollar Equivalent principal amount of such Indebtedness.</w:t>
      </w:r>
    </w:p>
    <w:p>
      <w:pPr>
        <w:spacing w:after="0" w:line="187"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Obligations</w:t>
      </w:r>
      <w:r>
        <w:rPr>
          <w:rFonts w:ascii="Times New Roman" w:cs="Times New Roman" w:eastAsia="Times New Roman" w:hAnsi="Times New Roman"/>
          <w:sz w:val="18"/>
          <w:szCs w:val="18"/>
          <w:color w:val="auto"/>
        </w:rPr>
        <w:t>” means, with respect to any Person, any obligation of such Person guaranteeing any leases, dividends or other obligations that do not constitute Indebtedness (“</w:t>
      </w:r>
      <w:r>
        <w:rPr>
          <w:rFonts w:ascii="Times New Roman" w:cs="Times New Roman" w:eastAsia="Times New Roman" w:hAnsi="Times New Roman"/>
          <w:sz w:val="18"/>
          <w:szCs w:val="18"/>
          <w:b w:val="1"/>
          <w:bCs w:val="1"/>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in any manner, whether directly or indirectly, including, without limitation, any obligation of such Person, whether or not contingent: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6" w:right="459" w:bottom="1440" w:gutter="0" w:footer="0" w:header="0"/>
        </w:sectPr>
      </w:pPr>
    </w:p>
    <w:bookmarkStart w:id="28" w:name="page29"/>
    <w:bookmarkEnd w:id="28"/>
    <w:p>
      <w:pPr>
        <w:ind w:left="1100" w:hanging="241"/>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purchase any such primary obligation or any property constituting direct or indirect security therefor;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advance or supply funds:</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purchase or payment of any such primary obligation; or</w:t>
      </w:r>
    </w:p>
    <w:p>
      <w:pPr>
        <w:spacing w:after="0" w:line="117" w:lineRule="exact"/>
        <w:rPr>
          <w:rFonts w:ascii="Times New Roman" w:cs="Times New Roman" w:eastAsia="Times New Roman" w:hAnsi="Times New Roman"/>
          <w:sz w:val="18"/>
          <w:szCs w:val="18"/>
          <w:color w:val="auto"/>
        </w:rPr>
      </w:pPr>
    </w:p>
    <w:p>
      <w:pPr>
        <w:ind w:left="980" w:right="400" w:firstLine="408"/>
        <w:spacing w:after="0" w:line="282" w:lineRule="auto"/>
        <w:tabs>
          <w:tab w:leader="none" w:pos="16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working capital or equity capital of the primary obligor or otherwise to maintain the net worth or solvency of the primary obligor; or</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58"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Investment Affiliate</w:t>
      </w:r>
      <w:r>
        <w:rPr>
          <w:rFonts w:ascii="Times New Roman" w:cs="Times New Roman" w:eastAsia="Times New Roman" w:hAnsi="Times New Roman"/>
          <w:sz w:val="18"/>
          <w:szCs w:val="18"/>
          <w:color w:val="auto"/>
        </w:rPr>
        <w:t>” means, as to any Person, any other Person, other than any Investor, which directly or indirectly is in control of, is controlled by, or is under common control with such Person and is organized by such Person (or any Person controlling such Person) primarily for making direct or indirect equity or debt investments in the Issuer and/or other companies.</w:t>
      </w:r>
    </w:p>
    <w:p>
      <w:pPr>
        <w:spacing w:after="0" w:line="17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office of the Trustee or Notes Collateral Agent, as applicable, at which any time its corporate trust business related to this Indenture shall be administered, which office at the date hereof is Wilmington Trust, National Association, Global Capital Markets, 50 South Sixth Street, Suite 1290, Minneapolis, Minnesota 55402, Attention: Medline Borrower, LP Notes Administrator, or such other address as the Trustee or Notes Collateral Agent, as applicable, may designate from time to time by notice to the Holders and the Issuers, or the principal corporate trust office of any successor Trustee or Notes Collateral Agent, as applicable, (or such other address as such successor Trustee or Notes Collateral Agent, as applicable, may designate from time to time by notice to the Holders and the Issuers).</w:t>
      </w:r>
    </w:p>
    <w:p>
      <w:pPr>
        <w:spacing w:after="0" w:line="18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means, with respect to the Issuer or any of its Restricted Subsidiaries, one or more debt facilities, including the Senior Secured Credit Facilities and any Senior ABL Credit Agreement, or other financing arrangements (including, without limitation, commercial paper facilities, agreements or indentures) providing for revolving credit loans, term loans, letters of credit or other long-term indebtedness, including any notes, mortgages, guarantees, collateral documents, instruments and agreements executed in connection therewith, and any amendments, supplements, modifications, extensions, renewals, restatements or refundings thereof, in whole or in part, and any indentures, agreements, credit facilities or commercial paper facilities that replace, refund, supplement, extend, amend, restate or refinance any part of the loans, notes, other credit facilities or commitments thereunder, including any such replacement, refunding, supplemental, extending, amended, restating or refinancing facility, arrangement, agreement or indenture that increases the amount permitted to be borrowed or issued thereunder or alters the maturity thereof or adds Restricted Subsidiaries as additional borrowers or guarantors thereunder and whether by the same or any other agent, trustee, lender or group of lenders or other holders or investors.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Trustee, as custodian with respect to the Notes, each in global form, or any successor entity thereto.</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Fund Affiliate</w:t>
      </w:r>
      <w:r>
        <w:rPr>
          <w:rFonts w:ascii="Times New Roman" w:cs="Times New Roman" w:eastAsia="Times New Roman" w:hAnsi="Times New Roman"/>
          <w:sz w:val="18"/>
          <w:szCs w:val="18"/>
          <w:color w:val="auto"/>
        </w:rPr>
        <w:t>” means (1) any fund or client managed by, or under common management with Blackstone Alternative Credit Advisors LP, Blackstone Real Estate Special Situations Advisors L.L.C. and Blackstone Tactical Opportunities Fund L.P., (2) any fund or client managed by an adviser within the credit focused division of Blackstone Inc. or Blackstone ISG-I Advisors L.L.C., (3)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29" w:name="page30"/>
    <w:bookmarkEnd w:id="2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Blackstone Strategic Opportunity Funds (including masters, feeders, on-shore, offshore and parallel funds), (4) funds and accounts managed by Blackstone Alternative Solutions, L.L.C. or its Affiliates and (5) any other Affiliate of the Permitted Holders or the Issuer that is a bona fide debt fund or an investment vehicle that is engaged in the making, purchasing, holding or otherwise investing in commercial loans, bonds and similar extensions of credit in the ordinary course.</w:t>
      </w:r>
    </w:p>
    <w:p>
      <w:pPr>
        <w:spacing w:after="0" w:line="176"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xml:space="preserve">” means any event that is, or with the passage of time or the giving of notice or both would be, an Event of Default;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Default that results solely from the taking of an action that would have been permitted but for the continuation of a previous Default will be deemed to be cured if such previous Default is cured or waived prior to becoming an Event of Default.</w:t>
      </w:r>
    </w:p>
    <w:p>
      <w:pPr>
        <w:spacing w:after="0" w:line="171"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Definitive Note</w:t>
      </w:r>
      <w:r>
        <w:rPr>
          <w:rFonts w:ascii="Times New Roman" w:cs="Times New Roman" w:eastAsia="Times New Roman" w:hAnsi="Times New Roman"/>
          <w:sz w:val="18"/>
          <w:szCs w:val="18"/>
          <w:color w:val="auto"/>
        </w:rPr>
        <w:t xml:space="preserve">” means a certificated Note registered in the name of the Holder thereof and issued in accordance with Section 2.06(c) hereof,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for the 2031 Notes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hereto for the 2033 Notes, except that such Note shall not bear the Global Note Legend and shall not have the “Schedule of Exchanges of Interests in the Global Note” attached thereto.</w:t>
      </w:r>
    </w:p>
    <w:p>
      <w:pPr>
        <w:spacing w:after="0" w:line="171"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the Notes issuable or issued in whole or in part in global form, any Person specified in Section 2.03 hereof as the Depositary with respect to the Notes, and any and all successors thereto appointed as Depositary hereunder and having become such pursuant to the applicable provision of this Indenture.</w:t>
      </w:r>
    </w:p>
    <w:p>
      <w:pPr>
        <w:spacing w:after="0" w:line="171" w:lineRule="exact"/>
        <w:rPr>
          <w:sz w:val="20"/>
          <w:szCs w:val="20"/>
          <w:color w:val="auto"/>
        </w:rPr>
      </w:pPr>
    </w:p>
    <w:p>
      <w:pPr>
        <w:ind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Discharge</w:t>
      </w:r>
      <w:r>
        <w:rPr>
          <w:rFonts w:ascii="Times New Roman" w:cs="Times New Roman" w:eastAsia="Times New Roman" w:hAnsi="Times New Roman"/>
          <w:sz w:val="18"/>
          <w:szCs w:val="18"/>
          <w:color w:val="auto"/>
        </w:rPr>
        <w:t>” means, with respect to any Collateral, the date on which such Series of Pari Passu Obligations is no longer secured by such Collateral. The term “</w:t>
      </w:r>
      <w:r>
        <w:rPr>
          <w:rFonts w:ascii="Times New Roman" w:cs="Times New Roman" w:eastAsia="Times New Roman" w:hAnsi="Times New Roman"/>
          <w:sz w:val="18"/>
          <w:szCs w:val="18"/>
          <w:b w:val="1"/>
          <w:bCs w:val="1"/>
          <w:color w:val="auto"/>
        </w:rPr>
        <w:t>Discharged</w:t>
      </w:r>
      <w:r>
        <w:rPr>
          <w:rFonts w:ascii="Times New Roman" w:cs="Times New Roman" w:eastAsia="Times New Roman" w:hAnsi="Times New Roman"/>
          <w:sz w:val="18"/>
          <w:szCs w:val="18"/>
          <w:color w:val="auto"/>
        </w:rPr>
        <w:t>” shall have a corresponding meaning.</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Discharge of Pari Passu Obligations</w:t>
      </w:r>
      <w:r>
        <w:rPr>
          <w:rFonts w:ascii="Times New Roman" w:cs="Times New Roman" w:eastAsia="Times New Roman" w:hAnsi="Times New Roman"/>
          <w:sz w:val="18"/>
          <w:szCs w:val="18"/>
          <w:color w:val="auto"/>
        </w:rPr>
        <w:t xml:space="preserve">” means, with respect to any Collateral, the Discharge of the applicable Pari Passu Obligations with respect to such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Discharge of Pari Passu Obligations shall not be deemed to have occurred in connection with a refinancing of such Pari Passu Obligations with additional Pari Passu Obligations secured by such Collateral under an additional Pari Passu Document which have been designated in writing by the applicable Collateral Agent (under the Pari Passu Obligations so refinanced) or by the Issuer, in each case, to each other Collateral Agent as “Pari Passu Obligations” for purposes of the Pari Passu Intercreditor Agreement.</w:t>
      </w:r>
    </w:p>
    <w:p>
      <w:pPr>
        <w:spacing w:after="0" w:line="17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Stock</w:t>
      </w:r>
      <w:r>
        <w:rPr>
          <w:rFonts w:ascii="Times New Roman" w:cs="Times New Roman" w:eastAsia="Times New Roman" w:hAnsi="Times New Roman"/>
          <w:sz w:val="18"/>
          <w:szCs w:val="18"/>
          <w:color w:val="auto"/>
        </w:rPr>
        <w:t xml:space="preserve">” means, with respect to any Person, any Capital Stock of such Person which, by its terms, or by the terms of any security into which it is convertible or for which it is putable or exchangeable, or upon the happening of any event, matures or is mandatorily redeemable (other than solely for Capital Stock of such Person or any direct or indirect parent entity thereof that would not otherwise constitute Disqualified Stock, and other than solely as a result of a change of control, asset sale, casualty, condemnation or eminent domain) pursuant to a sinking fund obligation or otherwise, or is redeemable or exchangeable at the option of the holder thereof (other than solely for Capital Stock of such Person or as a result of a change of control, asset sale, casualty, condemnation or eminent domain), in whole or in part, in each case prior to the date 91 days after the earlier of the maturity date of the Notes or the date the Notes are no longer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Capital Stock is issued pursuant to any plan for the benefit of future, present or former employees, directors, officers, managers, members, partners, independent contractors or consultants of the Issuer or its Subsidiaries or by any such plan to such future, present or former employees, directors, officers, managers, members, partners, independent contractors or consultants, such Capital Stock shall not constitute Disqualified Stock solely because it may be required to be repurchased by the Issuer or its Subsidiaries or a direct or indirect parent entity of the Issuer in order to satisfy applicable statutory or regulatory obligations or as a result of such employee’s termination, death or disability or otherwise in accordance with any management equity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0" w:name="page31"/>
    <w:bookmarkEnd w:id="30"/>
    <w:p>
      <w:pPr>
        <w:ind w:right="1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subscription agreement, stock option, stock appreciation right or other stock award agreement, stock ownership plan, put agreement, stockholder agreement or similar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Capital Stock held by any future, current or former employee, director, officer, member, partner, manager, consultant or independent contractor (or their respective Controlled Investment Affiliates or Immediate Family Members) of the Issuer, any of its Subsidiaries, any of its direct or indirect parent entities or any other entity in which the Issuer or a Restricted Subsidiary has an Investment and is designated in good faith as an “affiliate” by the Board of the Issuer or any direct or indirect parent of the Issuer (or the compensation committee thereof), in each case pursuant to any equity option or equity appreciation rights plan, any management, director and/or employee equity ownership or incentive plan, equity subscription plan or subscription agreement, employment termination agreement or any other employment agreement or equity holders’ agreement, shall not constitute Disqualified Stock solely because it may be required to be repurchased by the Issuer or its Subsidiaries or any direct or indirect parent of the Issuer or in order to satisfy applicable statutory or regulatory obligations;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class of Capital Stock of such Person that by its terms authorizes such Person to satisfy its obligations thereunder by delivery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Stock that is not Disqualified Stock shall not be deemed to be Disqualified Stock.</w:t>
      </w:r>
    </w:p>
    <w:p>
      <w:pPr>
        <w:spacing w:after="0" w:line="188" w:lineRule="exact"/>
        <w:rPr>
          <w:sz w:val="20"/>
          <w:szCs w:val="20"/>
          <w:color w:val="auto"/>
        </w:rPr>
      </w:pPr>
    </w:p>
    <w:p>
      <w:pPr>
        <w:jc w:val="both"/>
        <w:ind w:right="6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means the division of the assets, liabilities and/or obligations of a Person (the “</w:t>
      </w:r>
      <w:r>
        <w:rPr>
          <w:rFonts w:ascii="Times New Roman" w:cs="Times New Roman" w:eastAsia="Times New Roman" w:hAnsi="Times New Roman"/>
          <w:sz w:val="18"/>
          <w:szCs w:val="18"/>
          <w:b w:val="1"/>
          <w:bCs w:val="1"/>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7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with respect to any Person, any Subsidiary that is organized under the laws of the United States, any state thereof or the District of Columbia.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means, with respect to any Person for any period, the Consolidated Net Income of such Person for such period:</w:t>
      </w:r>
    </w:p>
    <w:p>
      <w:pPr>
        <w:spacing w:after="0" w:line="121" w:lineRule="exact"/>
        <w:rPr>
          <w:sz w:val="20"/>
          <w:szCs w:val="20"/>
          <w:color w:val="auto"/>
        </w:rPr>
      </w:pPr>
    </w:p>
    <w:p>
      <w:pPr>
        <w:ind w:left="440" w:right="280" w:firstLine="419"/>
        <w:spacing w:after="0" w:line="266" w:lineRule="auto"/>
        <w:tabs>
          <w:tab w:leader="none" w:pos="11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(without duplication) by the following, in each case (other than with respect to clauses (vi), (viii), (xi) and (xiii) and the applicable pro forma adjustments in clause (xv)) to the extent deducted (and not added back) in determining Consolidated Net Income for such period:</w:t>
      </w:r>
    </w:p>
    <w:p>
      <w:pPr>
        <w:spacing w:after="0" w:line="67" w:lineRule="exact"/>
        <w:rPr>
          <w:rFonts w:ascii="Times New Roman" w:cs="Times New Roman" w:eastAsia="Times New Roman" w:hAnsi="Times New Roman"/>
          <w:sz w:val="18"/>
          <w:szCs w:val="18"/>
          <w:color w:val="auto"/>
        </w:rPr>
      </w:pPr>
    </w:p>
    <w:p>
      <w:pPr>
        <w:ind w:left="980" w:right="100" w:firstLine="408"/>
        <w:spacing w:after="0" w:line="254" w:lineRule="auto"/>
        <w:tabs>
          <w:tab w:leader="none" w:pos="15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provision for taxes based on income, profits or capital, including, without limitation, federal, state, municipal, foreign, franchise and similar taxes and sales taxes (such as the Delaware franchise tax, the Pennsylvania capital tax, Texas margin tax and provincial capital taxes paid in Canada) and withholding taxes (including any future taxes or other levies which replace or are intended to be in lieu of such taxes and any penalties and interest related to such taxes or arising from tax examinations), (B) if such Person is treated as a disregarded entity or partnership for U.S. federal, state and/or local income tax purposes for such period or any portion thereof, the amount of Tax Distributions actually made to any direct or indirect parent company of such Person in respect of such period and (C) the net tax expense associated with any adjustments made pursuant to clauses (a) through (v) of the definition of “Consolidated Net Income”; </w:t>
      </w:r>
      <w:r>
        <w:rPr>
          <w:rFonts w:ascii="Times New Roman" w:cs="Times New Roman" w:eastAsia="Times New Roman" w:hAnsi="Times New Roman"/>
          <w:sz w:val="18"/>
          <w:szCs w:val="18"/>
          <w:i w:val="1"/>
          <w:iCs w:val="1"/>
          <w:color w:val="auto"/>
        </w:rPr>
        <w:t>plus</w:t>
      </w:r>
    </w:p>
    <w:p>
      <w:pPr>
        <w:spacing w:after="0" w:line="83" w:lineRule="exact"/>
        <w:rPr>
          <w:rFonts w:ascii="Times New Roman" w:cs="Times New Roman" w:eastAsia="Times New Roman" w:hAnsi="Times New Roman"/>
          <w:sz w:val="18"/>
          <w:szCs w:val="18"/>
          <w:color w:val="auto"/>
        </w:rPr>
      </w:pPr>
    </w:p>
    <w:p>
      <w:pPr>
        <w:ind w:left="980" w:firstLine="408"/>
        <w:spacing w:after="0" w:line="261" w:lineRule="auto"/>
        <w:tabs>
          <w:tab w:leader="none" w:pos="164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Fixed Charges of such Person for such period (including (w) non-cash rent expense, (x) net losses or any obligations on Hedging Obligations or other derivative instruments, (y) bank fees, letter of credit fees and other financing fees and (z) costs of surety bonds in connection with financing activities, plus amounts excluded from Consolidated Interest Expense as set forth in clauses (a)(o) through (z) in the definition thereof); </w:t>
      </w:r>
      <w:r>
        <w:rPr>
          <w:rFonts w:ascii="Times New Roman" w:cs="Times New Roman" w:eastAsia="Times New Roman" w:hAnsi="Times New Roman"/>
          <w:sz w:val="18"/>
          <w:szCs w:val="18"/>
          <w:i w:val="1"/>
          <w:iCs w:val="1"/>
          <w:color w:val="auto"/>
        </w:rPr>
        <w:t>plus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1" w:name="page32"/>
    <w:bookmarkEnd w:id="31"/>
    <w:p>
      <w:pPr>
        <w:ind w:left="720" w:hanging="312"/>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Consolidated Depreciation and Amortization Expense of such Person for such period;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right="180" w:firstLine="408"/>
        <w:spacing w:after="0" w:line="282" w:lineRule="auto"/>
        <w:tabs>
          <w:tab w:leader="none" w:pos="7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equity-based or non-cash compensation charges or expenses, including any such charges or expenses arising from grants of stock appreciation or similar rights, stock options, restricted stock or other rights;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firstLine="408"/>
        <w:spacing w:after="0" w:line="256" w:lineRule="auto"/>
        <w:tabs>
          <w:tab w:leader="none" w:pos="6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charges, expenses or losses, including non-cash losses on the sale of assets and any write-offs or write-downs reducing Consolidated Net Income for such period and any non-cash expense relating to the vesting of warrants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non-cash charges represent an accrual or reserve for potential cash items in any future period, (A) the Issuer may elect not to add back such non-cash charge in the current period and (B) to the extent the Issuer elects to add back such non-cash charge, the cash payment in respect thereof in such future period shall be subtracted from EBITDA to such extent), and excluding amortization of a prepaid cash item that was paid in a prior period; </w:t>
      </w:r>
      <w:r>
        <w:rPr>
          <w:rFonts w:ascii="Times New Roman" w:cs="Times New Roman" w:eastAsia="Times New Roman" w:hAnsi="Times New Roman"/>
          <w:sz w:val="18"/>
          <w:szCs w:val="18"/>
          <w:i w:val="1"/>
          <w:iCs w:val="1"/>
          <w:color w:val="auto"/>
        </w:rPr>
        <w:t>plus</w:t>
      </w:r>
    </w:p>
    <w:p>
      <w:pPr>
        <w:spacing w:after="0" w:line="79"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or minority interest expense or any expense or deduction attributable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non-controlling or minority equity interests of third parties in any non-Wholly Owned Subsidiary; </w:t>
      </w:r>
      <w:r>
        <w:rPr>
          <w:rFonts w:ascii="Times New Roman" w:cs="Times New Roman" w:eastAsia="Times New Roman" w:hAnsi="Times New Roman"/>
          <w:sz w:val="18"/>
          <w:szCs w:val="18"/>
          <w:i w:val="1"/>
          <w:iCs w:val="1"/>
          <w:color w:val="auto"/>
        </w:rPr>
        <w:t>plus</w:t>
      </w:r>
    </w:p>
    <w:p>
      <w:pPr>
        <w:spacing w:after="0" w:line="99" w:lineRule="exact"/>
        <w:rPr>
          <w:sz w:val="20"/>
          <w:szCs w:val="20"/>
          <w:color w:val="auto"/>
        </w:rPr>
      </w:pPr>
    </w:p>
    <w:p>
      <w:pPr>
        <w:ind w:right="40" w:firstLine="408"/>
        <w:spacing w:after="0" w:line="254" w:lineRule="auto"/>
        <w:tabs>
          <w:tab w:leader="none" w:pos="7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(x) Board fees, management, monitoring, consulting, transaction, advisory and other fees (including termination fees) and indemnities, costs and expenses paid or accrued in such period to the Investors or otherwise to any member of the Board of Holdings, the Issuer, any Subsidiary of the Issuer or any direct or indirect parent of the Issuer, any Permitted Holder or any Affiliate of a Permitted Holder, (y) payments made to option holders of the Issuer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including any cash consideration for any repurchase of equity, in each case to the extent permitted in this Indenture and (z) any fees and other compensation paid to the members of the Board of the Issuer or any of its parent entities; </w:t>
      </w:r>
      <w:r>
        <w:rPr>
          <w:rFonts w:ascii="Times New Roman" w:cs="Times New Roman" w:eastAsia="Times New Roman" w:hAnsi="Times New Roman"/>
          <w:sz w:val="18"/>
          <w:szCs w:val="18"/>
          <w:i w:val="1"/>
          <w:iCs w:val="1"/>
          <w:color w:val="auto"/>
        </w:rPr>
        <w:t>plus</w:t>
      </w:r>
    </w:p>
    <w:p>
      <w:pPr>
        <w:spacing w:after="0" w:line="83" w:lineRule="exact"/>
        <w:rPr>
          <w:rFonts w:ascii="Times New Roman" w:cs="Times New Roman" w:eastAsia="Times New Roman" w:hAnsi="Times New Roman"/>
          <w:sz w:val="18"/>
          <w:szCs w:val="18"/>
          <w:color w:val="auto"/>
        </w:rPr>
      </w:pPr>
    </w:p>
    <w:p>
      <w:pPr>
        <w:ind w:right="60" w:firstLine="408"/>
        <w:spacing w:after="0" w:line="253" w:lineRule="auto"/>
        <w:tabs>
          <w:tab w:leader="none" w:pos="8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(x) pro forma adjustments, including pro forma “run rate” cost savings (including sourcing), operating expense reductions, operating improvements (including the entry into material contracts and arrangements) and cost synergies and other synergies (collectively, “</w:t>
      </w:r>
      <w:r>
        <w:rPr>
          <w:rFonts w:ascii="Times New Roman" w:cs="Times New Roman" w:eastAsia="Times New Roman" w:hAnsi="Times New Roman"/>
          <w:sz w:val="18"/>
          <w:szCs w:val="18"/>
          <w:b w:val="1"/>
          <w:bCs w:val="1"/>
          <w:color w:val="auto"/>
        </w:rPr>
        <w:t>Run Rate Benefits</w:t>
      </w:r>
      <w:r>
        <w:rPr>
          <w:rFonts w:ascii="Times New Roman" w:cs="Times New Roman" w:eastAsia="Times New Roman" w:hAnsi="Times New Roman"/>
          <w:sz w:val="18"/>
          <w:szCs w:val="18"/>
          <w:color w:val="auto"/>
        </w:rPr>
        <w:t>”) related to the 2021 Transactions that are reasonably identifiable (it is understood and agreed that “</w:t>
      </w:r>
      <w:r>
        <w:rPr>
          <w:rFonts w:ascii="Times New Roman" w:cs="Times New Roman" w:eastAsia="Times New Roman" w:hAnsi="Times New Roman"/>
          <w:sz w:val="18"/>
          <w:szCs w:val="18"/>
          <w:b w:val="1"/>
          <w:bCs w:val="1"/>
          <w:color w:val="auto"/>
        </w:rPr>
        <w:t>run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8"/>
          <w:szCs w:val="18"/>
          <w:color w:val="auto"/>
        </w:rPr>
        <w:t>” means the full recurring benefit for a period that is associated with any action taken, committed to be taken or expected to be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of the amount of actual benefits realized during such period from such actions) and projected by the Issuer in good faith to result from or relating to actions that have been taken or initiated, or have been committed to be taken or initiated, with respect to which substantial steps have been taken or are expected to be taken (in the good faith determination of the Issuer) within 36 months after the 2021 Acquisition Date (including from any actions taken in whole or in part prior to the Issue Date), net of the amount of actual benefits realized during such period from such actions, and (y) pro forma Run Rate Benefits related to mergers, amalgamations and other business combinations, acquisitions, investments, dispositions, divestitures, restructurings, operating improvements and expense reductions, cost savings initiatives,</w:t>
      </w:r>
    </w:p>
    <w:p>
      <w:pPr>
        <w:spacing w:after="0" w:line="1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040"/>
          </w:cols>
          <w:pgMar w:left="1420" w:top="268" w:right="439" w:bottom="1440" w:gutter="0" w:footer="0" w:header="0"/>
        </w:sectPr>
      </w:pPr>
    </w:p>
    <w:bookmarkStart w:id="32" w:name="page33"/>
    <w:bookmarkEnd w:id="3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or revised contracts, discontinued operations, operational changes, Business Expansions, Tax Restructuring and other similar transactions or initiatives (including the modification and renegotiation of contracts and other arrangements) and including EBITDA pursuant to contracted pricing (at the highest contracted rate) (any such operating improvement, restructuring, cost savings initiative, contract or other transaction, action or initiative, a “</w:t>
      </w:r>
      <w:r>
        <w:rPr>
          <w:rFonts w:ascii="Times New Roman" w:cs="Times New Roman" w:eastAsia="Times New Roman" w:hAnsi="Times New Roman"/>
          <w:sz w:val="18"/>
          <w:szCs w:val="18"/>
          <w:b w:val="1"/>
          <w:bCs w:val="1"/>
          <w:color w:val="auto"/>
        </w:rPr>
        <w:t>Run Rate Initiative</w:t>
      </w:r>
      <w:r>
        <w:rPr>
          <w:rFonts w:ascii="Times New Roman" w:cs="Times New Roman" w:eastAsia="Times New Roman" w:hAnsi="Times New Roman"/>
          <w:sz w:val="18"/>
          <w:szCs w:val="18"/>
          <w:color w:val="auto"/>
        </w:rPr>
        <w:t xml:space="preserve">”) that are reasonably identifiable and projected by the Issuer in good faith to result from or relating to actions that have been taken or initiated, or have been committed to be taken or initiated, with respect to which substantial steps have been taken (in each case, including from any steps or actions taken or initiated in whole or in part prior to the Issue Date or the applicable consummation date of such transaction, initiative or event) or are expected to be taken (in the good faith determination of the Issuer) within 36 months after any such Run Rate Initiative is consummated or entered into, net of the amount of actual benefits realized during such period from such actions, in each case, calculated on a pro forma basis as though such cost savings, operating improvements and expense reductions, product margin and other synergies and EBITDA had been realized on the first day of such period for which EBITDA is being determined and as if such cost savings, operating improvements and expense reductions, product margin and other synergies and EBITDA were realized on the first day of the applicable period for the entirety of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cost savings, operating improvements and expense reductions, product margin and other synergies and EBITDA shall be added pursuant to this clause (h) to the extent duplicative of any expenses or charges otherwise added to EBITDA, whether through a pro forma adjustment or otherwise, for such period; </w:t>
      </w:r>
      <w:r>
        <w:rPr>
          <w:rFonts w:ascii="Times New Roman" w:cs="Times New Roman" w:eastAsia="Times New Roman" w:hAnsi="Times New Roman"/>
          <w:sz w:val="18"/>
          <w:szCs w:val="18"/>
          <w:i w:val="1"/>
          <w:iCs w:val="1"/>
          <w:color w:val="auto"/>
        </w:rPr>
        <w:t>plus</w:t>
      </w:r>
    </w:p>
    <w:p>
      <w:pPr>
        <w:spacing w:after="0" w:line="88" w:lineRule="exact"/>
        <w:rPr>
          <w:sz w:val="20"/>
          <w:szCs w:val="20"/>
          <w:color w:val="auto"/>
        </w:rPr>
      </w:pPr>
    </w:p>
    <w:p>
      <w:pPr>
        <w:ind w:firstLine="408"/>
        <w:spacing w:after="0" w:line="266" w:lineRule="auto"/>
        <w:tabs>
          <w:tab w:leader="none" w:pos="70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amount of any fee, loss, charge, expense, cost, accrual or reserve of any kind incurred or accrued in connection with sales of receivables and related assets in connection with any Qualified Securitization Facility and (B) Securitization Fees and the amount of loss on sale of receivables and related assets to the Securitization Subsidiary in connection with Securitization Facility;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right="60" w:firstLine="408"/>
        <w:spacing w:after="0" w:line="266" w:lineRule="auto"/>
        <w:tabs>
          <w:tab w:leader="none" w:pos="65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costs or expense incurred by the Issuer or a Restricted Subsidiary or a direct or indirect parent entity of the Issuer pursuant to any management equity plan or stock option plan or any other management or employee benefit plan or agreement, any severance agreement or any stock subscription or shareholder agreement;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firstLine="408"/>
        <w:spacing w:after="0" w:line="276" w:lineRule="auto"/>
        <w:tabs>
          <w:tab w:leader="none" w:pos="706"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receipts (or any netting arrangements resulting in reduced cash expenditures) not representing EBITDA or Consolidated Net Income in any period to the extent non-cash gains relating to such income were deducted in the calculation of EBITDA pursuant to clause</w:t>
      </w:r>
    </w:p>
    <w:p>
      <w:pPr>
        <w:ind w:left="260" w:hanging="253"/>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below for any previous period and not added back; </w:t>
      </w:r>
      <w:r>
        <w:rPr>
          <w:rFonts w:ascii="Times New Roman" w:cs="Times New Roman" w:eastAsia="Times New Roman" w:hAnsi="Times New Roman"/>
          <w:sz w:val="18"/>
          <w:szCs w:val="18"/>
          <w:i w:val="1"/>
          <w:iCs w:val="1"/>
          <w:color w:val="auto"/>
        </w:rPr>
        <w:t>plus</w:t>
      </w:r>
    </w:p>
    <w:p>
      <w:pPr>
        <w:spacing w:after="0" w:line="98" w:lineRule="exact"/>
        <w:rPr>
          <w:rFonts w:ascii="Times New Roman" w:cs="Times New Roman" w:eastAsia="Times New Roman" w:hAnsi="Times New Roman"/>
          <w:sz w:val="18"/>
          <w:szCs w:val="18"/>
          <w:color w:val="auto"/>
        </w:rPr>
      </w:pPr>
    </w:p>
    <w:p>
      <w:pPr>
        <w:ind w:right="20" w:firstLine="408"/>
        <w:spacing w:after="0" w:line="258" w:lineRule="auto"/>
        <w:tabs>
          <w:tab w:leader="none" w:pos="75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losses, charges, expenses, costs or other payments (including all fees, expenses or charges related thereto) (i) from disposed, abandoned or discontinued operations, (ii) in respect of facilities no longer used or useful in the conduct of the business of the Issuer or its Restricted Subsidiaries, abandoned, closed, disposed or discontinued operations and any losses on disposal of abandoned, closed or discontinued operations and (iii) attributable to business dispositions or asset dispositions (other than in the ordinary course of business) as determined in good faith by the Issuer; </w:t>
      </w:r>
      <w:r>
        <w:rPr>
          <w:rFonts w:ascii="Times New Roman" w:cs="Times New Roman" w:eastAsia="Times New Roman" w:hAnsi="Times New Roman"/>
          <w:sz w:val="18"/>
          <w:szCs w:val="18"/>
          <w:i w:val="1"/>
          <w:iCs w:val="1"/>
          <w:color w:val="auto"/>
        </w:rPr>
        <w:t>plus</w:t>
      </w:r>
    </w:p>
    <w:p>
      <w:pPr>
        <w:spacing w:after="0" w:line="75" w:lineRule="exact"/>
        <w:rPr>
          <w:rFonts w:ascii="Times New Roman" w:cs="Times New Roman" w:eastAsia="Times New Roman" w:hAnsi="Times New Roman"/>
          <w:sz w:val="18"/>
          <w:szCs w:val="18"/>
          <w:color w:val="auto"/>
        </w:rPr>
      </w:pPr>
    </w:p>
    <w:p>
      <w:pPr>
        <w:ind w:right="240" w:firstLine="408"/>
        <w:spacing w:after="0" w:line="282" w:lineRule="auto"/>
        <w:tabs>
          <w:tab w:leader="none" w:pos="80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option of the Issuer with respect to any applicable period, an amount equal to the net change in deferred revenue at the end of such period from the deferred revenue at the end of the previous period; </w:t>
      </w:r>
      <w:r>
        <w:rPr>
          <w:rFonts w:ascii="Times New Roman" w:cs="Times New Roman" w:eastAsia="Times New Roman" w:hAnsi="Times New Roman"/>
          <w:sz w:val="18"/>
          <w:szCs w:val="18"/>
          <w:i w:val="1"/>
          <w:iCs w:val="1"/>
          <w:color w:val="auto"/>
        </w:rPr>
        <w:t>plus</w:t>
      </w:r>
    </w:p>
    <w:p>
      <w:pPr>
        <w:spacing w:after="0" w:line="9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020"/>
          </w:cols>
          <w:pgMar w:left="1420" w:top="270" w:right="459" w:bottom="1440" w:gutter="0" w:footer="0" w:header="0"/>
        </w:sectPr>
      </w:pPr>
    </w:p>
    <w:bookmarkStart w:id="33" w:name="page34"/>
    <w:bookmarkEnd w:id="33"/>
    <w:p>
      <w:pPr>
        <w:ind w:left="-20" w:right="560" w:firstLine="408"/>
        <w:spacing w:after="0" w:line="282" w:lineRule="auto"/>
        <w:tabs>
          <w:tab w:leader="none" w:pos="7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compensation expense attributable to positive investment income with respect to funded deferred compensation account balances;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left="-20" w:right="80" w:firstLine="408"/>
        <w:spacing w:after="0" w:line="253" w:lineRule="auto"/>
        <w:tabs>
          <w:tab w:leader="none" w:pos="7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adjustments, exclusions and add-backs (but not including, for the avoidance of doubt, any deductions) (1) used in connection with or reflected in the calculation of “Further Adjusted EBITDA” as set forth in “Summary—Summary Historical and Pro Forma Consolidated Financial Information” contained in the offering memorandum relating to the Existing 3.875% Secured Notes and the Existing Unsecured Notes, as set forth in “Summary—Summary Historical Consolidated Financial Information” contained in the offering memorandum relating to the Existing 6.250% Secured Notes or as set forth in “Summary—Summary Historical Consolidated Financial Information” contained in the Offering Memorandum to the extent such adjustments continue to be applicable during the period in which EBITDA is being calculated and other adjustments, exclusions and add-backs of a similar nature to the foregoing, in each case applied in good faith by the Issuer and (2) identified or set forth in any quality of earnings report or analysis prepared by independent registered public accountants of recognized national or international standing or any other accounting or valuation firm in connection with any acquisition, merger, consolidation, Investment or other transaction not prohibited by this Indenture; </w:t>
      </w:r>
      <w:r>
        <w:rPr>
          <w:rFonts w:ascii="Times New Roman" w:cs="Times New Roman" w:eastAsia="Times New Roman" w:hAnsi="Times New Roman"/>
          <w:sz w:val="18"/>
          <w:szCs w:val="18"/>
          <w:i w:val="1"/>
          <w:iCs w:val="1"/>
          <w:color w:val="auto"/>
        </w:rPr>
        <w:t>plus</w:t>
      </w:r>
    </w:p>
    <w:p>
      <w:pPr>
        <w:spacing w:after="0" w:line="86" w:lineRule="exact"/>
        <w:rPr>
          <w:rFonts w:ascii="Times New Roman" w:cs="Times New Roman" w:eastAsia="Times New Roman" w:hAnsi="Times New Roman"/>
          <w:sz w:val="18"/>
          <w:szCs w:val="18"/>
          <w:color w:val="auto"/>
        </w:rPr>
      </w:pPr>
    </w:p>
    <w:p>
      <w:pPr>
        <w:ind w:left="-20" w:right="140" w:firstLine="408"/>
        <w:spacing w:after="0" w:line="266" w:lineRule="auto"/>
        <w:tabs>
          <w:tab w:leader="none" w:pos="7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gains or losses arising from embedded derivatives in the customer contracts of the Issuer or a Restricted Subsidiary and any gain or loss attributable to mark-to-market adjustments in the valuation of pension liabilities, including actuarial gain or loss on pension and post-retirement plans, curtailments and settlements; </w:t>
      </w:r>
      <w:r>
        <w:rPr>
          <w:rFonts w:ascii="Times New Roman" w:cs="Times New Roman" w:eastAsia="Times New Roman" w:hAnsi="Times New Roman"/>
          <w:sz w:val="18"/>
          <w:szCs w:val="18"/>
          <w:i w:val="1"/>
          <w:iCs w:val="1"/>
          <w:color w:val="auto"/>
        </w:rPr>
        <w:t>plus</w:t>
      </w:r>
    </w:p>
    <w:p>
      <w:pPr>
        <w:spacing w:after="0" w:line="65" w:lineRule="exact"/>
        <w:rPr>
          <w:rFonts w:ascii="Times New Roman" w:cs="Times New Roman" w:eastAsia="Times New Roman" w:hAnsi="Times New Roman"/>
          <w:sz w:val="18"/>
          <w:szCs w:val="18"/>
          <w:color w:val="auto"/>
        </w:rPr>
      </w:pPr>
    </w:p>
    <w:p>
      <w:pPr>
        <w:ind w:left="840" w:hanging="452"/>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charges, expenses or losses incurred in connection with any Tax Restructuring;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20" w:right="200" w:firstLine="408"/>
        <w:spacing w:after="0" w:line="266" w:lineRule="auto"/>
        <w:tabs>
          <w:tab w:leader="none" w:pos="8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charges relating to the sale of products in new locations, including start-up costs, initial testing and registration costs in new markets, the cost of feasibility studies, travel costs for employees engaged in activities relating to any or all of the foregoing and the allocation of general and administrative support in connection with any or all of the foregoing;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20" w:right="600" w:firstLine="408"/>
        <w:spacing w:after="0" w:line="282" w:lineRule="auto"/>
        <w:tabs>
          <w:tab w:leader="none" w:pos="7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costs related to the implementation of operational and reporting systems and technology initiatives and one-time Public Company Costs;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left="-20" w:firstLine="408"/>
        <w:spacing w:after="0" w:line="256" w:lineRule="auto"/>
        <w:tabs>
          <w:tab w:leader="none" w:pos="7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as applicable to companies with equity or debt securities held by the public, the rules of national securities exchange companies with listed equity or debt securities, employees’, consultants’, directors’ or managers’ compensation, fees and expense reimbursement, charges relating to investor relations, shareholder meetings and reports to shareholders or debtholders, directors’ and officers’ insurance and other executive costs, legal and other professional fees and listing fees; and</w:t>
      </w: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980"/>
          </w:cols>
          <w:pgMar w:left="1440" w:top="270" w:right="479" w:bottom="1440" w:gutter="0" w:footer="0" w:header="0"/>
        </w:sectPr>
      </w:pPr>
    </w:p>
    <w:bookmarkStart w:id="34" w:name="page35"/>
    <w:bookmarkEnd w:id="34"/>
    <w:p>
      <w:pPr>
        <w:ind w:left="1120" w:hanging="261"/>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decreased (without duplication) by the following, in each case to the extent included in determining Consolidated Net Income for such</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98" w:lineRule="exact"/>
        <w:rPr>
          <w:rFonts w:ascii="Times New Roman" w:cs="Times New Roman" w:eastAsia="Times New Roman" w:hAnsi="Times New Roman"/>
          <w:sz w:val="18"/>
          <w:szCs w:val="18"/>
          <w:color w:val="auto"/>
        </w:rPr>
      </w:pPr>
    </w:p>
    <w:p>
      <w:pPr>
        <w:ind w:left="980" w:firstLine="408"/>
        <w:spacing w:after="0" w:line="261" w:lineRule="auto"/>
        <w:tabs>
          <w:tab w:leader="none" w:pos="159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gains (including non-cash gains on the sale of assets) increasing Consolidated Net Income of such Person for such period, excluding any non-cash gains to the extent they represent the reversal of an accrual or reserve for a potential cash item that reduced EBITDA in any prior period and any non-cash gains with respect to cash actually received in a prior period so long as such cash did not increase EBITDA in such prior period; </w:t>
      </w:r>
      <w:r>
        <w:rPr>
          <w:rFonts w:ascii="Times New Roman" w:cs="Times New Roman" w:eastAsia="Times New Roman" w:hAnsi="Times New Roman"/>
          <w:sz w:val="18"/>
          <w:szCs w:val="18"/>
          <w:i w:val="1"/>
          <w:iCs w:val="1"/>
          <w:color w:val="auto"/>
        </w:rPr>
        <w:t>plus</w:t>
      </w:r>
    </w:p>
    <w:p>
      <w:pPr>
        <w:spacing w:after="0" w:line="71" w:lineRule="exact"/>
        <w:rPr>
          <w:rFonts w:ascii="Times New Roman" w:cs="Times New Roman" w:eastAsia="Times New Roman" w:hAnsi="Times New Roman"/>
          <w:sz w:val="18"/>
          <w:szCs w:val="18"/>
          <w:color w:val="auto"/>
        </w:rPr>
      </w:pPr>
    </w:p>
    <w:p>
      <w:pPr>
        <w:ind w:left="980" w:right="400" w:firstLine="408"/>
        <w:spacing w:after="0" w:line="282" w:lineRule="auto"/>
        <w:tabs>
          <w:tab w:leader="none" w:pos="164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net income from disposed, abandoned, closed or discontinued operations or attributable to business dispositions or asset dispositions (other than in the ordinary course of business) as determined in good faith by the Issuer;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9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reduction in compensation expense attributable to investment loss with respect to funded deferred compensation account balances;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left="980" w:right="560" w:firstLine="408"/>
        <w:spacing w:after="0" w:line="282" w:lineRule="auto"/>
        <w:tabs>
          <w:tab w:leader="none" w:pos="168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paid by the Issuer or any Captive Insurance Subsidiary and administrative expenses paid to any Captive Insurance Subsidiary; and</w:t>
      </w:r>
    </w:p>
    <w:p>
      <w:pPr>
        <w:spacing w:after="0" w:line="53"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decreased (without duplication) by, as applicable, any non-cash adjustments resulting from the application of FASB Interpretation No. 45 Guarantees, or any comparable applicable accounting standard.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EMU</w:t>
      </w:r>
      <w:r>
        <w:rPr>
          <w:rFonts w:ascii="Times New Roman" w:cs="Times New Roman" w:eastAsia="Times New Roman" w:hAnsi="Times New Roman"/>
          <w:sz w:val="18"/>
          <w:szCs w:val="18"/>
          <w:color w:val="auto"/>
        </w:rPr>
        <w:t>” means the economic and monetary union as contemplated in the Treaty on European Union.</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w:t>
      </w:r>
    </w:p>
    <w:p>
      <w:pPr>
        <w:spacing w:after="0" w:line="155"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Equityholding Vehicle</w:t>
      </w:r>
      <w:r>
        <w:rPr>
          <w:rFonts w:ascii="Times New Roman" w:cs="Times New Roman" w:eastAsia="Times New Roman" w:hAnsi="Times New Roman"/>
          <w:sz w:val="18"/>
          <w:szCs w:val="18"/>
          <w:color w:val="auto"/>
        </w:rPr>
        <w:t>” means any direct or indirect parent entity of the Issuer and any equityholder thereof through which future, present or former employees, directors, officers, managers, members or partners of the Issuer or any of its Subsidiaries or direct or indirect parent entities hold Capital Stock of the Issuer or such parent entity.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means the single currency of participating member states of the EMU.</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means Euroclear Bank S.A./N.V., as operator of the Euroclear system, or any successor clearing agency.</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 promulgated thereunder (and with respect to the definitions of “Change of Control” and “Permitted Holders” only, as in effect on the Issue Date).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means the following:</w:t>
      </w:r>
    </w:p>
    <w:p>
      <w:pPr>
        <w:spacing w:after="0" w:line="121" w:lineRule="exact"/>
        <w:rPr>
          <w:sz w:val="20"/>
          <w:szCs w:val="20"/>
          <w:color w:val="auto"/>
        </w:rPr>
      </w:pPr>
    </w:p>
    <w:p>
      <w:pPr>
        <w:ind w:right="220" w:firstLine="436"/>
        <w:spacing w:after="0" w:line="282"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or assets owned by any Foreign Subsidiary (unless such Subsidiary becomes a Guarantor), any Unrestricted Subsidiary (unless such Subsidiary becomes a Guarantor at the option of the Issuer) or any Subsidiary which is not a Grantor;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5" w:name="page36"/>
    <w:bookmarkEnd w:id="35"/>
    <w:p>
      <w:pPr>
        <w:ind w:left="-20" w:firstLine="436"/>
        <w:spacing w:after="0" w:line="256" w:lineRule="auto"/>
        <w:tabs>
          <w:tab w:leader="none" w:pos="6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lease, license, contract, agreement or other general intangible or any property subject to a purchase money security interest, Financing Lease Obligation or similar arrangement, in each case permitted or otherwise not prohibited under this Indenture, to the extent that a grant of a security interest therein would violate or invalidate such lease, license, contract, agreement or other general intangible, Financing Lease Obligations or purchase money arrangement or create a right of termination in favor of any other party thereto (other than a Grantor) after giving effect to the applicable anti-assignment provisions of the Uniform Commercial Code or other applicable law, other than proceeds and receivables thereof, the assignment of which is expressly deemed effective under the Uniform Commercial Code or other applicable law notwithstanding such prohibition;</w:t>
      </w:r>
    </w:p>
    <w:p>
      <w:pPr>
        <w:spacing w:after="0" w:line="187"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in real property;</w:t>
      </w:r>
    </w:p>
    <w:p>
      <w:pPr>
        <w:spacing w:after="0" w:line="22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in leased real property (including any requirement to deliver landlord waivers, estoppels and collateral access letters);</w:t>
      </w:r>
    </w:p>
    <w:p>
      <w:pPr>
        <w:spacing w:after="0" w:line="225"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 vehicles, aircrafts, airframes, aircrafts engines or helicopters and other assets subject to certificates of title;</w:t>
      </w:r>
    </w:p>
    <w:p>
      <w:pPr>
        <w:spacing w:after="0" w:line="225" w:lineRule="exact"/>
        <w:rPr>
          <w:rFonts w:ascii="Times New Roman" w:cs="Times New Roman" w:eastAsia="Times New Roman" w:hAnsi="Times New Roman"/>
          <w:sz w:val="18"/>
          <w:szCs w:val="18"/>
          <w:color w:val="auto"/>
        </w:rPr>
      </w:pPr>
    </w:p>
    <w:p>
      <w:pPr>
        <w:ind w:left="-20" w:right="140" w:firstLine="436"/>
        <w:spacing w:after="0" w:line="266" w:lineRule="auto"/>
        <w:tabs>
          <w:tab w:leader="none" w:pos="6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stock and Equity Interests of any Person other than the Issuer and each Wholly Owned Subsidiary of the Issuer that is a Restricted Subsidiary (that is also not an Excluded Subsidiary (other than any Restricted Subsidiary that is an Excluded Subsidiary solely pursuant to clause (f) or (j)(y) of the definition thereof in the Senior Secured Credit Facilities));</w:t>
      </w:r>
    </w:p>
    <w:p>
      <w:pPr>
        <w:spacing w:after="0" w:line="175" w:lineRule="exact"/>
        <w:rPr>
          <w:rFonts w:ascii="Times New Roman" w:cs="Times New Roman" w:eastAsia="Times New Roman" w:hAnsi="Times New Roman"/>
          <w:sz w:val="18"/>
          <w:szCs w:val="18"/>
          <w:color w:val="auto"/>
        </w:rPr>
      </w:pPr>
    </w:p>
    <w:p>
      <w:pPr>
        <w:ind w:left="-20" w:right="60" w:firstLine="436"/>
        <w:spacing w:after="0" w:line="261" w:lineRule="auto"/>
        <w:tabs>
          <w:tab w:leader="none" w:pos="6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intent-to-use trademark application prior to the filing and acceptance of a “Statement of Use” or “Amendment to Allege Use” with respect thereto, to the extent, if any, that, and solely during the period, if any, that granting a security interest in such trademark application prior to such filing would impair the enforceability or validity, or result in the voiding, of such trademark application (or any registration that may issue therefrom) under applicable federal law;</w:t>
      </w:r>
    </w:p>
    <w:p>
      <w:pPr>
        <w:spacing w:after="0" w:line="179" w:lineRule="exact"/>
        <w:rPr>
          <w:rFonts w:ascii="Times New Roman" w:cs="Times New Roman" w:eastAsia="Times New Roman" w:hAnsi="Times New Roman"/>
          <w:sz w:val="18"/>
          <w:szCs w:val="18"/>
          <w:color w:val="auto"/>
        </w:rPr>
      </w:pPr>
    </w:p>
    <w:p>
      <w:pPr>
        <w:ind w:left="-20" w:right="60" w:firstLine="436"/>
        <w:spacing w:after="0" w:line="266" w:lineRule="auto"/>
        <w:tabs>
          <w:tab w:leader="none" w:pos="6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or assets to the extent a security interest therein would result in material adverse tax consequences to Holdings, the Issuer, any direct or indirect parent entity or owners of the Issuer or any of the Issuer’s direct or indirect Subsidiaries, in each case, as reasonably determined by the Issuer in consultation with the Bank Collateral Agent;</w:t>
      </w:r>
    </w:p>
    <w:p>
      <w:pPr>
        <w:spacing w:after="0" w:line="175" w:lineRule="exact"/>
        <w:rPr>
          <w:rFonts w:ascii="Times New Roman" w:cs="Times New Roman" w:eastAsia="Times New Roman" w:hAnsi="Times New Roman"/>
          <w:sz w:val="18"/>
          <w:szCs w:val="18"/>
          <w:color w:val="auto"/>
        </w:rPr>
      </w:pPr>
    </w:p>
    <w:p>
      <w:pPr>
        <w:ind w:left="-20" w:right="180" w:firstLine="436"/>
        <w:spacing w:after="0" w:line="266"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licenses or state or local franchises, charters and authorizations, to the extent a security interest in any such license, franchise, charter or authorization is prohibited or restricted thereby, other than proceeds and receivables thereof, the assignment of which is expressly deemed effective under the Uniform Commercial Code or other applicable law notwithstanding such prohibition or restriction;</w:t>
      </w:r>
    </w:p>
    <w:p>
      <w:pPr>
        <w:spacing w:after="0" w:line="175" w:lineRule="exact"/>
        <w:rPr>
          <w:rFonts w:ascii="Times New Roman" w:cs="Times New Roman" w:eastAsia="Times New Roman" w:hAnsi="Times New Roman"/>
          <w:sz w:val="18"/>
          <w:szCs w:val="18"/>
          <w:color w:val="auto"/>
        </w:rPr>
      </w:pPr>
    </w:p>
    <w:p>
      <w:pPr>
        <w:ind w:left="-20" w:right="500" w:firstLine="436"/>
        <w:spacing w:after="0" w:line="312" w:lineRule="auto"/>
        <w:tabs>
          <w:tab w:leader="none" w:pos="63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assets to the extent pledges and security interests therein are prohibited or restricted by applicable law whether on the Issue Date or thereafter (including any requirement to obtain the consent of any governmental authority or third party (other than any Issuer or any Guarantor));</w:t>
      </w:r>
    </w:p>
    <w:p>
      <w:pPr>
        <w:spacing w:after="0" w:line="139" w:lineRule="exact"/>
        <w:rPr>
          <w:rFonts w:ascii="Times New Roman" w:cs="Times New Roman" w:eastAsia="Times New Roman" w:hAnsi="Times New Roman"/>
          <w:sz w:val="17"/>
          <w:szCs w:val="17"/>
          <w:color w:val="auto"/>
        </w:rPr>
      </w:pPr>
    </w:p>
    <w:p>
      <w:pPr>
        <w:ind w:left="680" w:hanging="264"/>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commercial tort claims;</w:t>
      </w:r>
    </w:p>
    <w:p>
      <w:pPr>
        <w:spacing w:after="0" w:line="225" w:lineRule="exact"/>
        <w:rPr>
          <w:rFonts w:ascii="Times New Roman" w:cs="Times New Roman" w:eastAsia="Times New Roman" w:hAnsi="Times New Roman"/>
          <w:sz w:val="18"/>
          <w:szCs w:val="18"/>
          <w:color w:val="auto"/>
        </w:rPr>
      </w:pPr>
    </w:p>
    <w:p>
      <w:pPr>
        <w:ind w:left="-20" w:right="280" w:firstLine="436"/>
        <w:spacing w:after="0" w:line="266"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 accounts, securities accounts or any similar accounts (including securities entitlements) and any other accounts used solely as payroll and other employee wage and benefit accounts, tax accounts (including, without limitation, sales tax accounts) and any tax benefits accounts, escrow accounts, fiduciary or trust accounts and any funds and other property held in or maintained in any such accounts;</w:t>
      </w:r>
    </w:p>
    <w:p>
      <w:pPr>
        <w:spacing w:after="0" w:line="175" w:lineRule="exact"/>
        <w:rPr>
          <w:rFonts w:ascii="Times New Roman" w:cs="Times New Roman" w:eastAsia="Times New Roman" w:hAnsi="Times New Roman"/>
          <w:sz w:val="18"/>
          <w:szCs w:val="18"/>
          <w:color w:val="auto"/>
        </w:rPr>
      </w:pPr>
    </w:p>
    <w:p>
      <w:pPr>
        <w:ind w:left="-20" w:right="80" w:firstLine="436"/>
        <w:spacing w:after="0" w:line="289" w:lineRule="auto"/>
        <w:tabs>
          <w:tab w:leader="none" w:pos="72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letter of credit rights, except to the extent constituting a supporting obligation for other Collateral as to which perfection of the security interest in such other Collateral may be accomplished by the filing of a Uniform Commercial Code financing statement (it being understood that no actions shall be required to perfect a security interest in letter of credit rights, other than the filing of a Uniform Commercial Code financing statement);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60" w:top="270" w:right="459" w:bottom="1440" w:gutter="0" w:footer="0" w:header="0"/>
        </w:sectPr>
      </w:pPr>
    </w:p>
    <w:bookmarkStart w:id="36" w:name="page37"/>
    <w:bookmarkEnd w:id="36"/>
    <w:p>
      <w:pPr>
        <w:ind w:left="700" w:hanging="26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and Cash Equivalents (other than cash and Cash Equivalents constituting proceeds of Collateral);</w:t>
      </w:r>
    </w:p>
    <w:p>
      <w:pPr>
        <w:spacing w:after="0" w:line="225"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particular assets if the burden, cost or consequence of creating or perfecting such pledges or security interests in such assets is excessive in relation to the benefits to be obtained therefrom by the Holders under the Notes, this Indenture and the Security Documents as reasonably determined by the Issuer;</w:t>
      </w:r>
    </w:p>
    <w:p>
      <w:pPr>
        <w:spacing w:after="0" w:line="175"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Equity Interests in any Foreign Subsidiary, any CFC or any FSHCO Subsidiary, in each case, representing more than 65% of the voting power of all outstanding Equity Interests of such Foreign Subsidiary, CFC or FSHCO Subsidiary;</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80" w:firstLine="436"/>
        <w:spacing w:after="0" w:line="266" w:lineRule="auto"/>
        <w:tabs>
          <w:tab w:leader="none" w:pos="6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Senior Secured Credit Facilities remain outstanding, any asset that is not pledged to secure obligations arising in respect of the Senior Secured Credit Facilities (whether pursuant to the terms of the Senior Secured Credit Facilities (and any related document) as a result of any determination made thereunder, or by amendment, waiver or otherwise);</w:t>
      </w:r>
    </w:p>
    <w:p>
      <w:pPr>
        <w:spacing w:after="0" w:line="175" w:lineRule="exact"/>
        <w:rPr>
          <w:rFonts w:ascii="Times New Roman" w:cs="Times New Roman" w:eastAsia="Times New Roman" w:hAnsi="Times New Roman"/>
          <w:sz w:val="18"/>
          <w:szCs w:val="18"/>
          <w:color w:val="auto"/>
        </w:rPr>
      </w:pPr>
    </w:p>
    <w:p>
      <w:pPr>
        <w:ind w:right="240" w:firstLine="436"/>
        <w:spacing w:after="0" w:line="282" w:lineRule="auto"/>
        <w:tabs>
          <w:tab w:leader="none" w:pos="6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 Senior ABL Credit Agreement is outstanding, any asset that would otherwise constitute ABL Priority Collateral that is not then subject to a Lien securing the Senior ABL Revolving Credit Obligations at such time; and</w:t>
      </w:r>
    </w:p>
    <w:p>
      <w:pPr>
        <w:spacing w:after="0" w:line="161" w:lineRule="exact"/>
        <w:rPr>
          <w:rFonts w:ascii="Times New Roman" w:cs="Times New Roman" w:eastAsia="Times New Roman" w:hAnsi="Times New Roman"/>
          <w:sz w:val="18"/>
          <w:szCs w:val="18"/>
          <w:color w:val="auto"/>
        </w:rPr>
      </w:pPr>
    </w:p>
    <w:p>
      <w:pPr>
        <w:ind w:right="300" w:firstLine="436"/>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any and all of the foregoing assets described in clauses (a) through (s) above to the extent such proceeds would otherwise be excluded pursuant to clauses (a) through (s) above;</w:t>
      </w:r>
    </w:p>
    <w:p>
      <w:pPr>
        <w:spacing w:after="0" w:line="160"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Excluded Assets shall not include any assets that are pledged to secure obligations arising in respect of the Senior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Facilities (whether pursuant to the terms of the credit agreement governing the Senior Secured Credit Facilities (and any related documents) or any amendment or otherwise).</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 “Excluded Subsidiary” (as defined in the Senior Secured Credit Facilities).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Notes</w:t>
      </w:r>
      <w:r>
        <w:rPr>
          <w:rFonts w:ascii="Times New Roman" w:cs="Times New Roman" w:eastAsia="Times New Roman" w:hAnsi="Times New Roman"/>
          <w:sz w:val="18"/>
          <w:szCs w:val="18"/>
          <w:color w:val="auto"/>
        </w:rPr>
        <w:t>” means, collectively, the Existing Secured Notes and the Existing Unsecured Notes.</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Notes Collateral Agent</w:t>
      </w:r>
      <w:r>
        <w:rPr>
          <w:rFonts w:ascii="Times New Roman" w:cs="Times New Roman" w:eastAsia="Times New Roman" w:hAnsi="Times New Roman"/>
          <w:sz w:val="18"/>
          <w:szCs w:val="18"/>
          <w:color w:val="auto"/>
        </w:rPr>
        <w:t>” means Wilmington Trust, National Association, in its capacity as collateral agent for the holders of the Existing Pari Passu Notes Obligations under the Existing Secured Indentures and the Existing Security Documents and any successor pursuant to the provisions of the Existing Secured Indentures and the Existing Security Documents.</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Notes Secured Parties</w:t>
      </w:r>
      <w:r>
        <w:rPr>
          <w:rFonts w:ascii="Times New Roman" w:cs="Times New Roman" w:eastAsia="Times New Roman" w:hAnsi="Times New Roman"/>
          <w:sz w:val="18"/>
          <w:szCs w:val="18"/>
          <w:color w:val="auto"/>
        </w:rPr>
        <w:t>” means, collectively, (i) the trustee with respect to the Existing 3.875% Secured Notes, the Existing 3.875% Notes Collateral Agent and the holders of the Existing 3.875% Secured Notes and (ii) the trustee with respect to the Existing 6.250% Secured Notes, the Existing 6.250% Notes Collateral Agent and the holders of the Existing 6.250% Secured Notes.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37" w:name="page38"/>
    <w:bookmarkEnd w:id="37"/>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Existing Pari Passu Notes Obligations</w:t>
      </w:r>
      <w:r>
        <w:rPr>
          <w:rFonts w:ascii="Times New Roman" w:cs="Times New Roman" w:eastAsia="Times New Roman" w:hAnsi="Times New Roman"/>
          <w:sz w:val="18"/>
          <w:szCs w:val="18"/>
          <w:color w:val="auto"/>
        </w:rPr>
        <w:t>” means Obligations in respect of the Existing Secured Notes, the Existing Secured Indentures, the guarantees of the Existing Secured Notes and the security documents relating to the Existing Secured Notes.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Secured Indentures</w:t>
      </w:r>
      <w:r>
        <w:rPr>
          <w:rFonts w:ascii="Times New Roman" w:cs="Times New Roman" w:eastAsia="Times New Roman" w:hAnsi="Times New Roman"/>
          <w:sz w:val="18"/>
          <w:szCs w:val="18"/>
          <w:color w:val="auto"/>
        </w:rPr>
        <w:t>” has the meaning set forth in the definition of “Existing Secured Notes.”</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Secured Notes</w:t>
      </w:r>
      <w:r>
        <w:rPr>
          <w:rFonts w:ascii="Times New Roman" w:cs="Times New Roman" w:eastAsia="Times New Roman" w:hAnsi="Times New Roman"/>
          <w:sz w:val="18"/>
          <w:szCs w:val="18"/>
          <w:color w:val="auto"/>
        </w:rPr>
        <w:t>” means, collectively, the Issuers’ (i) 3.875% Senior Secured Notes due 2029 (the “</w:t>
      </w:r>
      <w:r>
        <w:rPr>
          <w:rFonts w:ascii="Times New Roman" w:cs="Times New Roman" w:eastAsia="Times New Roman" w:hAnsi="Times New Roman"/>
          <w:sz w:val="18"/>
          <w:szCs w:val="18"/>
          <w:b w:val="1"/>
          <w:bCs w:val="1"/>
          <w:color w:val="auto"/>
        </w:rPr>
        <w:t>Existing 3.875% Secured Notes</w:t>
      </w:r>
      <w:r>
        <w:rPr>
          <w:rFonts w:ascii="Times New Roman" w:cs="Times New Roman" w:eastAsia="Times New Roman" w:hAnsi="Times New Roman"/>
          <w:sz w:val="18"/>
          <w:szCs w:val="18"/>
          <w:color w:val="auto"/>
        </w:rPr>
        <w:t>”) issued pursuant to the Indenture, dated as of October 15, 2021, among the Issuers, the guarantors party thereto, Wilmington Trust, National Association, as trustee and the Existing Notes Collateral Agent (as amended, modified and supplemented from time to time, the “</w:t>
      </w:r>
      <w:r>
        <w:rPr>
          <w:rFonts w:ascii="Times New Roman" w:cs="Times New Roman" w:eastAsia="Times New Roman" w:hAnsi="Times New Roman"/>
          <w:sz w:val="18"/>
          <w:szCs w:val="18"/>
          <w:b w:val="1"/>
          <w:bCs w:val="1"/>
          <w:color w:val="auto"/>
        </w:rPr>
        <w:t>Existing 3.875% Secured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and (ii) 6.250% Senior Secured Notes due 2029 (the “</w:t>
      </w:r>
      <w:r>
        <w:rPr>
          <w:rFonts w:ascii="Times New Roman" w:cs="Times New Roman" w:eastAsia="Times New Roman" w:hAnsi="Times New Roman"/>
          <w:sz w:val="18"/>
          <w:szCs w:val="18"/>
          <w:b w:val="1"/>
          <w:bCs w:val="1"/>
          <w:color w:val="auto"/>
        </w:rPr>
        <w:t>Existing 6.250% Secured Notes</w:t>
      </w:r>
      <w:r>
        <w:rPr>
          <w:rFonts w:ascii="Times New Roman" w:cs="Times New Roman" w:eastAsia="Times New Roman" w:hAnsi="Times New Roman"/>
          <w:sz w:val="18"/>
          <w:szCs w:val="18"/>
          <w:color w:val="auto"/>
        </w:rPr>
        <w:t>”) issued pursuant to the Indenture,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27, 2024, among the Issuers, the guarantors party thereto and Wilmington Trust, National Association, as trustee and collateral agent (as amended, modified and supplemented from time to time, the “</w:t>
      </w:r>
      <w:r>
        <w:rPr>
          <w:rFonts w:ascii="Times New Roman" w:cs="Times New Roman" w:eastAsia="Times New Roman" w:hAnsi="Times New Roman"/>
          <w:sz w:val="18"/>
          <w:szCs w:val="18"/>
          <w:b w:val="1"/>
          <w:bCs w:val="1"/>
          <w:color w:val="auto"/>
        </w:rPr>
        <w:t>Existing 6.250% Secured Notes Indenture</w:t>
      </w:r>
      <w:r>
        <w:rPr>
          <w:rFonts w:ascii="Times New Roman" w:cs="Times New Roman" w:eastAsia="Times New Roman" w:hAnsi="Times New Roman"/>
          <w:sz w:val="18"/>
          <w:szCs w:val="18"/>
          <w:color w:val="auto"/>
        </w:rPr>
        <w:t>” and, together with the Existing 3.875% Secured Notes Indenture, the “</w:t>
      </w:r>
      <w:r>
        <w:rPr>
          <w:rFonts w:ascii="Times New Roman" w:cs="Times New Roman" w:eastAsia="Times New Roman" w:hAnsi="Times New Roman"/>
          <w:sz w:val="18"/>
          <w:szCs w:val="18"/>
          <w:b w:val="1"/>
          <w:bCs w:val="1"/>
          <w:color w:val="auto"/>
        </w:rPr>
        <w:t>Existing Secured Indentures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Security Documents</w:t>
      </w:r>
      <w:r>
        <w:rPr>
          <w:rFonts w:ascii="Times New Roman" w:cs="Times New Roman" w:eastAsia="Times New Roman" w:hAnsi="Times New Roman"/>
          <w:sz w:val="17"/>
          <w:szCs w:val="17"/>
          <w:color w:val="auto"/>
        </w:rPr>
        <w:t>” means, collectively, the Pari Passu Intercreditor Agreement, the security agreement, other security or intercreditor agreements relating to the Existing Secured Notes, as amended, amended and restated, modified, renewed or replaced from time to time.</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Unsecured Indenture</w:t>
      </w:r>
      <w:r>
        <w:rPr>
          <w:rFonts w:ascii="Times New Roman" w:cs="Times New Roman" w:eastAsia="Times New Roman" w:hAnsi="Times New Roman"/>
          <w:sz w:val="18"/>
          <w:szCs w:val="18"/>
          <w:color w:val="auto"/>
        </w:rPr>
        <w:t>” has the meaning set forth in the definition of “Existing Unsecured Notes.”</w:t>
      </w:r>
    </w:p>
    <w:p>
      <w:pPr>
        <w:spacing w:after="0" w:line="225"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Unsecured Notes</w:t>
      </w:r>
      <w:r>
        <w:rPr>
          <w:rFonts w:ascii="Times New Roman" w:cs="Times New Roman" w:eastAsia="Times New Roman" w:hAnsi="Times New Roman"/>
          <w:sz w:val="18"/>
          <w:szCs w:val="18"/>
          <w:color w:val="auto"/>
        </w:rPr>
        <w:t>” means the Issuers’ 5.250% Senior Notes due 2029 issued pursuant to the Indenture, dated as of October 15, 2021, among the Issuers, the guarantors party thereto and Wilmington Trust, National Association, as trustee (as amended, modified and supplemented from time to time, the “</w:t>
      </w:r>
      <w:r>
        <w:rPr>
          <w:rFonts w:ascii="Times New Roman" w:cs="Times New Roman" w:eastAsia="Times New Roman" w:hAnsi="Times New Roman"/>
          <w:sz w:val="18"/>
          <w:szCs w:val="18"/>
          <w:b w:val="1"/>
          <w:bCs w:val="1"/>
          <w:color w:val="auto"/>
        </w:rPr>
        <w:t>Existing Unsecured Indenture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with respect to any asset or liability, the fair market value of such asset or liability as determined by the Issuer in good faith.</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 Lease Obligation</w:t>
      </w:r>
      <w:r>
        <w:rPr>
          <w:rFonts w:ascii="Times New Roman" w:cs="Times New Roman" w:eastAsia="Times New Roman" w:hAnsi="Times New Roman"/>
          <w:sz w:val="18"/>
          <w:szCs w:val="18"/>
          <w:color w:val="auto"/>
        </w:rPr>
        <w:t>” means an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 provided that any obligations of the Issuer or its Restricted Subsidiaries either existing on the Issue Date or created prior to any recharacterization described below (1) that were not included on the consolidated balance sheet of the Issuer as financing or capital lease obligations and (2) that are subsequently recharacterized as financing or capital lease obligations or indebtedness due to a change in accounting treatment or otherwise, shall for all purposes under this Indenture (including, without limitation, the calculation of Consolidated Net Income and EBITDA) not be treated as financing or capital lease obligations, Financing Lease Obligations or Indebtedness. Notwithstanding the foregoing, at any time on or following the Issue Date, the Issuer may elect that “GAAP” as used in this definition shall mean GAAP as in effect on January 1, 2015. For the avoidance of doubt, solely making an election (without any other action) referred to in this definition will not be treated as an incurrence of Indebtedness.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Inc. or any successor to the rating agency business thereof.</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Fixed Asset Priority Collateral</w:t>
      </w:r>
      <w:r>
        <w:rPr>
          <w:rFonts w:ascii="Times New Roman" w:cs="Times New Roman" w:eastAsia="Times New Roman" w:hAnsi="Times New Roman"/>
          <w:sz w:val="18"/>
          <w:szCs w:val="18"/>
          <w:color w:val="auto"/>
        </w:rPr>
        <w:t>” means all Collateral, other than ABL Priority Collateral.</w:t>
      </w:r>
    </w:p>
    <w:p>
      <w:pPr>
        <w:spacing w:after="0" w:line="22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 Coverage Ratio</w:t>
      </w:r>
      <w:r>
        <w:rPr>
          <w:rFonts w:ascii="Times New Roman" w:cs="Times New Roman" w:eastAsia="Times New Roman" w:hAnsi="Times New Roman"/>
          <w:sz w:val="18"/>
          <w:szCs w:val="18"/>
          <w:color w:val="auto"/>
        </w:rPr>
        <w:t>” means, with respect to any Person for any period, the ratio of EBITDA of such Person for such period to the Fixed Charges of such Person for such period. In the event that such Person or any Restricted Subsidiary incurs, assumes, guarantees, redeems, repays, retires or extinguishes any Indebtedness (other than Indebtedness incurred under any revolving credit, working capital or letter of credit facility) or issues or redeems Disqualified Stock or Preferred Stock subsequent to the commencement of the period for which the Fixed Charge Coverage Ratio is being calculated but prior to or substantially concurrently with the event for which the calculation of the Fixed Charge Coverage Ratio is made (the “</w:t>
      </w:r>
      <w:r>
        <w:rPr>
          <w:rFonts w:ascii="Times New Roman" w:cs="Times New Roman" w:eastAsia="Times New Roman" w:hAnsi="Times New Roman"/>
          <w:sz w:val="18"/>
          <w:szCs w:val="18"/>
          <w:b w:val="1"/>
          <w:bCs w:val="1"/>
          <w:color w:val="auto"/>
        </w:rPr>
        <w:t>Fixed Charge Coverage Ratio Calculation Date</w:t>
      </w:r>
      <w:r>
        <w:rPr>
          <w:rFonts w:ascii="Times New Roman" w:cs="Times New Roman" w:eastAsia="Times New Roman" w:hAnsi="Times New Roman"/>
          <w:sz w:val="18"/>
          <w:szCs w:val="18"/>
          <w:color w:val="auto"/>
        </w:rPr>
        <w:t xml:space="preserve">”), then the Fixed Charge Coverage Ratio shall be 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incurrence, assumption, guarantee, redemption, repayment, retirement or extinguishment of Indebtedness, or such issuance or redemption of Disqualified Stock or Preferred Stock (in each case, including a pro forma application of the net proceeds therefrom), as if the same had occurred at the beginning of the applicable four-quarter period, subject, for the avoidance of doubt, to the paragraphs contained in Section 1.07 hereof.</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making the computation referred to above, Investments, acquisitions, dispositions, mergers, amalgamations, consolidations, discontinued operations (as determined in accordance with GAAP), operational changes, Business Expansions, new or revised contracts and other transactions that have been made by or involving the Issuer or any of its Restricted Subsidiaries during the four-quarter reference period or subsequent to such reference period and on or prior to or substantially concurrently with the Fixed Charge Coverage Ratio Calculation Date shall be calculated on a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basis assuming that all such Investments, acquisitions, dispositions, mergers, amalgamations, consolidations, discontinued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operational changes, Business Expansions, new or revised contracts and other transactions (and the change in any associated fixed charge obligations and the change in EBITDA resulting therefrom) had occurred on the first day of the four-quarter reference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election of the Issuer, such pro forma adjustments shall not be required to be determined to the extent the aggregate consideration paid in connection with such acquisition or other transaction was less than the greater of (i) $180.0 million and (ii) 5.0% of LTM EBITDA. If since the beginning of such period any Person that subsequently became a Restricted Subsidiary or was merged, amalgamated or consolidated with or into the Issuer or any of its Restricted Subsidiaries since the beginning of such period shall have made any Investment, acquisition, disposition, merger, amalgamation, consolidation, discontinued operation, operational change, Business Expansion or other transaction that would have required adjustment pursuant to this definition, then the Fixed Charge Coverage Ratio shall be 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for such period as if such Investment, acquisition, disposition, merger, amalgamation, consolidation, discontinued operation, operational change, Business Expansion, new or revised contract or other transaction had occurred at the beginning of the applicable four-quarter period.</w:t>
      </w:r>
    </w:p>
    <w:p>
      <w:pPr>
        <w:spacing w:after="0" w:line="194"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this definition, whenever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is to be given to an Investment, acquisition, disposition, merger, amalgamation, consolidation, discontinued operation, operational change, Business Expansion, new or revised contract or other transaction (including the 2021 Transactions),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calculations shall be made in good faith by a responsible financial or accounting officer of the Issuer or its Restricted Subsidiaries (and may include, for the avoidance of doubt, cost savings, operating expense reductions and product margin, and other synergies resulting from such Investment, acquisition, disposition, merger, amalgamation, consolidation, discontinued operation, operational change, Business Expansion, new or revised contract or other transaction (including the 2021 Transactions) which is being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calculated in accordance with and permitted by clauses (a)(viii) and (a)(xv) of the definition of “EBITDA.” If any Indebtedness bears a floating or formula rate of interest and is being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 interest on such Indebtedness shall be calculated as if the rate in effect on the Fixed Charge Coverage Ratio Calculation Date had been the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39" w:name="page40"/>
    <w:bookmarkEnd w:id="39"/>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rate for the entire period (taking into account any Hedging Obligations applicable to such Indebtedness). Interest on a Financing Lease Obligation shall be deemed to accrue at an interest rate reasonably determined by a responsible financial or accounting officer of the Issuer to be the rate of interest implicit in such Financing Lease Obligation in accordance with GAAP. For purposes of making the computation referred to above, interest on any Indebtedness under a revolving credit facility computed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Issuer may designate.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 Coverage Ratio Calculation Date</w:t>
      </w:r>
      <w:r>
        <w:rPr>
          <w:rFonts w:ascii="Times New Roman" w:cs="Times New Roman" w:eastAsia="Times New Roman" w:hAnsi="Times New Roman"/>
          <w:sz w:val="18"/>
          <w:szCs w:val="18"/>
          <w:color w:val="auto"/>
        </w:rPr>
        <w:t>” has the meaning set forth in the definition of “Fixed Charge Coverage Ratio.”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Charges</w:t>
      </w:r>
      <w:r>
        <w:rPr>
          <w:rFonts w:ascii="Times New Roman" w:cs="Times New Roman" w:eastAsia="Times New Roman" w:hAnsi="Times New Roman"/>
          <w:sz w:val="18"/>
          <w:szCs w:val="18"/>
          <w:color w:val="auto"/>
        </w:rPr>
        <w:t>” means, with respect to any Person for any period, the sum of, without duplication:</w:t>
      </w:r>
    </w:p>
    <w:p>
      <w:pPr>
        <w:spacing w:after="0" w:line="121" w:lineRule="exact"/>
        <w:rPr>
          <w:sz w:val="20"/>
          <w:szCs w:val="20"/>
          <w:color w:val="auto"/>
        </w:rPr>
      </w:pPr>
    </w:p>
    <w:p>
      <w:pPr>
        <w:ind w:left="1100" w:hanging="241"/>
        <w:spacing w:after="0"/>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such Person for such period;</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dividends or other distributions paid (excluding items eliminated in consolidation) on any series of Preferred Stock during such period; and</w:t>
      </w:r>
    </w:p>
    <w:p>
      <w:pPr>
        <w:spacing w:after="0" w:line="53"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dividends or other distributions paid (excluding items eliminated in consolidation) on any series of Disqualified Stock during such period.</w:t>
      </w:r>
    </w:p>
    <w:p>
      <w:pPr>
        <w:spacing w:after="0" w:line="158"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RE Assets</w:t>
      </w:r>
      <w:r>
        <w:rPr>
          <w:rFonts w:ascii="Times New Roman" w:cs="Times New Roman" w:eastAsia="Times New Roman" w:hAnsi="Times New Roman"/>
          <w:sz w:val="18"/>
          <w:szCs w:val="18"/>
          <w:color w:val="auto"/>
        </w:rPr>
        <w:t>” means, collectively, those certain interests in real property and related assets owned by the Issuer and its Subsidiaries located outside the United States.</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RE Borrower Subsidiary</w:t>
      </w:r>
      <w:r>
        <w:rPr>
          <w:rFonts w:ascii="Times New Roman" w:cs="Times New Roman" w:eastAsia="Times New Roman" w:hAnsi="Times New Roman"/>
          <w:sz w:val="18"/>
          <w:szCs w:val="18"/>
          <w:color w:val="auto"/>
        </w:rPr>
        <w:t>” means any Subsidiary of the Issuer (i) party to a Foreign RE Loan, indenture or other financing secured or supported by interests in Foreign RE Assets and other real property, (ii) any Subsidiary of a Person described in the foregoing clause (i) or (iii) otherwise designated by the Issuer as a “Foreign RE Borrower Subsidiary” from time to time.</w:t>
      </w:r>
    </w:p>
    <w:p>
      <w:pPr>
        <w:spacing w:after="0" w:line="171"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RE Loans</w:t>
      </w:r>
      <w:r>
        <w:rPr>
          <w:rFonts w:ascii="Times New Roman" w:cs="Times New Roman" w:eastAsia="Times New Roman" w:hAnsi="Times New Roman"/>
          <w:sz w:val="18"/>
          <w:szCs w:val="18"/>
          <w:color w:val="auto"/>
        </w:rPr>
        <w:t>” means, collectively, one or more mortgage, mezzanine or other loans or indebtedness secured or supported by interests in one or more Foreign RE Assets.</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(i) any Subsidiary of the Issuer that is not a Domestic Subsidiary and (ii) any direct or indirect Domestic Subsidiary that is a direct or indirect Subsidiary of a direct or indirect Foreign Subsidiary that is a CFC.</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FSHCO Subsidiary</w:t>
      </w:r>
      <w:r>
        <w:rPr>
          <w:rFonts w:ascii="Times New Roman" w:cs="Times New Roman" w:eastAsia="Times New Roman" w:hAnsi="Times New Roman"/>
          <w:sz w:val="18"/>
          <w:szCs w:val="18"/>
          <w:color w:val="auto"/>
        </w:rPr>
        <w:t>” means any Subsidiary substantially all of the assets of which consist of Equity Interests and/or Indebtedness of one or more Foreign Subsidiaries that are CFCs or Subsidiaries that are FSHCO Subsidiaries.</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Funded Debt</w:t>
      </w:r>
      <w:r>
        <w:rPr>
          <w:rFonts w:ascii="Times New Roman" w:cs="Times New Roman" w:eastAsia="Times New Roman" w:hAnsi="Times New Roman"/>
          <w:sz w:val="18"/>
          <w:szCs w:val="18"/>
          <w:color w:val="auto"/>
        </w:rPr>
        <w:t>” means any Indebtedness for money borrowed (other than in connection with a Qualified Securitization Facility), whether created, issued, incurred, assumed or guaranteed, that would, in accordance with GAAP, be classified as long-term debt, but in any event including all Indebtedness for money borrowed, whether secured or unsecured, maturing more than one year, or extendible at the option of the obligor to a date more than one year, after the date of determination thereof (excluding any amount thereof included in current liabilities other than Indebtedness incurred under a revolving credit facility).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40" w:name="page41"/>
    <w:bookmarkEnd w:id="40"/>
    <w:p>
      <w:pPr>
        <w:ind w:right="20"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means, at the election of the Issuer, (1) generally accepted accounting principles in the United States of America, as in effect from time to time (“</w:t>
      </w:r>
      <w:r>
        <w:rPr>
          <w:rFonts w:ascii="Times New Roman" w:cs="Times New Roman" w:eastAsia="Times New Roman" w:hAnsi="Times New Roman"/>
          <w:sz w:val="17"/>
          <w:szCs w:val="17"/>
          <w:b w:val="1"/>
          <w:bCs w:val="1"/>
          <w:color w:val="auto"/>
        </w:rPr>
        <w:t>U.S. GAAP</w:t>
      </w:r>
      <w:r>
        <w:rPr>
          <w:rFonts w:ascii="Times New Roman" w:cs="Times New Roman" w:eastAsia="Times New Roman" w:hAnsi="Times New Roman"/>
          <w:sz w:val="17"/>
          <w:szCs w:val="17"/>
          <w:color w:val="auto"/>
        </w:rPr>
        <w:t>”) if the Issuer’s financial statements are at such time prepared in accordance with U.S. GAAP or (2) the accounting standards and interpretations adopted by the International Accounting Standard Board, as in effect from time to time (“</w:t>
      </w:r>
      <w:r>
        <w:rPr>
          <w:rFonts w:ascii="Times New Roman" w:cs="Times New Roman" w:eastAsia="Times New Roman" w:hAnsi="Times New Roman"/>
          <w:sz w:val="17"/>
          <w:szCs w:val="17"/>
          <w:b w:val="1"/>
          <w:bCs w:val="1"/>
          <w:color w:val="auto"/>
        </w:rPr>
        <w:t>IFRS</w:t>
      </w:r>
      <w:r>
        <w:rPr>
          <w:rFonts w:ascii="Times New Roman" w:cs="Times New Roman" w:eastAsia="Times New Roman" w:hAnsi="Times New Roman"/>
          <w:sz w:val="17"/>
          <w:szCs w:val="17"/>
          <w:color w:val="auto"/>
        </w:rPr>
        <w:t xml:space="preserve">”) if the Issuer’s financial statements are at such time prepared in accordance with IFRS, it being understood that, for purposes of this Indenture, (a) all references to codified accounting standards specifically named in this Indenture shall be deemed to include any successor, replacement, amendment or updated accounting standard under U.S. GAAP or IFRS, as applicable, (b) neither U.S. GAAP nor IFRS shall be required to include the policies, rules and regulations of the SEC, the American Institute of Certified Public Accountants, the International Accounting Standards Board or any other applicable regulatory or governing body applicable only to public companies, (c) any calculation or determination in this Indenture that requires the application of GAAP across multiple quarters need not be calculated or determined using the same accounting standard for each constituent quarter, (d) all calculations or determinations in this Indenture shall be made without giving effect to any election under FASB Accounting Standards Topic 825,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or any successor thereto or comparable accounting principle, to value any Indebtedness or other liabilities at “fair value” (as defined therein) and (e) in the event that the Issuer makes an election referred to in the definition of “Financing Lease Obligations,” the accounting for operating leases and financing or capital leases under U.S. GAAP as in effect on January 1, 2015 (including, without limitation, Accounting Standards Codification 840) shall apply for the purpose of determining compliance with the provisions of this Indenture, including the definition of Financing Lease Obligation. For the avoidance of doubt, solely making an election (without any other action) referred to in this definition will not be treated as an incurrence of Indebtedness.</w:t>
      </w:r>
    </w:p>
    <w:p>
      <w:pPr>
        <w:spacing w:after="0" w:line="186"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If there occurs a change in IFRS or U.S. GAAP, as the case may be, and such change would cause a change in the method of calculation of any term or measure used in this Indenture (an “</w:t>
      </w:r>
      <w:r>
        <w:rPr>
          <w:rFonts w:ascii="Times New Roman" w:cs="Times New Roman" w:eastAsia="Times New Roman" w:hAnsi="Times New Roman"/>
          <w:sz w:val="18"/>
          <w:szCs w:val="18"/>
          <w:b w:val="1"/>
          <w:bCs w:val="1"/>
          <w:color w:val="auto"/>
        </w:rPr>
        <w:t>Accounting Change</w:t>
      </w:r>
      <w:r>
        <w:rPr>
          <w:rFonts w:ascii="Times New Roman" w:cs="Times New Roman" w:eastAsia="Times New Roman" w:hAnsi="Times New Roman"/>
          <w:sz w:val="18"/>
          <w:szCs w:val="18"/>
          <w:color w:val="auto"/>
        </w:rPr>
        <w:t>”), then the Issuer may elect that such term or measure shall be calculated as if such Accounting Change had not occurred.</w:t>
      </w:r>
    </w:p>
    <w:p>
      <w:pPr>
        <w:spacing w:after="0" w:line="172"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 Legend</w:t>
      </w:r>
      <w:r>
        <w:rPr>
          <w:rFonts w:ascii="Times New Roman" w:cs="Times New Roman" w:eastAsia="Times New Roman" w:hAnsi="Times New Roman"/>
          <w:sz w:val="18"/>
          <w:szCs w:val="18"/>
          <w:color w:val="auto"/>
        </w:rPr>
        <w:t>” means the legend set forth in Section 2.06(g)(ii) hereof, which is required to be placed on all Global Notes issued under this Indenture.</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Notes</w:t>
      </w:r>
      <w:r>
        <w:rPr>
          <w:rFonts w:ascii="Times New Roman" w:cs="Times New Roman" w:eastAsia="Times New Roman" w:hAnsi="Times New Roman"/>
          <w:sz w:val="18"/>
          <w:szCs w:val="18"/>
          <w:color w:val="auto"/>
        </w:rPr>
        <w:t xml:space="preserve">” means the Restricted Global Notes and the Unrestricted Global Notes,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for the 2031 Notes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hereto for the 2033 Notes, in each case, issued in accordance with Section 2.01, 2.06(a) or 2.06(b)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means any Issuer and any Guarantor.</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the guarantee by any Guarantor of the Issuer’s Obligations under this Indenture and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Holdings and each Subsidiary Guarantor.</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H&amp;F Funds</w:t>
      </w:r>
      <w:r>
        <w:rPr>
          <w:rFonts w:ascii="Times New Roman" w:cs="Times New Roman" w:eastAsia="Times New Roman" w:hAnsi="Times New Roman"/>
          <w:sz w:val="18"/>
          <w:szCs w:val="18"/>
          <w:color w:val="auto"/>
        </w:rPr>
        <w:t>” means, individually or collectively, Hellman &amp; Friedman LLC and its Affiliates and any investment fund, partnership, co-investment vehicle and/or other similar vehicles or accounts, in each case managed, advised or controlled by Hellman &amp; Friedman LLC or one or more of its Affiliates, or any successor of any of the foregoing.</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6" w:right="459" w:bottom="1440" w:gutter="0" w:footer="0" w:header="0"/>
        </w:sectPr>
      </w:pPr>
    </w:p>
    <w:bookmarkStart w:id="41" w:name="page42"/>
    <w:bookmarkEnd w:id="41"/>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Hedging Obligations</w:t>
      </w:r>
      <w:r>
        <w:rPr>
          <w:rFonts w:ascii="Times New Roman" w:cs="Times New Roman" w:eastAsia="Times New Roman" w:hAnsi="Times New Roman"/>
          <w:sz w:val="17"/>
          <w:szCs w:val="17"/>
          <w:color w:val="auto"/>
        </w:rPr>
        <w:t>” means, with respect to any Person, the obligations of such Person under (1) any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agreements or transactions or any combination of any of the foregoing (including any options to enter into any of the foregoing), whether or not any such transaction is governed by or subject to any master agreement, and</w:t>
      </w:r>
    </w:p>
    <w:p>
      <w:pPr>
        <w:spacing w:after="0" w:line="4" w:lineRule="exact"/>
        <w:rPr>
          <w:sz w:val="20"/>
          <w:szCs w:val="20"/>
          <w:color w:val="auto"/>
        </w:rPr>
      </w:pPr>
    </w:p>
    <w:p>
      <w:pPr>
        <w:ind w:left="4" w:right="140" w:hanging="4"/>
        <w:spacing w:after="0" w:line="253" w:lineRule="auto"/>
        <w:tabs>
          <w:tab w:leader="none" w:pos="2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b w:val="1"/>
          <w:bCs w:val="1"/>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the Person in whose name a Note is registered on the Registrar’s books.</w:t>
      </w:r>
    </w:p>
    <w:p>
      <w:pPr>
        <w:spacing w:after="0" w:line="225" w:lineRule="exact"/>
        <w:rPr>
          <w:sz w:val="20"/>
          <w:szCs w:val="20"/>
          <w:color w:val="auto"/>
        </w:rPr>
      </w:pPr>
    </w:p>
    <w:p>
      <w:pPr>
        <w:ind w:left="4"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any Person so long as the Issuer is a direct or indirect Subsidiary of such Person, and at the time the Issuer became a Subsidiary of such Person, no Person and no group (within the meaning of Section 13(d)(3) or Section 14(d)(2) of the Exchange Act as in effect on the Issue Date), including any such group acting for the purpose of acquiring, holding or disposing of securities (within the meaning of Rule 13d-5(b)(1) under the Exchange Act as in effect on the Issue Date) (other than any Permitted Holder), shall have beneficial ownership (within the meaning of Rule 13d-3 under the Exchange Act as in effect on the Issue Date), directly or indirectly, of more than 50% of the total voting power of the Voting Stock of such Person.</w:t>
      </w:r>
    </w:p>
    <w:p>
      <w:pPr>
        <w:spacing w:after="0" w:line="182"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means (i) Medline Intermediate, LP, if it is the direct parent of the Issuer, or, if not, the entity (or combination of entities) that directly or indirectly own 100% of the issued and outstanding Equity Interests in the Issuer and assumes all of the obligations of “Holdings” under this Indenture and the applicable Security Documents, in each case, pursuant to a supplemental indenture or other applicable documents or instruments and (ii) following a New Holdings Designation, Successor Holdings.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has the meaning set forth in the definition of “GAAP.”</w:t>
      </w:r>
    </w:p>
    <w:p>
      <w:pPr>
        <w:spacing w:after="0" w:line="225"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Members</w:t>
      </w:r>
      <w:r>
        <w:rPr>
          <w:rFonts w:ascii="Times New Roman" w:cs="Times New Roman" w:eastAsia="Times New Roman" w:hAnsi="Times New Roman"/>
          <w:sz w:val="18"/>
          <w:szCs w:val="18"/>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estates of such individual and such other individuals above and any trust, partnership or other bona fide estate-planning vehicle the only beneficiaries of which are any of the foregoing individuals or any private foundation, trust or fund that is controlled by any of the foregoing individuals or any donor-advised foundation, trust or fund of which any such individual is the donor.</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Person, without duplication:</w:t>
      </w:r>
    </w:p>
    <w:p>
      <w:pPr>
        <w:spacing w:after="0" w:line="121" w:lineRule="exact"/>
        <w:rPr>
          <w:sz w:val="20"/>
          <w:szCs w:val="20"/>
          <w:color w:val="auto"/>
        </w:rPr>
      </w:pPr>
    </w:p>
    <w:p>
      <w:pPr>
        <w:ind w:left="1104" w:hanging="241"/>
        <w:spacing w:after="0"/>
        <w:tabs>
          <w:tab w:leader="none" w:pos="11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of such Person, whether or not contingent:</w:t>
      </w:r>
    </w:p>
    <w:p>
      <w:pPr>
        <w:spacing w:after="0" w:line="117"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principal in respect of borrowed money;</w:t>
      </w:r>
    </w:p>
    <w:p>
      <w:pPr>
        <w:spacing w:after="0" w:line="117" w:lineRule="exact"/>
        <w:rPr>
          <w:rFonts w:ascii="Times New Roman" w:cs="Times New Roman" w:eastAsia="Times New Roman" w:hAnsi="Times New Roman"/>
          <w:sz w:val="18"/>
          <w:szCs w:val="18"/>
          <w:color w:val="auto"/>
        </w:rPr>
      </w:pPr>
    </w:p>
    <w:p>
      <w:pPr>
        <w:ind w:left="984" w:right="400" w:firstLine="408"/>
        <w:spacing w:after="0" w:line="282" w:lineRule="auto"/>
        <w:tabs>
          <w:tab w:leader="none" w:pos="16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principal in respect of obligations evidenced by bonds, notes, debentures or similar instruments or letters of credit or bankers’ acceptances (or, without duplication, reimbursement agreements in respect thereof);</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66" w:right="479" w:bottom="1440" w:gutter="0" w:footer="0" w:header="0"/>
        </w:sectPr>
      </w:pPr>
    </w:p>
    <w:bookmarkStart w:id="42" w:name="page43"/>
    <w:bookmarkEnd w:id="42"/>
    <w:p>
      <w:pPr>
        <w:ind w:left="980" w:right="60" w:firstLine="408"/>
        <w:spacing w:after="0" w:line="254" w:lineRule="auto"/>
        <w:tabs>
          <w:tab w:leader="none" w:pos="16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representing the principal component in respect of obligations to pay the deferred and unpaid balance of the purchase price of any property (including Financing Lease Obligations) which purchase price is due more than one year from the date of incurrence of the obligation in respect thereof, except (A) obligations in respect of a commercial or trade letter of credit, current trade or other ordinary course payables or liabilities or accrued expenses (but not any refinancings, extensions, renewals, or replacements thereof) incurred in the ordinary course of business and maturing within 365 days after the incurrence thereof, (B) any earn-out obligations or purchase price adjustments, unless not paid within sixty (60) days after such obligation becomes due and payable and such obligation is treated as a liability on the balance sheet (excluding the footnotes thereto), (C) accruals for payroll and other liabilities accrued in the ordinary course of business, (D) liabilities associated with customer prepayments and deposits and (E) obligations resulting from take-or-pay contracts entered into in the ordinary course of business or consistent with past practices or industry norm; or</w:t>
      </w:r>
    </w:p>
    <w:p>
      <w:pPr>
        <w:spacing w:after="0" w:line="80"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net obligations under any Hedging Obligations,</w:t>
      </w:r>
    </w:p>
    <w:p>
      <w:pPr>
        <w:spacing w:after="0" w:line="117"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8"/>
          <w:szCs w:val="18"/>
          <w:color w:val="auto"/>
        </w:rPr>
        <w:t xml:space="preserve">if and to the extent that any of the foregoing Indebtedness (other than letters of credit and Hedging Obligations) would appear as a liability upon a balance sheet (excluding the footnotes thereto) of such Person prepared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Indebtedness of any direct or indirect parent of the Issuer appearing upon the balance sheet of the Issuer solely by reason of push-down accounting under GAAP shall be excluded;</w:t>
      </w:r>
    </w:p>
    <w:p>
      <w:pPr>
        <w:spacing w:after="0" w:line="72" w:lineRule="exact"/>
        <w:rPr>
          <w:sz w:val="20"/>
          <w:szCs w:val="20"/>
          <w:color w:val="auto"/>
        </w:rPr>
      </w:pPr>
    </w:p>
    <w:p>
      <w:pPr>
        <w:jc w:val="both"/>
        <w:ind w:left="440" w:right="380" w:firstLine="419"/>
        <w:spacing w:after="0" w:line="266" w:lineRule="auto"/>
        <w:tabs>
          <w:tab w:leader="none" w:pos="11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any obligation by such Person to be liable for, or to pay, as obligor, guarantor or otherwise, the obligations of the type referred to in clause (a) of a third Person (whether or not such items would appear upon the balance sheet of such first Person), other than by endorsement of negotiable instruments for collection in the ordinary course of business; and</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otherwise included, the obligations of the type referred to in clause (a) of a third Person secured by a Lien on any asset owned by such first Person, whether or not such Indebtedness is assumed by such first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such Indebtedness will be, at the time of determination, the lesser of (i) the fair market value of such asset at such date of determination and (ii) the amount of such Indebtedness of such third Person;</w:t>
      </w:r>
    </w:p>
    <w:p>
      <w:pPr>
        <w:spacing w:after="0" w:line="1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Indebtedness shall be deemed not to include (a) Contingent Obligations incurred in the ordinary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or consistent with industry practice, (b) Non-Financing Lease Obligations, Qualified Securitization Facilities, straight-line leases, operating leases, Sale and Lease-Back Transactions or lease lease-back transactions, (c) obligations under any license, permit or other approval (or guarantees given in respect of such obligations) incurred prior to the Issue Date or in the ordinary course of business or consistent with past practice, (d) in connection with the purchase by the Issuer or any Restricted Subsidiary of any business, any post-closing payment adjustments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time of closing, the amount of any such payment is not determinable and, to the extent such payment thereafter becomes fixed and determined, the amount is paid in a timely manner, (e) purchase price holdbacks in respect of a portion of the purchase price of an asset to satisfy warranty or other unperformed obligations of the seller, (f) any obligations attributable to the exercise of appraisal rights and the settlement of any claims or actions (whether actual, contingent or potential) with respect thereto, (g) accrued expenses and royalties, (h) Capital Stock and Disqualified Stock, (i) any obligations in respect of workers’ compensation claims, unemployment insurance, retirement, post-</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43" w:name="page44"/>
    <w:bookmarkEnd w:id="43"/>
    <w:p>
      <w:pPr>
        <w:ind w:left="4" w:right="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employment or termination obligations (including pensions and retiree medical care), pension fund obligations or contributions or similar claims, or social security or wage taxes or contributions, (j) deferred or prepaid revenues, (k) any asset retirement obligations, (l) any liability for taxes,</w:t>
      </w:r>
    </w:p>
    <w:p>
      <w:pPr>
        <w:ind w:left="304" w:hanging="304"/>
        <w:spacing w:after="0"/>
        <w:tabs>
          <w:tab w:leader="none" w:pos="30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Shareholder Funding or (n) all intercompany Indebtedness having a term not exceeding 364 days (inclusive of any roll-over or</w:t>
      </w:r>
    </w:p>
    <w:p>
      <w:pPr>
        <w:spacing w:after="0" w:line="9" w:lineRule="exact"/>
        <w:rPr>
          <w:rFonts w:ascii="Times New Roman" w:cs="Times New Roman" w:eastAsia="Times New Roman" w:hAnsi="Times New Roman"/>
          <w:sz w:val="18"/>
          <w:szCs w:val="18"/>
          <w:color w:val="auto"/>
        </w:rPr>
      </w:pPr>
    </w:p>
    <w:p>
      <w:pPr>
        <w:ind w:left="4"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extensions of terms) and made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Indebtedness shall be calculated without giving effect to the effects of Financial Accounting Standards Board Accounting Standards Codification Topic No. 815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Indenture, as amended, supplemented or otherwise modified from time to time.</w:t>
      </w:r>
    </w:p>
    <w:p>
      <w:pPr>
        <w:spacing w:after="0" w:line="225" w:lineRule="exact"/>
        <w:rPr>
          <w:sz w:val="20"/>
          <w:szCs w:val="20"/>
          <w:color w:val="auto"/>
        </w:rPr>
      </w:pPr>
    </w:p>
    <w:p>
      <w:pPr>
        <w:ind w:left="4"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Financial Advisor</w:t>
      </w:r>
      <w:r>
        <w:rPr>
          <w:rFonts w:ascii="Times New Roman" w:cs="Times New Roman" w:eastAsia="Times New Roman" w:hAnsi="Times New Roman"/>
          <w:sz w:val="18"/>
          <w:szCs w:val="18"/>
          <w:color w:val="auto"/>
        </w:rPr>
        <w:t>” means an accounting, appraisal, investment banking firm or consultant of nationally or internationally recognized standing that is, in the good faith judgment of the Issuer, qualified to perform the task for which it has been engaged.</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Indirect Participant</w:t>
      </w:r>
      <w:r>
        <w:rPr>
          <w:rFonts w:ascii="Times New Roman" w:cs="Times New Roman" w:eastAsia="Times New Roman" w:hAnsi="Times New Roman"/>
          <w:sz w:val="18"/>
          <w:szCs w:val="18"/>
          <w:color w:val="auto"/>
        </w:rPr>
        <w:t>” means a Person who holds a beneficial interest in a Global Note through a Participant.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2031 Notes</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2033 Notes</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CMBS Financing</w:t>
      </w:r>
      <w:r>
        <w:rPr>
          <w:rFonts w:ascii="Times New Roman" w:cs="Times New Roman" w:eastAsia="Times New Roman" w:hAnsi="Times New Roman"/>
          <w:sz w:val="18"/>
          <w:szCs w:val="18"/>
          <w:color w:val="auto"/>
        </w:rPr>
        <w:t>” means the borrowings under the CMBS Loans in connection with the Acquisition.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means the initial purchasers of the Notes on the Issue Date.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June 15 and December 15 of each year to stated maturity.</w:t>
      </w:r>
    </w:p>
    <w:p>
      <w:pPr>
        <w:spacing w:after="0" w:line="225"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Event</w:t>
      </w:r>
      <w:r>
        <w:rPr>
          <w:rFonts w:ascii="Times New Roman" w:cs="Times New Roman" w:eastAsia="Times New Roman" w:hAnsi="Times New Roman"/>
          <w:sz w:val="18"/>
          <w:szCs w:val="18"/>
          <w:color w:val="auto"/>
        </w:rPr>
        <w:t>” means (1) the Issuers shall have obtained a rating, or to the extent such Rating Agency will not provide a rating, an advisory or prospective rating from any such Rating Agencies that reflects an Investment Grade Rating with respect to the Notes from any two Rating Agencies after giving effect to the Collateral Release; and (2) no Event of Default shall have occurred and be continuing with respect to any series of the Notes.</w:t>
      </w:r>
    </w:p>
    <w:p>
      <w:pPr>
        <w:spacing w:after="0" w:line="176"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Rating</w:t>
      </w:r>
      <w:r>
        <w:rPr>
          <w:rFonts w:ascii="Times New Roman" w:cs="Times New Roman" w:eastAsia="Times New Roman" w:hAnsi="Times New Roman"/>
          <w:sz w:val="18"/>
          <w:szCs w:val="18"/>
          <w:color w:val="auto"/>
        </w:rPr>
        <w:t>” means a rating equal to or higher than Baa3 (or the equivalent) by Moody’s and/or BBB- (or the equivalent) by Fitch or S&amp;P, or if the applicable securities are not then rated by Fitch, Moody’s or S&amp;P, an equivalent rating by any other Rating Agency.</w:t>
      </w:r>
    </w:p>
    <w:p>
      <w:pPr>
        <w:spacing w:after="0" w:line="155"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means,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future, present or former employees, directors, officers, managers, members, partners, independent contractors or consultants, in each case made in the ordinary course of business or consistent with past practice), purchases or other acquisitions for consideration of Indebtedness, Equity Interests or other securities issued by any other Person and investments that are required by GAAP to be classified on the balance sheet (excluding the footnotes) of the Issuer in the same manner as the other investments included in this definition to the extent such transactions involve the transfer of cash or other property.</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44" w:name="page45"/>
    <w:bookmarkEnd w:id="44"/>
    <w:p>
      <w:pPr>
        <w:ind w:left="440" w:firstLine="423"/>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as of any date of determination, of (i) any Investment in the form of a loan or an advance shall be the principal amount thereof outstanding on such date, minus any payments in cash or Cash Equivalents actually received by such investor representing interest in respect of such Investment, but without any adjustment for write-downs or write-offs (including as a result of forgiveness of any portion thereof) with respect to such loan or advance after the date thereof, (ii)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the Issuer, (iii) any Investment in the form of a transfer of Equity Interests or other non-cash property or services by the investor to the investee, including any such transfer in the form of a capital contribution, shall be the fair market value of such Equity Interests or other property or services as of the time of the transfer, minus, any payments actually received by such investor representing a Return in respect of such Investment, but without any other adjustment for increases or decreases in value of, or write-ups, write-downs or write-offs with respect to, such Investment after the date of such Investment, and (iv) any Investment (other than any Investment referred to in clause (i), (ii) or (iii) above) by the specified Person in the form of a purchase or other acquisition for value of any Equity Interests, evidences of Indebtedness or other securities of any other Person shall be the original cost of such Investment, except that the amount of any Investment in the form of an acquisition shall be the Acquisition Consideration, minus the amount of any portion of such Investment that has been repaid to the investor as a Return in respect of such Investment, but without any other adjustment for increases or decreases in value of, or write-ups, write-downs or write-offs with respect to, such Investment after the date of such Investment.</w:t>
      </w:r>
    </w:p>
    <w:p>
      <w:pPr>
        <w:spacing w:after="0" w:line="192"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means each of (a) the Blackstone Funds and any of their Affiliates (other than any portfolio operating companies), (b) the Carlyle Funds and any of their Affiliates (other than any portfolio operating companies), (c) the H&amp;F Funds and any of their Affiliates (other than any portfolio operating companies), (d) the Mills Family Investors and certain other Persons that have rolled over or invested equity in Holdings (or other direct or indirect parent company of the Issuer) as of the 2021 Acquisition Date and any of their Affiliates or Immediate Family Members and (e) concurrently with and following the consummation of any Permitted Change of Control, any Permitted Acquiror.</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May 28, 2026.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Issuers’ Order</w:t>
      </w:r>
      <w:r>
        <w:rPr>
          <w:rFonts w:ascii="Times New Roman" w:cs="Times New Roman" w:eastAsia="Times New Roman" w:hAnsi="Times New Roman"/>
          <w:sz w:val="18"/>
          <w:szCs w:val="18"/>
          <w:color w:val="auto"/>
        </w:rPr>
        <w:t>” means a written request or order signed on behalf of the Issuers by an Officer of each Issuer and delivered to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Lien Collateral Agent</w:t>
      </w:r>
      <w:r>
        <w:rPr>
          <w:rFonts w:ascii="Times New Roman" w:cs="Times New Roman" w:eastAsia="Times New Roman" w:hAnsi="Times New Roman"/>
          <w:sz w:val="18"/>
          <w:szCs w:val="18"/>
          <w:color w:val="auto"/>
        </w:rPr>
        <w:t>” means the Junior Lien Representative for the holders of any initial Junior Lien Obligations.</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Lien Intercreditor Agreement</w:t>
      </w:r>
      <w:r>
        <w:rPr>
          <w:rFonts w:ascii="Times New Roman" w:cs="Times New Roman" w:eastAsia="Times New Roman" w:hAnsi="Times New Roman"/>
          <w:sz w:val="18"/>
          <w:szCs w:val="18"/>
          <w:color w:val="auto"/>
        </w:rPr>
        <w:t xml:space="preserve">” means an intercreditor agreement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(which agreement in such form or with changes thereto permitted by Section 9.01 hereof the Notes Collateral Agent is authorized to enter into) entered into among the Notes Collateral Agent, the Existing Notes Collateral Agent, the Bank Collateral Agent and the applicable Junior Lien Collateral Agent in connection with the incurrence of any Junior Lien Obligation, as it may be amended, restated, amended and restated, supplemented, renewed, replaced, refinanced or otherwise modified from time to time.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45" w:name="page46"/>
    <w:bookmarkEnd w:id="45"/>
    <w:p>
      <w:pPr>
        <w:ind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Junior Lien Obligations</w:t>
      </w:r>
      <w:r>
        <w:rPr>
          <w:rFonts w:ascii="Times New Roman" w:cs="Times New Roman" w:eastAsia="Times New Roman" w:hAnsi="Times New Roman"/>
          <w:sz w:val="18"/>
          <w:szCs w:val="18"/>
          <w:color w:val="auto"/>
        </w:rPr>
        <w:t xml:space="preserve">” means the Obligations with respect to Indebtedness permitted to be incurred under this Indenture, which is by its terms intended to be secured by the Collateral with a Junior Lien Priority relative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Lien is permitted to be incurred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holders of such Indebtedness or their Junior Lien Representative shall become party to the Junior Lien Intercreditor Agreement and any other applicable intercreditor agreements. For the avoidance of doubt, any Senior ABL Revolving Credit Obligations shall not be considered Junior Lien Obligations.</w:t>
      </w:r>
    </w:p>
    <w:p>
      <w:pPr>
        <w:spacing w:after="0" w:line="179"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Lien Priority</w:t>
      </w:r>
      <w:r>
        <w:rPr>
          <w:rFonts w:ascii="Times New Roman" w:cs="Times New Roman" w:eastAsia="Times New Roman" w:hAnsi="Times New Roman"/>
          <w:sz w:val="18"/>
          <w:szCs w:val="18"/>
          <w:color w:val="auto"/>
        </w:rPr>
        <w:t>” means Indebtedness that is secured by a Lien on the Collateral that is junior in priority to the Liens on the Collateral securing the Notes Obligations and is subject to a Junior Lien Intercreditor Agreement (it being understood that junior Liens are not required to rank equally and ratably with other junior Liens, and that Indebtedness secured by junior Liens may be secured by Liens that are senior in priority to, or rank equally and ratably with, or junior in priority to, other Liens constituting junior Liens). For the avoidance of doubt, any Senior ABL Revolving Credit Obligations shall not be considered to have Junior Lien Priority.</w:t>
      </w:r>
    </w:p>
    <w:p>
      <w:pPr>
        <w:spacing w:after="0" w:line="179"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Lien Representative</w:t>
      </w:r>
      <w:r>
        <w:rPr>
          <w:rFonts w:ascii="Times New Roman" w:cs="Times New Roman" w:eastAsia="Times New Roman" w:hAnsi="Times New Roman"/>
          <w:sz w:val="18"/>
          <w:szCs w:val="18"/>
          <w:color w:val="auto"/>
        </w:rPr>
        <w:t>” means any duly authorized representative of any holders of Junior Lien Obligations, which representative is named as such in the Junior Lien Intercreditor Agreement or any joinder thereto.</w:t>
      </w:r>
    </w:p>
    <w:p>
      <w:pPr>
        <w:spacing w:after="0" w:line="155"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Holiday</w:t>
      </w:r>
      <w:r>
        <w:rPr>
          <w:rFonts w:ascii="Times New Roman" w:cs="Times New Roman" w:eastAsia="Times New Roman" w:hAnsi="Times New Roman"/>
          <w:sz w:val="18"/>
          <w:szCs w:val="18"/>
          <w:color w:val="auto"/>
        </w:rPr>
        <w:t>” means a Saturday, a Sunday or a day on which commercial banking institutions are not required to be open in the State of New York or at the place of payment in respect of the Notes. If a payment date is on a Legal Holiday, payment will be made on the next succeeding day that is not a Legal Holiday and no interest shall accrue on such payment for the intervening period.</w:t>
      </w:r>
    </w:p>
    <w:p>
      <w:pPr>
        <w:spacing w:after="0" w:line="171"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xml:space="preserve">” means, with respect to any asset, any mortgage, lien (statutory or otherwise),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Non-Financing Lease Obligations be deemed to constitute a Lien.</w:t>
      </w:r>
    </w:p>
    <w:p>
      <w:pPr>
        <w:spacing w:after="0" w:line="179"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Condition Transaction</w:t>
      </w:r>
      <w:r>
        <w:rPr>
          <w:rFonts w:ascii="Times New Roman" w:cs="Times New Roman" w:eastAsia="Times New Roman" w:hAnsi="Times New Roman"/>
          <w:sz w:val="18"/>
          <w:szCs w:val="18"/>
          <w:color w:val="auto"/>
        </w:rPr>
        <w:t>” means (1) any Investment or acquisition (whether by merger, amalgamation, consolidation or other business combination or the acquisition of Capital Stock or otherwise and which may include, for the avoidance of doubt, a transaction that may constitute a Change of Control) or other transaction, (2) any incurrence, issuance, prepayment, redemption, repurchase, defeasance, satisfaction and discharge or repayment of Indebtedness, Disqualified Stock or Preferred Stock, (3) any asset sale or disposition, (4) a Permitted Change of Control and (5) any other transaction or plan undertaken or proposed to be undertaken in connection with any of the preceding clauses (1)-(4).</w:t>
      </w:r>
    </w:p>
    <w:p>
      <w:pPr>
        <w:spacing w:after="0" w:line="179"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LTM EBITDA</w:t>
      </w:r>
      <w:r>
        <w:rPr>
          <w:rFonts w:ascii="Times New Roman" w:cs="Times New Roman" w:eastAsia="Times New Roman" w:hAnsi="Times New Roman"/>
          <w:sz w:val="18"/>
          <w:szCs w:val="18"/>
          <w:color w:val="auto"/>
        </w:rPr>
        <w:t>” means EBITDA of the Issuer measured for the period of the most recent four consecutive fiscal quarters ending prior to the date of such determination for which internal consolidated financial statements of the Issuer are available, with such pro forma adjustments giving effect to such Investments, acquisitions, dispositions, mergers, amalgamations, consolidations, discontinued operations, operational changes, Business Expansions, new or revised contracts and other transactions, as applicable, since the start of such period and on or prior to or substantially concurrently with the date of determination as are consistent with the pro forma adjustments set forth in the definition of “Fixed Charge Coverage Ratio.”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66" w:right="479" w:bottom="1440" w:gutter="0" w:footer="0" w:header="0"/>
        </w:sectPr>
      </w:pPr>
    </w:p>
    <w:bookmarkStart w:id="46" w:name="page47"/>
    <w:bookmarkEnd w:id="46"/>
    <w:p>
      <w:pPr>
        <w:ind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Management Stockholders</w:t>
      </w:r>
      <w:r>
        <w:rPr>
          <w:rFonts w:ascii="Times New Roman" w:cs="Times New Roman" w:eastAsia="Times New Roman" w:hAnsi="Times New Roman"/>
          <w:sz w:val="18"/>
          <w:szCs w:val="18"/>
          <w:color w:val="auto"/>
        </w:rPr>
        <w:t>” means the future, present or former employees, directors, officers, managers, members or partners (and their Controlled Investment Affiliates and Immediate Family Members) of the Issuer (or its direct or indirect parent entities) or any Restricted Subsidiary who are or become direct or indirect holders of Equity Interests of the Issuer or any direct or indirect parent companies of the Issuer, including any such future, present or former employees, directors, officers, managers, members or partners owning through an Equityholding Vehicle.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Master Agreement</w:t>
      </w:r>
      <w:r>
        <w:rPr>
          <w:rFonts w:ascii="Times New Roman" w:cs="Times New Roman" w:eastAsia="Times New Roman" w:hAnsi="Times New Roman"/>
          <w:sz w:val="18"/>
          <w:szCs w:val="18"/>
          <w:color w:val="auto"/>
        </w:rPr>
        <w:t>” has the meaning set forth in the definition of “Hedging Obligations.”</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Mills Family Investors</w:t>
      </w:r>
      <w:r>
        <w:rPr>
          <w:rFonts w:ascii="Times New Roman" w:cs="Times New Roman" w:eastAsia="Times New Roman" w:hAnsi="Times New Roman"/>
          <w:sz w:val="18"/>
          <w:szCs w:val="18"/>
          <w:color w:val="auto"/>
        </w:rPr>
        <w:t>” means (i) the holders of direct or indirect equity interests of Medline Industries, LP (formerly known as Medline Industries, Inc.) prior to the consummation of the Acquisition that are members of the Mills family and (ii) their Controlled Investment Affiliates and Immediate Family Members.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Income</w:t>
      </w:r>
      <w:r>
        <w:rPr>
          <w:rFonts w:ascii="Times New Roman" w:cs="Times New Roman" w:eastAsia="Times New Roman" w:hAnsi="Times New Roman"/>
          <w:sz w:val="18"/>
          <w:szCs w:val="18"/>
          <w:color w:val="auto"/>
        </w:rPr>
        <w:t>” means, with respect to any Person, the net income (loss) of such Person, determined in accordance with GAAP and before any reduction in respect of Preferred Stock dividends.</w:t>
      </w:r>
    </w:p>
    <w:p>
      <w:pPr>
        <w:spacing w:after="0" w:line="155" w:lineRule="exact"/>
        <w:rPr>
          <w:sz w:val="20"/>
          <w:szCs w:val="20"/>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Holdings Designation</w:t>
      </w:r>
      <w:r>
        <w:rPr>
          <w:rFonts w:ascii="Times New Roman" w:cs="Times New Roman" w:eastAsia="Times New Roman" w:hAnsi="Times New Roman"/>
          <w:sz w:val="18"/>
          <w:szCs w:val="18"/>
          <w:color w:val="auto"/>
        </w:rPr>
        <w:t>” means a written notice provided by the Issuers to the Trustee pursuant to which (a) the Issuers designate a Guarantor to be “Holdings” (which, following the effectiveness of such designation, shall be Successor Holdings) under this Indenture pursuant to a supplemental indenture, which will set forth the New Holdings Designation Effective Date, upon which all references to “Holdings” in this Indenture shall refer to Successor Holdings and Holdings immediately prior to the effectiveness of such designation shall be Prior Holdings, and (b) the Issuers certify that Successor Holdings shall own, directly or indirectly, all or substantially all of the assets and operations owned by Prior Holdings immediately before the effectiveness of such designation. On the New Holdings Designation Effective Date, Prior Holdings will no longer be “Holdings” under this Indenture but will continue to be a “Guarantor” unless and until such Guarantee is released in accordance with the terms of this Indenture.</w:t>
      </w:r>
    </w:p>
    <w:p>
      <w:pPr>
        <w:spacing w:after="0" w:line="18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Holdings Designation Effective Date</w:t>
      </w:r>
      <w:r>
        <w:rPr>
          <w:rFonts w:ascii="Times New Roman" w:cs="Times New Roman" w:eastAsia="Times New Roman" w:hAnsi="Times New Roman"/>
          <w:sz w:val="18"/>
          <w:szCs w:val="18"/>
          <w:color w:val="auto"/>
        </w:rPr>
        <w:t>” means the date on which a New Holdings Designation becomes effective for purposes of this Indenture.</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Non-Debt Fund Affiliate</w:t>
      </w:r>
      <w:r>
        <w:rPr>
          <w:rFonts w:ascii="Times New Roman" w:cs="Times New Roman" w:eastAsia="Times New Roman" w:hAnsi="Times New Roman"/>
          <w:sz w:val="18"/>
          <w:szCs w:val="18"/>
          <w:color w:val="auto"/>
        </w:rPr>
        <w:t>” means any Affiliate of Holdings other than (a) Holdings, the Issuer or any Subsidiary of the Issuer, (b) any Debt Fund Affiliates and (c) any natural person.</w:t>
      </w:r>
    </w:p>
    <w:p>
      <w:pPr>
        <w:spacing w:after="0" w:line="155"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Non-Financing Lease Obligation</w:t>
      </w:r>
      <w:r>
        <w:rPr>
          <w:rFonts w:ascii="Times New Roman" w:cs="Times New Roman" w:eastAsia="Times New Roman" w:hAnsi="Times New Roman"/>
          <w:sz w:val="18"/>
          <w:szCs w:val="18"/>
          <w:color w:val="auto"/>
        </w:rPr>
        <w:t>” means a lease obligation that is not required to be accounted for as a financing or capital lease on both the balance sheet and the income statement for financial reporting purposes in accordance with GAAP. For the avoidance of doubt, a straight-line or operating lease shall be considered a Non-Financing Lease Obligation.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Person</w:t>
      </w:r>
      <w:r>
        <w:rPr>
          <w:rFonts w:ascii="Times New Roman" w:cs="Times New Roman" w:eastAsia="Times New Roman" w:hAnsi="Times New Roman"/>
          <w:sz w:val="18"/>
          <w:szCs w:val="18"/>
          <w:color w:val="auto"/>
        </w:rPr>
        <w:t>” means a Person who is not a U.S. Person.</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means the Initial Notes and more particularly means any Note authenticated and delivered under this Indenture. Unless the context requires otherwise, all references to “Notes” for all purposes of this Indenture shall include any Additional Notes that are actually issued and authenticated. Each series of the Initial Notes issued by the Issuers and any Additional Notes of such series subsequently issued under this Indenture will be treated as a single class for all purposes under this Indenture, including waivers, amendments, redemptions and offers to purchase, except for certain waivers and amendments as set forth herein.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6" w:right="459" w:bottom="1440" w:gutter="0" w:footer="0" w:header="0"/>
        </w:sectPr>
      </w:pPr>
    </w:p>
    <w:bookmarkStart w:id="47" w:name="page48"/>
    <w:bookmarkEnd w:id="47"/>
    <w:p>
      <w:pPr>
        <w:ind w:right="7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Notes Collateral Agent</w:t>
      </w:r>
      <w:r>
        <w:rPr>
          <w:rFonts w:ascii="Times New Roman" w:cs="Times New Roman" w:eastAsia="Times New Roman" w:hAnsi="Times New Roman"/>
          <w:sz w:val="18"/>
          <w:szCs w:val="18"/>
          <w:color w:val="auto"/>
        </w:rPr>
        <w:t>” means Wilmington Trust, National Association, in its capacity as collateral agent for the holders of the Notes Obligations under the Security Documents and any successor pursuant to the provisions of this Indenture and the Security Documents.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 Obligations</w:t>
      </w:r>
      <w:r>
        <w:rPr>
          <w:rFonts w:ascii="Times New Roman" w:cs="Times New Roman" w:eastAsia="Times New Roman" w:hAnsi="Times New Roman"/>
          <w:sz w:val="18"/>
          <w:szCs w:val="18"/>
          <w:color w:val="auto"/>
        </w:rPr>
        <w:t>” means Obligations in respect of the Notes, this Indenture, the Guarantees and the Security Documents relating to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 Secured Parties</w:t>
      </w:r>
      <w:r>
        <w:rPr>
          <w:rFonts w:ascii="Times New Roman" w:cs="Times New Roman" w:eastAsia="Times New Roman" w:hAnsi="Times New Roman"/>
          <w:sz w:val="18"/>
          <w:szCs w:val="18"/>
          <w:color w:val="auto"/>
        </w:rPr>
        <w:t>” means the Trustee, the Notes Collateral Agent and the Holders of the Notes.</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any principal, interest (including any interest accruing on or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any Indebtedness.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means the offering memorandum, dated May 13, 2026, relating to the sale of the Initial Notes.</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Chairman of the Board, any member of the Board, the Chief Executive Officer, the Chief Financial Officer, the Chief Operating Officer, the President, any Co-President, Executive Vice President, Senior Vice President, Vice President, Co-Vice President or Assistant Vice President, the Treasurer, any Assistant Treasurer, the Controller, the Secretary, any Co-Secretary or Assistant Secretary, Corporate Secretary, Chief Legal Officer, General Counsel or any Manager of a Person or any other officer of such Person designated by any such individuals. Unless otherwise specified, reference to an “Officer” means an Officer of the Issuer.</w:t>
      </w:r>
    </w:p>
    <w:p>
      <w:pPr>
        <w:spacing w:after="0" w:line="179"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on behalf of a Person by an Officer of such Person. Unless otherwise specified, reference to an “Officer’s Certificate” means a certificate signed on behalf of the Issuer by an Officer of the Issuer.</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 written opinion (which opinion may be subject to customary assumptions and exclusions) from legal counsel who is reasonably acceptable to the Trustee. The counsel may be an employee of, or outside counsel to, the Issuer or a Guarantor.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means (a) with respect to the 2031 Notes, May 15, 2031, and (b) with respect to the 2033 Notes, April 15, 2033.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Documents</w:t>
      </w:r>
      <w:r>
        <w:rPr>
          <w:rFonts w:ascii="Times New Roman" w:cs="Times New Roman" w:eastAsia="Times New Roman" w:hAnsi="Times New Roman"/>
          <w:sz w:val="18"/>
          <w:szCs w:val="18"/>
          <w:color w:val="auto"/>
        </w:rPr>
        <w:t>” means the indenture, credit, guarantee and Security Documents governing the Pari Passu Obligations.</w:t>
      </w:r>
    </w:p>
    <w:p>
      <w:pPr>
        <w:spacing w:after="0" w:line="22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Intercreditor Agreement</w:t>
      </w:r>
      <w:r>
        <w:rPr>
          <w:rFonts w:ascii="Times New Roman" w:cs="Times New Roman" w:eastAsia="Times New Roman" w:hAnsi="Times New Roman"/>
          <w:sz w:val="18"/>
          <w:szCs w:val="18"/>
          <w:color w:val="auto"/>
        </w:rPr>
        <w:t>” means the intercreditor agreement, dated as of October 21, 2021 (as amended, restated, amended and restated, supplemented, renewed, replaced, refinanced or otherwise modified from time to time), by and among the Bank Collateral Agent, the Existing Notes Collateral Agent, the Issuers and the Guarantors, with respect to the Collateral, to which the Notes Collateral Agent shall become a party by joinder.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48" w:name="page49"/>
    <w:bookmarkEnd w:id="48"/>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Pari Passu Lien Priority</w:t>
      </w:r>
      <w:r>
        <w:rPr>
          <w:rFonts w:ascii="Times New Roman" w:cs="Times New Roman" w:eastAsia="Times New Roman" w:hAnsi="Times New Roman"/>
          <w:sz w:val="18"/>
          <w:szCs w:val="18"/>
          <w:color w:val="auto"/>
        </w:rPr>
        <w:t>” means, relative to specified Indebtedness, having equal Lien priority on specified Collateral and subject to the Pari Passu Intercreditor Agreement.</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Obligations</w:t>
      </w:r>
      <w:r>
        <w:rPr>
          <w:rFonts w:ascii="Times New Roman" w:cs="Times New Roman" w:eastAsia="Times New Roman" w:hAnsi="Times New Roman"/>
          <w:sz w:val="18"/>
          <w:szCs w:val="18"/>
          <w:color w:val="auto"/>
        </w:rPr>
        <w:t>” means, collectively, (1) the Senior Secured Credit Facility Obligations, (2) the Existing Pari Passu Notes Obligations, (3) the Notes Obligations and (4) each Series of Additional Pari Passu Obligations.</w:t>
      </w:r>
    </w:p>
    <w:p>
      <w:pPr>
        <w:spacing w:after="0" w:line="15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Secured Parties</w:t>
      </w:r>
      <w:r>
        <w:rPr>
          <w:rFonts w:ascii="Times New Roman" w:cs="Times New Roman" w:eastAsia="Times New Roman" w:hAnsi="Times New Roman"/>
          <w:sz w:val="18"/>
          <w:szCs w:val="18"/>
          <w:color w:val="auto"/>
        </w:rPr>
        <w:t>” means (1) the Senior Secured Credit Facility Secured Parties, (2) the Existing 3.875% Notes Secured Parties, (3) the Existing 6.250% Notes Secured Parties, (4) the Notes Secured Parties and (5) any Additional Pari Passu Secured Parties.</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Security Documents</w:t>
      </w:r>
      <w:r>
        <w:rPr>
          <w:rFonts w:ascii="Times New Roman" w:cs="Times New Roman" w:eastAsia="Times New Roman" w:hAnsi="Times New Roman"/>
          <w:sz w:val="18"/>
          <w:szCs w:val="18"/>
          <w:color w:val="auto"/>
        </w:rPr>
        <w:t>” means the Security Documents and any other agreement, document or instrument pursuant to which a Lien is granted or purported to be granted securing Pari Passu Obligations or under which rights or remedies with respect to such Liens are governed, in each case to the extent relating to the collateral securing the Pari Passu Obligations.</w:t>
      </w:r>
    </w:p>
    <w:p>
      <w:pPr>
        <w:spacing w:after="0" w:line="171"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with respect to the Depositary, a Person who has an account with the Depositary (and, with respect to DTC, shall include Euroclear and Clearstream).</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Acquiror</w:t>
      </w:r>
      <w:r>
        <w:rPr>
          <w:rFonts w:ascii="Times New Roman" w:cs="Times New Roman" w:eastAsia="Times New Roman" w:hAnsi="Times New Roman"/>
          <w:sz w:val="18"/>
          <w:szCs w:val="18"/>
          <w:color w:val="auto"/>
        </w:rPr>
        <w:t>” means any Person or group whose acquisition of beneficial ownership constitutes a Permitted Change of Control.</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Change of Control</w:t>
      </w:r>
      <w:r>
        <w:rPr>
          <w:rFonts w:ascii="Times New Roman" w:cs="Times New Roman" w:eastAsia="Times New Roman" w:hAnsi="Times New Roman"/>
          <w:sz w:val="18"/>
          <w:szCs w:val="18"/>
          <w:color w:val="auto"/>
        </w:rPr>
        <w:t>” means, with respect to any series of Notes, any Change of Control that does not constitute a Change of Control Triggering Event with respect to such series.</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Change of Control Costs</w:t>
      </w:r>
      <w:r>
        <w:rPr>
          <w:rFonts w:ascii="Times New Roman" w:cs="Times New Roman" w:eastAsia="Times New Roman" w:hAnsi="Times New Roman"/>
          <w:sz w:val="18"/>
          <w:szCs w:val="18"/>
          <w:color w:val="auto"/>
        </w:rPr>
        <w:t>” means all fees, costs and expenses incurred or payable by the Issuer (or any direct or indirect parent of the Issuer) or any of its Restricted Subsidiaries in connection with a Permitted Change of Control.</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Holders</w:t>
      </w:r>
      <w:r>
        <w:rPr>
          <w:rFonts w:ascii="Times New Roman" w:cs="Times New Roman" w:eastAsia="Times New Roman" w:hAnsi="Times New Roman"/>
          <w:sz w:val="18"/>
          <w:szCs w:val="18"/>
          <w:color w:val="auto"/>
        </w:rPr>
        <w:t xml:space="preserve">” means any of (i) each of the Investors, (ii) each of the Management Stockholders (including any Management Stockholders holding Equity Interests through an Equityholding Vehicle), (iii) any Person who is acting solely as an underwriter in connection with a public or private offering of Capital Stock of the Issuer or any of its direct or indirect parent companies, acting in such capacity, (iv) any group (within the meaning of Section 13(d)(3) or Section 14(d)(2) of the Exchange Act as in effect on the Issue Date) of which any of the foregoing, any Holding Company, Permitted Plan or any Person or group that becomes a Permitted Holder specified in the last sentence of this definition are members and any member of such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such group and without giving effect to the existence of such group or any other group, Persons referred to in subclauses (i) through (iv), collectively, have beneficial ownership of more than 50.0% of the total voting power of the Voting Stock of the Issuer or any of its direct or indirect parent companies held by such group, (v) any Holding Company and (vi) any Permitted Plan. Any Person or group whose acquisition of beneficial ownership constitutes (i) a Change of Control in respect of which a Change of Control Offer or Alternate Offer is made or waived in accordance with the requirements of this Indenture or (ii) a Permitted Change of Control will thereafter, together with its Affiliates, constitute an additional Permitted Holder.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66" w:right="459" w:bottom="1440" w:gutter="0" w:footer="0" w:header="0"/>
        </w:sectPr>
      </w:pPr>
    </w:p>
    <w:bookmarkStart w:id="49" w:name="page50"/>
    <w:bookmarkEnd w:id="4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IG Liens</w:t>
      </w:r>
      <w:r>
        <w:rPr>
          <w:rFonts w:ascii="Times New Roman" w:cs="Times New Roman" w:eastAsia="Times New Roman" w:hAnsi="Times New Roman"/>
          <w:sz w:val="18"/>
          <w:szCs w:val="18"/>
          <w:color w:val="auto"/>
        </w:rPr>
        <w:t>” means, with respect to any Person:</w:t>
      </w:r>
    </w:p>
    <w:p>
      <w:pPr>
        <w:spacing w:after="0" w:line="121" w:lineRule="exact"/>
        <w:rPr>
          <w:sz w:val="20"/>
          <w:szCs w:val="20"/>
          <w:color w:val="auto"/>
        </w:rPr>
      </w:pPr>
    </w:p>
    <w:p>
      <w:pPr>
        <w:ind w:left="4" w:right="40" w:firstLine="419"/>
        <w:spacing w:after="0" w:line="266" w:lineRule="auto"/>
        <w:tabs>
          <w:tab w:leader="none" w:pos="67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Collateral Release Date (after giving effect to the release of the Liens securing the Notes, the Notes Obligations and the Guarantees), other than Liens securing obligations in respect of Indebtedness and other Obligations pursuant to the Senior Secured Credit Facilities or any Senior ABL Credit Agreement;</w:t>
      </w:r>
    </w:p>
    <w:p>
      <w:pPr>
        <w:spacing w:after="0" w:line="6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Issuer or any Restricted Subsidiary;</w:t>
      </w:r>
    </w:p>
    <w:p>
      <w:pPr>
        <w:spacing w:after="0" w:line="117"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described in clauses (a), (b), (c), (d), (e), (f)(i), (h), (i), (k), (l), (m), (n), (p), (q), (s), (u) through (aa), (cc) through (gg), (kk), (ll),</w:t>
      </w:r>
    </w:p>
    <w:p>
      <w:pPr>
        <w:spacing w:after="0" w:line="2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(rr) and (uu) through (yy) of the definition of “Permitted Liens;”</w:t>
      </w:r>
    </w:p>
    <w:p>
      <w:pPr>
        <w:spacing w:after="0" w:line="98" w:lineRule="exact"/>
        <w:rPr>
          <w:rFonts w:ascii="Times New Roman" w:cs="Times New Roman" w:eastAsia="Times New Roman" w:hAnsi="Times New Roman"/>
          <w:sz w:val="18"/>
          <w:szCs w:val="18"/>
          <w:color w:val="auto"/>
        </w:rPr>
      </w:pPr>
    </w:p>
    <w:p>
      <w:pPr>
        <w:ind w:left="4" w:right="120" w:firstLine="419"/>
        <w:spacing w:after="0" w:line="276" w:lineRule="auto"/>
        <w:tabs>
          <w:tab w:leader="none" w:pos="681"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extension, renewal or replacement (including successive extensions, renewals and replacements), in whole or in part, of any Lien referred to in any of the foregoing clauses (a) through (c) that would not otherwise be permitted pursuant to any of such clauses, to the extent that</w:t>
      </w:r>
    </w:p>
    <w:p>
      <w:pPr>
        <w:ind w:left="4" w:right="20" w:hanging="4"/>
        <w:spacing w:after="0" w:line="252" w:lineRule="auto"/>
        <w:tabs>
          <w:tab w:leader="none" w:pos="2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Indebtedness secured thereby and not otherwise permitted to be secured pursuant to any of the foregoing clauses does not exceed the principal amount of Indebtedness, plus any premium or fee payable in connection with any such extension, renewal or replacement, so secured at the time of any such extension, renewal or replacement, except where the Indebtedness so secured at the time of any such extension, renewal or replacement was incurred for the sole purpose of financing a specific project; and (ii) the property that is subject to the Lien serving as an extension, renewal or replacement is limited to some or all of the property that was subject to the Lien so extended, renewed or replaced, plus improvements and construction on such assets; and</w:t>
      </w:r>
    </w:p>
    <w:p>
      <w:pPr>
        <w:spacing w:after="0" w:line="81"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67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Indebtedness and other Obligations permitted to be incurred under one or more Credit Facilities, including the Senior Secured Credit Facilities and any Senior ABL Credit Agreement and any letter of credit facility relating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immediately after giving effect to any such incurrence or issuance (including pro forma application of the net proceeds therefrom), the then outstanding aggregate principal amount of all Indebtedness secured by Liens permitted by this clause (e) does not exceed the greater of (i) $1,000.0 million and (ii) 30.0% of LTM EBITDA.</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with respect to any Person:</w:t>
      </w:r>
    </w:p>
    <w:p>
      <w:pPr>
        <w:spacing w:after="0" w:line="121" w:lineRule="exact"/>
        <w:rPr>
          <w:sz w:val="20"/>
          <w:szCs w:val="20"/>
          <w:color w:val="auto"/>
        </w:rPr>
      </w:pPr>
    </w:p>
    <w:p>
      <w:pPr>
        <w:ind w:left="4" w:firstLine="419"/>
        <w:spacing w:after="0" w:line="254" w:lineRule="auto"/>
        <w:tabs>
          <w:tab w:leader="none" w:pos="6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deposits or security by such Person under workmen’s compensation laws, unemployment insurance, employers’ health tax, and other social security laws or similar legislation or other insurance-related obligations (including, but not limited to, in respect of deductibles, self-insured retention amounts and premiums and adjustments thereto) or indemnification obligations of (including obligations in respect of letters of credit or bank guarantees for the benefit of) insurance carriers providing property, casualty or liability insurance,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 or consistent with past practice;</w:t>
      </w:r>
    </w:p>
    <w:p>
      <w:pPr>
        <w:spacing w:after="0" w:line="124"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84"/>
          </w:cols>
          <w:pgMar w:left="876" w:top="266" w:right="439" w:bottom="1440" w:gutter="0" w:footer="0" w:header="0"/>
        </w:sectPr>
      </w:pPr>
    </w:p>
    <w:bookmarkStart w:id="50" w:name="page51"/>
    <w:bookmarkEnd w:id="50"/>
    <w:p>
      <w:pPr>
        <w:ind w:left="4" w:right="40" w:firstLine="419"/>
        <w:spacing w:after="0" w:line="258" w:lineRule="auto"/>
        <w:tabs>
          <w:tab w:leader="none" w:pos="68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imposed by law, such as landlords’, carriers’, warehousemen’s, materialmen’s, repairmen’s, mechanics’ and other similar Liens, in each case for sums not yet overdue for a period of more than 60 days or, if more than 60 days overdue, that are unfiled and no other action has been taken to enforce such Lien or that are being contested in good faith by appropriate actions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75" w:lineRule="exact"/>
        <w:rPr>
          <w:rFonts w:ascii="Times New Roman" w:cs="Times New Roman" w:eastAsia="Times New Roman" w:hAnsi="Times New Roman"/>
          <w:sz w:val="18"/>
          <w:szCs w:val="18"/>
          <w:color w:val="auto"/>
        </w:rPr>
      </w:pPr>
    </w:p>
    <w:p>
      <w:pPr>
        <w:ind w:left="4" w:right="40" w:firstLine="419"/>
        <w:spacing w:after="0" w:line="261" w:lineRule="auto"/>
        <w:tabs>
          <w:tab w:leader="none" w:pos="67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(including any Lien imposed by any pension authority or similar Liens) not yet overdue for a period of more than 60 days or not yet payable or subject to penalties for nonpayment or which are being contested in good faith by appropriate actions diligently conducted, if adequate reserves with respect thereto are maintained on the books of such Person in accordance with GAAP;</w:t>
      </w:r>
    </w:p>
    <w:p>
      <w:pPr>
        <w:spacing w:after="0" w:line="71"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68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issuers of performance, surety, bid, indemnity, warranty, release, appeal or similar bonds or with respect to other regulatory requirements or letters of credit or bankers acceptances issued, and completion guarantees provided for, in each case, issued pursuant to the request of and for the account of such Person in the ordinary course of its business or consistent with past practice;</w:t>
      </w:r>
    </w:p>
    <w:p>
      <w:pPr>
        <w:spacing w:after="0" w:line="67"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 survey exceptions, minor encumbrances, ground leases, easements or reservations of, or rights of others for, licenses,</w:t>
      </w:r>
    </w:p>
    <w:p>
      <w:pPr>
        <w:spacing w:after="0" w:line="27"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rights-of-way, servitudes, sewers, electric lines, drains, telegraph, telephone and cable television lines and other similar purposes, or zoning, building codes or other restrictions (including minor defects and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interfere with the ordinary conduct of the business of the Issuer or any of its Restricted Subsidiaries, taken as a whole, and exceptions on title policies insuring Liens granted on any collateral;</w:t>
      </w:r>
    </w:p>
    <w:p>
      <w:pPr>
        <w:spacing w:after="0" w:line="79" w:lineRule="exact"/>
        <w:rPr>
          <w:sz w:val="20"/>
          <w:szCs w:val="20"/>
          <w:color w:val="auto"/>
        </w:rPr>
      </w:pPr>
    </w:p>
    <w:p>
      <w:pPr>
        <w:ind w:left="4" w:firstLine="419"/>
        <w:spacing w:after="0" w:line="252" w:lineRule="auto"/>
        <w:tabs>
          <w:tab w:leader="none" w:pos="65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relating to any of the following Indebtedness: (i) Indebtedness (including Financing Lease Obligations and Purchase Money Obligations), Disqualified Stock and Preferred Stock incurred or issued by the Issuer or any of its Restricted Subsidiaries to finance the purchase, lease, expansion, construction, development, installation, replacement, relocation, renewal, maintenance, upgrade, repair or improvement of property (real or personal), equipment or any other asset, whether through the direct purchase of assets or the Capital Stock of any Person owning such assets, in an aggregate principal amount not to exceed the sum of (A) the greater of (1) $1,500.0 million and (2) 40.0% of LTM EBITDA and (B) additional amounts (including at any time prior to the utilization of amounts under clause (A) above) so long as the Consolidated Pari Passu Debt Ratio, determined on a pro forma basis (treating all Indebtedness secured by Liens permitted by this clause (f)(i) as Pari Passu Obligations for such purpose), would have been equal to or less than 5.50 to 1.00 (in each case, determined at the date of incurrence or issuance on a pro forma basis (including a pro forma application of the net proceeds therefrom));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extend only to the assets so purchased, leased, expanded, constructed, installed, replaced, repaired or improved (plus improvements, accessions, proceeds or dividends or distributions in respect thereof, or replacements of any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individual financings of assets provided by one lender or group of lenders may be cross-collateralized to other financings of assets by such lender or group of lenders or their affiliates;</w:t>
      </w:r>
    </w:p>
    <w:p>
      <w:pPr>
        <w:spacing w:after="0" w:line="2" w:lineRule="exact"/>
        <w:rPr>
          <w:rFonts w:ascii="Times New Roman" w:cs="Times New Roman" w:eastAsia="Times New Roman" w:hAnsi="Times New Roman"/>
          <w:sz w:val="18"/>
          <w:szCs w:val="18"/>
          <w:color w:val="auto"/>
        </w:rPr>
      </w:pPr>
    </w:p>
    <w:p>
      <w:pPr>
        <w:jc w:val="both"/>
        <w:ind w:left="4" w:right="760" w:hanging="4"/>
        <w:spacing w:after="0" w:line="255" w:lineRule="auto"/>
        <w:tabs>
          <w:tab w:leader="none" w:pos="2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Issuer or a Restricted Subsidiary incurred or issued to finance an acquisition (or other purchase of assets) or Investment or (B) Indebtedness of Persons that are acquired by the Issuer or any Restricted Subsidiary or merged into or consolidated or amalgamated with the Issuer or a Restricted Subsidiary in</w:t>
      </w:r>
    </w:p>
    <w:p>
      <w:pPr>
        <w:spacing w:after="0" w:line="11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564"/>
          </w:cols>
          <w:pgMar w:left="876" w:top="270" w:right="459" w:bottom="1440" w:gutter="0" w:footer="0" w:header="0"/>
        </w:sectPr>
      </w:pPr>
    </w:p>
    <w:bookmarkStart w:id="51" w:name="page52"/>
    <w:bookmarkEnd w:id="51"/>
    <w:p>
      <w:pPr>
        <w:ind w:left="4" w:right="26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accordance with the terms of this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clauses (A) and (B), after giving effect to such transaction, acquisition, merger, amalgamation, consolidation or Investment, (1) the aggregate amount of such Indebtedness then outstanding and secured by Liens permitted by this subclause (1) does not exceed the greater of (x) $1,500.0 million and (y) 40.0% of LTM EBITDA at any time outstanding, or</w:t>
      </w:r>
    </w:p>
    <w:p>
      <w:pPr>
        <w:spacing w:after="0" w:line="1" w:lineRule="exact"/>
        <w:rPr>
          <w:sz w:val="20"/>
          <w:szCs w:val="20"/>
          <w:color w:val="auto"/>
        </w:rPr>
      </w:pPr>
    </w:p>
    <w:p>
      <w:pPr>
        <w:ind w:left="4" w:right="20" w:hanging="4"/>
        <w:spacing w:after="0" w:line="250" w:lineRule="auto"/>
        <w:tabs>
          <w:tab w:leader="none" w:pos="2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 the Fixed Charge Coverage Ratio on a consolidated basis of the Issuer and its Restricted Subsidiaries for the most recently ended four fiscal quarters for which internal financial statements are available immediately preceding the date on which such additional Indebtedness is incurred would have been at least 1.75 to 1.00, (x) the Fixed Charge Coverage Ratio for the Issuer and its Restricted Subsidiaries is equal to or greater than immediately prior to such acquisition, merger, amalgamation, consolidation or Investment, (y) the Consolidated Total Debt Ratio on a consolidated basis of the Issuer and its Restricted Subsidiaries for the most recently ended four full fiscal quarters for which internal financial statements are available immediately preceding the date on which such additional Indebtedness is incurred would have been equal to or less than</w:t>
      </w:r>
    </w:p>
    <w:p>
      <w:pPr>
        <w:spacing w:after="0" w:line="2" w:lineRule="exact"/>
        <w:rPr>
          <w:rFonts w:ascii="Times New Roman" w:cs="Times New Roman" w:eastAsia="Times New Roman" w:hAnsi="Times New Roman"/>
          <w:sz w:val="18"/>
          <w:szCs w:val="18"/>
          <w:color w:val="auto"/>
        </w:rPr>
      </w:pPr>
    </w:p>
    <w:p>
      <w:pPr>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6.75 to 1.00 or (z) the Consolidated Total Debt Ratio for the Issuer and its Restricted Subsidiaries is equal to or less than immediately prior to such acquisition, merger, amalgamation, consolidation or Investment, in the case of each of the foregoing clauses (w) through (z), determined on a pro forma basis (including a pro forma application of the net proceeds therefrom), as if the additional Indebtedness had been incurred and the application of proceeds therefrom had occurred at the beginning of such four-quarter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the foregoing clause (B), such Liens shall only be permitted if such Liens are limited to all or a part of the same property or assets, including Capital Stock acquired (plus improvements, accessions, proceeds or dividends or distributions in respect thereof, or replacements of any thereof), or of a Person acquired or merged or consolidated with or into the Issuer or any Restricted Subsidiary, in any transaction to which such Indebtedness relates;</w:t>
      </w:r>
    </w:p>
    <w:p>
      <w:pPr>
        <w:spacing w:after="0" w:line="2" w:lineRule="exact"/>
        <w:rPr>
          <w:rFonts w:ascii="Times New Roman" w:cs="Times New Roman" w:eastAsia="Times New Roman" w:hAnsi="Times New Roman"/>
          <w:sz w:val="18"/>
          <w:szCs w:val="18"/>
          <w:color w:val="auto"/>
        </w:rPr>
      </w:pPr>
    </w:p>
    <w:p>
      <w:pPr>
        <w:ind w:left="4"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(iii) Indebtedness of Restricted Subsidiaries of the Issuer that are not the Co-Issuer or Subsidiary Guarantors (A) pursuant to asset-based or working capital debt facilities to the extent non-recourse to the Issuers and the Subsidiary Guarantors and (B) otherwise in an aggregate principal amount which, when aggregated with the principal amount of all other Indebtedness then outstanding and secured by Liens permitted by this clause (f)(iii)(B), does not at any time outstanding exceed the greater of (1) $1,500.0 million and (2) 40.0% of LTM EBITDA (in each case, determined on the date of such incurrence);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shall only be permitted if such Liens extend only to the assets of Restricted Subsidiaries of the Issuer that are not the Co-Issuer or a Guarantor (plus improvements, accessions, proceeds or dividends or distributions in respect thereof, or replacements of any thereof); (iv) Indebtedness of Foreign Subsidiaries of the Issuer in an aggregate principal amount or liquidation preference, which, when aggregated with the principal amount of all other Indebtedness then outstanding and secured by Liens permitted by this clause (f)(iv), does not at any time outstanding exceed the greater of (A) $350.0 million and (B) 10.0% of the total assets of the Foreign Subsidiaries on a consolidated basis (in each case, determined on the date of such incurrence);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shall only be permitted if such Liens extend only to the assets of Restricted Subsidiaries of the Issuer that are not the Co-Issuer or a Guarantor (plus improvements, accessions, proceeds or dividends or distributions in respect thereof, or replacements of any thereof); and (v) Indebtedness to the seller of any business or assets permitted to be acquired by the Issuer or any Restricted Subsidiary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incurrence, the aggregate amount of Indebtedness then outstanding and secured by Liens permitted by this clause (f)(v) will not exceed the greater of (A) $360.0 million and (B) 10.0% of LTM EBITDA;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shall only be permitted if such Liens are limited to all or a part of the same property or assets, including Capital Stock acquired (plus improvements, accessions, proceeds or dividends or distributions in respect thereof, or replacements of any thereof), or of a Person acquired or merged or consolidated with or into the Issuer or any Restricted Subsidiary, in any transaction to which such Indebtedness relates;</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64"/>
          </w:cols>
          <w:pgMar w:left="876" w:top="268" w:right="459" w:bottom="1440" w:gutter="0" w:footer="0" w:header="0"/>
        </w:sectPr>
      </w:pPr>
    </w:p>
    <w:bookmarkStart w:id="52" w:name="page53"/>
    <w:bookmarkEnd w:id="52"/>
    <w:p>
      <w:pPr>
        <w:ind w:left="680" w:hanging="26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existing on the Issue Date (excluding Liens securing the Senior Secured Credit Facilities);</w:t>
      </w:r>
    </w:p>
    <w:p>
      <w:pPr>
        <w:spacing w:after="0" w:line="115" w:lineRule="exact"/>
        <w:rPr>
          <w:rFonts w:ascii="Times New Roman" w:cs="Times New Roman" w:eastAsia="Times New Roman" w:hAnsi="Times New Roman"/>
          <w:sz w:val="18"/>
          <w:szCs w:val="18"/>
          <w:color w:val="auto"/>
        </w:rPr>
      </w:pPr>
    </w:p>
    <w:p>
      <w:pPr>
        <w:ind w:right="100" w:firstLine="419"/>
        <w:spacing w:after="0" w:line="267" w:lineRule="auto"/>
        <w:tabs>
          <w:tab w:leader="none" w:pos="6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or shares of stock or other assets of a Person at the time such Person becomes a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are not created or incurred in connection with, or in contemplation of, such other Person becoming such a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such Liens may not extend to any other property or other assets owned by the Issuer or any of its Restricted Subsidiaries;</w:t>
      </w:r>
    </w:p>
    <w:p>
      <w:pPr>
        <w:spacing w:after="0" w:line="67" w:lineRule="exact"/>
        <w:rPr>
          <w:rFonts w:ascii="Times New Roman" w:cs="Times New Roman" w:eastAsia="Times New Roman" w:hAnsi="Times New Roman"/>
          <w:sz w:val="18"/>
          <w:szCs w:val="18"/>
          <w:color w:val="auto"/>
        </w:rPr>
      </w:pPr>
    </w:p>
    <w:p>
      <w:pPr>
        <w:ind w:right="20" w:firstLine="419"/>
        <w:spacing w:after="0" w:line="261" w:lineRule="auto"/>
        <w:tabs>
          <w:tab w:leader="none" w:pos="63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or other assets at the time the Issuer or a Restricted Subsidiary acquired the property or such other assets, including any acquisition by means of a merger, amalgamation or consolidation with or into the Issuer 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are not created or incurred in connection with, or in contemplation of, such acquisition, amalgamation, merger or consolidation;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Liens may not extend to any other property owned by the Issuer or any of its Restricted Subsidiaries;</w:t>
      </w:r>
    </w:p>
    <w:p>
      <w:pPr>
        <w:spacing w:after="0" w:line="71"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relating to any Indebtedness or other obligations of the Issuer or a Restricted Subsidiary owing to the Issuer or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Indebtedness or other obligations owing to a Restricted Subsidiary that is not an Issuer or a Subsidiary Guarantor, excluding any Indebtedness or other obligations incurred or issued in the ordinary course of business or consistent with past practice, is subordinated in right of payment (to the extent permitted by applicable law) to the Notes or the Guarantee of the Notes by such Subsidiary Guarantor, as applicable (for the avoidance of doubt, any such Indebtedness or other obligations owing to a Restricted Subsidiary that is not the Co-Issuer or a Subsidiary Guarantor shall be deemed to be expressly subordinated in right of payment to the Notes or the Guarantee of the Notes by such Subsidiary Guarantor, as applicable, unless the terms of such Indebtedness or other obligations expressly provide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any subsequent issuance or transfer of any Capital Stock or any other event which results in any such Restricted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ceasing to be a Restricted Subsidiary or any other subsequent transfer of any such Indebtedness or other obligations (except to the Issuer or a Restricted Subsidiary or any pledge of such Indebtedness or other obligations constituting a Permitted Lien) shall be deemed, in each case, to be an incurrence of such Indebtedness or other obligations (to the extent such Indebtedness or other obligations are then outstanding) not permitted by this clause (j);</w:t>
      </w:r>
    </w:p>
    <w:p>
      <w:pPr>
        <w:spacing w:after="0" w:line="8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(x) Hedging Obligations and (y) obligations in respect of Bank Products;</w:t>
      </w:r>
    </w:p>
    <w:p>
      <w:pPr>
        <w:spacing w:after="0" w:line="117" w:lineRule="exact"/>
        <w:rPr>
          <w:rFonts w:ascii="Times New Roman" w:cs="Times New Roman" w:eastAsia="Times New Roman" w:hAnsi="Times New Roman"/>
          <w:sz w:val="18"/>
          <w:szCs w:val="18"/>
          <w:color w:val="auto"/>
        </w:rPr>
      </w:pPr>
    </w:p>
    <w:p>
      <w:pPr>
        <w:ind w:right="120" w:firstLine="419"/>
        <w:spacing w:after="0" w:line="266" w:lineRule="auto"/>
        <w:tabs>
          <w:tab w:leader="none" w:pos="63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proceeds of any Person securing such Person’s accounts payable or similar trade obligations in respect of bankers’ acceptances or documentary letters of credit issued or created for the account of such Person to facilitate the purchase, shipment or storage of such inventory or other goods;</w:t>
      </w:r>
    </w:p>
    <w:p>
      <w:pPr>
        <w:spacing w:after="0" w:line="67" w:lineRule="exact"/>
        <w:rPr>
          <w:rFonts w:ascii="Times New Roman" w:cs="Times New Roman" w:eastAsia="Times New Roman" w:hAnsi="Times New Roman"/>
          <w:sz w:val="18"/>
          <w:szCs w:val="18"/>
          <w:color w:val="auto"/>
        </w:rPr>
      </w:pPr>
    </w:p>
    <w:p>
      <w:pPr>
        <w:ind w:right="100" w:firstLine="419"/>
        <w:spacing w:after="0" w:line="282" w:lineRule="auto"/>
        <w:tabs>
          <w:tab w:leader="none" w:pos="7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licenses or sub-licenses granted to others in the ordinary course of business or consistent with past practice which do not materially interfere with the ordinary conduct of the business of the Issuer or any of its Restricted Subsidiaries, taken as a whole;</w:t>
      </w:r>
    </w:p>
    <w:p>
      <w:pPr>
        <w:spacing w:after="0" w:line="53"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Uniform Commercial Code (or equivalent statute) financing statement filings regarding operating leases or consignments entered into by the Issuer and its Restricted Subsidiaries in the ordinary course of business or consistent with industry practice or purported Liens evidenced by the filing of precautionary Uniform Commercial Code (or equivalent statute) financing statements or similar public filings;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60"/>
          </w:cols>
          <w:pgMar w:left="880" w:top="270" w:right="459" w:bottom="1440" w:gutter="0" w:footer="0" w:header="0"/>
        </w:sectPr>
      </w:pPr>
    </w:p>
    <w:bookmarkStart w:id="53" w:name="page54"/>
    <w:bookmarkEnd w:id="53"/>
    <w:p>
      <w:pPr>
        <w:ind w:left="684" w:hanging="261"/>
        <w:spacing w:after="0"/>
        <w:tabs>
          <w:tab w:leader="none" w:pos="6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in favor of the Issuer or any Guarantor;</w:t>
      </w:r>
    </w:p>
    <w:p>
      <w:pPr>
        <w:spacing w:after="0" w:line="117" w:lineRule="exact"/>
        <w:rPr>
          <w:rFonts w:ascii="Times New Roman" w:cs="Times New Roman" w:eastAsia="Times New Roman" w:hAnsi="Times New Roman"/>
          <w:sz w:val="18"/>
          <w:szCs w:val="18"/>
          <w:color w:val="auto"/>
        </w:rPr>
      </w:pPr>
    </w:p>
    <w:p>
      <w:pPr>
        <w:ind w:left="4" w:right="100" w:firstLine="419"/>
        <w:spacing w:after="0" w:line="282" w:lineRule="auto"/>
        <w:tabs>
          <w:tab w:leader="none" w:pos="68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vehicles or equipment of the Issuer or any of its Restricted Subsidiaries granted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receivables, Securitization Assets and related assets incurred in connection with Qualified Securitization Facilities;</w:t>
      </w:r>
    </w:p>
    <w:p>
      <w:pPr>
        <w:spacing w:after="0" w:line="117" w:lineRule="exact"/>
        <w:rPr>
          <w:rFonts w:ascii="Times New Roman" w:cs="Times New Roman" w:eastAsia="Times New Roman" w:hAnsi="Times New Roman"/>
          <w:sz w:val="18"/>
          <w:szCs w:val="18"/>
          <w:color w:val="auto"/>
        </w:rPr>
      </w:pPr>
    </w:p>
    <w:p>
      <w:pPr>
        <w:ind w:left="4" w:firstLine="419"/>
        <w:spacing w:after="0" w:line="253" w:lineRule="auto"/>
        <w:tabs>
          <w:tab w:leader="none" w:pos="65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any modification, refinancing, refunding, restatement, exchange, extension, renewal or replacement (or successive refinancing, refunding, restatements, exchange, extensions, renewals or replacements) as a whole, or in part, of any Indebtedness secured by any Lien referred to in the foregoing clauses (f), (g), (h) and (i) above, this clause (r) and clauses (mm) and (qq)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new Lien shall be limited to all or a part of the same assets or the same categories or types of assets as the assets (plus improvements, accessions, proceeds or dividends or distributions in respect thereof, or replacements of any thereof) that secured the original Lien, and (ii) the Indebtedness secured by such Lien at such time is not increased to any amount greater than the sum of (A) the outstanding principal amount or, if greater, committed amount of the Indebtedness described under clauses (f), (g), (h) and (i) above, this clause (r) and clauses (mm) and (qq) below at the time the original Lien became a Permitted Lien under this Indenture, and (B) an amount necessary to pay any fees and expenses (including original issue discount, upfront fees or similar fees) and premiums (including tender premiums) and accrued and unpaid interest, related to such modification, refinancing, refunding, extension, renewal or replacement;</w:t>
      </w:r>
    </w:p>
    <w:p>
      <w:pPr>
        <w:spacing w:after="0" w:line="86"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made or other security provided in the ordinary course of business or consistent with past practice to secure liability to insurance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w:t>
      </w:r>
    </w:p>
    <w:p>
      <w:pPr>
        <w:spacing w:after="0" w:line="98"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64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in an aggregate principal amount outstanding which does not exceed the greater of (a) $1,800.0 million and (b) 50.0% of LTM EBITDA (in each case, determined as of the date of such incurrence);</w:t>
      </w:r>
    </w:p>
    <w:p>
      <w:pPr>
        <w:spacing w:after="0" w:line="53" w:lineRule="exact"/>
        <w:rPr>
          <w:rFonts w:ascii="Times New Roman" w:cs="Times New Roman" w:eastAsia="Times New Roman" w:hAnsi="Times New Roman"/>
          <w:sz w:val="18"/>
          <w:szCs w:val="18"/>
          <w:color w:val="auto"/>
        </w:rPr>
      </w:pPr>
    </w:p>
    <w:p>
      <w:pPr>
        <w:ind w:left="4" w:right="180" w:firstLine="419"/>
        <w:spacing w:after="0" w:line="282" w:lineRule="auto"/>
        <w:tabs>
          <w:tab w:leader="none" w:pos="68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given to a public utility or any municipality or governmental authority when required by such utility or authority in connection with the operations of that Person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judgments, awards, attachments or decrees for the payment of money not constituting an Event of Default under clause</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6.01(a) hereof;</w:t>
      </w:r>
    </w:p>
    <w:p>
      <w:pPr>
        <w:spacing w:after="0" w:line="98" w:lineRule="exact"/>
        <w:rPr>
          <w:rFonts w:ascii="Times New Roman" w:cs="Times New Roman" w:eastAsia="Times New Roman" w:hAnsi="Times New Roman"/>
          <w:sz w:val="18"/>
          <w:szCs w:val="18"/>
          <w:color w:val="auto"/>
        </w:rPr>
      </w:pPr>
    </w:p>
    <w:p>
      <w:pPr>
        <w:ind w:left="4" w:right="140" w:firstLine="419"/>
        <w:spacing w:after="0" w:line="282" w:lineRule="auto"/>
        <w:tabs>
          <w:tab w:leader="none" w:pos="72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68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arising under Section 4-210 of the Uniform Commercial Code or any comparable or successor provision on items in the course of collection, (ii) attaching to commodity trading accounts or other commodity brokerage accounts incurred in the ordinary course of business or consistent with past practice, and (iii) in favor of banking or other financial institutions arising as a matter of law or under general terms and conditions encumbering deposits or other funds maintained with a financial institution (including the right of set-off) and which are within the general parameters customary in the banking industry;</w:t>
      </w:r>
    </w:p>
    <w:p>
      <w:pPr>
        <w:spacing w:after="0" w:line="11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84"/>
          </w:cols>
          <w:pgMar w:left="876" w:top="270" w:right="439" w:bottom="1440" w:gutter="0" w:footer="0" w:header="0"/>
        </w:sectPr>
      </w:pPr>
    </w:p>
    <w:bookmarkStart w:id="54" w:name="page55"/>
    <w:bookmarkEnd w:id="54"/>
    <w:p>
      <w:pPr>
        <w:ind w:left="680" w:hanging="26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deemed to exist in connection with Investments in repurchase agreements;</w:t>
      </w:r>
    </w:p>
    <w:p>
      <w:pPr>
        <w:spacing w:after="0" w:line="117" w:lineRule="exact"/>
        <w:rPr>
          <w:rFonts w:ascii="Times New Roman" w:cs="Times New Roman" w:eastAsia="Times New Roman" w:hAnsi="Times New Roman"/>
          <w:sz w:val="18"/>
          <w:szCs w:val="18"/>
          <w:color w:val="auto"/>
        </w:rPr>
      </w:pPr>
    </w:p>
    <w:p>
      <w:pPr>
        <w:ind w:right="280" w:firstLine="419"/>
        <w:spacing w:after="0" w:line="282" w:lineRule="auto"/>
        <w:tabs>
          <w:tab w:leader="none" w:pos="66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reasonable customary deposits and margin deposits and similar Liens attaching to commodity trading accounts or other brokerage accounts incurred in the ordinary course of business or consistent with past practice and not for speculative purposes;</w:t>
      </w:r>
    </w:p>
    <w:p>
      <w:pPr>
        <w:spacing w:after="0" w:line="54" w:lineRule="exact"/>
        <w:rPr>
          <w:sz w:val="20"/>
          <w:szCs w:val="20"/>
          <w:color w:val="auto"/>
        </w:rPr>
      </w:pPr>
    </w:p>
    <w:p>
      <w:pPr>
        <w:ind w:right="60" w:firstLine="419"/>
        <w:spacing w:after="0" w:line="258" w:lineRule="auto"/>
        <w:tabs>
          <w:tab w:leader="none" w:pos="7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or netting or rights of pledge (i) relating to the establishment of depository relations with banks not given in connection with the issuance of Indebtedness, (ii) relating to pooled deposit or sweep accounts of the Issuer or any of its Restricted Subsidiaries to permit satisfaction of overdraft or similar obligations incurred in the ordinary course of business of the Issuer and its Restricted Subsidiaries or consistent with past practice or (iii) relating to purchase orders and other agreements entered into with customers of the Issuer or any of its Restricted Subsidiaries in the ordinary course of business or consistent with past practice;</w:t>
      </w:r>
    </w:p>
    <w:p>
      <w:pPr>
        <w:spacing w:after="0" w:line="75" w:lineRule="exact"/>
        <w:rPr>
          <w:rFonts w:ascii="Times New Roman" w:cs="Times New Roman" w:eastAsia="Times New Roman" w:hAnsi="Times New Roman"/>
          <w:sz w:val="18"/>
          <w:szCs w:val="18"/>
          <w:color w:val="auto"/>
        </w:rPr>
      </w:pPr>
    </w:p>
    <w:p>
      <w:pPr>
        <w:jc w:val="both"/>
        <w:ind w:right="100" w:firstLine="419"/>
        <w:spacing w:after="0" w:line="266" w:lineRule="auto"/>
        <w:tabs>
          <w:tab w:leader="none" w:pos="7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owed by the Issuer or any Restricted Subsidiary to any lender under the Senior Secured Credit Facilities or any Affiliate of such a lender in respect of any overdraft and related liabilities arising from treasury, depository and cash management services or any automated clearing house transfers of funds;</w:t>
      </w:r>
    </w:p>
    <w:p>
      <w:pPr>
        <w:spacing w:after="0" w:line="67" w:lineRule="exact"/>
        <w:rPr>
          <w:rFonts w:ascii="Times New Roman" w:cs="Times New Roman" w:eastAsia="Times New Roman" w:hAnsi="Times New Roman"/>
          <w:sz w:val="18"/>
          <w:szCs w:val="18"/>
          <w:color w:val="auto"/>
        </w:rPr>
      </w:pPr>
    </w:p>
    <w:p>
      <w:pPr>
        <w:ind w:right="120" w:firstLine="419"/>
        <w:spacing w:after="0" w:line="282" w:lineRule="auto"/>
        <w:tabs>
          <w:tab w:leader="none" w:pos="7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(including put and call arrangements, rights of first refusal, tag, drag and similar rights) with respect to Capital Stock of any joint venture, non-Wholly Owned Subsidiary or similar arrangement pursuant to any joint venture or similar agreement;</w:t>
      </w:r>
    </w:p>
    <w:p>
      <w:pPr>
        <w:spacing w:after="0" w:line="53" w:lineRule="exact"/>
        <w:rPr>
          <w:rFonts w:ascii="Times New Roman" w:cs="Times New Roman" w:eastAsia="Times New Roman" w:hAnsi="Times New Roman"/>
          <w:sz w:val="18"/>
          <w:szCs w:val="18"/>
          <w:color w:val="auto"/>
        </w:rPr>
      </w:pPr>
    </w:p>
    <w:p>
      <w:pPr>
        <w:ind w:right="80" w:firstLine="419"/>
        <w:spacing w:after="0" w:line="282" w:lineRule="auto"/>
        <w:tabs>
          <w:tab w:leader="none" w:pos="7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or purchase of goods entered into by the Issuer or any Restricted Subsidiary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7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the Issuer or any of its Restricted Subsidiaries in connection with any letter of intent or purchase agreement permitted by this Indenture;</w:t>
      </w:r>
    </w:p>
    <w:p>
      <w:pPr>
        <w:spacing w:after="0" w:line="53" w:lineRule="exact"/>
        <w:rPr>
          <w:rFonts w:ascii="Times New Roman" w:cs="Times New Roman" w:eastAsia="Times New Roman" w:hAnsi="Times New Roman"/>
          <w:sz w:val="18"/>
          <w:szCs w:val="18"/>
          <w:color w:val="auto"/>
        </w:rPr>
      </w:pPr>
    </w:p>
    <w:p>
      <w:pPr>
        <w:ind w:left="700" w:hanging="281"/>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the Issuer or any of its Subsidiaries are located;</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Capital Stock of an Unrestricted Subsidiary that secure Indebtedness or other obligations of such Unrestricted Subsidiary;</w:t>
      </w:r>
    </w:p>
    <w:p>
      <w:pPr>
        <w:spacing w:after="0" w:line="117" w:lineRule="exact"/>
        <w:rPr>
          <w:rFonts w:ascii="Times New Roman" w:cs="Times New Roman" w:eastAsia="Times New Roman" w:hAnsi="Times New Roman"/>
          <w:sz w:val="18"/>
          <w:szCs w:val="18"/>
          <w:color w:val="auto"/>
        </w:rPr>
      </w:pPr>
    </w:p>
    <w:p>
      <w:pPr>
        <w:ind w:right="220" w:firstLine="419"/>
        <w:spacing w:after="0" w:line="282" w:lineRule="auto"/>
        <w:tabs>
          <w:tab w:leader="none" w:pos="6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assets and Equity Interests of non-guarantor Restricted Subsidiaries securing Indebtedness of such Subsidiaries that were permitted by the terms of this Indenture to be incurred;</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40"/>
          </w:cols>
          <w:pgMar w:left="880" w:top="270" w:right="479" w:bottom="1440" w:gutter="0" w:footer="0" w:header="0"/>
        </w:sectPr>
      </w:pPr>
    </w:p>
    <w:bookmarkStart w:id="55" w:name="page56"/>
    <w:bookmarkEnd w:id="55"/>
    <w:p>
      <w:pPr>
        <w:ind w:left="4" w:right="80" w:firstLine="419"/>
        <w:spacing w:after="0" w:line="258" w:lineRule="auto"/>
        <w:tabs>
          <w:tab w:leader="none" w:pos="69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(i) cash advances or Cash Equivalents in favor of (x) the seller of any property to be acquired in an Investment permitted under this Indenture to be applied against the purchase price for such Investment or (y) the buyer of any property to be disposed of to secure obligations in respect of indemnification, termination fee or similar seller obligations and (ii) consisting of an agreement to dispose of any property in a disposition, in each case, solely to the extent such Investment or disposition, as the case may be, would have been permitted on the date of the creation of such Lien;</w:t>
      </w:r>
    </w:p>
    <w:p>
      <w:pPr>
        <w:spacing w:after="0" w:line="75" w:lineRule="exact"/>
        <w:rPr>
          <w:rFonts w:ascii="Times New Roman" w:cs="Times New Roman" w:eastAsia="Times New Roman" w:hAnsi="Times New Roman"/>
          <w:sz w:val="18"/>
          <w:szCs w:val="18"/>
          <w:color w:val="auto"/>
        </w:rPr>
      </w:pPr>
    </w:p>
    <w:p>
      <w:pPr>
        <w:ind w:left="4" w:right="60" w:firstLine="419"/>
        <w:spacing w:after="0" w:line="258" w:lineRule="auto"/>
        <w:tabs>
          <w:tab w:leader="none" w:pos="77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representing (i) any interest or title of a licensor, lessor or sublicensor or sublessor under any lease or license permitted by this Indenture, (ii) any Lien or restriction that the interest or title of such lessor, licensor, sublessor or sublicensor may be subject to, or (iii) the interest of a licensee, lessee, sublicensee or sublessee arising by virtue of being granted a license or lease permitted by this Indenture, or (iv) with respect to intellectual property, software and other technology licenses that is not material to the conduct of the business of the Issuer or its Restricted Subsidiaries, taken as a whole;</w:t>
      </w:r>
    </w:p>
    <w:p>
      <w:pPr>
        <w:spacing w:after="0" w:line="75" w:lineRule="exact"/>
        <w:rPr>
          <w:rFonts w:ascii="Times New Roman" w:cs="Times New Roman" w:eastAsia="Times New Roman" w:hAnsi="Times New Roman"/>
          <w:sz w:val="18"/>
          <w:szCs w:val="18"/>
          <w:color w:val="auto"/>
        </w:rPr>
      </w:pPr>
    </w:p>
    <w:p>
      <w:pPr>
        <w:ind w:left="4" w:right="200" w:firstLine="419"/>
        <w:spacing w:after="0" w:line="266" w:lineRule="auto"/>
        <w:tabs>
          <w:tab w:leader="none" w:pos="69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of cash with the owner or lessor of premises leased and operated by the Issuer or any of its Subsidiaries in the ordinary course of business of the Issuer and such Subsidiary or consistent with past practice to secure the performance of the Issuer’s or such Subsidiary’s obligations under the terms of the lease for such premises;</w:t>
      </w:r>
    </w:p>
    <w:p>
      <w:pPr>
        <w:spacing w:after="0" w:line="67" w:lineRule="exact"/>
        <w:rPr>
          <w:rFonts w:ascii="Times New Roman" w:cs="Times New Roman" w:eastAsia="Times New Roman" w:hAnsi="Times New Roman"/>
          <w:sz w:val="18"/>
          <w:szCs w:val="18"/>
          <w:color w:val="auto"/>
        </w:rPr>
      </w:pPr>
    </w:p>
    <w:p>
      <w:pPr>
        <w:ind w:left="4" w:firstLine="419"/>
        <w:spacing w:after="0" w:line="253" w:lineRule="auto"/>
        <w:tabs>
          <w:tab w:leader="none" w:pos="87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(including Liens securing any Obligations in respect thereof and including, without limitation, Indebtedness incurred under one or more Credit Facilities) so long as after giving pro forma effect to such incurrence and such Liens (x) if such Indebtedness is secured by the Collateral on a pari passu or crossing lien basis with the Liens securing the Notes, the Consolidated Pari Passu Debt Ratio would have been equal to or less than 5.50 to 1.00 or the Consolidated Pari Passu Debt Ratio is equal to or less than immediately prior to such incurrence and related transactions or (y) if such Indebtedness is secured by the Collateral on a junior lien basis to the Liens securing the Notes, either (i) the Consolidated Secured Debt Ratio would have been equal to or less than 6.50 to 1.00 or the Consolidated Secured Debt Ratio is equal to or less than immediately prior to such incurrence and any related transactions or (ii) the Fixed Charge Coverage Ratio on a consolidated basis of the Issuer and its Restricted Subsidiaries for the most recently ended four full fiscal quarters for which internal financial statements are available immediately preceding the date on which such additional Indebtedness is incurred would have been at least 1.75 to 1.00 or the Fixed Charge Coverage Ratio is equal to or greater than immediately prior to such incurrence and any related transactions;</w:t>
      </w:r>
    </w:p>
    <w:p>
      <w:pPr>
        <w:spacing w:after="0" w:line="86" w:lineRule="exact"/>
        <w:rPr>
          <w:rFonts w:ascii="Times New Roman" w:cs="Times New Roman" w:eastAsia="Times New Roman" w:hAnsi="Times New Roman"/>
          <w:sz w:val="18"/>
          <w:szCs w:val="18"/>
          <w:color w:val="auto"/>
        </w:rPr>
      </w:pPr>
    </w:p>
    <w:p>
      <w:pPr>
        <w:ind w:left="4" w:right="140" w:firstLine="419"/>
        <w:spacing w:after="0" w:line="270" w:lineRule="auto"/>
        <w:tabs>
          <w:tab w:leader="none" w:pos="77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securing obligations in respect of (1) Indebtedness and other Obligations permitted to be incurred under one or more Credit Facilities, including the Senior Secured Credit Facilities and any Senior ABL Credit Agreement and any letter of credit facility relating thereto;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immediately after giving effect to any such incurrence or issuance (including pro forma application of the net proceeds therefrom),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then outstanding aggregate principal amount of all Indebtedness secured by Liens permitted by this clause (nn)(1) does not exceed the sum of</w:t>
      </w:r>
    </w:p>
    <w:p>
      <w:pPr>
        <w:spacing w:after="0" w:line="2"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$8,770.0 million,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an amount equal to the greater of (I) $3,600.0 million and (II) 100.0% of LTM EBITDA,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(z) the greater of</w:t>
      </w:r>
    </w:p>
    <w:p>
      <w:pPr>
        <w:spacing w:after="0" w:line="9" w:lineRule="exact"/>
        <w:rPr>
          <w:rFonts w:ascii="Times New Roman" w:cs="Times New Roman" w:eastAsia="Times New Roman" w:hAnsi="Times New Roman"/>
          <w:sz w:val="18"/>
          <w:szCs w:val="18"/>
          <w:color w:val="auto"/>
        </w:rPr>
      </w:pPr>
    </w:p>
    <w:p>
      <w:pPr>
        <w:ind w:left="4" w:right="20" w:hanging="4"/>
        <w:spacing w:after="0" w:line="252" w:lineRule="auto"/>
        <w:tabs>
          <w:tab w:leader="none" w:pos="2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$2,000.0 million and (II) the Borrowing Base;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amounts permitted by this clause (nn)(1)(A)(z)(II) may only be incurred under a Senior ABL Credit Agreement, and (B) an additional amount after all amounts have been incurred under clause (nn)(1)(A)(x), if after giving pro forma effect to the incurrence of such additional amount (including a pro forma application of the net proceeds therefrom), (x) if such additional Indebtedness is secured by the Collateral on a pari passu or crossing lien basis with the Liens securing the Notes, the Consolidated Pari Passu Debt Ratio would have been equal to or less than 5.50 to 1.00 or the Consolidated Pari Passu Debt Ratio is equal to or less than immediately prior to such incurrence and any related transactions or (y) if such additional</w:t>
      </w:r>
    </w:p>
    <w:p>
      <w:pPr>
        <w:spacing w:after="0" w:line="122"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584"/>
          </w:cols>
          <w:pgMar w:left="876" w:top="270" w:right="439" w:bottom="1440" w:gutter="0" w:footer="0" w:header="0"/>
        </w:sectPr>
      </w:pPr>
    </w:p>
    <w:bookmarkStart w:id="56" w:name="page57"/>
    <w:bookmarkEnd w:id="56"/>
    <w:p>
      <w:pPr>
        <w:ind w:left="4" w:right="2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is secured by the Collateral on a junior lien basis to the Liens securing the Notes, either (i) the Consolidated Secured Debt Ratio would have been equal to or less than 6.50 to 1.00 or the Consolidated Secured Debt Ratio is equal to or less than immediately prior to such incurrence and any related transactions or (ii) the Fixed Charge Coverage Ratio on a consolidated basis of the Issuer and its Restricted Subsidiaries for the most recently ended four full fiscal quarters for which internal financial statements are available immediately preceding the date on which such additional Indebtedness is incurred or such Disqualified Stock or Preferred Stock is issued would have been at least 1.75 to 1.00 or the Fixed Charge Coverage Ratio is equal to or greater than immediately prior to such incurrence and any related transactions and</w:t>
      </w:r>
    </w:p>
    <w:p>
      <w:pPr>
        <w:spacing w:after="0" w:line="5" w:lineRule="exact"/>
        <w:rPr>
          <w:sz w:val="20"/>
          <w:szCs w:val="20"/>
          <w:color w:val="auto"/>
        </w:rPr>
      </w:pPr>
    </w:p>
    <w:p>
      <w:pPr>
        <w:ind w:left="264" w:hanging="264"/>
        <w:spacing w:after="0"/>
        <w:tabs>
          <w:tab w:leader="none" w:pos="2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the Issuer or any Subsidiary in respect of any Bank Product or Hedging Obligation;</w:t>
      </w:r>
    </w:p>
    <w:p>
      <w:pPr>
        <w:spacing w:after="0" w:line="98" w:lineRule="exact"/>
        <w:rPr>
          <w:rFonts w:ascii="Times New Roman" w:cs="Times New Roman" w:eastAsia="Times New Roman" w:hAnsi="Times New Roman"/>
          <w:sz w:val="18"/>
          <w:szCs w:val="18"/>
          <w:color w:val="auto"/>
        </w:rPr>
      </w:pPr>
    </w:p>
    <w:p>
      <w:pPr>
        <w:ind w:left="4" w:right="180" w:firstLine="419"/>
        <w:spacing w:after="0" w:line="282" w:lineRule="auto"/>
        <w:tabs>
          <w:tab w:leader="none" w:pos="77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deemed to arise in connection with and solely as a result of the execution, delivery or performance of contracts to sell such assets if such sale is otherwise permitted under this Indenture;</w:t>
      </w:r>
    </w:p>
    <w:p>
      <w:pPr>
        <w:spacing w:after="0" w:line="53"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77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funds or securities held in escrow accounts or similar arrangements established for the purpose of holding proceeds from issuances of debt securities or incurrences of other Indebtedness by the Issuer or any of its Restricted Subsidiaries issued after the Issue Date, together with any additional funds required in order to fund any payment of interest or premium or discount on such Indebtedness (or any costs related to the issuance or incurrence of such Indebtedness), mandatory redemption or sinking fund payment on such debt securities or other Indebtedness;</w:t>
      </w:r>
    </w:p>
    <w:p>
      <w:pPr>
        <w:spacing w:after="0" w:line="75"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77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Notes (other than any Additional Notes) and the related Guarantees and Liens securing the Existing Secured Notes and the related Guarantees thereof;</w:t>
      </w:r>
    </w:p>
    <w:p>
      <w:pPr>
        <w:spacing w:after="0" w:line="53" w:lineRule="exact"/>
        <w:rPr>
          <w:rFonts w:ascii="Times New Roman" w:cs="Times New Roman" w:eastAsia="Times New Roman" w:hAnsi="Times New Roman"/>
          <w:sz w:val="18"/>
          <w:szCs w:val="18"/>
          <w:color w:val="auto"/>
        </w:rPr>
      </w:pPr>
    </w:p>
    <w:p>
      <w:pPr>
        <w:ind w:left="704" w:hanging="281"/>
        <w:spacing w:after="0"/>
        <w:tabs>
          <w:tab w:leader="none" w:pos="70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securing any Indebtedness owed to any Captive Insurance Subsidiary by the Issuer or any Restricted Subsidiary;</w:t>
      </w:r>
    </w:p>
    <w:p>
      <w:pPr>
        <w:spacing w:after="0" w:line="117"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69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rights of dissenting equityholders pursuant to applicable law in respect of the 2021 Transactions, or any other acquisition or in connection with, or as a result of, their exercise of appraisal rights and the settlement of any claims or actions (whether actual, contingent or potential) with respect thereto (including any accrued interest);</w:t>
      </w:r>
    </w:p>
    <w:p>
      <w:pPr>
        <w:spacing w:after="0" w:line="67" w:lineRule="exact"/>
        <w:rPr>
          <w:rFonts w:ascii="Times New Roman" w:cs="Times New Roman" w:eastAsia="Times New Roman" w:hAnsi="Times New Roman"/>
          <w:sz w:val="18"/>
          <w:szCs w:val="18"/>
          <w:color w:val="auto"/>
        </w:rPr>
      </w:pPr>
    </w:p>
    <w:p>
      <w:pPr>
        <w:ind w:left="4" w:right="680" w:firstLine="419"/>
        <w:spacing w:after="0" w:line="282" w:lineRule="auto"/>
        <w:tabs>
          <w:tab w:leader="none" w:pos="77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vehicles or equipment of the Issuer or any of the Restricted Subsidiaries granted in the ordinary course of business or consistent with past practice or industry norm;</w:t>
      </w:r>
    </w:p>
    <w:p>
      <w:pPr>
        <w:spacing w:after="0" w:line="53" w:lineRule="exact"/>
        <w:rPr>
          <w:rFonts w:ascii="Times New Roman" w:cs="Times New Roman" w:eastAsia="Times New Roman" w:hAnsi="Times New Roman"/>
          <w:sz w:val="18"/>
          <w:szCs w:val="18"/>
          <w:color w:val="auto"/>
        </w:rPr>
      </w:pPr>
    </w:p>
    <w:p>
      <w:pPr>
        <w:ind w:left="4" w:firstLine="419"/>
        <w:spacing w:after="0" w:line="266" w:lineRule="auto"/>
        <w:tabs>
          <w:tab w:leader="none" w:pos="77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pursuant to a security agreement between the Issuer or any Restricted Subsidiary and a licensee of intellectual property to secure the damages, if any, of such licensee resulting from the rejection of the license of such licensee in a bankruptcy, reorganization or similar proceeding with respect to the Issuer or such Restricted Subsidiary;</w:t>
      </w:r>
    </w:p>
    <w:p>
      <w:pPr>
        <w:spacing w:after="0" w:line="67"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85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and Cash Equivalents arising in connection with the defeasance, satisfaction, discharge or redemption of Indebtedness, so long as such defeasance, satisfaction, discharge or redemption is not prohibited by the terms of this Indenture;</w:t>
      </w:r>
    </w:p>
    <w:p>
      <w:pPr>
        <w:spacing w:after="0" w:line="53" w:lineRule="exact"/>
        <w:rPr>
          <w:rFonts w:ascii="Times New Roman" w:cs="Times New Roman" w:eastAsia="Times New Roman" w:hAnsi="Times New Roman"/>
          <w:sz w:val="18"/>
          <w:szCs w:val="18"/>
          <w:color w:val="auto"/>
        </w:rPr>
      </w:pPr>
    </w:p>
    <w:p>
      <w:pPr>
        <w:ind w:left="4" w:right="560" w:firstLine="419"/>
        <w:spacing w:after="0" w:line="282" w:lineRule="auto"/>
        <w:tabs>
          <w:tab w:leader="none" w:pos="77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Liens granted in favor of a trustee to secure fees and other amounts owing to such trustee under an indenture or other agreement pursuant to which Indebtedness not prohibited by this Indenture is incurred;</w:t>
      </w:r>
    </w:p>
    <w:p>
      <w:pPr>
        <w:spacing w:after="0" w:line="9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44"/>
          </w:cols>
          <w:pgMar w:left="876" w:top="270" w:right="479" w:bottom="1440" w:gutter="0" w:footer="0" w:header="0"/>
        </w:sectPr>
      </w:pPr>
    </w:p>
    <w:bookmarkStart w:id="57" w:name="page58"/>
    <w:bookmarkEnd w:id="57"/>
    <w:p>
      <w:pPr>
        <w:ind w:left="440" w:right="320" w:firstLine="419"/>
        <w:spacing w:after="0" w:line="282" w:lineRule="auto"/>
        <w:tabs>
          <w:tab w:leader="none" w:pos="120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receivables and related assets including proceeds thereof being sold in factoring arrangements entered into in the ordinary course of business or consistent with past practice or industry norm; and</w:t>
      </w:r>
    </w:p>
    <w:p>
      <w:pPr>
        <w:spacing w:after="0" w:line="53" w:lineRule="exact"/>
        <w:rPr>
          <w:rFonts w:ascii="Times New Roman" w:cs="Times New Roman" w:eastAsia="Times New Roman" w:hAnsi="Times New Roman"/>
          <w:sz w:val="18"/>
          <w:szCs w:val="18"/>
          <w:color w:val="auto"/>
        </w:rPr>
      </w:pPr>
    </w:p>
    <w:p>
      <w:pPr>
        <w:ind w:left="440" w:right="800" w:firstLine="419"/>
        <w:spacing w:after="0" w:line="282" w:lineRule="auto"/>
        <w:tabs>
          <w:tab w:leader="none" w:pos="11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real property of the Issuer or any Restricted Subsidiary securing any Indebtedness in an aggregate principal amount outstanding which does not exceed the greater of (a) $900.0 million and (b) 25.0% of LTM EBITDA.</w:t>
      </w:r>
    </w:p>
    <w:p>
      <w:pPr>
        <w:spacing w:after="0" w:line="16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definition, the term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shall be deemed to include interest on such Indebtedness. In the event that a Permitted Lien meets the criteria of more than one of the types of Permitted Liens (at the time of incurrence or at a later date), the Issuer in its sole discretion may divide, classify or from time to time reclassify all or any portion of such Permitted Lien in any manner that complies with this Indenture and such Permitted Lien shall be treated as having been made pursuant only to the clause or clauses of the definition of “Permitted Lien” to which such Permitted Lien has been classified or reclassified.</w:t>
      </w:r>
    </w:p>
    <w:p>
      <w:pPr>
        <w:spacing w:after="0" w:line="18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For purposes of calculating the Fixed Charge Coverage Ratio, the Consolidated Pari Passu Debt Ratio, Consolidated Secured Debt Ratio or the Consolidated Total Debt Ratio, as applicable, in connection with the creation or incurrence of any Lien pursuant to the definition of “Permitted Liens,” the Issuer may elect, at its option, to treat all or any portion of the committed amount of any Indebtedness (and the issuance and creation of letters of credit and bankers’ acceptances thereunder) which is to be incurred (or any commitment in respect thereof) or secured by such Lien, as the case may be (any such committed amount elected until revoked as described below, the “</w:t>
      </w:r>
      <w:r>
        <w:rPr>
          <w:rFonts w:ascii="Times New Roman" w:cs="Times New Roman" w:eastAsia="Times New Roman" w:hAnsi="Times New Roman"/>
          <w:sz w:val="18"/>
          <w:szCs w:val="18"/>
          <w:b w:val="1"/>
          <w:bCs w:val="1"/>
          <w:color w:val="auto"/>
        </w:rPr>
        <w:t>Reserved Indebtedness Amount</w:t>
      </w:r>
      <w:r>
        <w:rPr>
          <w:rFonts w:ascii="Times New Roman" w:cs="Times New Roman" w:eastAsia="Times New Roman" w:hAnsi="Times New Roman"/>
          <w:sz w:val="18"/>
          <w:szCs w:val="18"/>
          <w:color w:val="auto"/>
        </w:rPr>
        <w:t xml:space="preserve">”), as being incurred as of such election date, and, if such Fixed Charge Coverage Ratio, Consolidated Pari Passu Debt Ratio, Consolidated Secured Debt Ratio or Consolidated Total Debt Ratio, as applicable, is satisfied with respect thereto on such election date, any subsequent borrowing or reborrowing thereunder (and the issuance and creation of letters of credit and bankers’ acceptances thereunder) will be deemed to be permitted under this definition of “Permitted Liens,” whether or not the Fixed Charge Coverage Ratio, the Consolidated Pari Passu Debt Ratio, Consolidated Secured Debt Ratio or the Consolidated Total Debt Ratio, as applicable, at the actual time of any subsequent borrowing or reborrowing (or issuance or creation of letters of credit or bankers’ acceptances thereunder) is met;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subsequent calculations of the Fixed Charge Coverage Ratio, the Consolidated Pari Passu Debt Ratio, the Consolidated Secured Debt Ratio or the Consolidated Total Debt Ratio, as applicable, the Reserved Indebtedness Amount shall be deemed to be outstanding, whether or not such amount is actually outstanding, for so long as such commitments are outstanding or until the Issuer revokes an election of a Reserved Indebtedness Amount.</w:t>
      </w:r>
    </w:p>
    <w:p>
      <w:pPr>
        <w:spacing w:after="0" w:line="193"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Plan</w:t>
      </w:r>
      <w:r>
        <w:rPr>
          <w:rFonts w:ascii="Times New Roman" w:cs="Times New Roman" w:eastAsia="Times New Roman" w:hAnsi="Times New Roman"/>
          <w:sz w:val="18"/>
          <w:szCs w:val="18"/>
          <w:color w:val="auto"/>
        </w:rPr>
        <w:t>” means any employee benefits plan of the Issuer or any of its Affiliates (including any Equityholding Vehicle) and any Person acting in its capacity as trustee, agent or other fiduciary or administrator of any such plan.</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limited liability company, partnership (including a limited partnership), joint venture, association, joint stock company, trust, unincorporated organization, government or any agency or political subdivision thereof or any other entity.</w:t>
      </w:r>
    </w:p>
    <w:p>
      <w:pPr>
        <w:spacing w:after="0" w:line="155"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Phantom Equity Plan</w:t>
      </w:r>
      <w:r>
        <w:rPr>
          <w:rFonts w:ascii="Times New Roman" w:cs="Times New Roman" w:eastAsia="Times New Roman" w:hAnsi="Times New Roman"/>
          <w:sz w:val="18"/>
          <w:szCs w:val="18"/>
          <w:color w:val="auto"/>
        </w:rPr>
        <w:t>” means the Medline Industries, Inc. Managing Partner Program effective April 1, 2018, as amended, modified or supplemented from time to time, inclusive of any awards and other agreements or letters issued in respect thereof.</w:t>
      </w:r>
    </w:p>
    <w:p>
      <w:pPr>
        <w:spacing w:after="0" w:line="155" w:lineRule="exact"/>
        <w:rPr>
          <w:sz w:val="20"/>
          <w:szCs w:val="20"/>
          <w:color w:val="auto"/>
        </w:rPr>
      </w:pPr>
    </w:p>
    <w:p>
      <w:pPr>
        <w:jc w:val="center"/>
        <w:ind w:left="600" w:right="280"/>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any Equity Interest with preferential rights of payment of dividends or upon liquidation, dissolution, or winding up. -48-</w:t>
      </w:r>
    </w:p>
    <w:p>
      <w:pPr>
        <w:sectPr>
          <w:pgSz w:w="11900" w:h="16838" w:orient="portrait"/>
          <w:cols w:equalWidth="0" w:num="1">
            <w:col w:w="10960"/>
          </w:cols>
          <w:pgMar w:left="440" w:top="270" w:right="499" w:bottom="1440" w:gutter="0" w:footer="0" w:header="0"/>
        </w:sectPr>
      </w:pPr>
    </w:p>
    <w:bookmarkStart w:id="58" w:name="page59"/>
    <w:bookmarkEnd w:id="5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primary obligations</w:t>
      </w:r>
      <w:r>
        <w:rPr>
          <w:rFonts w:ascii="Times New Roman" w:cs="Times New Roman" w:eastAsia="Times New Roman" w:hAnsi="Times New Roman"/>
          <w:sz w:val="18"/>
          <w:szCs w:val="18"/>
          <w:color w:val="auto"/>
        </w:rPr>
        <w:t>” has the meaning set forth in the definition of “Contingent Obligations.”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has the meaning set forth in the definition of “Contingent Obligations.”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Holdings</w:t>
      </w:r>
      <w:r>
        <w:rPr>
          <w:rFonts w:ascii="Times New Roman" w:cs="Times New Roman" w:eastAsia="Times New Roman" w:hAnsi="Times New Roman"/>
          <w:sz w:val="18"/>
          <w:szCs w:val="18"/>
          <w:color w:val="auto"/>
        </w:rPr>
        <w:t>” means any Holdings following designation of another Guarantor to be “Holdings” pursuant to a New Holdings Designation.</w:t>
      </w:r>
    </w:p>
    <w:p>
      <w:pPr>
        <w:spacing w:after="0" w:line="225" w:lineRule="exact"/>
        <w:rPr>
          <w:sz w:val="20"/>
          <w:szCs w:val="20"/>
          <w:color w:val="auto"/>
        </w:rPr>
      </w:pPr>
    </w:p>
    <w:p>
      <w:pPr>
        <w:ind w:right="40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Property</w:t>
      </w:r>
      <w:r>
        <w:rPr>
          <w:rFonts w:ascii="Times New Roman" w:cs="Times New Roman" w:eastAsia="Times New Roman" w:hAnsi="Times New Roman"/>
          <w:sz w:val="18"/>
          <w:szCs w:val="18"/>
          <w:color w:val="auto"/>
        </w:rPr>
        <w:t>” means any manufacturing plant, warehouse, office building or parcel of real property, including fixtures but excluding leases and other contract rights which might otherwise be deemed real property, owned or leased by the Issuer or any of its Restricted Subsidiaries, whether owned or leased on the date of this Indenture or thereafter acquired, that has a gross book value (determined in accordance with GAAP) in excess of 2% of the Consolidated Net Tangible Assets of the Issuer and its consolidated subsidiaries. Any manufacturing plant, warehouse, office building or parcel of real property or portion thereof which the Board of the Issuer or any parent entity determines in good faith is not of material importance to the business conducted by the Issuer and its subsidiaries taken as a whole will not be a Principal Property.</w:t>
      </w:r>
    </w:p>
    <w:p>
      <w:pPr>
        <w:spacing w:after="0" w:line="182"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Legend</w:t>
      </w:r>
      <w:r>
        <w:rPr>
          <w:rFonts w:ascii="Times New Roman" w:cs="Times New Roman" w:eastAsia="Times New Roman" w:hAnsi="Times New Roman"/>
          <w:sz w:val="18"/>
          <w:szCs w:val="18"/>
          <w:color w:val="auto"/>
        </w:rPr>
        <w:t>” means the legend set forth in Section 2.06(g)(i) hereof to be placed on all Notes issued under this Indenture, except where otherwise permitted by the provisions of this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has the meaning set forth in the Security Agreement.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means costs associated with or in anticipation of, or preparation for, compliance with the requirements of the Sarbanes-Oxley Act of 2002 and the rules and regulations promulgated in connection therewith, costs relating to compliance with the provisions of the Securities Act and the Exchange Act, as applicable to companies with equity or debt securities held by the public, and the rules of national securities exchanges, as applicable to companies with listed equity or debt securities, listing fees, independent directors’ compensation, fees and expense reimbursement, costs relating to investor relations (including any such costs in the form of investor relations employee compensation), shareholder meetings and reports to shareholders or debtholders, directors’ and officers’ insurance, legal and other professional fees and/or other costs or expenses, in each case, to the extent arising solely as a result of becoming or being a public company.</w:t>
      </w:r>
    </w:p>
    <w:p>
      <w:pPr>
        <w:spacing w:after="0" w:line="183"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Money Obligations</w:t>
      </w:r>
      <w:r>
        <w:rPr>
          <w:rFonts w:ascii="Times New Roman" w:cs="Times New Roman" w:eastAsia="Times New Roman" w:hAnsi="Times New Roman"/>
          <w:sz w:val="18"/>
          <w:szCs w:val="18"/>
          <w:color w:val="auto"/>
        </w:rPr>
        <w:t>” means any Indebtedness incurred to finance or refinance the acquisition, leasing, expansion, construction, development, installation, replacement, relocation, renewal, maintenance, upgrade, repair or improvement of property (real or personal), equipment or any other assets, and whether acquired through the direct acquisition of such property or assets, or otherwise (including through the purchase of Capital Stock of any Person owning such property or assets).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QIB</w:t>
      </w:r>
      <w:r>
        <w:rPr>
          <w:rFonts w:ascii="Times New Roman" w:cs="Times New Roman" w:eastAsia="Times New Roman" w:hAnsi="Times New Roman"/>
          <w:sz w:val="18"/>
          <w:szCs w:val="18"/>
          <w:color w:val="auto"/>
        </w:rPr>
        <w:t>” means a “qualified institutional buyer” as defined in Rule 144A.</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Securitization Facility</w:t>
      </w:r>
      <w:r>
        <w:rPr>
          <w:rFonts w:ascii="Times New Roman" w:cs="Times New Roman" w:eastAsia="Times New Roman" w:hAnsi="Times New Roman"/>
          <w:sz w:val="18"/>
          <w:szCs w:val="18"/>
          <w:color w:val="auto"/>
        </w:rPr>
        <w:t>” means any Securitization Facility (i) constituting a securitization financing facility that meets the following conditions: (A) the Board or management of the Issuer or any direct or indirect parent entity shall have determined in good faith that such Securitization Facility is in the aggregate economically fair and reasonable to the Issuer, and (B) all sales and/or contributions of Securitization Assets and related assets to the applicable Securitization Subsidiary are made at fair market value (as determined in good faith by the Issuer) or (ii) constituting a receivables or payables financing or factoring facility.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66" w:right="479" w:bottom="1440" w:gutter="0" w:footer="0" w:header="0"/>
        </w:sectPr>
      </w:pPr>
    </w:p>
    <w:bookmarkStart w:id="59" w:name="page60"/>
    <w:bookmarkEnd w:id="59"/>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Rating Agencies</w:t>
      </w:r>
      <w:r>
        <w:rPr>
          <w:rFonts w:ascii="Times New Roman" w:cs="Times New Roman" w:eastAsia="Times New Roman" w:hAnsi="Times New Roman"/>
          <w:sz w:val="18"/>
          <w:szCs w:val="18"/>
          <w:color w:val="auto"/>
        </w:rPr>
        <w:t>” means Fitch, Moody’s and S&amp;P, or if any of Fitch, Moody’s or S&amp;P shall not make a rating on the Notes publicly available, a nationally recognized statistical rating agency or agencies, as the case may be, selected by the Issuer which shall be substituted for Fitch, Moody’s or S&amp;P, as the case may be.</w:t>
      </w:r>
    </w:p>
    <w:p>
      <w:pPr>
        <w:spacing w:after="0" w:line="171"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Ratings Decline Period</w:t>
      </w:r>
      <w:r>
        <w:rPr>
          <w:rFonts w:ascii="Times New Roman" w:cs="Times New Roman" w:eastAsia="Times New Roman" w:hAnsi="Times New Roman"/>
          <w:sz w:val="18"/>
          <w:szCs w:val="18"/>
          <w:color w:val="auto"/>
        </w:rPr>
        <w:t>” means, with respect to any Change of Control, the period of 60 calendar days that begins on the earlier of (a) the date of the first public announcement of such Change of Control or of the Issuer’s intention to effect such Change of Control or (b) the occurrence of such Change of Control; provided, however, that such period shall be extended for so long as any Rating Agency rating such series of Notes as of the beginning of the Ratings Decline Period has publicly announced during the Ratings Decline Period that the rating of such series of Notes is under consideration for downgrade by such Rating Agency.</w:t>
      </w:r>
    </w:p>
    <w:p>
      <w:pPr>
        <w:spacing w:after="0" w:line="179"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for the interest payable on any applicable Interest Payment Date, the June 1 and December 1 (whether or not a Business Day) immediately preceding such Interest Payment Date.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 Global Note</w:t>
      </w:r>
      <w:r>
        <w:rPr>
          <w:rFonts w:ascii="Times New Roman" w:cs="Times New Roman" w:eastAsia="Times New Roman" w:hAnsi="Times New Roman"/>
          <w:sz w:val="18"/>
          <w:szCs w:val="18"/>
          <w:color w:val="auto"/>
        </w:rPr>
        <w:t>” means a Regulation S Temporary Global Note or Regulation S Permanent Global Note, as applicable.</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 Permanent Global Note</w:t>
      </w:r>
      <w:r>
        <w:rPr>
          <w:rFonts w:ascii="Times New Roman" w:cs="Times New Roman" w:eastAsia="Times New Roman" w:hAnsi="Times New Roman"/>
          <w:sz w:val="18"/>
          <w:szCs w:val="18"/>
          <w:color w:val="auto"/>
        </w:rPr>
        <w:t xml:space="preserve">” means a permanent Global Note,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for the 2031 Notes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hereto for the 2033 Notes, in each case, bearing the Global Note Legend and the Private Placement Legend and deposited with or on behalf of, and registered in the name of, the applicable Depositary or its nominee, issued in a denomination equal to the outstanding principal amount of the Regulation S Temporary Global Note upon expiration of the applicable Restricted Period.</w:t>
      </w:r>
    </w:p>
    <w:p>
      <w:pPr>
        <w:spacing w:after="0" w:line="176"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 Temporary Global Note</w:t>
      </w:r>
      <w:r>
        <w:rPr>
          <w:rFonts w:ascii="Times New Roman" w:cs="Times New Roman" w:eastAsia="Times New Roman" w:hAnsi="Times New Roman"/>
          <w:sz w:val="18"/>
          <w:szCs w:val="18"/>
          <w:color w:val="auto"/>
        </w:rPr>
        <w:t xml:space="preserve">” means a temporary Global Note,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for the 2031 Notes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hereto for the 2033 Notes, in each case, bearing the Global Note Legend, and the Private Placement Legend and the Regulation S Temporary Global Note Legend and deposited with or on behalf of, and registered in the name of, the applicable Depositary or its nominee, issued in a denomination equal to the outstanding principal amount of the Notes initially sold in reliance on Rule 903.</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 Temporary Global Note Legend</w:t>
      </w:r>
      <w:r>
        <w:rPr>
          <w:rFonts w:ascii="Times New Roman" w:cs="Times New Roman" w:eastAsia="Times New Roman" w:hAnsi="Times New Roman"/>
          <w:sz w:val="18"/>
          <w:szCs w:val="18"/>
          <w:color w:val="auto"/>
        </w:rPr>
        <w:t>” means the legend set forth in Section 2.06(g)(iii) hereof.</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the Holders of a majority in principal amount of all the then outstanding Notes; provided that to the same extent set forth in Section 9.02 with respect to the determination of Required Holders, the Notes held or beneficially owned by any Affiliated Holder shall in each case be excluded for purposes of making a determination of Required Holders.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 Indebtedness Amount</w:t>
      </w:r>
      <w:r>
        <w:rPr>
          <w:rFonts w:ascii="Times New Roman" w:cs="Times New Roman" w:eastAsia="Times New Roman" w:hAnsi="Times New Roman"/>
          <w:sz w:val="18"/>
          <w:szCs w:val="18"/>
          <w:color w:val="auto"/>
        </w:rPr>
        <w:t>” has the meaning set forth in the definition of “Permitted Liens.”</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when used with respect to the Trustee or Notes Collateral Agent, any officer within the corporate trust department of the Trustee or Notes Collateral Agent, as applicable, including any managing director, director, vice president, assistant vice president, assistant secretary, associate assistant treasurer, trust officer or any other officer of the Trustee or Notes Collateral Agent, as applicable, who customarily performs functions similar to those performed by the Persons who at the time shall be such officers, respectively, or to whom any corporate trust matter is referred because of such Person’s knowledge of and familiarity with the particular subject and, in each case, who shall have direct responsibility for the administration of this Indenture.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66" w:right="439" w:bottom="1440" w:gutter="0" w:footer="0" w:header="0"/>
        </w:sectPr>
      </w:pPr>
    </w:p>
    <w:bookmarkStart w:id="60" w:name="page61"/>
    <w:bookmarkEnd w:id="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Restricted Definitive Note</w:t>
      </w:r>
      <w:r>
        <w:rPr>
          <w:rFonts w:ascii="Times New Roman" w:cs="Times New Roman" w:eastAsia="Times New Roman" w:hAnsi="Times New Roman"/>
          <w:sz w:val="18"/>
          <w:szCs w:val="18"/>
          <w:color w:val="auto"/>
        </w:rPr>
        <w:t>” means, a Definitive Note bearing, or that is required to bear, the Private Placement Legend.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Global Note</w:t>
      </w:r>
      <w:r>
        <w:rPr>
          <w:rFonts w:ascii="Times New Roman" w:cs="Times New Roman" w:eastAsia="Times New Roman" w:hAnsi="Times New Roman"/>
          <w:sz w:val="18"/>
          <w:szCs w:val="18"/>
          <w:color w:val="auto"/>
        </w:rPr>
        <w:t>” means a Global Note bearing, or that is required to bear, the Private Placement Legend.</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means, in respect of any Note issued under Regulation S, the 40-day distribution compliance period as defined in Regulation S applicable to such Note.</w:t>
      </w:r>
    </w:p>
    <w:p>
      <w:pPr>
        <w:spacing w:after="0" w:line="15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xml:space="preserve">” means, with respect to any Person, at any time, any direct or indirect Subsidiary of such Person (including any Foreign Subsidiary) that is not then an Unrestricted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an Unrestricted Subsidiary ceasing to be an Unrestricted Subsidiary, such Subsidiary shall be included in the definition of “</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Unless the context otherwise requires, any references to Restricted Subsidiary refer to a Restricted Subsidiary of the Issuer.</w:t>
      </w:r>
    </w:p>
    <w:p>
      <w:pPr>
        <w:spacing w:after="0" w:line="176"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Return</w:t>
      </w:r>
      <w:r>
        <w:rPr>
          <w:rFonts w:ascii="Times New Roman" w:cs="Times New Roman" w:eastAsia="Times New Roman" w:hAnsi="Times New Roman"/>
          <w:sz w:val="18"/>
          <w:szCs w:val="18"/>
          <w:color w:val="auto"/>
        </w:rPr>
        <w:t>” means, with respect to any Investment, any dividend, distribution, interest, fee, premium, return of capital, repayment of principal, income, profit (from a disposition or otherwise) and any other similar amount received or realized in respect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903</w:t>
      </w:r>
      <w:r>
        <w:rPr>
          <w:rFonts w:ascii="Times New Roman" w:cs="Times New Roman" w:eastAsia="Times New Roman" w:hAnsi="Times New Roman"/>
          <w:sz w:val="18"/>
          <w:szCs w:val="18"/>
          <w:color w:val="auto"/>
        </w:rPr>
        <w:t>” means Rule 903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904</w:t>
      </w:r>
      <w:r>
        <w:rPr>
          <w:rFonts w:ascii="Times New Roman" w:cs="Times New Roman" w:eastAsia="Times New Roman" w:hAnsi="Times New Roman"/>
          <w:sz w:val="18"/>
          <w:szCs w:val="18"/>
          <w:color w:val="auto"/>
        </w:rPr>
        <w:t>” means Rule 904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S&amp;P</w:t>
      </w:r>
      <w:r>
        <w:rPr>
          <w:rFonts w:ascii="Times New Roman" w:cs="Times New Roman" w:eastAsia="Times New Roman" w:hAnsi="Times New Roman"/>
          <w:sz w:val="17"/>
          <w:szCs w:val="17"/>
          <w:color w:val="auto"/>
        </w:rPr>
        <w:t>” means S&amp;P Global Ratings, a business unit of Standard &amp; Poor’s Financial Services LLC, and any successor to its rating agency business.</w:t>
      </w:r>
    </w:p>
    <w:p>
      <w:pPr>
        <w:spacing w:after="0" w:line="237"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and Lease-Back Transaction</w:t>
      </w:r>
      <w:r>
        <w:rPr>
          <w:rFonts w:ascii="Times New Roman" w:cs="Times New Roman" w:eastAsia="Times New Roman" w:hAnsi="Times New Roman"/>
          <w:sz w:val="18"/>
          <w:szCs w:val="18"/>
          <w:color w:val="auto"/>
        </w:rPr>
        <w:t>” means any arrangement providing for the leasing (or similar arrangement) by the Issuer or any of its Restricted Subsidiaries of any Principal Property, which Principal Property has been or is to be sold or transferred by the Issuer or such Restricted Subsidiary to a third Person in contemplation of such leasing (or similar arrangement); provided that any leasing arrangement by any entity other than the Issuer or a Restricted Subsidiary shall not constitute a Sale and Lease-Back Transaction.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 or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Assets</w:t>
      </w:r>
      <w:r>
        <w:rPr>
          <w:rFonts w:ascii="Times New Roman" w:cs="Times New Roman" w:eastAsia="Times New Roman" w:hAnsi="Times New Roman"/>
          <w:sz w:val="18"/>
          <w:szCs w:val="18"/>
          <w:color w:val="auto"/>
        </w:rPr>
        <w:t>” means the accounts receivable, royalty or other revenue streams and other rights to payment and any other assets subject to a Qualified Securitization Facility and the proceeds thereof.</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60"/>
          </w:cols>
          <w:pgMar w:left="440" w:top="266" w:right="499" w:bottom="1440" w:gutter="0" w:footer="0" w:header="0"/>
        </w:sectPr>
      </w:pPr>
    </w:p>
    <w:bookmarkStart w:id="61" w:name="page62"/>
    <w:bookmarkEnd w:id="61"/>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Securitization Facility</w:t>
      </w:r>
      <w:r>
        <w:rPr>
          <w:rFonts w:ascii="Times New Roman" w:cs="Times New Roman" w:eastAsia="Times New Roman" w:hAnsi="Times New Roman"/>
          <w:sz w:val="18"/>
          <w:szCs w:val="18"/>
          <w:color w:val="auto"/>
        </w:rPr>
        <w:t>” means any of one or more receivables, factoring or securitization financing facilities as amended, supplemented, modified, extended, renewed, restated or refunded from time to time, the obligations of which are non-recourse (except for customary representations, warranties, covenants and indemnities made in connection with such facilities) to the Issuer or any of its Restricted Subsidiaries (other than a Securitization Subsidiary) pursuant to which the Issuer or any of its Restricted Subsidiaries sells or grants a security interest in its accounts receivable, payables or Securitization Assets or assets related thereto to either (a) a Person that is not a Restricted Subsidiary or (b) a Securitization Subsidiary that in turn sells its accounts receivable, payable or Securitization Assets or assets related thereto to a Person that is not a Restricted Subsidiary.</w:t>
      </w:r>
    </w:p>
    <w:p>
      <w:pPr>
        <w:spacing w:after="0" w:line="182" w:lineRule="exact"/>
        <w:rPr>
          <w:sz w:val="20"/>
          <w:szCs w:val="20"/>
          <w:color w:val="auto"/>
        </w:rPr>
      </w:pPr>
    </w:p>
    <w:p>
      <w:pPr>
        <w:ind w:right="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Securitization Fees</w:t>
      </w:r>
      <w:r>
        <w:rPr>
          <w:rFonts w:ascii="Times New Roman" w:cs="Times New Roman" w:eastAsia="Times New Roman" w:hAnsi="Times New Roman"/>
          <w:sz w:val="17"/>
          <w:szCs w:val="17"/>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spacing w:after="0" w:line="132" w:lineRule="exact"/>
        <w:rPr>
          <w:sz w:val="20"/>
          <w:szCs w:val="20"/>
          <w:color w:val="auto"/>
        </w:rPr>
      </w:pPr>
    </w:p>
    <w:p>
      <w:pPr>
        <w:ind w:right="9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Subsidiary</w:t>
      </w:r>
      <w:r>
        <w:rPr>
          <w:rFonts w:ascii="Times New Roman" w:cs="Times New Roman" w:eastAsia="Times New Roman" w:hAnsi="Times New Roman"/>
          <w:sz w:val="18"/>
          <w:szCs w:val="18"/>
          <w:color w:val="auto"/>
        </w:rPr>
        <w:t>” means any Subsidiary formed for the purpose of, and that solely engages only in one or more Qualified Securitization Facilities and other activities reasonably related thereto.</w:t>
      </w:r>
    </w:p>
    <w:p>
      <w:pPr>
        <w:spacing w:after="0" w:line="15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means that certain Security Agreement, dated as of the Issue Date, among the Issuers, the Guarantors and the Notes Collateral Agent.</w:t>
      </w:r>
    </w:p>
    <w:p>
      <w:pPr>
        <w:spacing w:after="0" w:line="15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Documents</w:t>
      </w:r>
      <w:r>
        <w:rPr>
          <w:rFonts w:ascii="Times New Roman" w:cs="Times New Roman" w:eastAsia="Times New Roman" w:hAnsi="Times New Roman"/>
          <w:sz w:val="18"/>
          <w:szCs w:val="18"/>
          <w:color w:val="auto"/>
        </w:rPr>
        <w:t>” means, collectively, the Pari Passu Intercreditor Agreement, the Security Agreement, any ABL/Fixed Asset Intercreditor Agreement, any Junior Lien Intercreditor Agreement, other security or intercreditor agreements relating to the Collateral (including, without limitation, financing statements under the Uniform Commercial Code of the relevant states applicable to the Collateral), each for the benefit of the Notes Collateral Agent, as amended, amended and restated, modified, renewed or replaced from time to time.</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ABL Credit Agreement</w:t>
      </w:r>
      <w:r>
        <w:rPr>
          <w:rFonts w:ascii="Times New Roman" w:cs="Times New Roman" w:eastAsia="Times New Roman" w:hAnsi="Times New Roman"/>
          <w:sz w:val="18"/>
          <w:szCs w:val="18"/>
          <w:color w:val="auto"/>
        </w:rPr>
        <w:t>” means a credit agreement under which the Issuer or the Guarantors incur Senior ABL Revolving Credit Obligations, including, in each case, any related notes, guarantees, collateral documents, instruments and agreements executed in connection therewith, and any appendices, exhibits, annexes or schedules to any of the foregoing (as the same may be in effect from time to time) and any amendments, supplements, modifications, extensions, renewals, restatements, refundings, exchanges or refinancings thereof (whether with the original agents and lenders or other agents or lenders or otherwise, and whether provided under the original credit agreement or other credit agreements or otherwise) and any indentures or credit facilities or commercial paper facilities with banks or other institutional lenders or investors that extend, replace, refund, renew, defense, exchange or refinance any part of the loans, notes, other credit facilities or commitments thereunder, including any such replacement, refunding, exchange or refinancing facility or indenture that increases the amount borrowable thereunder or alters the maturity thereof (provided that such increase in borrowings is permitted under this Indenture).</w:t>
      </w:r>
    </w:p>
    <w:p>
      <w:pPr>
        <w:spacing w:after="0" w:line="188"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ABL Credit Agreement Collateral Agent</w:t>
      </w:r>
      <w:r>
        <w:rPr>
          <w:rFonts w:ascii="Times New Roman" w:cs="Times New Roman" w:eastAsia="Times New Roman" w:hAnsi="Times New Roman"/>
          <w:sz w:val="18"/>
          <w:szCs w:val="18"/>
          <w:color w:val="auto"/>
        </w:rPr>
        <w:t>” means the collateral agent for the lenders and other secured parties under the Senior ABL Credit Agreement, together with its successors and permitted assigns under the Senior ABL Credit Agreement.</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ABL Revolving Credit Obligations</w:t>
      </w:r>
      <w:r>
        <w:rPr>
          <w:rFonts w:ascii="Times New Roman" w:cs="Times New Roman" w:eastAsia="Times New Roman" w:hAnsi="Times New Roman"/>
          <w:sz w:val="18"/>
          <w:szCs w:val="18"/>
          <w:color w:val="auto"/>
        </w:rPr>
        <w:t xml:space="preserve">” means the Obligations with respect to Indebtedness permitted to be incurred under this Indenture, which is by its terms intended to be secured by the ABL Priority Collateral with a senior lien priority relative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Lien is permitted to be incurred under this Indenture.</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60"/>
          </w:cols>
          <w:pgMar w:left="440" w:top="266" w:right="49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Senior Indebtedness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20" w:firstLine="419"/>
        <w:spacing w:after="0" w:line="255" w:lineRule="auto"/>
        <w:tabs>
          <w:tab w:leader="none" w:pos="11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any Issuer or any Subsidiary Guarantor outstanding under the Senior Secured Credit Facilities, the Notes and the Existing Notes and related guarantees (including interest accruing on or after the filing of any petition in bankruptcy or similar proceeding or for reorganization of any Issuer or any Subsidiary Guarantor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Issue Date or thereafter created or incurred) and all obligations of any Issuer or any Subsidiary Guarantor to reimburse any bank or other Person in respect of amounts paid under letters of credit, acceptances or other similar instruments;</w:t>
      </w:r>
    </w:p>
    <w:p>
      <w:pPr>
        <w:spacing w:after="0" w:line="80"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(x) Hedging Obligations (and guarantees thereof) and (y) obligations in respect of Bank Products (and guarantees thereof) owing to a lender under the Senior Secured Credit Facilities or any Affiliate of such lender (or any Person that was a lender or an Affiliate of such lender at the time the applicable agreement giving rise to such Hedging Obligation was entered into);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Hedging Obligations and obligations in respect of Bank Products, as the case may be, are permitted to be incurred under the terms of this Indenture;</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Indebtedness of any Issuer or any Subsidiary Guarantor permitted to be incurred under the terms of this Indenture, unless the instrument under which such Indebtedness is incurred expressly provides that it is subordinated in right of payment to the Notes or any related Guarantee; and</w:t>
      </w:r>
    </w:p>
    <w:p>
      <w:pPr>
        <w:spacing w:after="0" w:line="6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with respect to the items listed in the preceding clauses (a), (b) and (c);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Senior Indebtedness shall not</w:t>
      </w:r>
    </w:p>
    <w:p>
      <w:pPr>
        <w:spacing w:after="0" w:line="29"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w:t>
      </w:r>
    </w:p>
    <w:p>
      <w:pPr>
        <w:spacing w:after="0" w:line="98"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of such Person to the Issuer or any of its Subsidiaries;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federal, state, local or other taxes owed or owing by such Person;</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accounts payable or other liability to trade creditors arising in the ordinary course of business;</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68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or other Obligation of such Person which is subordinate or junior in right of payment to any other Indebtedness or other Obligation of such Person; or</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portion of any Indebtedness which at the time of incurrence is incurred in violation of this Indenture.</w:t>
      </w:r>
    </w:p>
    <w:p>
      <w:pPr>
        <w:spacing w:after="0" w:line="221"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Secured Credit Facilities</w:t>
      </w:r>
      <w:r>
        <w:rPr>
          <w:rFonts w:ascii="Times New Roman" w:cs="Times New Roman" w:eastAsia="Times New Roman" w:hAnsi="Times New Roman"/>
          <w:sz w:val="18"/>
          <w:szCs w:val="18"/>
          <w:color w:val="auto"/>
        </w:rPr>
        <w:t>” means the Credit Agreement, dated on or about the 2021 Acquisition Date, among the Issuer, the guarantors named therein and Bank of America, N.A., as administrative agent, collateral agent, swing line lender and L/C issuer, and the other agents and lenders named therein, as amended by Amendment No. 1, dated as of June 28, 2023, Amendment No. 2, dated as of March 27, 2024, Amendment No. 3, dated as of July 8, 2024, and Amendment No. 4, dated as of November 19, 2024, including any guarantees, collateral documents, instruments and agreements executed in connection therewith, and any amendments, supplements, modifications, extensions, renewals, restatements, refundings, refinancings or replacements thereof, and any one or more indentures,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66" w:right="479" w:bottom="1440" w:gutter="0" w:footer="0" w:header="0"/>
        </w:sectPr>
      </w:pPr>
    </w:p>
    <w:bookmarkStart w:id="63" w:name="page64"/>
    <w:bookmarkEnd w:id="63"/>
    <w:p>
      <w:pPr>
        <w:ind w:right="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agreements, credit facilities or commercial paper facilities with banks or other institutional lenders or investors that replace, refund, supplement or refinance any part of the loans, notes, other credit facilities or commitments thereunder, including any such replacement, refunding or refinancing facility or indenture or agreement that increases the amount borrowable thereunder or alters the maturity thereof or adds the Issuer or any Restricted Subsidiaries as additional borrowers or guarantors thereunder and whether by the same or any other agent, trustee, lender or group of lenders or holders.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Secured Credit Facility Obligations</w:t>
      </w:r>
      <w:r>
        <w:rPr>
          <w:rFonts w:ascii="Times New Roman" w:cs="Times New Roman" w:eastAsia="Times New Roman" w:hAnsi="Times New Roman"/>
          <w:sz w:val="18"/>
          <w:szCs w:val="18"/>
          <w:color w:val="auto"/>
        </w:rPr>
        <w:t>” means “Obligations” (as defined in the Senior Secured Credit Facilities).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Secured Credit Facility Secured Parties</w:t>
      </w:r>
      <w:r>
        <w:rPr>
          <w:rFonts w:ascii="Times New Roman" w:cs="Times New Roman" w:eastAsia="Times New Roman" w:hAnsi="Times New Roman"/>
          <w:sz w:val="18"/>
          <w:szCs w:val="18"/>
          <w:color w:val="auto"/>
        </w:rPr>
        <w:t>” means “Secured Parties” (as defined in the Senior Secured Credit Facilities).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w:t>
      </w:r>
      <w:r>
        <w:rPr>
          <w:rFonts w:ascii="Times New Roman" w:cs="Times New Roman" w:eastAsia="Times New Roman" w:hAnsi="Times New Roman"/>
          <w:sz w:val="18"/>
          <w:szCs w:val="18"/>
          <w:color w:val="auto"/>
        </w:rPr>
        <w:t>” means (a) with respect to the Pari Passu Secured Parties, each of (i) the Senior Secured Credit Facility Secured Parties (in their capacities as such), (ii) the Existing Notes Secured Parties (in their capacity as such), (iii) the Notes Secured Parties (in their capacity as such) and (iv) the Additional Pari Passu Secured Parties that become subject to the Pari Passu Intercreditor Agreement after the Issue Date that are represented by a common representative (in its capacity as such for such Additional Pari Passu Secured Parties) and (b) with respect to any Pari Passu Obligations, each of (i) the Senior Secured Credit Facility Obligations, (ii) the Existing Pari Passu Notes Obligations, (iii) the Notes Obligations and (iv) the Additional Pari Passu Obligations incurred pursuant to any applicable agreement, which, pursuant to any joinder agreement, are to be represented under the Pari Passu Intercreditor Agreement by a common representative (in its capacity as such for such Additional Pari Passu Obligations).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any Restricted Subsidiary that would be a “significant subsidiary” as defined in Article 1, Rule 1-02, clauses(w)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or (ii) of Regulation S-X promulgated pursuant to the Securities Act, as such regulation is in effect on the Issue Date.</w:t>
      </w:r>
    </w:p>
    <w:p>
      <w:pPr>
        <w:spacing w:after="0" w:line="203"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Similar Business</w:t>
      </w:r>
      <w:r>
        <w:rPr>
          <w:rFonts w:ascii="Times New Roman" w:cs="Times New Roman" w:eastAsia="Times New Roman" w:hAnsi="Times New Roman"/>
          <w:sz w:val="18"/>
          <w:szCs w:val="18"/>
          <w:color w:val="auto"/>
        </w:rPr>
        <w:t>” means (a) any business conducted or proposed to be conducted by the Issuer or any of its Restricted Subsidiaries on the Issue Date, and any reasonable extension thereof, or (b) any business or other activities that are reasonably similar, ancillary, incidental, complementary, synergistic or related to, or a reasonable extension, development or expansion of, the businesses in which the Issuer and its Restricted Subsidiaries are engaged or propose to be engaged on the Issue Date.</w:t>
      </w:r>
    </w:p>
    <w:p>
      <w:pPr>
        <w:spacing w:after="0" w:line="176" w:lineRule="exact"/>
        <w:rPr>
          <w:sz w:val="20"/>
          <w:szCs w:val="20"/>
          <w:color w:val="auto"/>
        </w:rPr>
      </w:pPr>
    </w:p>
    <w:p>
      <w:pPr>
        <w:jc w:val="both"/>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“Subordinated Shareholder Funding” </w:t>
      </w:r>
      <w:r>
        <w:rPr>
          <w:rFonts w:ascii="Times New Roman" w:cs="Times New Roman" w:eastAsia="Times New Roman" w:hAnsi="Times New Roman"/>
          <w:sz w:val="18"/>
          <w:szCs w:val="18"/>
          <w:color w:val="auto"/>
        </w:rPr>
        <w:t>means collectively, any funds provided to the Issuer or any Restricted Subsidiary by a direct or indirect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parent entity of the Issuer or a Permitted Holder in exchange for or pursuant to any security, instrument or agreement other than Capital Stock, in each case issued to and held by a direct or indirect parent entity of the Issuer or a Permitted Holder, together with any security, instrument or agreement and any other security or instrument other than Capital Stock issued in payment of any obligation under any Subordinated Shareholder Funding,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Subordinated Shareholder Funding:</w:t>
      </w:r>
    </w:p>
    <w:p>
      <w:pPr>
        <w:spacing w:after="0" w:line="75" w:lineRule="exact"/>
        <w:rPr>
          <w:sz w:val="20"/>
          <w:szCs w:val="20"/>
          <w:color w:val="auto"/>
        </w:rPr>
      </w:pPr>
    </w:p>
    <w:p>
      <w:pPr>
        <w:jc w:val="both"/>
        <w:ind w:left="440" w:right="200" w:firstLine="419"/>
        <w:spacing w:after="0" w:line="266" w:lineRule="auto"/>
        <w:tabs>
          <w:tab w:leader="none" w:pos="110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mature or require any amortization, redemption or other repayment of principal or any sinking fund payment prior to the first anniversary of the maturity of the Notes (other than through conversion or exchange of such funding into Capital Stock (other than Disqualified Stock) of the Issuer or any direct or indirect parent entity of the Issuer or any funding meeting the requirements of this definition);</w:t>
      </w:r>
    </w:p>
    <w:p>
      <w:pPr>
        <w:spacing w:after="0" w:line="6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require, prior to the first anniversary of the maturity of the Notes, payment of cash, interest, cash withholding amounts or other cash gross ups, or any similar cash amounts;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64" w:name="page65"/>
    <w:bookmarkEnd w:id="64"/>
    <w:p>
      <w:pPr>
        <w:ind w:left="440" w:firstLine="419"/>
        <w:spacing w:after="0" w:line="282" w:lineRule="auto"/>
        <w:tabs>
          <w:tab w:leader="none" w:pos="11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contains no change of control or similar provisions and does not accelerate and has no right to declare a default or event of default or take any enforcement action or otherwise require any cash payment, in each case, prior to the first anniversary of the maturity of the Notes;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for or require any security interest or encumbrance over any asset of the Issuer or any of its Subsidiaries; and</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312" w:lineRule="auto"/>
        <w:tabs>
          <w:tab w:leader="none" w:pos="110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its terms or pursuant to an intercreditor agreement is fully subordinated and junior in right of payment to the Notes pursuant to any subordination, payment blockage and enforcement limitation terms which are customary in all material respects for similar funding.</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w:t>
      </w:r>
    </w:p>
    <w:p>
      <w:pPr>
        <w:spacing w:after="0" w:line="121" w:lineRule="exact"/>
        <w:rPr>
          <w:sz w:val="20"/>
          <w:szCs w:val="20"/>
          <w:color w:val="auto"/>
        </w:rPr>
      </w:pPr>
    </w:p>
    <w:p>
      <w:pPr>
        <w:ind w:left="440" w:right="160" w:firstLine="419"/>
        <w:spacing w:after="0" w:line="261" w:lineRule="auto"/>
        <w:tabs>
          <w:tab w:leader="none" w:pos="11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joint venture, limited liability company or similar entity of which:</w:t>
      </w:r>
    </w:p>
    <w:p>
      <w:pPr>
        <w:spacing w:after="0" w:line="117" w:lineRule="exact"/>
        <w:rPr>
          <w:rFonts w:ascii="Times New Roman" w:cs="Times New Roman" w:eastAsia="Times New Roman" w:hAnsi="Times New Roman"/>
          <w:sz w:val="18"/>
          <w:szCs w:val="18"/>
          <w:color w:val="auto"/>
        </w:rPr>
      </w:pPr>
    </w:p>
    <w:p>
      <w:pPr>
        <w:ind w:left="980" w:right="460" w:firstLine="408"/>
        <w:spacing w:after="0" w:line="266" w:lineRule="auto"/>
        <w:tabs>
          <w:tab w:leader="none" w:pos="159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w:t>
      </w:r>
    </w:p>
    <w:p>
      <w:pPr>
        <w:spacing w:after="0" w:line="6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any Restricted Subsidiary of such Person is a controlling general partner or otherwise controls such entity.</w:t>
      </w:r>
    </w:p>
    <w:p>
      <w:pPr>
        <w:spacing w:after="0" w:line="225" w:lineRule="exact"/>
        <w:rPr>
          <w:sz w:val="20"/>
          <w:szCs w:val="20"/>
          <w:color w:val="auto"/>
        </w:rPr>
      </w:pPr>
    </w:p>
    <w:p>
      <w:pPr>
        <w:jc w:val="both"/>
        <w:ind w:right="54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unless otherwise specified, any entity that is owned at a 50.0% or less level (as described above) shall not be a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for any purpose under this Indenture, regardless of whether such entity is consolidated on the Issuer’s or any Restricted Subsidiary’s financial statements. Unless the context otherwise requires, any references to Subsidiary refer to a Subsidiary of the Issuer.</w:t>
      </w:r>
    </w:p>
    <w:p>
      <w:pPr>
        <w:spacing w:after="0" w:line="172" w:lineRule="exact"/>
        <w:rPr>
          <w:sz w:val="20"/>
          <w:szCs w:val="20"/>
          <w:color w:val="auto"/>
        </w:rPr>
      </w:pPr>
    </w:p>
    <w:p>
      <w:pPr>
        <w:jc w:val="both"/>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w:t>
      </w:r>
      <w:r>
        <w:rPr>
          <w:rFonts w:ascii="Times New Roman" w:cs="Times New Roman" w:eastAsia="Times New Roman" w:hAnsi="Times New Roman"/>
          <w:sz w:val="18"/>
          <w:szCs w:val="18"/>
          <w:color w:val="auto"/>
        </w:rPr>
        <w:t xml:space="preserve">” means each Restricted Subsidiary of the Issuer, if any, that Guarantees the Notes in accordance with the terms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release or discharge of such Restricted Subsidiary from its Guarantee in accordance with this Indenture, such Restricted Subsidiary ceases to be a Subsidiary Guarantor.</w:t>
      </w:r>
    </w:p>
    <w:p>
      <w:pPr>
        <w:spacing w:after="0" w:line="171"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Holdings</w:t>
      </w:r>
      <w:r>
        <w:rPr>
          <w:rFonts w:ascii="Times New Roman" w:cs="Times New Roman" w:eastAsia="Times New Roman" w:hAnsi="Times New Roman"/>
          <w:sz w:val="18"/>
          <w:szCs w:val="18"/>
          <w:color w:val="auto"/>
        </w:rPr>
        <w:t>” means a Guarantor that has been designated as “Holdings” pursuant to a New Holdings Designation and is not a Prior Holdings.</w:t>
      </w:r>
    </w:p>
    <w:p>
      <w:pPr>
        <w:spacing w:after="0" w:line="15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 and Services Agreement</w:t>
      </w:r>
      <w:r>
        <w:rPr>
          <w:rFonts w:ascii="Times New Roman" w:cs="Times New Roman" w:eastAsia="Times New Roman" w:hAnsi="Times New Roman"/>
          <w:sz w:val="18"/>
          <w:szCs w:val="18"/>
          <w:color w:val="auto"/>
        </w:rPr>
        <w:t>” means the management services or similar agreements or the management services provisions contained in an investor rights agreement or other equityholders’ agreement, as the case may be, between one or more of the Investors or certain of the management companies associated with one or more of the Investors or their advisors or Affiliates, if applicable, and the Issuer (and/or its direct or indirect parent companies or Subsidiaries), as in effect from time to time.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70" w:right="439" w:bottom="1440" w:gutter="0" w:footer="0" w:header="0"/>
        </w:sectPr>
      </w:pPr>
    </w:p>
    <w:bookmarkStart w:id="65" w:name="page66"/>
    <w:bookmarkEnd w:id="65"/>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Tax Distributions</w:t>
      </w:r>
      <w:r>
        <w:rPr>
          <w:rFonts w:ascii="Times New Roman" w:cs="Times New Roman" w:eastAsia="Times New Roman" w:hAnsi="Times New Roman"/>
          <w:sz w:val="18"/>
          <w:szCs w:val="18"/>
          <w:color w:val="auto"/>
        </w:rPr>
        <w:t>” means distributions to each direct or indirect owner of Holdings which shall be equal to the product of (X) such owner’s allocable share of the taxable income of Holdings for such taxable period (determined, for any taxable period for which Holdings is a disregarded entity, as if Holdings were a partnership), reduced (without duplication) by such owner’s allocable share of any taxable loss of Holdings for any prior taxable period ending after the 2021 Acquisition Date to the extent such prior losses are permitted to be carried forward and subject to any limitations on the use of such carried forward amounts, and such taxable loss is of a character that would permit such loss to be deducted against the taxable income in the current taxable period (provided that (i) in determining taxable income of Holdings, Section 163(j) shall be applied at the level of Holdings, provided that, such Section 163(j) calculations shall take into account partner level adjustments pursuant to Section 743 of the Code if the law currently in effect on the date of the applicable tax distribution provides Section 163(j) applies at the partner level and takes into account partner level Section 743 adjustments, and (ii) any items of income, gain, loss or deduction may be determined without regard to any adjustments pursuant to Section 743 of the Code) and (Y) the highest combined marginal federal, state and local income tax rate applicable to any direct or indirect equity owner of Holdings for such taxable period (taking into account the character (long-term capital gain, qualified dividend income, tax-exempt income, etc.) of the current period taxable income (including, for the avoidance of doubt any tax imposed by Section 1411(a)(1) of the Code)).</w:t>
      </w:r>
    </w:p>
    <w:p>
      <w:pPr>
        <w:spacing w:after="0" w:line="190" w:lineRule="exact"/>
        <w:rPr>
          <w:sz w:val="20"/>
          <w:szCs w:val="20"/>
          <w:color w:val="auto"/>
        </w:rPr>
      </w:pPr>
    </w:p>
    <w:p>
      <w:pPr>
        <w:ind w:right="4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Restructuring</w:t>
      </w:r>
      <w:r>
        <w:rPr>
          <w:rFonts w:ascii="Times New Roman" w:cs="Times New Roman" w:eastAsia="Times New Roman" w:hAnsi="Times New Roman"/>
          <w:sz w:val="18"/>
          <w:szCs w:val="18"/>
          <w:color w:val="auto"/>
        </w:rPr>
        <w:t>” means any reorganizations and other transactions entered into among the Issuer (or any direct or indirect parent entity thereof) and/or its Restricted Subsidiaries for tax planning (as determined by the Issuer in good faith) so long as such reorganizations and other transactions do not impair the value of the Notes and the Guarantees, taken as a whole, in any material respect.</w:t>
      </w:r>
    </w:p>
    <w:p>
      <w:pPr>
        <w:spacing w:after="0" w:line="171"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and future taxes, levies, imposts, deductions, charges, duties and withholdings and any charges of a similar nature (including interest and penalties with respect thereto) that are imposed by any government or other taxing authority.</w:t>
      </w:r>
    </w:p>
    <w:p>
      <w:pPr>
        <w:spacing w:after="0" w:line="155" w:lineRule="exact"/>
        <w:rPr>
          <w:sz w:val="20"/>
          <w:szCs w:val="20"/>
          <w:color w:val="auto"/>
        </w:rPr>
      </w:pPr>
    </w:p>
    <w:p>
      <w:pPr>
        <w:ind w:right="7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yield determined by the Issuer in accordance with the following two paragraphs.</w:t>
      </w:r>
    </w:p>
    <w:p>
      <w:pPr>
        <w:spacing w:after="0" w:line="15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as of the third Business Day preceding the date of the notice of redemption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applicable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66" w:right="479" w:bottom="1440" w:gutter="0" w:footer="0" w:header="0"/>
        </w:sectPr>
      </w:pPr>
    </w:p>
    <w:bookmarkStart w:id="66" w:name="page67"/>
    <w:bookmarkEnd w:id="66"/>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as of the third Business Day preceding the date of the notice of redemption H.15 TCM or any successor designation or publication is no longer published, the Issuer shall calculate the Treasury Rate based on the rate per annum equal to the semi-annual equivalent yield to maturity at 11:00 a.m., New York City time, as of the second Business Day preceding such date of the notice of redemption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Issuer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 (15 U.S.C. §§ 77aaa-77bbbb).</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Wilmington Trust, National Association, as trustee, until a successor replaces it in accordance with the applicable provisions of this Indenture and thereafter means the successor serving hereunder.</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(i) the Uniform Commercial Code or any successor provision thereof as the same may from time to time be in effect in the State of New York or (ii) the Uniform Commercial Code (or similar code or statute) of another jurisdiction, to the extent it applies to any item or items of Collateral. References in this Indenture and the other Security Documents to specific sections of the Uniform Commercial Code are based on the Uniform Commercial Code as in effect in the State of New York on the Issue Date. In the event such Uniform Commercial Code is amended or another Uniform Commercial Code described in clause (ii) is applicable, such section reference shall be deemed to be references to the comparable section in such amended or other Uniform Commercial Code.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Definitive Note</w:t>
      </w:r>
      <w:r>
        <w:rPr>
          <w:rFonts w:ascii="Times New Roman" w:cs="Times New Roman" w:eastAsia="Times New Roman" w:hAnsi="Times New Roman"/>
          <w:sz w:val="18"/>
          <w:szCs w:val="18"/>
          <w:color w:val="auto"/>
        </w:rPr>
        <w:t>” means one or more Definitive Notes that do not bear and are not required to bear the Private Placement Legend.</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Global Note</w:t>
      </w:r>
      <w:r>
        <w:rPr>
          <w:rFonts w:ascii="Times New Roman" w:cs="Times New Roman" w:eastAsia="Times New Roman" w:hAnsi="Times New Roman"/>
          <w:sz w:val="18"/>
          <w:szCs w:val="18"/>
          <w:color w:val="auto"/>
        </w:rPr>
        <w:t xml:space="preserve">” means a permanent Global Note,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for the 2031 Notes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hereto for the 2033 Notes, in each case, bearing the Global Note Legend and that has the “Schedule of Exchanges of Interests in the Global Note” attached thereto, and that is deposited with or on behalf of and registered in the name of the Depositary, that do not bear the Private Placement Legend.</w:t>
      </w:r>
    </w:p>
    <w:p>
      <w:pPr>
        <w:spacing w:after="0" w:line="171"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means (i) any Subsidiary of the Issuer (other than the Co-Issuer) which at the time of determination is designated as an “Unrestricted Subsidiary” under the Senior Secured Credit Facilities, whether on or subsequent to the Issue Date, and (ii) any Subsidiary of an Unrestricted Subsidiary.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67" w:name="page68"/>
    <w:bookmarkEnd w:id="67"/>
    <w:p>
      <w:pPr>
        <w:ind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U.S. Dollar Equivalent</w:t>
      </w:r>
      <w:r>
        <w:rPr>
          <w:rFonts w:ascii="Times New Roman" w:cs="Times New Roman" w:eastAsia="Times New Roman" w:hAnsi="Times New Roman"/>
          <w:sz w:val="18"/>
          <w:szCs w:val="18"/>
          <w:color w:val="auto"/>
        </w:rPr>
        <w:t>” means with respect to any monetary amount in a currency other than U.S. dollars, at any time for determination thereof, the amount of U.S. dollars obtained by converting such foreign currency involved in such computation into U.S. dollars at the spot rate for the purchase of U.S. dollars with the applicable foreign currency as published in The Wall Street Journal in the “</w:t>
      </w:r>
      <w:r>
        <w:rPr>
          <w:rFonts w:ascii="Times New Roman" w:cs="Times New Roman" w:eastAsia="Times New Roman" w:hAnsi="Times New Roman"/>
          <w:sz w:val="18"/>
          <w:szCs w:val="18"/>
          <w:i w:val="1"/>
          <w:iCs w:val="1"/>
          <w:color w:val="auto"/>
        </w:rPr>
        <w:t>Exchange Rates</w:t>
      </w:r>
      <w:r>
        <w:rPr>
          <w:rFonts w:ascii="Times New Roman" w:cs="Times New Roman" w:eastAsia="Times New Roman" w:hAnsi="Times New Roman"/>
          <w:sz w:val="18"/>
          <w:szCs w:val="18"/>
          <w:color w:val="auto"/>
        </w:rPr>
        <w:t>” column under the heading “</w:t>
      </w:r>
      <w:r>
        <w:rPr>
          <w:rFonts w:ascii="Times New Roman" w:cs="Times New Roman" w:eastAsia="Times New Roman" w:hAnsi="Times New Roman"/>
          <w:sz w:val="18"/>
          <w:szCs w:val="18"/>
          <w:i w:val="1"/>
          <w:iCs w:val="1"/>
          <w:color w:val="auto"/>
        </w:rPr>
        <w:t>Currency Trading</w:t>
      </w:r>
      <w:r>
        <w:rPr>
          <w:rFonts w:ascii="Times New Roman" w:cs="Times New Roman" w:eastAsia="Times New Roman" w:hAnsi="Times New Roman"/>
          <w:sz w:val="18"/>
          <w:szCs w:val="18"/>
          <w:color w:val="auto"/>
        </w:rPr>
        <w:t>” on the date two business days prior to such determination.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w:t>
      </w:r>
      <w:r>
        <w:rPr>
          <w:rFonts w:ascii="Times New Roman" w:cs="Times New Roman" w:eastAsia="Times New Roman" w:hAnsi="Times New Roman"/>
          <w:sz w:val="18"/>
          <w:szCs w:val="18"/>
          <w:color w:val="auto"/>
        </w:rPr>
        <w:t>” means securities that are:</w:t>
      </w:r>
    </w:p>
    <w:p>
      <w:pPr>
        <w:spacing w:after="0" w:line="121" w:lineRule="exact"/>
        <w:rPr>
          <w:sz w:val="20"/>
          <w:szCs w:val="20"/>
          <w:color w:val="auto"/>
        </w:rPr>
      </w:pPr>
    </w:p>
    <w:p>
      <w:pPr>
        <w:ind w:left="1100" w:hanging="241"/>
        <w:spacing w:after="0"/>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of America for the timely payment of which its full faith and credit is pledged; or</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which, in either case, are not callable or redeemable at the option of the issuer thereof, and shall also include a depository receipt issued by a bank (as defined in Section 3(a)(2) of the Securities Act), as custodian with respect to any such U.S. Government Securities or a specific payment of principal of or interest on any such U.S. Government Securities held by such custodian for the account of the holder of such depository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U.S. Government Securities or the specific payment of principal of or interest on the U.S. Government Securities evidenced by such depository receipt.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 U.S. person as defined in Rule 902(k) under the Securities Act.</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any Person as of any date means the Capital Stock of such Person that is at the time entitled to vote in the election of the Board of such Person.</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Weighted Average Life to Maturity</w:t>
      </w:r>
      <w:r>
        <w:rPr>
          <w:rFonts w:ascii="Times New Roman" w:cs="Times New Roman" w:eastAsia="Times New Roman" w:hAnsi="Times New Roman"/>
          <w:sz w:val="18"/>
          <w:szCs w:val="18"/>
          <w:color w:val="auto"/>
        </w:rPr>
        <w:t>” means, when applied to any Indebtedness, Disqualified Stock or Preferred Stock, as the case may be, at any date, the quotient obtained by dividing:</w:t>
      </w:r>
    </w:p>
    <w:p>
      <w:pPr>
        <w:spacing w:after="0" w:line="51" w:lineRule="exact"/>
        <w:rPr>
          <w:sz w:val="20"/>
          <w:szCs w:val="20"/>
          <w:color w:val="auto"/>
        </w:rPr>
      </w:pPr>
    </w:p>
    <w:p>
      <w:pPr>
        <w:ind w:left="440" w:firstLine="419"/>
        <w:spacing w:after="0" w:line="266" w:lineRule="auto"/>
        <w:tabs>
          <w:tab w:leader="none" w:pos="110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all such payments;</w:t>
      </w:r>
    </w:p>
    <w:p>
      <w:pPr>
        <w:spacing w:after="0" w:line="223" w:lineRule="exact"/>
        <w:rPr>
          <w:sz w:val="20"/>
          <w:szCs w:val="20"/>
          <w:color w:val="auto"/>
        </w:rPr>
      </w:pPr>
    </w:p>
    <w:p>
      <w:pPr>
        <w:ind w:right="60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for purposes of determining the Weighted Average Life to Maturity of any Indebtedness that is being extended, replaced, refunded,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refinanced, renewed or defeased (the “</w:t>
      </w:r>
      <w:r>
        <w:rPr>
          <w:rFonts w:ascii="Times New Roman" w:cs="Times New Roman" w:eastAsia="Times New Roman" w:hAnsi="Times New Roman"/>
          <w:sz w:val="17"/>
          <w:szCs w:val="17"/>
          <w:b w:val="1"/>
          <w:bCs w:val="1"/>
          <w:color w:val="auto"/>
        </w:rPr>
        <w:t>Applicable Indebtedness</w:t>
      </w:r>
      <w:r>
        <w:rPr>
          <w:rFonts w:ascii="Times New Roman" w:cs="Times New Roman" w:eastAsia="Times New Roman" w:hAnsi="Times New Roman"/>
          <w:sz w:val="17"/>
          <w:szCs w:val="17"/>
          <w:color w:val="auto"/>
        </w:rPr>
        <w:t>”), the effects of any amortization or prepayments made on such Applicable Indebtedness prior to the date of the applicable extension, replacement, refunding, refinancing, renewal or defeasance shall be disregarded.</w:t>
      </w:r>
    </w:p>
    <w:p>
      <w:pPr>
        <w:spacing w:after="0" w:line="153"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any Person means a Subsidiary of such Person, 100% of the outstanding Voting Stock of which (other than directors’ qualifying shares and shares issued to foreign nationals as required by applicable law) shall at the time be owned by such Person and/or by one or more Wholly Owned Subsidiaries of such Person.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66" w:right="459" w:bottom="1440" w:gutter="0" w:footer="0" w:header="0"/>
        </w:sectPr>
      </w:pPr>
    </w:p>
    <w:bookmarkStart w:id="68" w:name="page69"/>
    <w:bookmarkEnd w:id="68"/>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Section1.02. </w:t>
      </w:r>
      <w:r>
        <w:rPr>
          <w:rFonts w:ascii="Times New Roman" w:cs="Times New Roman" w:eastAsia="Times New Roman" w:hAnsi="Times New Roman"/>
          <w:sz w:val="18"/>
          <w:szCs w:val="18"/>
          <w:i w:val="1"/>
          <w:iCs w:val="1"/>
          <w:color w:val="auto"/>
        </w:rPr>
        <w:t>Other Definitions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0060" w:type="dxa"/>
            <w:vAlign w:val="bottom"/>
            <w:vMerge w:val="restart"/>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0" w:type="dxa"/>
            <w:vAlign w:val="bottom"/>
          </w:tcPr>
          <w:p>
            <w:pPr>
              <w:spacing w:after="0"/>
              <w:rPr>
                <w:sz w:val="1"/>
                <w:szCs w:val="1"/>
                <w:color w:val="auto"/>
              </w:rPr>
            </w:pPr>
          </w:p>
        </w:tc>
      </w:tr>
      <w:tr>
        <w:trPr>
          <w:trHeight w:val="180"/>
        </w:trPr>
        <w:tc>
          <w:tcPr>
            <w:tcW w:w="340" w:type="dxa"/>
            <w:vAlign w:val="bottom"/>
            <w:tcBorders>
              <w:bottom w:val="single" w:sz="8" w:color="auto"/>
            </w:tcBorders>
            <w:vMerge w:val="continue"/>
          </w:tcPr>
          <w:p>
            <w:pPr>
              <w:spacing w:after="0"/>
              <w:rPr>
                <w:sz w:val="15"/>
                <w:szCs w:val="15"/>
                <w:color w:val="auto"/>
              </w:rPr>
            </w:pPr>
          </w:p>
        </w:tc>
        <w:tc>
          <w:tcPr>
            <w:tcW w:w="10060" w:type="dxa"/>
            <w:vAlign w:val="bottom"/>
            <w:vMerge w:val="continue"/>
          </w:tcPr>
          <w:p>
            <w:pPr>
              <w:spacing w:after="0"/>
              <w:rPr>
                <w:sz w:val="15"/>
                <w:szCs w:val="15"/>
                <w:color w:val="auto"/>
              </w:rPr>
            </w:pPr>
          </w:p>
        </w:tc>
        <w:tc>
          <w:tcPr>
            <w:tcW w:w="6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Section</w:t>
            </w:r>
          </w:p>
        </w:tc>
        <w:tc>
          <w:tcPr>
            <w:tcW w:w="0" w:type="dxa"/>
            <w:vAlign w:val="bottom"/>
          </w:tcPr>
          <w:p>
            <w:pPr>
              <w:spacing w:after="0"/>
              <w:rPr>
                <w:sz w:val="1"/>
                <w:szCs w:val="1"/>
                <w:color w:val="auto"/>
              </w:rPr>
            </w:pPr>
          </w:p>
        </w:tc>
      </w:tr>
      <w:tr>
        <w:trPr>
          <w:trHeight w:val="185"/>
        </w:trPr>
        <w:tc>
          <w:tcPr>
            <w:tcW w:w="104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“Action”</w:t>
            </w:r>
          </w:p>
        </w:tc>
        <w:tc>
          <w:tcPr>
            <w:tcW w:w="62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13.07(v)</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“Alternate Offer”</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4.14(c)</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AML Law”</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14.17</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Premium Deficit”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8.04(a)</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“Authentication Agent”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“Authentication Order”</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“CERCLA”</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13.07(q)</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of Control Offer”</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of Control Payment”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of Control Payment 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4.14(b)</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 Release”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 Release 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“Directing Holder”</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“DTC”</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“ERISA”</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2.06(g)</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6.01(a)</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 Amount”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4.12(d)</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“LCT Election”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“LCT Test 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Defeasance”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Register”</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“Noteholder Direction”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“Registrar”</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Person”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13.07(b)</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Document Order”</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13.07(r)</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“Subject Lien”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4.12(a)</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“Successor Company”</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5.01(a)</w:t>
            </w: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“Testing Party”</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4"/>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1.03. </w:t>
      </w:r>
      <w:r>
        <w:rPr>
          <w:rFonts w:ascii="Times New Roman" w:cs="Times New Roman" w:eastAsia="Times New Roman" w:hAnsi="Times New Roman"/>
          <w:sz w:val="18"/>
          <w:szCs w:val="18"/>
          <w:i w:val="1"/>
          <w:iCs w:val="1"/>
          <w:color w:val="auto"/>
        </w:rPr>
        <w:t>Rules of Construction</w:t>
      </w:r>
      <w:r>
        <w:rPr>
          <w:rFonts w:ascii="Times New Roman" w:cs="Times New Roman" w:eastAsia="Times New Roman" w:hAnsi="Times New Roman"/>
          <w:sz w:val="18"/>
          <w:szCs w:val="18"/>
          <w:color w:val="auto"/>
        </w:rPr>
        <w:t>. Unless the context otherwise requires:</w:t>
      </w:r>
    </w:p>
    <w:p>
      <w:pPr>
        <w:spacing w:after="0" w:line="121" w:lineRule="exact"/>
        <w:rPr>
          <w:sz w:val="20"/>
          <w:szCs w:val="20"/>
          <w:color w:val="auto"/>
        </w:rPr>
      </w:pPr>
    </w:p>
    <w:p>
      <w:pPr>
        <w:ind w:left="1100" w:hanging="241"/>
        <w:spacing w:after="0"/>
        <w:tabs>
          <w:tab w:leader="none" w:pos="1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“including,” “includes” and similar words shall be deemed to be followed by “without limitation”;</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66" w:right="439" w:bottom="1440" w:gutter="0" w:footer="0" w:header="0"/>
        </w:sectPr>
      </w:pPr>
    </w:p>
    <w:bookmarkStart w:id="69" w:name="page70"/>
    <w:bookmarkEnd w:id="69"/>
    <w:p>
      <w:pPr>
        <w:ind w:left="640" w:hanging="221"/>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and “will” shall be interpreted to express a command;</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117" w:lineRule="exact"/>
        <w:rPr>
          <w:rFonts w:ascii="Times New Roman" w:cs="Times New Roman" w:eastAsia="Times New Roman" w:hAnsi="Times New Roman"/>
          <w:sz w:val="18"/>
          <w:szCs w:val="18"/>
          <w:color w:val="auto"/>
        </w:rPr>
      </w:pPr>
    </w:p>
    <w:p>
      <w:pPr>
        <w:ind w:right="320" w:firstLine="419"/>
        <w:spacing w:after="0" w:line="282" w:lineRule="auto"/>
        <w:tabs>
          <w:tab w:leader="none" w:pos="6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or the Exchange Act shall be deemed to include substitute, replacement or successor sections or rules adopted by the SEC from time to time;</w:t>
      </w:r>
    </w:p>
    <w:p>
      <w:pPr>
        <w:spacing w:after="0" w:line="53" w:lineRule="exact"/>
        <w:rPr>
          <w:rFonts w:ascii="Times New Roman" w:cs="Times New Roman" w:eastAsia="Times New Roman" w:hAnsi="Times New Roman"/>
          <w:sz w:val="18"/>
          <w:szCs w:val="18"/>
          <w:color w:val="auto"/>
        </w:rPr>
      </w:pPr>
    </w:p>
    <w:p>
      <w:pPr>
        <w:ind w:right="240" w:firstLine="419"/>
        <w:spacing w:after="0" w:line="282" w:lineRule="auto"/>
        <w:tabs>
          <w:tab w:leader="none" w:pos="63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any reference to an “Article,” “Section” or “clause” refers to an Article, Section or clause, as the case may be, of this Indenture;</w:t>
      </w:r>
    </w:p>
    <w:p>
      <w:pPr>
        <w:spacing w:after="0" w:line="53" w:lineRule="exact"/>
        <w:rPr>
          <w:rFonts w:ascii="Times New Roman" w:cs="Times New Roman" w:eastAsia="Times New Roman" w:hAnsi="Times New Roman"/>
          <w:sz w:val="18"/>
          <w:szCs w:val="18"/>
          <w:color w:val="auto"/>
        </w:rPr>
      </w:pPr>
    </w:p>
    <w:p>
      <w:pPr>
        <w:ind w:right="120" w:firstLine="419"/>
        <w:spacing w:after="0" w:line="282" w:lineRule="auto"/>
        <w:tabs>
          <w:tab w:leader="none" w:pos="63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any particular Article, Section, clause or other subdivision;</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non-interest bearing or other discount security at any date shall be the principal amount thereof that would be shown on a balance sheet of the Issuer dated such date prepared in accordance with GAAP;</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used herein implying any gender shall apply to both genders;</w:t>
      </w:r>
    </w:p>
    <w:p>
      <w:pPr>
        <w:spacing w:after="0" w:line="117" w:lineRule="exact"/>
        <w:rPr>
          <w:rFonts w:ascii="Times New Roman" w:cs="Times New Roman" w:eastAsia="Times New Roman" w:hAnsi="Times New Roman"/>
          <w:sz w:val="18"/>
          <w:szCs w:val="18"/>
          <w:color w:val="auto"/>
        </w:rPr>
      </w:pPr>
    </w:p>
    <w:p>
      <w:pPr>
        <w:ind w:right="200" w:firstLine="419"/>
        <w:spacing w:after="0" w:line="282" w:lineRule="auto"/>
        <w:tabs>
          <w:tab w:leader="none" w:pos="7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53"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Preferred Stock at any time shall be (i) the maximum liquidation value of such Preferred Stock at such time or (ii) the maximum mandatory redemption or mandatory repurchase price with respect to such Preferred Stock at such time, whichever is greater; and</w:t>
      </w:r>
    </w:p>
    <w:p>
      <w:pPr>
        <w:spacing w:after="0" w:line="67" w:lineRule="exact"/>
        <w:rPr>
          <w:rFonts w:ascii="Times New Roman" w:cs="Times New Roman" w:eastAsia="Times New Roman" w:hAnsi="Times New Roman"/>
          <w:sz w:val="18"/>
          <w:szCs w:val="18"/>
          <w:color w:val="auto"/>
        </w:rPr>
      </w:pPr>
    </w:p>
    <w:p>
      <w:pPr>
        <w:ind w:right="40" w:firstLine="419"/>
        <w:spacing w:after="0" w:line="253" w:lineRule="auto"/>
        <w:tabs>
          <w:tab w:leader="none" w:pos="6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“execution,” “signed,” “signature” and words of like import in this Indenture or in any other certificate, agreement or document related to this Indenture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UCC; notwithstanding anything herein to the contrary, neither the Trustee nor the Notes Collateral Agent is under any obligation to agree to accept electronic signatures in any form or in any format unless expressly agreed to by the Trustee or the Notes Collateral Agent pursuant to reasonable procedures approved by the Trustee or the Notes Collateral Agent, as applicable.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560"/>
          </w:cols>
          <w:pgMar w:left="880" w:top="270" w:right="459" w:bottom="1440" w:gutter="0" w:footer="0" w:header="0"/>
        </w:sectPr>
      </w:pPr>
    </w:p>
    <w:bookmarkStart w:id="70" w:name="page71"/>
    <w:bookmarkEnd w:id="70"/>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1.04. </w:t>
      </w:r>
      <w:r>
        <w:rPr>
          <w:rFonts w:ascii="Times New Roman" w:cs="Times New Roman" w:eastAsia="Times New Roman" w:hAnsi="Times New Roman"/>
          <w:sz w:val="18"/>
          <w:szCs w:val="18"/>
          <w:i w:val="1"/>
          <w:iCs w:val="1"/>
          <w:color w:val="auto"/>
        </w:rPr>
        <w:t>Acts of 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 w:right="80" w:firstLine="436"/>
        <w:spacing w:after="0" w:line="256" w:lineRule="auto"/>
        <w:tabs>
          <w:tab w:leader="none" w:pos="6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are delivered to the Trustee and, where it is hereby expressly required, to the Issuer(s). Proof of execution of any such instrument or of a writing appointing any such agent, or the holding by any Person of a Note, shall be sufficient for any purpose of this Indenture and (subject to Section 7.01 hereof) conclusive in favor of the Trustee, the Notes Collateral Agent and the Issuer, if made in the manner provided in this Section 1.04.</w:t>
      </w:r>
    </w:p>
    <w:p>
      <w:pPr>
        <w:spacing w:after="0" w:line="187" w:lineRule="exact"/>
        <w:rPr>
          <w:rFonts w:ascii="Times New Roman" w:cs="Times New Roman" w:eastAsia="Times New Roman" w:hAnsi="Times New Roman"/>
          <w:sz w:val="18"/>
          <w:szCs w:val="18"/>
          <w:color w:val="auto"/>
        </w:rPr>
      </w:pPr>
    </w:p>
    <w:p>
      <w:pPr>
        <w:ind w:left="-20" w:right="40" w:firstLine="436"/>
        <w:spacing w:after="0" w:line="256" w:lineRule="auto"/>
        <w:tabs>
          <w:tab w:leader="none" w:pos="6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87"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Notes shall be proved by the Note Register.</w:t>
      </w:r>
    </w:p>
    <w:p>
      <w:pPr>
        <w:spacing w:after="0" w:line="225" w:lineRule="exact"/>
        <w:rPr>
          <w:rFonts w:ascii="Times New Roman" w:cs="Times New Roman" w:eastAsia="Times New Roman" w:hAnsi="Times New Roman"/>
          <w:sz w:val="18"/>
          <w:szCs w:val="18"/>
          <w:color w:val="auto"/>
        </w:rPr>
      </w:pPr>
    </w:p>
    <w:p>
      <w:pPr>
        <w:jc w:val="both"/>
        <w:ind w:left="-20" w:firstLine="436"/>
        <w:spacing w:after="0" w:line="266" w:lineRule="auto"/>
        <w:tabs>
          <w:tab w:leader="none" w:pos="6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or the Issuer in reliance thereon, whether or not notation of such action is made upon such Note.</w:t>
      </w:r>
    </w:p>
    <w:p>
      <w:pPr>
        <w:spacing w:after="0" w:line="175" w:lineRule="exact"/>
        <w:rPr>
          <w:rFonts w:ascii="Times New Roman" w:cs="Times New Roman" w:eastAsia="Times New Roman" w:hAnsi="Times New Roman"/>
          <w:sz w:val="18"/>
          <w:szCs w:val="18"/>
          <w:color w:val="auto"/>
        </w:rPr>
      </w:pPr>
    </w:p>
    <w:p>
      <w:pPr>
        <w:ind w:left="-20" w:right="80" w:firstLine="436"/>
        <w:spacing w:after="0" w:line="258" w:lineRule="auto"/>
        <w:tabs>
          <w:tab w:leader="none" w:pos="6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 Unless otherwise specified, if not set by the Issuer prior to the first solicitation of a Holder made by any Person in respect of any such action, or in the case of any such vote, prior to such vote, any such record date shall be the later of 10 days prior to the first solicitation of such consent or the date of the most recent list of Holders furnished to the Trustee prior to such solicitation.</w:t>
      </w:r>
    </w:p>
    <w:p>
      <w:pPr>
        <w:spacing w:after="0" w:line="183" w:lineRule="exact"/>
        <w:rPr>
          <w:rFonts w:ascii="Times New Roman" w:cs="Times New Roman" w:eastAsia="Times New Roman" w:hAnsi="Times New Roman"/>
          <w:sz w:val="18"/>
          <w:szCs w:val="18"/>
          <w:color w:val="auto"/>
        </w:rPr>
      </w:pPr>
    </w:p>
    <w:p>
      <w:pPr>
        <w:ind w:left="-20" w:firstLine="436"/>
        <w:spacing w:after="0" w:line="261" w:lineRule="auto"/>
        <w:tabs>
          <w:tab w:leader="none" w:pos="6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Section 1.04(f) shall have the same effect as if given or taken by separate Holders of each such different part.</w:t>
      </w:r>
    </w:p>
    <w:p>
      <w:pPr>
        <w:spacing w:after="0" w:line="179" w:lineRule="exact"/>
        <w:rPr>
          <w:rFonts w:ascii="Times New Roman" w:cs="Times New Roman" w:eastAsia="Times New Roman" w:hAnsi="Times New Roman"/>
          <w:sz w:val="18"/>
          <w:szCs w:val="18"/>
          <w:color w:val="auto"/>
        </w:rPr>
      </w:pPr>
    </w:p>
    <w:p>
      <w:pPr>
        <w:ind w:left="-20" w:right="140" w:firstLine="436"/>
        <w:spacing w:after="0" w:line="261" w:lineRule="auto"/>
        <w:tabs>
          <w:tab w:leader="none" w:pos="6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a Holder, including DTC, that is a Holder of a Global Note, may make, give or take, by a proxy or proxies duly appointed in writing, any request, demand, authorization, direction, notice, consent, waiver or other action provided in this Indenture to be made, given or taken by Holders, and any Person that is a Holder of a Global Note, including DTC, may provide its proxy or proxies to the beneficial owners of interests in any such Global Note through such Depositary’s standing instructions and customary practices.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460" w:top="266" w:right="459" w:bottom="1440" w:gutter="0" w:footer="0" w:header="0"/>
        </w:sectPr>
      </w:pPr>
    </w:p>
    <w:bookmarkStart w:id="71" w:name="page72"/>
    <w:bookmarkEnd w:id="71"/>
    <w:p>
      <w:pPr>
        <w:ind w:right="40" w:firstLine="436"/>
        <w:spacing w:after="0" w:line="255"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may fix a record date for the purpose of determining the Persons who are beneficial owners of interests in any Global Note held by DTC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120 days after such record date.</w:t>
      </w:r>
    </w:p>
    <w:p>
      <w:pPr>
        <w:spacing w:after="0" w:line="18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1.05. </w:t>
      </w:r>
      <w:r>
        <w:rPr>
          <w:rFonts w:ascii="Times New Roman" w:cs="Times New Roman" w:eastAsia="Times New Roman" w:hAnsi="Times New Roman"/>
          <w:sz w:val="18"/>
          <w:szCs w:val="18"/>
          <w:i w:val="1"/>
          <w:iCs w:val="1"/>
          <w:color w:val="auto"/>
        </w:rPr>
        <w:t>Timing of Payment</w:t>
      </w:r>
      <w:r>
        <w:rPr>
          <w:rFonts w:ascii="Times New Roman" w:cs="Times New Roman" w:eastAsia="Times New Roman" w:hAnsi="Times New Roman"/>
          <w:sz w:val="18"/>
          <w:szCs w:val="18"/>
          <w:color w:val="auto"/>
        </w:rPr>
        <w:t>. Notwithstanding anything herein to the contrary, if the date on which any payment is to be made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or the Notes is not a Business Day, the payment otherwise payable on such date shall be payable on the next succeeding Business Day with the same force and effect as if made on such scheduled date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payment is made on such succeeding Business Day) no interest shall accrue on the amount of such payment from and after such scheduled date to the time of such payment on such next succeeding Business Day and the amount of any such payment that is an interest payment will reflect accrual only through the original payment date and not through the next succeeding Business Day.</w:t>
      </w:r>
    </w:p>
    <w:p>
      <w:pPr>
        <w:spacing w:after="0" w:line="182"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1.06. </w:t>
      </w:r>
      <w:r>
        <w:rPr>
          <w:rFonts w:ascii="Times New Roman" w:cs="Times New Roman" w:eastAsia="Times New Roman" w:hAnsi="Times New Roman"/>
          <w:sz w:val="18"/>
          <w:szCs w:val="18"/>
          <w:i w:val="1"/>
          <w:iCs w:val="1"/>
          <w:color w:val="auto"/>
        </w:rPr>
        <w:t>Limited Condition Transactions</w:t>
      </w:r>
      <w:r>
        <w:rPr>
          <w:rFonts w:ascii="Times New Roman" w:cs="Times New Roman" w:eastAsia="Times New Roman" w:hAnsi="Times New Roman"/>
          <w:sz w:val="18"/>
          <w:szCs w:val="18"/>
          <w:color w:val="auto"/>
        </w:rPr>
        <w:t>. When calculating the availability under any basket, test or ratio under this Indenture or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provision of this Indenture in connection with any Limited Condition Transaction and any actions or transactions related thereto (including acquisitions, the incurrence, issuance or assumption of Indebtedness, Sale and Lease-Back Transactions and the incurrence or assumption of Liens), in each case, at the option of the Issuer, any of its Restricted Subsidiaries, Holdings, a direct or indirect parent entity of the Issuer, or any successor entity of any of the foregoing (including a third party) (the “</w:t>
      </w:r>
      <w:r>
        <w:rPr>
          <w:rFonts w:ascii="Times New Roman" w:cs="Times New Roman" w:eastAsia="Times New Roman" w:hAnsi="Times New Roman"/>
          <w:sz w:val="18"/>
          <w:szCs w:val="18"/>
          <w:b w:val="1"/>
          <w:bCs w:val="1"/>
          <w:color w:val="auto"/>
        </w:rPr>
        <w:t>Testing Party</w:t>
      </w:r>
      <w:r>
        <w:rPr>
          <w:rFonts w:ascii="Times New Roman" w:cs="Times New Roman" w:eastAsia="Times New Roman" w:hAnsi="Times New Roman"/>
          <w:sz w:val="18"/>
          <w:szCs w:val="18"/>
          <w:color w:val="auto"/>
        </w:rPr>
        <w:t>,” and the election to exercise such option, an “</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the date of determination for availability under any such basket, test or ratio or whether any such action or transaction is permitted (or any requirement or condition therefor is complied with or satisfied (including as to the absence of any continuing Default or Event of Default)) under this Indenture shall be deemed to be the date (the “</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xml:space="preserve">”) either (a) the definitive agreements or letter of intent (or, if applicable, a binding offer, or launch of a “certain funds” tender offer) for such Limited Condition Transaction are entered into (or, if applicable, the date of delivery of a notice, declaration or similar event), or (b) solely in connection with an acquisition to which the United Kingdom City Code on Takeovers and Mergers or similar law or practices in other jurisdictions apply, the date on which a “Rule 2.7 announcement” of a firm intention to make an offer or similar announcement or determination in another jurisdiction subject to similar laws in respect of a target of a Limited Condition Transaction and, in each case, if, after giving pro forma effect to the Limited Condition Transaction and any actions or transactions related thereto (including acquisitions, the incurrence, issuance or assumption of Indebtedness, Sale and Lease-Back Transactions and the incurrence or assumption of Liens) and any related pro forma adjustments, disregarding for the purposes of such pro forma calculation any borrowing under a revolving credit, working capital or letter of credit facility, as if they had occurred at the beginning of the most recently ended four full fiscal quarters ending prior to the LCT Test Date for which internal consolidated financial statements of the Issuer are available, the Issuer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or incurred at the LCT Test Date or at any time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if financial statements for one or more subsequent fiscal quarters shall have become available, the Testing Party may elect, in its sole discretion, to re-determine all such ratios, tests or baskets on the basis of such financial statements, in which case, such date of redetermination shall thereafter be deemed to be the applicable LCT Test Date for purposes of such ratios, tests or baskets, (b) except as contemplated in the foregoing clause (a), compliance with such ratios, tests or baskets (and any related requirements and conditions) shall not be determined or tested at any time after the applicable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0"/>
          </w:cols>
          <w:pgMar w:left="440" w:top="270" w:right="439" w:bottom="1440" w:gutter="0" w:footer="0" w:header="0"/>
        </w:sectPr>
      </w:pPr>
    </w:p>
    <w:bookmarkStart w:id="72" w:name="page73"/>
    <w:bookmarkEnd w:id="7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LCT Test Date for such Limited Condition Transaction and any actions or transactions related thereto (including acquisitions, the incurrence, issuance or assumption of Indebtedness, Sale and Lease-Back Transactions and the incurrence or assumption of Liens) and (c) Consolidated Interest Expense for purposes of the Fixed Charge Coverage Ratio will be calculated using an assumed interest rate based on the indicative interest margin contained in any financing commitment documentation with respect to such Indebtedness or, if no such indicative interest margin exists, as reasonably determined by the Testing Party in good faith.</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For the avoidance of doubt, if the Testing Party has made an LCT Election, (1) if any of the ratios, tests or baskets for which compliance was determined or tested as of the LCT Test Date would at any time after the LCT Test Date have been exceeded or otherwise failed to have been complied with, including as a result of fluctuations in any such ratio, test or basket, including due to fluctuations in exchange rates or EBITDA or total assets of the Issuer or the Person subject to such Limited Condition Transaction at or prior to the consummation of the relevant transaction or action, such baskets, tests or ratios will not be deemed to have been exceeded or failed to have been complied with as a result of such fluctuations;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ratios, tests or baskets improve as a result of such fluctuations, such improved ratios, tests and/or baskets may be utilized; (2)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 Default or an Event of Default), such requirements and conditions will not be deemed to have been failed to be complied with or satisfied (and such Default or Event of Default shall be deemed not to have occurred or be continuing); and (3) in calculating the availability under any ratio, test or basket in connection with any action or transaction unrelated to such Limited Condition Transaction (including without limitation a separate Limited Condition Transaction) following the relevant LCT Test Date and prior to the earlier of the date on which such Limited Condition Transaction is consummated or the date that the definitive agreement, the date of notice or offer or date for redemption, purchase or repayment specified in a notice for such Limited Condition Transaction is terminated, expires or passes, as applicable, without consummation of such Limited Condition Transaction, any such ratio, test or basket shall be determined or tested giving pro forma effect to such Limited Condition Transaction and any actions or transactions related thereto.</w:t>
      </w:r>
    </w:p>
    <w:p>
      <w:pPr>
        <w:spacing w:after="0" w:line="19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any action being taken in connection with a Limited Condition Transaction, for purposes of determining compliance with any provision of this Indenture which requires that no Default, Event of Default or specified Event of Default, as applicable, has occurred, is continuing or would result from any such action, as applicable, such condition shall, at the option of the Testing Party, be deemed satisfied, so long as no Default, Event of Default or specified Event of Default, as applicable, exists on the date of the definitive agreement, the date of notice or offer or date for redemption, purchase or repayment for such Limited Condition Transaction, as applicable. For the avoidance of doubt, if the Testing Party has exercised an LCT Election, and any Default, Event of Default or specified Event of Default occurs following the date the definitive agreements (or, if applicable, the date of delivery of a notice, declaration or similar event) for the applicable Limited Condition Transaction were entered into and prior to the consummation of such Limited Condition Transaction, any such Default, Event of Default or specified Event of Default shall be deemed to not have occurred or be continuing for purposes of determining whether any action being taken in connection with such Limited Condition Transaction is permitted under this Indenture.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3" w:name="page74"/>
    <w:bookmarkEnd w:id="73"/>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1.07. </w:t>
      </w:r>
      <w:r>
        <w:rPr>
          <w:rFonts w:ascii="Times New Roman" w:cs="Times New Roman" w:eastAsia="Times New Roman" w:hAnsi="Times New Roman"/>
          <w:sz w:val="18"/>
          <w:szCs w:val="18"/>
          <w:i w:val="1"/>
          <w:iCs w:val="1"/>
          <w:color w:val="auto"/>
        </w:rPr>
        <w:t>Certain Compliance Calculations</w:t>
      </w:r>
      <w:r>
        <w:rPr>
          <w:rFonts w:ascii="Times New Roman" w:cs="Times New Roman" w:eastAsia="Times New Roman" w:hAnsi="Times New Roman"/>
          <w:sz w:val="18"/>
          <w:szCs w:val="18"/>
          <w:color w:val="auto"/>
        </w:rPr>
        <w:t>. Notwithstanding anything to the contrary herein, in the event any Lien is incurred or assumed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transaction is undertaken (including a Limited Condition Transaction) in reliance on a ratio basket based on the Fixed Charge Coverage Ratio, Consolidated Pari Passu Debt Ratio, Consolidated Secured Debt Ratio or Consolidated Total Debt Ratio or other ratio-based test, such ratio(s) shall be calculated with respect to such incurrence or other transaction without giving effect to amounts being utilized under any other non-ratio-based basket substantially concurrently. Each Lien incurred and each other transaction undertaken will be deemed to have been incurred, assumed or taken first, to the extent available, pursuant to the relevant Fixed Charge Coverage Ratio, Consolidated Pari Passu Debt Ratio, Consolidated Secured Debt Ratio or Consolidated Total Debt Ratio test.</w:t>
      </w:r>
    </w:p>
    <w:p>
      <w:pPr>
        <w:spacing w:after="0" w:line="187"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Notwithstanding anything to the contrary herein, in the event any Lien is committed, incurred, assumed or issued or other transaction is undertaken (including a Limited Condition Transaction) in reliance on a ratio basket based on the Fixed Charge Coverage Ratio, Consolidated Pari Passu Debt Ratio, Consolidated Secured Debt Ratio or Consolidated Total Debt Ratio or other ratio-based test, such ratio(s) shall be calculated without regard to the commitment or incurrence of any Indebtedness under any revolving facility or letter of credit facility (1) immediately prior to or in connection therewith or (2) used to finance working capital needs of the Issuer and its Restricted Subsidiaries (as reasonably determined by the Issuer).</w:t>
      </w:r>
    </w:p>
    <w:p>
      <w:pPr>
        <w:spacing w:after="0" w:line="168"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If a proposed action, matter, transaction or amount (or a portion thereof) meets the criteria of more than one applicable basket, permission or threshold under this Indenture, the Issuer shall be entitled to divide or classify or later divide or reclassify (based on circumstances existing on the date of such reclassification) such action, matter, transaction or amount (or a portion thereof) between such baskets, permission or thresholds as it shall elect from time to time.</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Any calculation, test or measure that is determined with reference to the Issuer’s financial statements (including, without limitation, EBITDA, Consolidated Interest Expense, Consolidated Net Income, Consolidated Pari Passu Debt Ratio, Consolidated Secured Debt Ratio, Consolidated Total Debt Ratio, Fixed Charge Coverage Ratio and Fixed Charges) may be determined with reference to the financial statements of a direct or indirect parent entity of the Issuer instead, so long as such calculation, test or measure would not differ by more than an immaterial amount when using the financial statements of such direct or indirect parent entity of the Issuer as compared to if such calculation, test or measure were made using the Issuer’s financial statements (as determined in good faith by the Issuer).</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Any ratios, tests or baskets required to be satisfied in order for a specific action to be permitted under this Indenture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If the Issuer or any Restricted Subsidiary takes an action which at the time of the taking of such action would in the good faith determination of the Issuer be permitted under the applicable provisions of this Indenture based on the financial statements available at such time, such action shall be deemed to have been made in compliance with this Indenture notwithstanding any subsequent adjustments, modifications or restatements made in good faith to such financial statements affecting Consolidated Net Income, EBITDA or other applicable financial metric.</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1.08.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1.09.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66" w:right="459" w:bottom="1440" w:gutter="0" w:footer="0" w:header="0"/>
        </w:sectPr>
      </w:pPr>
    </w:p>
    <w:bookmarkStart w:id="74" w:name="page75"/>
    <w:bookmarkEnd w:id="74"/>
    <w:p>
      <w:pPr>
        <w:ind w:left="50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THE NOTES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i w:val="1"/>
          <w:iCs w:val="1"/>
          <w:color w:val="auto"/>
        </w:rPr>
        <w:t>Form and Dating; Terms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0" w:firstLine="436"/>
        <w:spacing w:after="0" w:line="261" w:lineRule="auto"/>
        <w:tabs>
          <w:tab w:leader="none" w:pos="6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Notes and the Trustee’s certificate of authentication shall be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for the 2031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hereto for the 2033 Notes. The Notes may have notations, legends or endorsements required by law, stock exchange rules or usage. Each Note shall be dated the date of its authentication. The Notes shall be issued in minimum denominations of $2,000 and any integral multiple of $1,000 in excess thereof.</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Notes issued in global form shall be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for the 2031 Notes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hereto for the 2033 Notes, in each case, including the Global Note Legend thereon and the “Schedule of Exchanges of Interests in the Global Note” attached thereto. Notes issued in definitive form shall be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for the 2031 Notes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hereto for the 2033 Notes, but without the Global Note Legend thereon and without the “Schedule of Exchanges of Interests in the Global Note” attached thereto.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92" w:lineRule="exact"/>
        <w:rPr>
          <w:sz w:val="20"/>
          <w:szCs w:val="20"/>
          <w:color w:val="auto"/>
        </w:rPr>
      </w:pPr>
    </w:p>
    <w:p>
      <w:pPr>
        <w:ind w:left="680" w:hanging="244"/>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Temporary Global 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Notes offered and sold in reliance on Regulation S shall be issued initially in the form of the Regulation S Temporary Global Note, which shall be deposited on behalf of the purchasers of the Notes represented thereby with the Trustee, as Custodian for the Depositary and registered in the name of the applicable Depositary or the nominee of the Depositary for the accounts of designated agents holding on behalf of Euroclear or Clearstream, duly executed by the Issuers and authenticated by the Trustee as hereinafter provided.</w:t>
      </w:r>
    </w:p>
    <w:p>
      <w:pPr>
        <w:spacing w:after="0" w:line="18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Following the termination of the applicable Restricted Period, the Regulation S Temporary Global Note Legend shall be deemed removed from the Regulation S Temporary Global Note, following which temporary beneficial interests in the Regulation S Temporary Global Note shall automatically become beneficial interests in the Regulation S Permanent Global Note pursuant to the Applicable Procedures.</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a Regulation S Temporary Global Note and a Regulation S Permanent Global Note may from time to time be increased or decreased by adjustments made on the records of the Trustee and/or the Paying Agent and the applicable Depositary or their respective nominees, as the case may be, in connection with transfers of interest as hereinafter provided.</w:t>
      </w:r>
    </w:p>
    <w:p>
      <w:pPr>
        <w:spacing w:after="0" w:line="174" w:lineRule="exact"/>
        <w:rPr>
          <w:sz w:val="20"/>
          <w:szCs w:val="20"/>
          <w:color w:val="auto"/>
        </w:rPr>
      </w:pPr>
    </w:p>
    <w:p>
      <w:pPr>
        <w:ind w:left="5360" w:right="1460" w:hanging="4924"/>
        <w:spacing w:after="0" w:line="456" w:lineRule="auto"/>
        <w:tabs>
          <w:tab w:leader="none" w:pos="69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w:t>
      </w:r>
      <w:r>
        <w:rPr>
          <w:rFonts w:ascii="Times New Roman" w:cs="Times New Roman" w:eastAsia="Times New Roman" w:hAnsi="Times New Roman"/>
          <w:sz w:val="18"/>
          <w:szCs w:val="18"/>
          <w:color w:val="auto"/>
        </w:rPr>
        <w:t>. The aggregate principal amount of Notes that may be authenticated and delivered under this Indenture is unlimited.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70" w:right="479" w:bottom="1440" w:gutter="0" w:footer="0" w:header="0"/>
        </w:sectPr>
      </w:pPr>
    </w:p>
    <w:bookmarkStart w:id="75" w:name="page76"/>
    <w:bookmarkEnd w:id="75"/>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and provisions contained in the Notes shall constitute, and are hereby expressly made, a part of this Indenture and the Issuers, the Guarantors and the Trustee, by their execution and delivery of this Indenture, or a supplemental indenture to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Notes shall be subject to repurchase by the Issuers pursuant to a Change of Control Offer or Alternate Offer as provided in Section 4.14 hereof. The Notes shall not be redeemable, other than as provided in Article 3 hereof.</w:t>
      </w:r>
    </w:p>
    <w:p>
      <w:pPr>
        <w:spacing w:after="0" w:line="16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Subject to compliance with Section 4.12 hereof, the Issuers may issue Additional Notes from time to time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Initial Notes without notice to or consent of the Holders, and such Additional Notes shall be consolidated with and form a single class with the applicable series of Initial Notes (except as otherwise provided for herein) and shall have the same terms as to status, redemption or otherwise as the applicable series of Initial Notes, except that interest may accrue on the Additional Notes from their date of issuance (or such other date specified by the Issuers);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separate CUSIP or ISIN will be issued for the Additional Notes, unless the applicable series of Initial Notes and the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of such series are treated as fungible for U.S. federal income tax purposes. Any Additional Notes may be issued with the benefit of an indenture supplemental to this Indenture. The Initial 2031 Notes and the Initial 2033 Notes are separate series.</w:t>
      </w:r>
    </w:p>
    <w:p>
      <w:pPr>
        <w:spacing w:after="0" w:line="183" w:lineRule="exact"/>
        <w:rPr>
          <w:sz w:val="20"/>
          <w:szCs w:val="20"/>
          <w:color w:val="auto"/>
        </w:rPr>
      </w:pPr>
    </w:p>
    <w:p>
      <w:pPr>
        <w:ind w:right="180" w:firstLine="436"/>
        <w:spacing w:after="0" w:line="290" w:lineRule="auto"/>
        <w:tabs>
          <w:tab w:leader="none" w:pos="68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Euroclear and Clearstream Procedures Applicable</w:t>
      </w:r>
      <w:r>
        <w:rPr>
          <w:rFonts w:ascii="Times New Roman" w:cs="Times New Roman" w:eastAsia="Times New Roman" w:hAnsi="Times New Roman"/>
          <w:sz w:val="17"/>
          <w:szCs w:val="17"/>
          <w:color w:val="auto"/>
        </w:rPr>
        <w:t>. The provisions of the “Operating Procedures of the Euroclear System” and “Terms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Governing Use of Euroclear” and the “General Terms and Conditions of Clearstream Banking” and “Customer Handbook” of Clearstream shall be applicable to transfers of beneficial interests in the Regulation S Global Notes that are held by Participants through Euroclear or Clearstream.</w:t>
      </w:r>
    </w:p>
    <w:p>
      <w:pPr>
        <w:spacing w:after="0" w:line="153"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i w:val="1"/>
          <w:iCs w:val="1"/>
          <w:color w:val="auto"/>
        </w:rPr>
        <w:t>Execution and Authentication</w:t>
      </w:r>
      <w:r>
        <w:rPr>
          <w:rFonts w:ascii="Times New Roman" w:cs="Times New Roman" w:eastAsia="Times New Roman" w:hAnsi="Times New Roman"/>
          <w:sz w:val="18"/>
          <w:szCs w:val="18"/>
          <w:color w:val="auto"/>
        </w:rPr>
        <w:t>. At least one Officer of each Issuer shall execute the Notes on behalf of such Issuer by manual,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facsimile or electronic (including “.pdf”) signature.</w:t>
      </w:r>
    </w:p>
    <w:p>
      <w:pPr>
        <w:spacing w:after="0" w:line="15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If an Officer of an Issuer whose signature is on a Note no longer holds that office at the time the Trustee authenticates the Note, the Note shall nevertheless be valid.</w:t>
      </w:r>
    </w:p>
    <w:p>
      <w:pPr>
        <w:spacing w:after="0" w:line="162"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 Note shall not be entitled to any benefit under this Indenture or be valid or obligatory for any purpose until authenticated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for the 2031 Notes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hereto for the 2033 Notes, in each case, by the manual signature of the Trustee. The signature shall be conclusive evidence that the Note has been duly authenticated and delivered under this Indenture.</w:t>
      </w:r>
    </w:p>
    <w:p>
      <w:pPr>
        <w:spacing w:after="0" w:line="172"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On the Issue Date, the Trustee shall, upon receipt of an Issuers’ Order (an “</w:t>
      </w:r>
      <w:r>
        <w:rPr>
          <w:rFonts w:ascii="Times New Roman" w:cs="Times New Roman" w:eastAsia="Times New Roman" w:hAnsi="Times New Roman"/>
          <w:sz w:val="18"/>
          <w:szCs w:val="18"/>
          <w:b w:val="1"/>
          <w:bCs w:val="1"/>
          <w:color w:val="auto"/>
        </w:rPr>
        <w:t>Authentication Order</w:t>
      </w:r>
      <w:r>
        <w:rPr>
          <w:rFonts w:ascii="Times New Roman" w:cs="Times New Roman" w:eastAsia="Times New Roman" w:hAnsi="Times New Roman"/>
          <w:sz w:val="18"/>
          <w:szCs w:val="18"/>
          <w:color w:val="auto"/>
        </w:rPr>
        <w:t>”), authenticate and deliver the Initial Notes in the aggregate principal amount or amounts specified in such Authentication Order. In addition, at any time, from time to time, the Trustee shall, upon receipt of an Authentication Order, authenticate and deliver any Additional Notes for an aggregate principal amount specified in such Authentication Order for such Additional Notes issued or increased hereunder.</w:t>
      </w:r>
    </w:p>
    <w:p>
      <w:pPr>
        <w:spacing w:after="0" w:line="176"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The Trustee may appoint an authenticating agent (an “</w:t>
      </w:r>
      <w:r>
        <w:rPr>
          <w:rFonts w:ascii="Times New Roman" w:cs="Times New Roman" w:eastAsia="Times New Roman" w:hAnsi="Times New Roman"/>
          <w:sz w:val="18"/>
          <w:szCs w:val="18"/>
          <w:b w:val="1"/>
          <w:bCs w:val="1"/>
          <w:color w:val="auto"/>
        </w:rPr>
        <w:t>Authentication Agent</w:t>
      </w:r>
      <w:r>
        <w:rPr>
          <w:rFonts w:ascii="Times New Roman" w:cs="Times New Roman" w:eastAsia="Times New Roman" w:hAnsi="Times New Roman"/>
          <w:sz w:val="18"/>
          <w:szCs w:val="18"/>
          <w:color w:val="auto"/>
        </w:rPr>
        <w:t>”) acceptable to the Issuers to authenticate Notes. An authenticating agent may authenticate Notes whenever the Trustee may do so. Each reference in this Indenture to authentication by the Trustee includes authentication by such agent. An Authentication Agent has the same rights as an Agent to deal with Holders or an Affiliate of the Issuer.</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40" w:top="270" w:right="479" w:bottom="1440" w:gutter="0" w:footer="0" w:header="0"/>
        </w:sectPr>
      </w:pPr>
    </w:p>
    <w:bookmarkStart w:id="76" w:name="page77"/>
    <w:bookmarkEnd w:id="76"/>
    <w:p>
      <w:pPr>
        <w:ind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2.03. </w:t>
      </w:r>
      <w:r>
        <w:rPr>
          <w:rFonts w:ascii="Times New Roman" w:cs="Times New Roman" w:eastAsia="Times New Roman" w:hAnsi="Times New Roman"/>
          <w:sz w:val="18"/>
          <w:szCs w:val="18"/>
          <w:i w:val="1"/>
          <w:iCs w:val="1"/>
          <w:color w:val="auto"/>
        </w:rPr>
        <w:t>Registrars, Transfer Agents and Paying Agents</w:t>
      </w:r>
      <w:r>
        <w:rPr>
          <w:rFonts w:ascii="Times New Roman" w:cs="Times New Roman" w:eastAsia="Times New Roman" w:hAnsi="Times New Roman"/>
          <w:sz w:val="18"/>
          <w:szCs w:val="18"/>
          <w:color w:val="auto"/>
        </w:rPr>
        <w:t>. The Issuers shall maintain (i) one or more registrars with respect to the Notes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Notes may be presented for registration (each, a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which shall be the Trustee as of the date of this Indenture, (ii) one or more offices or agencies where the Notes, may be presented for transfer or for exchange (each, a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which shall be the Trustee as of the date of this Indenture, and (iii) one or more offices or agencies where the Notes, may be presented for payment (each, a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which shall be the Trustee as of the date of this Indenture. The Registrar shall keep a register of the Notes (“</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and of their transfer and exchange and keep such Note Register in accordance with the rules and procedures of DTC. The registered Holder of a Note will be treated as the owner of such Note for all purposes and only registered Holders shall have rights under this Indenture and the Notes. The Issuers may appoint one or more co-registrars, one or more co-transfer agents and one or more additional paying agents. The term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includes any co-registrar, the term “</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includes any co-transfer agent and the term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includes any additional paying agents. The Issuers may change any Paying Agent, Transfer Agent or Registrar without prior notice to any Holder. The Issuers shall notify the Trustee in writing of the name and address of any Agent not a party to this Indenture. If the Issuers fail to appoint or maintain another entity as Registrar, Transfer Agent or Paying Agent, the Trustee or an affiliate of the Trustee shall act as such. The Issuer or any of its Subsidiaries may act as Paying Agent, Transfer Agent or Registrar.</w:t>
      </w:r>
    </w:p>
    <w:p>
      <w:pPr>
        <w:spacing w:after="0" w:line="190"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The Issuers initially appoint The Depository Trust Company, its nominees and successors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act as Depositary with respect to the Global Notes. The Issuers initially appoint the Trustee to act as the Registrar for the Notes and the Paying Agent and Transfer Agent for the Notes and to act as Custodian with respect to the Global Notes.</w:t>
      </w:r>
    </w:p>
    <w:p>
      <w:pPr>
        <w:spacing w:after="0" w:line="17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If any Notes are listed on an exchange and the rules of such exchange so require, the Issuers will satisfy any requirement of such exchange as to paying agents, registrars and transfer agents and will comply with any notice requirements required under such exchange in connection with any change of paying agent, registrar or transfer agent.</w:t>
      </w:r>
    </w:p>
    <w:p>
      <w:pPr>
        <w:spacing w:after="0" w:line="17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2.04. </w:t>
      </w:r>
      <w:r>
        <w:rPr>
          <w:rFonts w:ascii="Times New Roman" w:cs="Times New Roman" w:eastAsia="Times New Roman" w:hAnsi="Times New Roman"/>
          <w:sz w:val="18"/>
          <w:szCs w:val="18"/>
          <w:i w:val="1"/>
          <w:iCs w:val="1"/>
          <w:color w:val="auto"/>
        </w:rPr>
        <w:t>Notes Paying Agent to Hold Money in Trust</w:t>
      </w:r>
      <w:r>
        <w:rPr>
          <w:rFonts w:ascii="Times New Roman" w:cs="Times New Roman" w:eastAsia="Times New Roman" w:hAnsi="Times New Roman"/>
          <w:sz w:val="18"/>
          <w:szCs w:val="18"/>
          <w:color w:val="auto"/>
        </w:rPr>
        <w:t>. The Issuers shall require any Paying Agent with respect to the Notes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to agree in writing that such Paying Agent shall hold in trust for the benefit of Holders of the Notes or the Trustee all money held by such Paying Agent for the payment of principal and premium, if any, or interest on the Notes, and will notify the Trustee in writing of any default by the Issuers in making any such payment. While any such default continues, the Trustee may require the Paying Agent with respect to the Notes (other than the Trustee) to pay all money held by it to the Trustee. The Issuers at any time may require the Paying Agent with respect to the Notes (other than the Trustee) to pay all money held by it to the Trustee. Upon payment over to the Trustee, the Paying Agent with respect to the Notes (if other than the Issuer or a Subsidiary thereof or the Trustee) shall have no further liability for the money. If any of the Issuer or a Subsidiary thereof acts as Paying Agent, it shall segregate and hold in a separate trust fund for the benefit of the Trustee and the Holders all money held by it as Paying Agent. Upon any bankruptcy or reorganization proceedings relating to the Issuers, the Trustee shall serve as Paying Agent for the Notes.</w:t>
      </w:r>
    </w:p>
    <w:p>
      <w:pPr>
        <w:spacing w:after="0" w:line="188" w:lineRule="exact"/>
        <w:rPr>
          <w:sz w:val="20"/>
          <w:szCs w:val="20"/>
          <w:color w:val="auto"/>
        </w:rPr>
      </w:pPr>
    </w:p>
    <w:p>
      <w:pPr>
        <w:ind w:right="3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2.05. </w:t>
      </w:r>
      <w:r>
        <w:rPr>
          <w:rFonts w:ascii="Times New Roman" w:cs="Times New Roman" w:eastAsia="Times New Roman" w:hAnsi="Times New Roman"/>
          <w:sz w:val="18"/>
          <w:szCs w:val="18"/>
          <w:i w:val="1"/>
          <w:iCs w:val="1"/>
          <w:color w:val="auto"/>
        </w:rPr>
        <w:t>Holder Lists</w:t>
      </w:r>
      <w:r>
        <w:rPr>
          <w:rFonts w:ascii="Times New Roman" w:cs="Times New Roman" w:eastAsia="Times New Roman" w:hAnsi="Times New Roman"/>
          <w:sz w:val="18"/>
          <w:szCs w:val="18"/>
          <w:color w:val="auto"/>
        </w:rPr>
        <w:t>. The Trustee shall preserve in as current a form as is reasonably practicable the most recent list available to it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names and addresses of all Holders. If the Trustee is not the Registrar, the Issuers shall furnish to the Trustee at least five Business Days before each Interest Payment Date and at such other times as the Trustee may request in writing, a list in such form and as of such date as the Trustee may reasonably require of the names and addresses of the Holders.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0"/>
          </w:cols>
          <w:pgMar w:left="440" w:top="266" w:right="43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2.06. </w:t>
      </w:r>
      <w:r>
        <w:rPr>
          <w:rFonts w:ascii="Times New Roman" w:cs="Times New Roman" w:eastAsia="Times New Roman" w:hAnsi="Times New Roman"/>
          <w:sz w:val="18"/>
          <w:szCs w:val="18"/>
          <w:i w:val="1"/>
          <w:iCs w:val="1"/>
          <w:color w:val="auto"/>
        </w:rPr>
        <w:t>Transfer and Exchange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8" w:lineRule="auto"/>
        <w:tabs>
          <w:tab w:leader="none" w:pos="6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Global Notes</w:t>
      </w:r>
      <w:r>
        <w:rPr>
          <w:rFonts w:ascii="Times New Roman" w:cs="Times New Roman" w:eastAsia="Times New Roman" w:hAnsi="Times New Roman"/>
          <w:sz w:val="18"/>
          <w:szCs w:val="18"/>
          <w:color w:val="auto"/>
        </w:rPr>
        <w:t>. Except as otherwise set forth in this Section 2.06, a Global Note may be transferred, in whole and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part, only to another nominee of the Depositary or to a successor thereto or a nominee of such successor thereto. A beneficial interest in a Global Note may not be exchanged for a Definitive Note unless, and, if applicable, subject to the limitation on issuance of Definitive Notes set forth in</w:t>
      </w: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2.06(c)(ii), (i) the Depositary (x) notifies the Issuers that it is unwilling or unable to continue as Depositary for such Global Note or (y) has ceased to be a clearing agency registered under the Exchange Act, and, in either case, a successor Depositary is not appointed by the Issuers within 120 days, (ii) the Issuers, at their option, notifies the Trustee in writing that it elects to cause the issuance of Definitive Notes (although Regulation S Temporary Global Notes may not be exchanged for Definitive Notes prior to (A) the expiration of the applicable Restricted Period and (B) the receipt by the applicable Registrar of any certification of beneficial ownership required pursuant to Rule 903(b)(3)(ii)(B)), (iii) upon the request of a Holder if there shall have occurred and be continuing an Event of Default with respect to the Notes, or (iv) the Trustee has received a written request by or on behalf of the Depositary to issue Definitive Notes. Upon the occurrence of any of the events described in clause (i), (ii), (iii) or (iv) above, Definitive Notes delivered in exchange for any Global Note or beneficial interests therein will be registered in the names, and issued in any approved denominations, requested by or on behalf of the Depositary (in accordance with its customary procedures). Global Notes also may be exchanged or replaced, in whole or in part, as provided in Sections 2.07 and 2.10 hereof. Every Note authenticated and delivered in exchange for, or in lieu of, a Global Note or any portion thereof, pursuant to this Section 2.06 or Sections 2.07 or 2.10 hereof, shall be authenticated and delivered in the form of, and shall be, a Global Note, except for Definitive Notes issued subsequent to any of the events described in clause (i), (ii), (iii) or (iv) above and pursuant to Section 2.06(c) hereof. A Global Note may not be exchanged for another Note other than as provided in this Section 2.06(a);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beneficial interests in a Global Note may be transferred and exchanged as provided in Section 2.06(b), (c) or (e) hereof.</w:t>
      </w:r>
    </w:p>
    <w:p>
      <w:pPr>
        <w:spacing w:after="0" w:line="189" w:lineRule="exact"/>
        <w:rPr>
          <w:rFonts w:ascii="Times New Roman" w:cs="Times New Roman" w:eastAsia="Times New Roman" w:hAnsi="Times New Roman"/>
          <w:sz w:val="18"/>
          <w:szCs w:val="18"/>
          <w:color w:val="auto"/>
        </w:rPr>
      </w:pPr>
    </w:p>
    <w:p>
      <w:pPr>
        <w:jc w:val="both"/>
        <w:ind w:right="120" w:firstLine="436"/>
        <w:spacing w:after="0" w:line="258"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Beneficial Interests in the Global Notes</w:t>
      </w:r>
      <w:r>
        <w:rPr>
          <w:rFonts w:ascii="Times New Roman" w:cs="Times New Roman" w:eastAsia="Times New Roman" w:hAnsi="Times New Roman"/>
          <w:sz w:val="18"/>
          <w:szCs w:val="18"/>
          <w:color w:val="auto"/>
        </w:rPr>
        <w:t>. The transfer and exchange of beneficial interests in the Global Notes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effected through the applicable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(ii), (iii) or (iv) below, as applicable, as well as one or more of the other following subparagraphs, as applicable:</w:t>
      </w:r>
    </w:p>
    <w:p>
      <w:pPr>
        <w:spacing w:after="0" w:line="75"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07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Beneficial Interests in the Same Global Note</w:t>
      </w:r>
      <w:r>
        <w:rPr>
          <w:rFonts w:ascii="Times New Roman" w:cs="Times New Roman" w:eastAsia="Times New Roman" w:hAnsi="Times New Roman"/>
          <w:sz w:val="18"/>
          <w:szCs w:val="18"/>
          <w:color w:val="auto"/>
        </w:rPr>
        <w:t>. Beneficial interests in any Restricted Global Note may be transferred to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who take delivery thereof in the form of a beneficial interest in the same Restricted Global Note in accordance with the transfer restrictions set forth in the applicable Private Placement Legend;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expiration of the Restricted Period, transfers of beneficial interests in the Regulation S Temporary Global Note may not be made to a U.S. Person or for the account or benefit of a U.S. Person other than pursuant to Rule 144A.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66" w:right="459" w:bottom="1440" w:gutter="0" w:footer="0" w:header="0"/>
        </w:sectPr>
      </w:pPr>
    </w:p>
    <w:bookmarkStart w:id="78" w:name="page79"/>
    <w:bookmarkEnd w:id="78"/>
    <w:p>
      <w:pPr>
        <w:ind w:firstLine="419"/>
        <w:spacing w:after="0" w:line="253" w:lineRule="auto"/>
        <w:tabs>
          <w:tab w:leader="none" w:pos="68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Other Transfers and Exchanges of Beneficial Interests in Global Notes</w:t>
      </w:r>
      <w:r>
        <w:rPr>
          <w:rFonts w:ascii="Times New Roman" w:cs="Times New Roman" w:eastAsia="Times New Roman" w:hAnsi="Times New Roman"/>
          <w:sz w:val="18"/>
          <w:szCs w:val="18"/>
          <w:color w:val="auto"/>
        </w:rPr>
        <w:t>. In connection with all transfers and exchanges of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interests that are not subject to Section 2.06(b)(i) hereof, the transferor of such beneficial interest must deliver to the Registrar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Definitive Notes be issued upon the transfer or exchange of beneficial interests in a Regulation S Temporary Global Note prior to (x) the expiration of the applicable Restricted Period therefor and (y) the receipt by the Registrar of any certification of beneficial ownership required pursuant to Rule 903(b)(3)(ii)(B).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spacing w:after="0" w:line="77" w:lineRule="exact"/>
        <w:rPr>
          <w:rFonts w:ascii="Times New Roman" w:cs="Times New Roman" w:eastAsia="Times New Roman" w:hAnsi="Times New Roman"/>
          <w:sz w:val="18"/>
          <w:szCs w:val="18"/>
          <w:color w:val="auto"/>
        </w:rPr>
      </w:pPr>
    </w:p>
    <w:p>
      <w:pPr>
        <w:ind w:right="280" w:firstLine="419"/>
        <w:spacing w:after="0" w:line="267" w:lineRule="auto"/>
        <w:tabs>
          <w:tab w:leader="none" w:pos="73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Beneficial Interests to Another Restricted Global Note</w:t>
      </w:r>
      <w:r>
        <w:rPr>
          <w:rFonts w:ascii="Times New Roman" w:cs="Times New Roman" w:eastAsia="Times New Roman" w:hAnsi="Times New Roman"/>
          <w:sz w:val="18"/>
          <w:szCs w:val="18"/>
          <w:color w:val="auto"/>
        </w:rPr>
        <w:t>. A beneficial interest in any Restricted Global Note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to a Person who takes delivery thereof in the form of a beneficial interest in another Restricted Global Note if the transfer complies with the requirements of Section 2.06(b)(ii), and the Registrar receives the following:</w:t>
      </w:r>
    </w:p>
    <w:p>
      <w:pPr>
        <w:spacing w:after="0" w:line="67" w:lineRule="exact"/>
        <w:rPr>
          <w:rFonts w:ascii="Times New Roman" w:cs="Times New Roman" w:eastAsia="Times New Roman" w:hAnsi="Times New Roman"/>
          <w:sz w:val="18"/>
          <w:szCs w:val="18"/>
          <w:color w:val="auto"/>
        </w:rPr>
      </w:pPr>
    </w:p>
    <w:p>
      <w:pPr>
        <w:ind w:left="540" w:right="220" w:firstLine="408"/>
        <w:spacing w:after="0" w:line="282" w:lineRule="auto"/>
        <w:tabs>
          <w:tab w:leader="none" w:pos="123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a 144A Global Note,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applicable, including the certifications in item (1) thereof; or</w:t>
      </w:r>
    </w:p>
    <w:p>
      <w:pPr>
        <w:spacing w:after="0" w:line="53" w:lineRule="exact"/>
        <w:rPr>
          <w:rFonts w:ascii="Times New Roman" w:cs="Times New Roman" w:eastAsia="Times New Roman" w:hAnsi="Times New Roman"/>
          <w:sz w:val="18"/>
          <w:szCs w:val="18"/>
          <w:color w:val="auto"/>
        </w:rPr>
      </w:pPr>
    </w:p>
    <w:p>
      <w:pPr>
        <w:ind w:left="540" w:right="360" w:firstLine="408"/>
        <w:spacing w:after="0" w:line="282" w:lineRule="auto"/>
        <w:tabs>
          <w:tab w:leader="none" w:pos="122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a Regulation S Global Note,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applicable, including the certifications in item (2) thereof.</w:t>
      </w:r>
    </w:p>
    <w:p>
      <w:pPr>
        <w:spacing w:after="0" w:line="51" w:lineRule="exact"/>
        <w:rPr>
          <w:rFonts w:ascii="Times New Roman" w:cs="Times New Roman" w:eastAsia="Times New Roman" w:hAnsi="Times New Roman"/>
          <w:sz w:val="18"/>
          <w:szCs w:val="18"/>
          <w:color w:val="auto"/>
        </w:rPr>
      </w:pPr>
    </w:p>
    <w:p>
      <w:pPr>
        <w:ind w:right="80" w:firstLine="419"/>
        <w:spacing w:after="0" w:line="261" w:lineRule="auto"/>
        <w:tabs>
          <w:tab w:leader="none" w:pos="72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Beneficial Interests in a Restricted Global Note for Beneficial Interests in an Unrestricted Global Note</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as applicable, and:</w:t>
      </w:r>
    </w:p>
    <w:p>
      <w:pPr>
        <w:spacing w:after="0" w:line="7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Notes are sold or exchanged pursuant to an effective registration statement under the Securities Act; or</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980" w:right="280" w:firstLine="391"/>
        <w:spacing w:after="0" w:line="266" w:lineRule="auto"/>
        <w:tabs>
          <w:tab w:leader="none" w:pos="1618"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beneficial interest in an Unrestricted Global Note, a certificate from such Holder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as applicable, including the certifications in item (1) (a) thereof; or</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540"/>
          </w:cols>
          <w:pgMar w:left="880" w:top="268" w:right="479" w:bottom="1440" w:gutter="0" w:footer="0" w:header="0"/>
        </w:sectPr>
      </w:pPr>
    </w:p>
    <w:bookmarkStart w:id="79" w:name="page80"/>
    <w:bookmarkEnd w:id="79"/>
    <w:p>
      <w:pPr>
        <w:ind w:left="1420" w:right="140" w:firstLine="391"/>
        <w:spacing w:after="0" w:line="266" w:lineRule="auto"/>
        <w:tabs>
          <w:tab w:leader="none" w:pos="205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applicable, including the certifications in item (4) thereof;</w:t>
      </w:r>
    </w:p>
    <w:p>
      <w:pPr>
        <w:spacing w:after="0" w:line="68" w:lineRule="exact"/>
        <w:rPr>
          <w:sz w:val="20"/>
          <w:szCs w:val="20"/>
          <w:color w:val="auto"/>
        </w:rPr>
      </w:pPr>
    </w:p>
    <w:p>
      <w:pPr>
        <w:ind w:left="980" w:right="20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clause (B), if the Issuers so request or if the Applicable Procedures so require, an Opinion of Counsel in form reasonably acceptable to the Issuers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If any such transfer is effected pursuant to clause (A) or (B)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clause (A) or (B) above.</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60" w:lineRule="exact"/>
        <w:rPr>
          <w:sz w:val="20"/>
          <w:szCs w:val="20"/>
          <w:color w:val="auto"/>
        </w:rPr>
      </w:pPr>
    </w:p>
    <w:p>
      <w:pPr>
        <w:ind w:left="680" w:hanging="244"/>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or Exchange of Beneficial Interests for Definitive Notes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61" w:lineRule="auto"/>
        <w:tabs>
          <w:tab w:leader="none" w:pos="1206"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Restricted Global Notes to Restricted Definitive Notes. </w:t>
      </w:r>
      <w:r>
        <w:rPr>
          <w:rFonts w:ascii="Times New Roman" w:cs="Times New Roman" w:eastAsia="Times New Roman" w:hAnsi="Times New Roman"/>
          <w:sz w:val="18"/>
          <w:szCs w:val="18"/>
          <w:color w:val="auto"/>
        </w:rPr>
        <w:t>If any holder of a beneficial interest in a Restricted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proposes to exchange such beneficial interest for a Restricted Definitive Note or to transfer such beneficial interest to a Person who takes delivery thereof in the form of a Restricted Definitive Note, then, in the case of the Restricted Definitive Notes, upon the occurrence of any of the events described in clause (i), (ii), (iii) or (iv) of Section 2.06(a) hereof and receipt by the Registrar of the following documentation:</w:t>
      </w:r>
    </w:p>
    <w:p>
      <w:pPr>
        <w:spacing w:after="0" w:line="73" w:lineRule="exact"/>
        <w:rPr>
          <w:rFonts w:ascii="Times New Roman" w:cs="Times New Roman" w:eastAsia="Times New Roman" w:hAnsi="Times New Roman"/>
          <w:sz w:val="18"/>
          <w:szCs w:val="18"/>
          <w:color w:val="auto"/>
        </w:rPr>
      </w:pPr>
    </w:p>
    <w:p>
      <w:pPr>
        <w:ind w:left="440" w:right="160" w:firstLine="419"/>
        <w:spacing w:after="0" w:line="276" w:lineRule="auto"/>
        <w:tabs>
          <w:tab w:leader="none" w:pos="1158"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holder of such beneficial interest in a Restricted Global Note proposes to exchange such beneficial interest for a Restricted Definitive Note, a certificate from such holder substantially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as applicable, including the certifications in item (2)</w:t>
      </w:r>
    </w:p>
    <w:p>
      <w:pPr>
        <w:ind w:left="680" w:hanging="244"/>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8"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4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QIB in accordance with Rule 144A,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applicable, including the certifications in item (1) thereof;</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4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Non-U.S. Person in an offshore transaction in accordance with Rule 903 or Rule 904,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applicable, including the certifications in item (2) thereof;</w:t>
      </w:r>
    </w:p>
    <w:p>
      <w:pPr>
        <w:spacing w:after="0" w:line="53" w:lineRule="exact"/>
        <w:rPr>
          <w:rFonts w:ascii="Times New Roman" w:cs="Times New Roman" w:eastAsia="Times New Roman" w:hAnsi="Times New Roman"/>
          <w:sz w:val="18"/>
          <w:szCs w:val="18"/>
          <w:color w:val="auto"/>
        </w:rPr>
      </w:pPr>
    </w:p>
    <w:p>
      <w:pPr>
        <w:jc w:val="both"/>
        <w:ind w:left="440" w:right="480" w:firstLine="419"/>
        <w:spacing w:after="0" w:line="266" w:lineRule="auto"/>
        <w:tabs>
          <w:tab w:leader="none" w:pos="115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exemption from the registration requirements of the Securities Act in accordance with Rule 144,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applicable, including the certifications in item (3)(a) thereof;</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3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an Issuer, Holdings or any of their Subsidiaries or Affiliates,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applicable, including the certifications in item (3)(b) thereof;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80" w:name="page81"/>
    <w:bookmarkEnd w:id="80"/>
    <w:p>
      <w:pPr>
        <w:ind w:left="440" w:right="580" w:firstLine="419"/>
        <w:spacing w:after="0" w:line="282" w:lineRule="auto"/>
        <w:tabs>
          <w:tab w:leader="none" w:pos="11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beneficial interest is being transferred pursuant to an effective registration statement under the Securities Act,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applicable, including the certifications in item (3)(c) thereof,</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Trustee shall cause the aggregate principal amount of the applicable Global Note to be reduced accordingly pursuant to Section 2.06(h) hereof, and the Issuers shall execute and, upon receipt of an Authentication Order, the Trustee shall authenticate and send to the Person designated in the instructions a Definitive Note in the applicable principal amount. Any Definitive Note issued in exchange for a beneficial interest in a Restricted Global Note pursuant to this Section 2.06(c)(i) shall be registered in such name or names and in such authorized denomination or denominations as the holder of such beneficial interest shall instruct the Registrar through instructions from the Depositary. The Trustee shall send such Definitive Notes to the Persons in whose names such Notes are so registered. Any Definitive Note issued in exchange for a beneficial interest in a Restricted Global Note pursuant to this Section 2.06(c)(i) (except transfers pursuant to clause (F) above) shall bear the Private Placement Legend and shall be subject to all restrictions on transfer contained therein.</w:t>
      </w:r>
    </w:p>
    <w:p>
      <w:pPr>
        <w:spacing w:after="0" w:line="190" w:lineRule="exact"/>
        <w:rPr>
          <w:sz w:val="20"/>
          <w:szCs w:val="20"/>
          <w:color w:val="auto"/>
        </w:rPr>
      </w:pPr>
    </w:p>
    <w:p>
      <w:pPr>
        <w:ind w:right="20" w:firstLine="436"/>
        <w:spacing w:after="0" w:line="258" w:lineRule="auto"/>
        <w:tabs>
          <w:tab w:leader="none" w:pos="70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Regulation S Temporary Global Note to Definitive Notes. </w:t>
      </w:r>
      <w:r>
        <w:rPr>
          <w:rFonts w:ascii="Times New Roman" w:cs="Times New Roman" w:eastAsia="Times New Roman" w:hAnsi="Times New Roman"/>
          <w:sz w:val="18"/>
          <w:szCs w:val="18"/>
          <w:color w:val="auto"/>
        </w:rPr>
        <w:t>Notwithstanding Sections 2.06(c)(i)(A) and (C) hereof,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interest in the Regulation S Temporary Global Note may not be exchanged for a Definitive Note or transferred to a Person who takes delivery thereof in the form of a Definitive Note prior to (A) the expiration of the applicable Restricted Period therefor and (B) the receipt by the Registrar of any certifications of beneficial ownership required pursuant to Rule 903(b)(3)(ii)(B) of the Securities Act, except in the case of a transfer pursuant to an exemption from the registration requirements of the Securities Act other than Rule 903 or Rule 904.</w:t>
      </w:r>
    </w:p>
    <w:p>
      <w:pPr>
        <w:spacing w:after="0" w:line="183" w:lineRule="exact"/>
        <w:rPr>
          <w:rFonts w:ascii="Times New Roman" w:cs="Times New Roman" w:eastAsia="Times New Roman" w:hAnsi="Times New Roman"/>
          <w:sz w:val="18"/>
          <w:szCs w:val="18"/>
          <w:color w:val="auto"/>
        </w:rPr>
      </w:pPr>
    </w:p>
    <w:p>
      <w:pPr>
        <w:ind w:right="40" w:firstLine="436"/>
        <w:spacing w:after="0" w:line="261" w:lineRule="auto"/>
        <w:tabs>
          <w:tab w:leader="none" w:pos="7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Restricted Global Notes to Unrestricted Definitive Notes. </w:t>
      </w:r>
      <w:r>
        <w:rPr>
          <w:rFonts w:ascii="Times New Roman" w:cs="Times New Roman" w:eastAsia="Times New Roman" w:hAnsi="Times New Roman"/>
          <w:sz w:val="18"/>
          <w:szCs w:val="18"/>
          <w:color w:val="auto"/>
        </w:rPr>
        <w:t>A holder of a beneficial interest in a Restricted Global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exchange such beneficial interest for an Unrestricted Definitive Note or may transfer such beneficial interest to a Person who takes delivery thereof in the form of an Unrestricted Definitive Note only upon the occurrence of any of the events described in clause (i), (ii), (iii) or (iv) of Section 2.06(a) hereof, and if the Registrar receives the following:</w:t>
      </w:r>
    </w:p>
    <w:p>
      <w:pPr>
        <w:spacing w:after="0" w:line="73" w:lineRule="exact"/>
        <w:rPr>
          <w:rFonts w:ascii="Times New Roman" w:cs="Times New Roman" w:eastAsia="Times New Roman" w:hAnsi="Times New Roman"/>
          <w:sz w:val="18"/>
          <w:szCs w:val="18"/>
          <w:color w:val="auto"/>
        </w:rPr>
      </w:pPr>
    </w:p>
    <w:p>
      <w:pPr>
        <w:ind w:left="440" w:right="160" w:firstLine="419"/>
        <w:spacing w:after="0" w:line="276" w:lineRule="auto"/>
        <w:tabs>
          <w:tab w:leader="none" w:pos="1158"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holder of such beneficial interest in a Restricted Global Note proposes to exchange such beneficial interest for an Unrestricted Definitive Note, a certificate from such holder substantially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as applicable, including the certifications in item (1)</w:t>
      </w: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thereof; or</w:t>
      </w:r>
    </w:p>
    <w:p>
      <w:pPr>
        <w:spacing w:after="0" w:line="98" w:lineRule="exact"/>
        <w:rPr>
          <w:rFonts w:ascii="Times New Roman" w:cs="Times New Roman" w:eastAsia="Times New Roman" w:hAnsi="Times New Roman"/>
          <w:sz w:val="17"/>
          <w:szCs w:val="17"/>
          <w:color w:val="auto"/>
        </w:rPr>
      </w:pPr>
    </w:p>
    <w:p>
      <w:pPr>
        <w:ind w:left="440" w:right="40" w:firstLine="419"/>
        <w:spacing w:after="0" w:line="266" w:lineRule="auto"/>
        <w:tabs>
          <w:tab w:leader="none" w:pos="114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transfer such beneficial interest to a Person who shall take delivery thereof in the form of an Unrestricted Definitive Note, a certificate from such holder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applicable, including the certifications in item (4) thereof;</w:t>
      </w:r>
    </w:p>
    <w:p>
      <w:pPr>
        <w:spacing w:after="0" w:line="68" w:lineRule="exact"/>
        <w:rPr>
          <w:sz w:val="20"/>
          <w:szCs w:val="20"/>
          <w:color w:val="auto"/>
        </w:rPr>
      </w:pPr>
    </w:p>
    <w:p>
      <w:pPr>
        <w:ind w:left="440" w:right="4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subclause (iii), if the Issuers so request or if the Applicable Procedures so require, an Opinion of Counsel in form reasonably acceptable to the Issuers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1" w:name="page82"/>
    <w:bookmarkEnd w:id="81"/>
    <w:p>
      <w:pPr>
        <w:ind w:left="4" w:firstLine="436"/>
        <w:spacing w:after="0" w:line="254" w:lineRule="auto"/>
        <w:tabs>
          <w:tab w:leader="none" w:pos="74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Beneficial Interests in Unrestricted Global Notes to Unrestricted Definitive Notes</w:t>
      </w:r>
      <w:r>
        <w:rPr>
          <w:rFonts w:ascii="Times New Roman" w:cs="Times New Roman" w:eastAsia="Times New Roman" w:hAnsi="Times New Roman"/>
          <w:sz w:val="18"/>
          <w:szCs w:val="18"/>
          <w:color w:val="auto"/>
        </w:rPr>
        <w:t>. If any holder of a beneficial interest in an Unrestricted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Note proposes to exchange such beneficial interest for a Definitive Note or to transfer such beneficial interest to a Person who takes delivery thereof in the form of a Definitive Note, then, upon the occurrence of any of the events described in clause (i), (ii), (iii) or (iv) of Section 2.06(a) hereof and satisfaction of the conditions set forth in Section 2.06(b) hereof, the Trustee shall cause the aggregate principal amount of the applicable Global Note to be reduced accordingly pursuant to Section 2.06(h) hereof, and the Issuers shall execute and, upon receipt of an Authentication Order, the Trustee shall authenticate and send to the Person designated in the instructions a Definitive Note in the applicable principal amount. Any Definitive Note issued in exchange for a beneficial interest pursuant to this Section 2.06(c)(iv) shall be registered in such name or names and in such authorized denomination or denominations as the holder of such beneficial interest shall instruct the Registrar through instructions from or through the Depositary. The Trustee shall send such Definitive Notes to the Persons in whose names such Notes are so registered. Any Definitive Note issued in exchange for a beneficial interest pursuant to this Section 2.06(c)(iv) shall not bear the Private Placement Legend.</w:t>
      </w:r>
    </w:p>
    <w:p>
      <w:pPr>
        <w:spacing w:after="0" w:line="185" w:lineRule="exact"/>
        <w:rPr>
          <w:sz w:val="20"/>
          <w:szCs w:val="20"/>
          <w:color w:val="auto"/>
        </w:rPr>
      </w:pPr>
    </w:p>
    <w:p>
      <w:pPr>
        <w:ind w:left="704" w:hanging="264"/>
        <w:spacing w:after="0"/>
        <w:tabs>
          <w:tab w:leader="none" w:pos="70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 for Beneficial Interests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firstLine="436"/>
        <w:spacing w:after="0" w:line="267" w:lineRule="auto"/>
        <w:tabs>
          <w:tab w:leader="none" w:pos="6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Beneficial Interests in Restricted Global Notes. </w:t>
      </w:r>
      <w:r>
        <w:rPr>
          <w:rFonts w:ascii="Times New Roman" w:cs="Times New Roman" w:eastAsia="Times New Roman" w:hAnsi="Times New Roman"/>
          <w:sz w:val="18"/>
          <w:szCs w:val="18"/>
          <w:color w:val="auto"/>
        </w:rPr>
        <w:t>If any Holder of a Restricted Definitive Note proposes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spacing w:after="0" w:line="67"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16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 proposes to exchange such Note for a beneficial interest in a Restricted Global Note, a certificate from such Holder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as applicable, including the certifications in item (2)(b) thereof;</w:t>
      </w:r>
    </w:p>
    <w:p>
      <w:pPr>
        <w:spacing w:after="0" w:line="53"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15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QIB in accordance with Rule 144A,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applicable, including the certifications in item (1) thereof;</w:t>
      </w:r>
    </w:p>
    <w:p>
      <w:pPr>
        <w:spacing w:after="0" w:line="53" w:lineRule="exact"/>
        <w:rPr>
          <w:rFonts w:ascii="Times New Roman" w:cs="Times New Roman" w:eastAsia="Times New Roman" w:hAnsi="Times New Roman"/>
          <w:sz w:val="18"/>
          <w:szCs w:val="18"/>
          <w:color w:val="auto"/>
        </w:rPr>
      </w:pPr>
    </w:p>
    <w:p>
      <w:pPr>
        <w:ind w:left="444" w:right="240" w:firstLine="419"/>
        <w:spacing w:after="0" w:line="282" w:lineRule="auto"/>
        <w:tabs>
          <w:tab w:leader="none" w:pos="115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Restricted Definitive Note is being transferred to a Non-U.S. Person in an offshore transaction in accordance with Rule 903 or Rule 904, a certificate substantially in the form of Exhibit B hereto, as applicable, including the certifications in item (2) thereof;</w:t>
      </w:r>
    </w:p>
    <w:p>
      <w:pPr>
        <w:spacing w:after="0" w:line="53" w:lineRule="exact"/>
        <w:rPr>
          <w:rFonts w:ascii="Times New Roman" w:cs="Times New Roman" w:eastAsia="Times New Roman" w:hAnsi="Times New Roman"/>
          <w:sz w:val="18"/>
          <w:szCs w:val="18"/>
          <w:color w:val="auto"/>
        </w:rPr>
      </w:pPr>
    </w:p>
    <w:p>
      <w:pPr>
        <w:ind w:left="444" w:right="80" w:firstLine="419"/>
        <w:spacing w:after="0" w:line="266" w:lineRule="auto"/>
        <w:tabs>
          <w:tab w:leader="none" w:pos="116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Restricted Definitive Note is being transferred pursuant to an exemption from the registration requirements of the Securities Act in accordance with Rule 144, a certificate substantially in the form of Exhibit B hereto, as applicable, including the certifications in item (3)(a) thereof;</w:t>
      </w:r>
    </w:p>
    <w:p>
      <w:pPr>
        <w:spacing w:after="0" w:line="67" w:lineRule="exact"/>
        <w:rPr>
          <w:rFonts w:ascii="Times New Roman" w:cs="Times New Roman" w:eastAsia="Times New Roman" w:hAnsi="Times New Roman"/>
          <w:sz w:val="18"/>
          <w:szCs w:val="18"/>
          <w:color w:val="auto"/>
        </w:rPr>
      </w:pPr>
    </w:p>
    <w:p>
      <w:pPr>
        <w:ind w:left="444" w:right="540" w:firstLine="419"/>
        <w:spacing w:after="0" w:line="282" w:lineRule="auto"/>
        <w:tabs>
          <w:tab w:leader="none" w:pos="114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Restricted Definitive Note is being transferred to an Issuer, Holdings or any of their Subsidiaries or Affiliates, a certificate substantially in the form of Exhibit B hereto, as applicable, including the certifications in item (3)(b) thereof; or</w:t>
      </w:r>
    </w:p>
    <w:p>
      <w:pPr>
        <w:spacing w:after="0" w:line="53" w:lineRule="exact"/>
        <w:rPr>
          <w:rFonts w:ascii="Times New Roman" w:cs="Times New Roman" w:eastAsia="Times New Roman" w:hAnsi="Times New Roman"/>
          <w:sz w:val="18"/>
          <w:szCs w:val="18"/>
          <w:color w:val="auto"/>
        </w:rPr>
      </w:pPr>
    </w:p>
    <w:p>
      <w:pPr>
        <w:ind w:left="444" w:right="740" w:firstLine="419"/>
        <w:spacing w:after="0" w:line="282" w:lineRule="auto"/>
        <w:tabs>
          <w:tab w:leader="none" w:pos="113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Restricted Definitive Note is being transferred pursuant to an effective registration statement under the Securities Act, a certificate substantially in the form of Exhibit B hereto, as applicable, including the certifications in item (3)(c) thereof,</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Trustee shall cancel the Restricted Definitive Note and increase or cause to be increased the aggregate principal amount of, in the case of clause</w:t>
      </w:r>
    </w:p>
    <w:p>
      <w:pPr>
        <w:spacing w:after="0" w:line="27" w:lineRule="exact"/>
        <w:rPr>
          <w:sz w:val="20"/>
          <w:szCs w:val="20"/>
          <w:color w:val="auto"/>
        </w:rPr>
      </w:pPr>
    </w:p>
    <w:p>
      <w:pPr>
        <w:ind w:left="4" w:right="60" w:hanging="4"/>
        <w:spacing w:after="0" w:line="260" w:lineRule="auto"/>
        <w:tabs>
          <w:tab w:leader="none" w:pos="29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applicable Restricted Global Note, in the case of clause (B) above, the applicable 144A Global Note, and in the case of clause (C) above, the applicable Regulation S Global Note.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268" w:right="459" w:bottom="1440" w:gutter="0" w:footer="0" w:header="0"/>
        </w:sectPr>
      </w:pPr>
    </w:p>
    <w:bookmarkStart w:id="82" w:name="page83"/>
    <w:bookmarkEnd w:id="82"/>
    <w:p>
      <w:pPr>
        <w:ind w:right="120" w:firstLine="436"/>
        <w:spacing w:after="0" w:line="267" w:lineRule="auto"/>
        <w:tabs>
          <w:tab w:leader="none" w:pos="70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Restricted Definitive Notes to Beneficial Interests in Unrestricted Global Notes. </w:t>
      </w:r>
      <w:r>
        <w:rPr>
          <w:rFonts w:ascii="Times New Roman" w:cs="Times New Roman" w:eastAsia="Times New Roman" w:hAnsi="Times New Roman"/>
          <w:sz w:val="18"/>
          <w:szCs w:val="18"/>
          <w:color w:val="auto"/>
        </w:rPr>
        <w:t>A Holder of a Restricted Definitive Note may exchange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67" w:lineRule="exact"/>
        <w:rPr>
          <w:rFonts w:ascii="Times New Roman" w:cs="Times New Roman" w:eastAsia="Times New Roman" w:hAnsi="Times New Roman"/>
          <w:sz w:val="18"/>
          <w:szCs w:val="18"/>
          <w:color w:val="auto"/>
        </w:rPr>
      </w:pPr>
    </w:p>
    <w:p>
      <w:pPr>
        <w:jc w:val="both"/>
        <w:ind w:left="440" w:right="460" w:firstLine="419"/>
        <w:spacing w:after="0" w:line="312" w:lineRule="auto"/>
        <w:tabs>
          <w:tab w:leader="none" w:pos="1158"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Holder of such Definitive Notes proposes to exchange such Notes for a beneficial interest in the Unrestricted Global Note, a certificate from such Holder substantially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as applicable, including the certifications in item (1)(c) thereof; or</w:t>
      </w:r>
    </w:p>
    <w:p>
      <w:pPr>
        <w:spacing w:after="0" w:line="31" w:lineRule="exact"/>
        <w:rPr>
          <w:rFonts w:ascii="Times New Roman" w:cs="Times New Roman" w:eastAsia="Times New Roman" w:hAnsi="Times New Roman"/>
          <w:sz w:val="17"/>
          <w:szCs w:val="17"/>
          <w:color w:val="auto"/>
        </w:rPr>
      </w:pPr>
    </w:p>
    <w:p>
      <w:pPr>
        <w:ind w:left="440" w:right="420" w:firstLine="419"/>
        <w:spacing w:after="0" w:line="266" w:lineRule="auto"/>
        <w:tabs>
          <w:tab w:leader="none" w:pos="114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Definitive Notes proposes to transfer such Notes to a Person who shall take delivery thereof in the form of a beneficial interest in the Unrestricted Global Note, a certificate from such Holder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applicable, including the certifications in item (4) thereof; or</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4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 each such case set forth in this subclause (ii), if the Issuers so request or if the Applicable Procedures so require, an Opinion of Counsel in form reasonably acceptable to the Issuers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Upon satisfaction of the applicable conditions of this Section 2.06(d)(ii), the Trustee shall cancel the Restricted Definitive Note and increase or cause to be increased the aggregate principal amount of the Unrestricted Global Note.</w:t>
      </w:r>
    </w:p>
    <w:p>
      <w:pPr>
        <w:spacing w:after="0" w:line="160" w:lineRule="exact"/>
        <w:rPr>
          <w:sz w:val="20"/>
          <w:szCs w:val="20"/>
          <w:color w:val="auto"/>
        </w:rPr>
      </w:pPr>
    </w:p>
    <w:p>
      <w:pPr>
        <w:jc w:val="both"/>
        <w:ind w:right="40" w:firstLine="436"/>
        <w:spacing w:after="0" w:line="281" w:lineRule="auto"/>
        <w:tabs>
          <w:tab w:leader="none" w:pos="75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Unrestricted Definitive Notes to Beneficial Interests in Unrestricted Global Notes. </w:t>
      </w:r>
      <w:r>
        <w:rPr>
          <w:rFonts w:ascii="Times New Roman" w:cs="Times New Roman" w:eastAsia="Times New Roman" w:hAnsi="Times New Roman"/>
          <w:sz w:val="17"/>
          <w:szCs w:val="17"/>
          <w:color w:val="auto"/>
        </w:rPr>
        <w:t>A Holder of an Unrestricted Definitive Note may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6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any such exchange or transfer from a Definitive Note to a beneficial interest is effected pursuant to Section 2.06(d)(ii) or (iii)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78" w:lineRule="exact"/>
        <w:rPr>
          <w:sz w:val="20"/>
          <w:szCs w:val="20"/>
          <w:color w:val="auto"/>
        </w:rPr>
      </w:pPr>
    </w:p>
    <w:p>
      <w:pPr>
        <w:ind w:right="100" w:firstLine="436"/>
        <w:spacing w:after="0" w:line="257" w:lineRule="auto"/>
        <w:tabs>
          <w:tab w:leader="none" w:pos="6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Definitive Notes for Definitive Notes. </w:t>
      </w:r>
      <w:r>
        <w:rPr>
          <w:rFonts w:ascii="Times New Roman" w:cs="Times New Roman" w:eastAsia="Times New Roman" w:hAnsi="Times New Roman"/>
          <w:sz w:val="18"/>
          <w:szCs w:val="18"/>
          <w:color w:val="auto"/>
        </w:rPr>
        <w:t>Upon request by a Holder of Definitive Notes and such Holder’s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or exchange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2.06(e):</w:t>
      </w:r>
    </w:p>
    <w:p>
      <w:pPr>
        <w:spacing w:after="0" w:line="74" w:lineRule="exact"/>
        <w:rPr>
          <w:rFonts w:ascii="Times New Roman" w:cs="Times New Roman" w:eastAsia="Times New Roman" w:hAnsi="Times New Roman"/>
          <w:sz w:val="18"/>
          <w:szCs w:val="18"/>
          <w:color w:val="auto"/>
        </w:rPr>
      </w:pPr>
    </w:p>
    <w:p>
      <w:pPr>
        <w:ind w:left="440" w:right="380" w:firstLine="419"/>
        <w:spacing w:after="0" w:line="284" w:lineRule="auto"/>
        <w:tabs>
          <w:tab w:leader="none" w:pos="107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Definitive Notes to Restricted Definitive Notes</w:t>
      </w:r>
      <w:r>
        <w:rPr>
          <w:rFonts w:ascii="Times New Roman" w:cs="Times New Roman" w:eastAsia="Times New Roman" w:hAnsi="Times New Roman"/>
          <w:sz w:val="18"/>
          <w:szCs w:val="18"/>
          <w:color w:val="auto"/>
        </w:rPr>
        <w:t>. Any Restricted Definitive Note may be transferred to and registered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of Persons who take delivery thereof in the form of a Restricted Definitive Note if the Registrar receives the following:</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68" w:right="459" w:bottom="1440" w:gutter="0" w:footer="0" w:header="0"/>
        </w:sectPr>
      </w:pPr>
    </w:p>
    <w:bookmarkStart w:id="83" w:name="page84"/>
    <w:bookmarkEnd w:id="83"/>
    <w:p>
      <w:pPr>
        <w:ind w:left="940" w:right="80" w:firstLine="408"/>
        <w:spacing w:after="0" w:line="282" w:lineRule="auto"/>
        <w:tabs>
          <w:tab w:leader="none" w:pos="16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transfer will be made to a QIB in accordance with Rule 144A, then the transferor must deliver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applicable, including the certifications in item (1) thereof;</w:t>
      </w:r>
    </w:p>
    <w:p>
      <w:pPr>
        <w:spacing w:after="0" w:line="53" w:lineRule="exact"/>
        <w:rPr>
          <w:rFonts w:ascii="Times New Roman" w:cs="Times New Roman" w:eastAsia="Times New Roman" w:hAnsi="Times New Roman"/>
          <w:sz w:val="18"/>
          <w:szCs w:val="18"/>
          <w:color w:val="auto"/>
        </w:rPr>
      </w:pPr>
    </w:p>
    <w:p>
      <w:pPr>
        <w:ind w:left="940" w:right="60" w:firstLine="408"/>
        <w:spacing w:after="0" w:line="282" w:lineRule="auto"/>
        <w:tabs>
          <w:tab w:leader="none" w:pos="162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as applicable, including the certifications in item (2) thereof;</w:t>
      </w:r>
    </w:p>
    <w:p>
      <w:pPr>
        <w:spacing w:after="0" w:line="53" w:lineRule="exact"/>
        <w:rPr>
          <w:rFonts w:ascii="Times New Roman" w:cs="Times New Roman" w:eastAsia="Times New Roman" w:hAnsi="Times New Roman"/>
          <w:sz w:val="18"/>
          <w:szCs w:val="18"/>
          <w:color w:val="auto"/>
        </w:rPr>
      </w:pPr>
    </w:p>
    <w:p>
      <w:pPr>
        <w:ind w:left="940" w:right="60" w:firstLine="408"/>
        <w:spacing w:after="0" w:line="282" w:lineRule="auto"/>
        <w:tabs>
          <w:tab w:leader="none" w:pos="162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to the Issuer, Holdings or any of their Subsidiaries or Affiliates,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applicable, including the certifications in item (3) thereof; or</w:t>
      </w:r>
    </w:p>
    <w:p>
      <w:pPr>
        <w:spacing w:after="0" w:line="53" w:lineRule="exact"/>
        <w:rPr>
          <w:rFonts w:ascii="Times New Roman" w:cs="Times New Roman" w:eastAsia="Times New Roman" w:hAnsi="Times New Roman"/>
          <w:sz w:val="18"/>
          <w:szCs w:val="18"/>
          <w:color w:val="auto"/>
        </w:rPr>
      </w:pPr>
    </w:p>
    <w:p>
      <w:pPr>
        <w:ind w:left="940" w:right="60" w:firstLine="408"/>
        <w:spacing w:after="0" w:line="266" w:lineRule="auto"/>
        <w:tabs>
          <w:tab w:leader="none" w:pos="16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applicable, including the certifications required by item (3) thereof, if applicable.</w:t>
      </w:r>
    </w:p>
    <w:p>
      <w:pPr>
        <w:spacing w:after="0" w:line="65" w:lineRule="exact"/>
        <w:rPr>
          <w:rFonts w:ascii="Times New Roman" w:cs="Times New Roman" w:eastAsia="Times New Roman" w:hAnsi="Times New Roman"/>
          <w:sz w:val="18"/>
          <w:szCs w:val="18"/>
          <w:color w:val="auto"/>
        </w:rPr>
      </w:pPr>
    </w:p>
    <w:p>
      <w:pPr>
        <w:ind w:left="400" w:firstLine="419"/>
        <w:spacing w:after="0" w:line="267" w:lineRule="auto"/>
        <w:tabs>
          <w:tab w:leader="none" w:pos="108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Definitive Notes to Unrestricted Definitive Notes</w:t>
      </w:r>
      <w:r>
        <w:rPr>
          <w:rFonts w:ascii="Times New Roman" w:cs="Times New Roman" w:eastAsia="Times New Roman" w:hAnsi="Times New Roman"/>
          <w:sz w:val="18"/>
          <w:szCs w:val="18"/>
          <w:color w:val="auto"/>
        </w:rPr>
        <w:t>. Any Restricted Definitive Note may be exchanged by the Holder thereof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Unrestricted Definitive Note or transferred to a Person or Persons who take delivery thereof in the form of an Unrestricted Definitive Note if the Registrar receives the following:</w:t>
      </w:r>
    </w:p>
    <w:p>
      <w:pPr>
        <w:spacing w:after="0" w:line="67" w:lineRule="exact"/>
        <w:rPr>
          <w:rFonts w:ascii="Times New Roman" w:cs="Times New Roman" w:eastAsia="Times New Roman" w:hAnsi="Times New Roman"/>
          <w:sz w:val="18"/>
          <w:szCs w:val="18"/>
          <w:color w:val="auto"/>
        </w:rPr>
      </w:pPr>
    </w:p>
    <w:p>
      <w:pPr>
        <w:ind w:left="940" w:right="60" w:firstLine="408"/>
        <w:spacing w:after="0" w:line="266" w:lineRule="auto"/>
        <w:tabs>
          <w:tab w:leader="none" w:pos="163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exchange such Notes for an Unrestricted Definitive Note, a certificate from such Holder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as applicable, including the certifications in item (1)(d) thereof; or</w:t>
      </w:r>
    </w:p>
    <w:p>
      <w:pPr>
        <w:spacing w:after="0" w:line="67" w:lineRule="exact"/>
        <w:rPr>
          <w:rFonts w:ascii="Times New Roman" w:cs="Times New Roman" w:eastAsia="Times New Roman" w:hAnsi="Times New Roman"/>
          <w:sz w:val="18"/>
          <w:szCs w:val="18"/>
          <w:color w:val="auto"/>
        </w:rPr>
      </w:pPr>
    </w:p>
    <w:p>
      <w:pPr>
        <w:ind w:left="940" w:right="200" w:firstLine="408"/>
        <w:spacing w:after="0" w:line="266" w:lineRule="auto"/>
        <w:tabs>
          <w:tab w:leader="none" w:pos="162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transfer such Notes to a Person who shall take delivery thereof in the form of an Unrestricted Definitive Note, a certificate from such Holder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applicable, hereto, including the certifications in item (4) thereof;</w:t>
      </w:r>
    </w:p>
    <w:p>
      <w:pPr>
        <w:spacing w:after="0" w:line="68" w:lineRule="exact"/>
        <w:rPr>
          <w:sz w:val="20"/>
          <w:szCs w:val="20"/>
          <w:color w:val="auto"/>
        </w:rPr>
      </w:pPr>
    </w:p>
    <w:p>
      <w:pPr>
        <w:jc w:val="both"/>
        <w:ind w:left="940" w:right="100"/>
        <w:spacing w:after="0" w:line="266" w:lineRule="auto"/>
        <w:rPr>
          <w:sz w:val="20"/>
          <w:szCs w:val="20"/>
          <w:color w:val="auto"/>
        </w:rPr>
      </w:pPr>
      <w:r>
        <w:rPr>
          <w:rFonts w:ascii="Times New Roman" w:cs="Times New Roman" w:eastAsia="Times New Roman" w:hAnsi="Times New Roman"/>
          <w:sz w:val="18"/>
          <w:szCs w:val="18"/>
          <w:color w:val="auto"/>
        </w:rPr>
        <w:t>and, in each such case set forth in this subclause (ii), if the Issuers so request, an Opinion of Counsel in form reasonably acceptable to the Issuers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66" w:lineRule="exact"/>
        <w:rPr>
          <w:sz w:val="20"/>
          <w:szCs w:val="20"/>
          <w:color w:val="auto"/>
        </w:rPr>
      </w:pPr>
    </w:p>
    <w:p>
      <w:pPr>
        <w:ind w:left="400" w:right="120" w:firstLine="419"/>
        <w:spacing w:after="0" w:line="267" w:lineRule="auto"/>
        <w:tabs>
          <w:tab w:leader="none" w:pos="113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Unrestricted Definitive Notes to Unrestricted Definitive Notes</w:t>
      </w:r>
      <w:r>
        <w:rPr>
          <w:rFonts w:ascii="Times New Roman" w:cs="Times New Roman" w:eastAsia="Times New Roman" w:hAnsi="Times New Roman"/>
          <w:sz w:val="18"/>
          <w:szCs w:val="18"/>
          <w:color w:val="auto"/>
        </w:rPr>
        <w:t>. A Holder of Unrestricted Definitive Notes may transfer such Notes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73"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40" w:right="800" w:firstLine="436"/>
        <w:spacing w:after="0" w:line="284"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following legends shall appear on the face of all Global Notes and Definitive Notes issued under this Indenture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stated otherwise in the applicable provisions of this Indenture: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40"/>
          </w:cols>
          <w:pgMar w:left="480" w:top="270" w:right="479" w:bottom="1440" w:gutter="0" w:footer="0" w:header="0"/>
        </w:sectPr>
      </w:pPr>
    </w:p>
    <w:bookmarkStart w:id="84" w:name="page85"/>
    <w:bookmarkEnd w:id="84"/>
    <w:p>
      <w:pPr>
        <w:ind w:left="640" w:hanging="221"/>
        <w:spacing w:after="0"/>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Private Placement Legend</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60" w:firstLine="419"/>
        <w:spacing w:after="0" w:line="282" w:lineRule="auto"/>
        <w:tabs>
          <w:tab w:leader="none" w:pos="7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54" w:lineRule="exact"/>
        <w:rPr>
          <w:sz w:val="20"/>
          <w:szCs w:val="20"/>
          <w:color w:val="auto"/>
        </w:rPr>
      </w:pPr>
    </w:p>
    <w:p>
      <w:pPr>
        <w:ind w:left="540" w:right="120"/>
        <w:spacing w:after="0" w:line="253" w:lineRule="auto"/>
        <w:rPr>
          <w:sz w:val="20"/>
          <w:szCs w:val="20"/>
          <w:color w:val="auto"/>
        </w:rPr>
      </w:pPr>
      <w:r>
        <w:rPr>
          <w:rFonts w:ascii="Times New Roman" w:cs="Times New Roman" w:eastAsia="Times New Roman" w:hAnsi="Times New Roman"/>
          <w:sz w:val="18"/>
          <w:szCs w:val="18"/>
          <w:color w:val="auto"/>
        </w:rPr>
        <w:t>“THE NOTES HAVE NOT BEEN REGISTERED UNDER THE SECURITIES ACT OF 1933, AS AMENDED (THE “SECURITIES ACT”), OR ANY STATE SECURITIES LAWS. NEITHER THIS NOTE NOR ANY INTEREST OR PARTICIPATION HEREIN MAY BE REOFFERED, SOLD, ASSIGNED, TRANSFERRED, PLEDGED, ENCUMBERED OR OTHERWISE DISPOSED OF IN THE ABSENCE OF SUCH REGISTRATION OR UNLESS SUCH TRANSACTION IS EXEMPT FROM, OR NOT SUBJECT TO, REGISTRATION AS SET FORTH BELOW. BY ITS ACQUISITION HEREOF, THE HOLDER (1) REPRESENTS THAT (A) IT IS A “QUALIFIED INSTITUTIONAL BUYER” (AS DEFINED IN RULE 144A UNDER THE SECURITIES ACT (“RULE 144A”)), (B) IT IS NOT A U.S. PERSON AND IS ACQUIRING THIS NOTE IN AN OFFSHORE TRANSACTION IN COMPLIANCE WITH REGULATION S UNDER THE SECURITIES ACT (“REGULATION S”) OR (C) IT IS AN AFFILIATE OF THE ISSUER,</w:t>
      </w:r>
    </w:p>
    <w:p>
      <w:pPr>
        <w:spacing w:after="0" w:line="1" w:lineRule="exact"/>
        <w:rPr>
          <w:sz w:val="20"/>
          <w:szCs w:val="20"/>
          <w:color w:val="auto"/>
        </w:rPr>
      </w:pPr>
    </w:p>
    <w:p>
      <w:pPr>
        <w:ind w:left="540" w:right="100" w:firstLine="7"/>
        <w:spacing w:after="0" w:line="250" w:lineRule="auto"/>
        <w:tabs>
          <w:tab w:leader="none" w:pos="78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OFFER, SELL, PLEDGE OR OTHERWISE TRANSFER SUCH NOTE ONLY (A) TO THE ISSUER OR ANY AFFILIATE THEREOF, (B) PURSUANT TO A REGISTRATION STATEMENT WHICH HAS BEEN DECLARED EFFECTIVE UNDER THE SECURITIES ACT, (C) FOR SO LONG AS THE NOTES ARE ELIGIBLE FOR RESALE PURSUANT TO RULE 144A TO A PERSON IT REASONABLY BELIEVES IS A QUALIFIED INSTITUTIONAL BUYER THAT PURCHASES FOR ITS OWN ACCOUNT OR FOR THE ACCOUNT OF A QUALIFIED INSTITUTIONAL BUYER TO WHOM NOTICE IS GIVEN THAT THE TRANSFER IS BEING MADE IN RELIANCE ON RULE 144A, (D) OUTSIDE THE UNITED STATES PURSUANT TO OFFERS AND SALES TO NON-U.S. PERSONS IN AN OFFSHORE TRANSACTION PURSUANT TO REGULATION S IN A TRANSACTION MEETING THE REQUIREMENTS OF RULE 903 OR RULE 904 UNDER THE SECURITIES ACT OR</w:t>
      </w:r>
    </w:p>
    <w:p>
      <w:pPr>
        <w:spacing w:after="0" w:line="3" w:lineRule="exact"/>
        <w:rPr>
          <w:rFonts w:ascii="Times New Roman" w:cs="Times New Roman" w:eastAsia="Times New Roman" w:hAnsi="Times New Roman"/>
          <w:sz w:val="18"/>
          <w:szCs w:val="18"/>
          <w:color w:val="auto"/>
        </w:rPr>
      </w:pPr>
    </w:p>
    <w:p>
      <w:pPr>
        <w:ind w:left="54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PURSUANT TO ANOTHER AVAILABLE EXEMPTION FROM THE REGISTRATION REQUIREMENTS OF THE SECURITIES ACT, SUBJECT TO THE ISSUER’S OR THE TRUSTEE’S RIGHT PRIOR TO ANY SUCH OFFER, SALE OR TRANSFER PURSUANT TO CLAUSE (D) OR (E) TO REQUIRE THE DELIVERY OF AN OPINION OF COUNSEL, CERTIFICATION AND/OR OTHER INFORMATION SATISFACTORY TO EACH OF THEM.”</w:t>
      </w:r>
    </w:p>
    <w:p>
      <w:pPr>
        <w:spacing w:after="0" w:line="81" w:lineRule="exact"/>
        <w:rPr>
          <w:sz w:val="20"/>
          <w:szCs w:val="20"/>
          <w:color w:val="auto"/>
        </w:rPr>
      </w:pPr>
    </w:p>
    <w:p>
      <w:pPr>
        <w:ind w:right="440" w:firstLine="423"/>
        <w:spacing w:after="0" w:line="282" w:lineRule="auto"/>
        <w:rPr>
          <w:sz w:val="20"/>
          <w:szCs w:val="20"/>
          <w:color w:val="auto"/>
        </w:rPr>
      </w:pPr>
      <w:r>
        <w:rPr>
          <w:rFonts w:ascii="Times New Roman" w:cs="Times New Roman" w:eastAsia="Times New Roman" w:hAnsi="Times New Roman"/>
          <w:sz w:val="18"/>
          <w:szCs w:val="18"/>
          <w:color w:val="auto"/>
        </w:rPr>
        <w:t>Except as permitted by subparagraph (B) below, each Global Note and Definitive Note issued in a transaction exempt from registration pursuant to Regulation S shall also bear the legend in substantially the following form:</w:t>
      </w:r>
    </w:p>
    <w:p>
      <w:pPr>
        <w:spacing w:after="0" w:line="54" w:lineRule="exact"/>
        <w:rPr>
          <w:sz w:val="20"/>
          <w:szCs w:val="20"/>
          <w:color w:val="auto"/>
        </w:rPr>
      </w:pPr>
    </w:p>
    <w:p>
      <w:pPr>
        <w:ind w:left="540"/>
        <w:spacing w:after="0" w:line="277" w:lineRule="auto"/>
        <w:rPr>
          <w:sz w:val="20"/>
          <w:szCs w:val="20"/>
          <w:color w:val="auto"/>
        </w:rPr>
      </w:pPr>
      <w:r>
        <w:rPr>
          <w:rFonts w:ascii="Times New Roman" w:cs="Times New Roman" w:eastAsia="Times New Roman" w:hAnsi="Times New Roman"/>
          <w:sz w:val="17"/>
          <w:szCs w:val="17"/>
          <w:color w:val="auto"/>
        </w:rPr>
        <w:t>“THIS SECURITY HAS NOT BEEN REGISTERED UNDER THE UNITED STATES SECURITIES ACT OF 1933, AS AMENDED (THE “SECURITIES ACT”), AND, ACCORDINGLY, NEITHER THIS SECURITY NOR ANY INTEREST OR PARTICIPATION HEREIN MAY BE OFFERED, SOLD, PLEDGED OR OTHERWISE TRANSFERRED WITHIN THE UNITED STATES (AS DEFINED IN REGULATION S) OR TO, OR FOR THE ACCOUNT OR BENEFIT OF, A U.S. PERSON (AS DEFINED IN REGULATION S), EXCEPT IN COMPLIANCE WITH RULE 144A (“RULE 144A”) UNDER THE SECURITIES ACT (SO LONG AS THIS</w:t>
      </w:r>
    </w:p>
    <w:p>
      <w:pPr>
        <w:spacing w:after="0" w:line="10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580"/>
          </w:cols>
          <w:pgMar w:left="880" w:top="268" w:right="439" w:bottom="1440" w:gutter="0" w:footer="0" w:header="0"/>
        </w:sectPr>
      </w:pPr>
    </w:p>
    <w:bookmarkStart w:id="85" w:name="page86"/>
    <w:bookmarkEnd w:id="85"/>
    <w:p>
      <w:pPr>
        <w:ind w:left="5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IS ELIGIBLE FOR RESALE PURSUANT TO RULE 144A) TO A PERSON THE HOLDER HEREOF REASONABLY BELIEVES IS A “QUALIFIED INSTITUTIONAL BUYER” (AS DEFINED IN RULE 144A) (A “QIB”) THAT PURCHASES FOR ITS OWN ACCOUNT OR FOR THE ACCOUNT OF ANOTHER QIB, IN EACH CASE TO WHOM NOTICE IS GIVEN THAT THE TRANSFER IS BEING MADE IN RELIANCE UPON RULE 144A, AND UPON DELIVERY OF THE CERTIFICATIONS REQUIRED BY THE INDENTURE REFERRED TO HEREIN.”</w:t>
      </w:r>
    </w:p>
    <w:p>
      <w:pPr>
        <w:spacing w:after="0" w:line="75" w:lineRule="exact"/>
        <w:rPr>
          <w:sz w:val="20"/>
          <w:szCs w:val="20"/>
          <w:color w:val="auto"/>
        </w:rPr>
      </w:pPr>
    </w:p>
    <w:p>
      <w:pPr>
        <w:jc w:val="both"/>
        <w:ind w:right="200" w:firstLine="419"/>
        <w:spacing w:after="0" w:line="266" w:lineRule="auto"/>
        <w:tabs>
          <w:tab w:leader="none" w:pos="70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Global Note or Definitive Note issued pursuant to subparagraph (b)(iv), (c)(iii), (c)(iv), (d)(ii), (d) (iii), (e)(ii) or (e)(iii) of this Section 2.06 (and all Notes issued in exchange therefor or substitution thereof) shall not bear the Private Placement Legend.</w:t>
      </w:r>
    </w:p>
    <w:p>
      <w:pPr>
        <w:spacing w:after="0" w:line="66" w:lineRule="exact"/>
        <w:rPr>
          <w:sz w:val="20"/>
          <w:szCs w:val="20"/>
          <w:color w:val="auto"/>
        </w:rPr>
      </w:pPr>
    </w:p>
    <w:p>
      <w:pPr>
        <w:ind w:right="440" w:firstLine="419"/>
        <w:spacing w:after="0" w:line="284" w:lineRule="auto"/>
        <w:tabs>
          <w:tab w:leader="none" w:pos="68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Each Global Note shall bear a legend in substantially the following form (with appropriate changes in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sentence of the first paragraph if DTC is not the Depositary):</w:t>
      </w:r>
    </w:p>
    <w:p>
      <w:pPr>
        <w:spacing w:after="0" w:line="52" w:lineRule="exact"/>
        <w:rPr>
          <w:sz w:val="20"/>
          <w:szCs w:val="20"/>
          <w:color w:val="auto"/>
        </w:rPr>
      </w:pPr>
    </w:p>
    <w:p>
      <w:pPr>
        <w:ind w:left="540" w:right="40"/>
        <w:spacing w:after="0" w:line="252" w:lineRule="auto"/>
        <w:rPr>
          <w:sz w:val="20"/>
          <w:szCs w:val="20"/>
          <w:color w:val="auto"/>
        </w:rPr>
      </w:pPr>
      <w:r>
        <w:rPr>
          <w:rFonts w:ascii="Times New Roman" w:cs="Times New Roman" w:eastAsia="Times New Roman" w:hAnsi="Times New Roman"/>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2.06(h)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560"/>
          </w:cols>
          <w:pgMar w:left="880" w:top="270" w:right="459" w:bottom="1440" w:gutter="0" w:footer="0" w:header="0"/>
        </w:sectPr>
      </w:pPr>
    </w:p>
    <w:bookmarkStart w:id="86" w:name="page87"/>
    <w:bookmarkEnd w:id="86"/>
    <w:p>
      <w:pPr>
        <w:ind w:left="9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ITS ACQUISITION OF THIS SECURITY, THE HOLDER THEREOF WILL BE DEEMED TO HAVE REPRESENTED AND WARRANTED THAT EITHER (1) NO PORTION OF THE ASSETS USED BY SUCH HOLDER TO ACQUIRE OR HOLD THIS SECURITY CONSTITUTES THE ASSETS OF AN EMPLOYEE BENEFIT PLAN THAT IS SUBJECT TO TITLE I OF THE U.S. EMPLOYEE RETIREMENT INCOME SECURITY ACT OF 1974, AS AMENDED (“ERISA”), OF A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OF AN ENTITY WHOSE UNDERLYING ASSETS ARE CONSIDERED TO INCLUDE “PLAN ASSETS” OF ANY SUCH PLAN, ACCOUNT OR ARRANGEMENT, OR (2) (A) THE ACQUISITION AND HOLDING OF THIS SECURITY WILL NOT CONSTITUTE A NON-EXEMPT PROHIBITED TRANSACTION UNDER SECTION 406 OF ERISA OR SECTION 4975 OF THE CODE OR A SIMILAR VIOLATION UNDER ANY APPLICABLE SIMILAR LAWS AND (B) NONE OF THE ISSUERS, THE TRUSTEE, THE INITIAL PURCHASERS, ANY GUARANTORS, OR THEIR RESPECTIVE AFFILIATES HAS ACTED OR WILL ACT AS A FIDUCIARY TO SUCH HOLDER IN CONNECTION WITH SUCH HOLDER’S ACQUISITION HEREOF (UNLESS A STATUTORY OR ADMINISTRATIVE EXEMPTION APPLIES (ALL OF THE APPLICABLE CONDITIONS OF WHICH ARE SATISFIED) OR THE TRANSACTION IS NOT OTHERWISE PROHIBITED).”</w:t>
      </w:r>
    </w:p>
    <w:p>
      <w:pPr>
        <w:spacing w:after="0" w:line="86" w:lineRule="exact"/>
        <w:rPr>
          <w:sz w:val="20"/>
          <w:szCs w:val="20"/>
          <w:color w:val="auto"/>
        </w:rPr>
      </w:pPr>
    </w:p>
    <w:p>
      <w:pPr>
        <w:ind w:left="440" w:right="660" w:firstLine="419"/>
        <w:spacing w:after="0" w:line="284" w:lineRule="auto"/>
        <w:tabs>
          <w:tab w:leader="none" w:pos="117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Regulation S Temporary Global Note Legend</w:t>
      </w:r>
      <w:r>
        <w:rPr>
          <w:rFonts w:ascii="Times New Roman" w:cs="Times New Roman" w:eastAsia="Times New Roman" w:hAnsi="Times New Roman"/>
          <w:sz w:val="18"/>
          <w:szCs w:val="18"/>
          <w:color w:val="auto"/>
        </w:rPr>
        <w:t>. The Regulation S Temporary Global Note shall bear a legend in substantially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form:</w:t>
      </w:r>
    </w:p>
    <w:p>
      <w:pPr>
        <w:spacing w:after="0" w:line="52" w:lineRule="exact"/>
        <w:rPr>
          <w:sz w:val="20"/>
          <w:szCs w:val="20"/>
          <w:color w:val="auto"/>
        </w:rPr>
      </w:pPr>
    </w:p>
    <w:p>
      <w:pPr>
        <w:ind w:left="980" w:right="360"/>
        <w:spacing w:after="0" w:line="266" w:lineRule="auto"/>
        <w:rPr>
          <w:sz w:val="20"/>
          <w:szCs w:val="20"/>
          <w:color w:val="auto"/>
        </w:rPr>
      </w:pPr>
      <w:r>
        <w:rPr>
          <w:rFonts w:ascii="Times New Roman" w:cs="Times New Roman" w:eastAsia="Times New Roman" w:hAnsi="Times New Roman"/>
          <w:sz w:val="18"/>
          <w:szCs w:val="18"/>
          <w:color w:val="auto"/>
        </w:rPr>
        <w:t>“THE RIGHTS ATTACHING TO THIS REGULATION S TEMPORARY GLOBAL NOTE, AND THE CONDITIONS AND PROCEDURES GOVERNING ITS EXCHANGE FOR CERTIFICATED NOTES, ARE AS SPECIFIED IN THE INDENTURE (AS DEFINED HEREIN).”</w:t>
      </w:r>
    </w:p>
    <w:p>
      <w:pPr>
        <w:spacing w:after="0" w:line="174" w:lineRule="exact"/>
        <w:rPr>
          <w:sz w:val="20"/>
          <w:szCs w:val="20"/>
          <w:color w:val="auto"/>
        </w:rPr>
      </w:pPr>
    </w:p>
    <w:p>
      <w:pPr>
        <w:ind w:right="120" w:firstLine="436"/>
        <w:spacing w:after="0" w:line="254"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Cancellation and/or Adjustment of Global Notes</w:t>
      </w:r>
      <w:r>
        <w:rPr>
          <w:rFonts w:ascii="Times New Roman" w:cs="Times New Roman" w:eastAsia="Times New Roman" w:hAnsi="Times New Roman"/>
          <w:sz w:val="18"/>
          <w:szCs w:val="18"/>
          <w:color w:val="auto"/>
        </w:rPr>
        <w:t>. At such time as all beneficial interests in a particular Global Note have been exchanged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Definitive Notes or a particular Global Note has been redeemed, repurchased or cancelled in whole and not in part, each such Global Note shall be returned to or retained and cancelled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88"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Provisions Relating to Transfers and Exchanges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0" w:firstLine="436"/>
        <w:spacing w:after="0" w:line="282"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registrations of transfers and exchanges, the Issuers shall execute and the Trustee shall authenticate Global Notes and Definitive Notes upon receipt of an Authentication Order in accordance with Section 2.02 hereof or at the Registrar’s request.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87" w:name="page88"/>
    <w:bookmarkEnd w:id="87"/>
    <w:p>
      <w:pPr>
        <w:ind w:left="-20" w:right="100" w:firstLine="436"/>
        <w:spacing w:after="0" w:line="261" w:lineRule="auto"/>
        <w:tabs>
          <w:tab w:leader="none" w:pos="6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service charge shall be made to a holder of a beneficial interest in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 to Sections 2.07, 2.10, 3.06, 4.14 and 9.04 hereof).</w:t>
      </w:r>
    </w:p>
    <w:p>
      <w:pPr>
        <w:spacing w:after="0" w:line="179" w:lineRule="exact"/>
        <w:rPr>
          <w:rFonts w:ascii="Times New Roman" w:cs="Times New Roman" w:eastAsia="Times New Roman" w:hAnsi="Times New Roman"/>
          <w:sz w:val="18"/>
          <w:szCs w:val="18"/>
          <w:color w:val="auto"/>
        </w:rPr>
      </w:pPr>
    </w:p>
    <w:p>
      <w:pPr>
        <w:ind w:left="-20" w:right="220" w:firstLine="436"/>
        <w:spacing w:after="0" w:line="256" w:lineRule="auto"/>
        <w:tabs>
          <w:tab w:leader="none" w:pos="73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Registrar nor the Issuers shall be required (A) to issue, to register the transfer of or to exchange any Notes during a period beginning at the opening of business 15 days before the delivery of a notice of redemption of the Notes to be redeemed under Section 3.03 hereof and ending at the close of business on the day such notice of redemption is sent, (B) to register the transfer of or to exchange any Note so selected for redemption in whole or in part, except the unredeemed portion of any Note being redeemed in part, (C) to register the transfer or exchange of a Note between a Record Date and the next succeeding Interest Payment Date or (D) to register the transfer or exchange of any Notes tendered (and not withdrawn) for repurchase in connection with a Change of Control Offer or an Alternate Offer.</w:t>
      </w:r>
    </w:p>
    <w:p>
      <w:pPr>
        <w:spacing w:after="0" w:line="187" w:lineRule="exact"/>
        <w:rPr>
          <w:rFonts w:ascii="Times New Roman" w:cs="Times New Roman" w:eastAsia="Times New Roman" w:hAnsi="Times New Roman"/>
          <w:sz w:val="18"/>
          <w:szCs w:val="18"/>
          <w:color w:val="auto"/>
        </w:rPr>
      </w:pPr>
    </w:p>
    <w:p>
      <w:pPr>
        <w:ind w:left="-20" w:right="180" w:firstLine="436"/>
        <w:spacing w:after="0" w:line="266" w:lineRule="auto"/>
        <w:tabs>
          <w:tab w:leader="none" w:pos="72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Registrar nor the Issuers shall be required to register the transfer or exchange of any Note selected for redemption in whole or in part, except the unredeemed portion of any Note being redeemed in part; provided that new Notes will only be issued in minimum denominations of $2,000 and integral multiples of $1,000 in excess thereof.</w:t>
      </w:r>
    </w:p>
    <w:p>
      <w:pPr>
        <w:spacing w:after="0" w:line="175" w:lineRule="exact"/>
        <w:rPr>
          <w:rFonts w:ascii="Times New Roman" w:cs="Times New Roman" w:eastAsia="Times New Roman" w:hAnsi="Times New Roman"/>
          <w:sz w:val="18"/>
          <w:szCs w:val="18"/>
          <w:color w:val="auto"/>
        </w:rPr>
      </w:pPr>
    </w:p>
    <w:p>
      <w:pPr>
        <w:ind w:left="-20" w:right="40" w:firstLine="436"/>
        <w:spacing w:after="0" w:line="266" w:lineRule="auto"/>
        <w:tabs>
          <w:tab w:leader="none" w:pos="67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Global Notes and Definitive Notes issued upon any registration of transfer or exchange of Global Notes or Definitive Notes shall be the valid obligations of the Issuers, evidencing the same debt, and entitled to the same benefits under this Indenture, as the Global Notes or Definitive Notes surrendered upon such registration of transfer or exchange.</w:t>
      </w:r>
    </w:p>
    <w:p>
      <w:pPr>
        <w:spacing w:after="0" w:line="175" w:lineRule="exact"/>
        <w:rPr>
          <w:rFonts w:ascii="Times New Roman" w:cs="Times New Roman" w:eastAsia="Times New Roman" w:hAnsi="Times New Roman"/>
          <w:sz w:val="18"/>
          <w:szCs w:val="18"/>
          <w:color w:val="auto"/>
        </w:rPr>
      </w:pPr>
    </w:p>
    <w:p>
      <w:pPr>
        <w:ind w:left="-20" w:right="40" w:firstLine="436"/>
        <w:spacing w:after="0" w:line="266" w:lineRule="auto"/>
        <w:tabs>
          <w:tab w:leader="none" w:pos="72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due presentment for the registration of a transfer of any Note, the Trustee, any Agent and the Issuers shall deem and treat the Person in whose name any Note is registered as the absolute owner of such Note for the purpose of receiving payment of principal of (and premium, if any) and interest on such Notes and for all other purposes, and none of the Trustee, any Agent or any Issuer shall be affected by notice to the contrary.</w:t>
      </w:r>
    </w:p>
    <w:p>
      <w:pPr>
        <w:spacing w:after="0" w:line="175" w:lineRule="exact"/>
        <w:rPr>
          <w:rFonts w:ascii="Times New Roman" w:cs="Times New Roman" w:eastAsia="Times New Roman" w:hAnsi="Times New Roman"/>
          <w:sz w:val="18"/>
          <w:szCs w:val="18"/>
          <w:color w:val="auto"/>
        </w:rPr>
      </w:pPr>
    </w:p>
    <w:p>
      <w:pPr>
        <w:ind w:left="-20" w:right="200" w:firstLine="436"/>
        <w:spacing w:after="0" w:line="266" w:lineRule="auto"/>
        <w:tabs>
          <w:tab w:leader="none" w:pos="77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for registration of transfer of any Note at the office or agency of the Issuers designated pursuant to Section 4.02 hereof, the Issuers shall execute, and the Trustee shall authenticate and deliver, in the name of the designated transferee or transferees, one or more replacement Notes of any authorized denomination or denominations of a like aggregate principal amount.</w:t>
      </w:r>
    </w:p>
    <w:p>
      <w:pPr>
        <w:spacing w:after="0" w:line="175" w:lineRule="exact"/>
        <w:rPr>
          <w:rFonts w:ascii="Times New Roman" w:cs="Times New Roman" w:eastAsia="Times New Roman" w:hAnsi="Times New Roman"/>
          <w:sz w:val="18"/>
          <w:szCs w:val="18"/>
          <w:color w:val="auto"/>
        </w:rPr>
      </w:pPr>
    </w:p>
    <w:p>
      <w:pPr>
        <w:ind w:left="-20" w:right="140" w:firstLine="436"/>
        <w:spacing w:after="0" w:line="261" w:lineRule="auto"/>
        <w:tabs>
          <w:tab w:leader="none" w:pos="82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subject to Section 2.06(a) hereof,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Issuers shall execute, and the Trustee shall authenticate and deliver, the replacement Global Notes and Definitive Notes which the Holder making the exchange is entitled to in accordance with the provisions of Section 2.02 hereof.</w:t>
      </w:r>
    </w:p>
    <w:p>
      <w:pPr>
        <w:spacing w:after="0" w:line="179" w:lineRule="exact"/>
        <w:rPr>
          <w:rFonts w:ascii="Times New Roman" w:cs="Times New Roman" w:eastAsia="Times New Roman" w:hAnsi="Times New Roman"/>
          <w:sz w:val="18"/>
          <w:szCs w:val="18"/>
          <w:color w:val="auto"/>
        </w:rPr>
      </w:pPr>
    </w:p>
    <w:p>
      <w:pPr>
        <w:ind w:left="-20" w:right="100" w:firstLine="436"/>
        <w:spacing w:after="0" w:line="282" w:lineRule="auto"/>
        <w:tabs>
          <w:tab w:leader="none" w:pos="72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certifications, certificates and opinions of counsel required to be submitted pursuant to this Section 2.06 to effect a registration of transfer or exchange may be submitted by facsimile.</w:t>
      </w:r>
    </w:p>
    <w:p>
      <w:pPr>
        <w:spacing w:after="0" w:line="161"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Issuers, the Trustee or the Agents shall have any responsibility or obligation to any beneficial owner in a Global Note, a Participant, an Indirect Participant or other Person with respect to the accuracy of the records of the applicable Depositary or their respective nominees or of any Participant, with respect to any ownership interest in the Notes or with respect to the delivery to any Participant, Indirect Participant, beneficial owner or other Person (other than the Depositary) of any notice (including any notice of redemption) or the payment of any amount, under or with respect to such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60" w:top="270" w:right="459" w:bottom="1440" w:gutter="0" w:footer="0" w:header="0"/>
        </w:sectPr>
      </w:pPr>
    </w:p>
    <w:bookmarkStart w:id="88" w:name="page89"/>
    <w:bookmarkEnd w:id="8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All notices and communications to be given to the Holders and all payments to be made to Holders under the Notes and this Indenture shall be given or made only to or upon the order of the registered holders (which shall be the Depositary or its nominee). The rights of beneficial owners in a Global Note shall be exercised only through the Depositary in the case of Global Notes, subject to the Applicable Procedures. The Issuers, the Trustee and the Agents shall be entitled to rely and shall be fully protected in relying upon information furnished by the Depositary. The Issuers, the Trustee and the Agents shall be entitled to deal with the Depositary in the case of Global Notes, and any nominee thereof, that is the registered holder of any Global Note for all purposes of this Indenture relating to such Global Note (including the payment of principal, premium, if any, and interest, and the giving of instructions or directions by or to the owner or holder of a beneficial ownership interest in such Global Note) as the sole holder of such Global Note and shall have no obligations to the beneficial owners thereof. None of the Issuers, Trustee or Agents shall have any responsibility or liability for any acts or omissions of the Depositary with respect to such Global Note, for the records of any such depositary, including records in respect of beneficial ownership interests in respect of any such Global Note, for any transactions between the Depositary and any Participant or between or among the Depositary, any such Participant and/or any holder or owner of a beneficial interest in such Global Note, or for any transfers of beneficial interests in any such Global Note.</w:t>
      </w:r>
    </w:p>
    <w:p>
      <w:pPr>
        <w:spacing w:after="0" w:line="190" w:lineRule="exact"/>
        <w:rPr>
          <w:sz w:val="20"/>
          <w:szCs w:val="20"/>
          <w:color w:val="auto"/>
        </w:rPr>
      </w:pPr>
    </w:p>
    <w:p>
      <w:pPr>
        <w:jc w:val="both"/>
        <w:ind w:right="420" w:firstLine="436"/>
        <w:spacing w:after="0" w:line="261" w:lineRule="auto"/>
        <w:tabs>
          <w:tab w:leader="none" w:pos="74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with respect to any Global Note, nothing herein shall prevent the Issuers, the Trustee, or any agent of the Issuers or the Trustee from giving effect to any written certification, proxy or other authorization furnished by any Depositary (or its nominee), as a Holder, with respect to such Global Note or shall impair, as between such Depositary and owners of beneficial interests in such Global Note, the operation of customary practices governing the exercise of the rights of such Depositary (or its nominee) as Holder of such Global Note.</w:t>
      </w:r>
    </w:p>
    <w:p>
      <w:pPr>
        <w:spacing w:after="0" w:line="179" w:lineRule="exact"/>
        <w:rPr>
          <w:rFonts w:ascii="Times New Roman" w:cs="Times New Roman" w:eastAsia="Times New Roman" w:hAnsi="Times New Roman"/>
          <w:sz w:val="18"/>
          <w:szCs w:val="18"/>
          <w:color w:val="auto"/>
        </w:rPr>
      </w:pPr>
    </w:p>
    <w:p>
      <w:pPr>
        <w:ind w:right="40" w:firstLine="436"/>
        <w:spacing w:after="0" w:line="255" w:lineRule="auto"/>
        <w:tabs>
          <w:tab w:leader="none" w:pos="7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Trustee, the Registrar or the Transfer Agent shall have any duty to monitor the Issuers’ compliance with or have any responsibility with respect to the Issuers’ compliance with any federal or state securities laws in connection with registrations of transfers and exchanges of the Notes. The Trustee, the Registrar and the Transfer Agent shall have no obligation or duty to monitor, determine or inquire as to compliance with any restrictions on transfer imposed under this Indenture or under applicable law with respect to any transfer of any interest in any Notes (including any transfers between or among the Depositary’s Participants or beneficial owners of interests in any Global Note) other than to require delivery of such certificates and other documentation, as is expressly required by, and to do so if and when expressly required by, the terms of this Indenture or the Notes and to examine the same to determine substantial compliance as to form with the express requirements hereof.</w:t>
      </w:r>
    </w:p>
    <w:p>
      <w:pPr>
        <w:spacing w:after="0" w:line="188" w:lineRule="exact"/>
        <w:rPr>
          <w:rFonts w:ascii="Times New Roman" w:cs="Times New Roman" w:eastAsia="Times New Roman" w:hAnsi="Times New Roman"/>
          <w:sz w:val="18"/>
          <w:szCs w:val="18"/>
          <w:color w:val="auto"/>
        </w:rPr>
      </w:pPr>
    </w:p>
    <w:p>
      <w:pPr>
        <w:jc w:val="both"/>
        <w:ind w:right="160" w:firstLine="436"/>
        <w:spacing w:after="0" w:line="261" w:lineRule="auto"/>
        <w:tabs>
          <w:tab w:leader="none" w:pos="84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the Trustee, the Registrar and the Transfer Agent reserve the right to require the delivery by any Holder or purchaser of a Note of such legal opinions, certifications or other evidence as may reasonably be required in order to determine that the proposed transfer of any Restricted Global Note or Restricted Definitive Note is being made in compliance with the Securities Act or the Exchange Act, or rules or regulations adopted by the SEC from time to time thereunder, and applicable state securities laws.</w:t>
      </w:r>
    </w:p>
    <w:p>
      <w:pPr>
        <w:spacing w:after="0" w:line="176"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2.07. </w:t>
      </w:r>
      <w:r>
        <w:rPr>
          <w:rFonts w:ascii="Times New Roman" w:cs="Times New Roman" w:eastAsia="Times New Roman" w:hAnsi="Times New Roman"/>
          <w:sz w:val="18"/>
          <w:szCs w:val="18"/>
          <w:i w:val="1"/>
          <w:iCs w:val="1"/>
          <w:color w:val="auto"/>
        </w:rPr>
        <w:t>Replacement Notes</w:t>
      </w:r>
      <w:r>
        <w:rPr>
          <w:rFonts w:ascii="Times New Roman" w:cs="Times New Roman" w:eastAsia="Times New Roman" w:hAnsi="Times New Roman"/>
          <w:sz w:val="18"/>
          <w:szCs w:val="18"/>
          <w:color w:val="auto"/>
        </w:rPr>
        <w:t>. If either (x) any mutilated Note is surrendered to the Trustee, the Registrar or the Issuers, or (y) the Issuers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Trustee receive evidence to their satisfaction of the ownership and destruction, loss or theft of any Note, then the Issuers shall issue and the Trustee, upon receipt of an Authentication Order and satisfaction of any other requirements of the Trustee, shall authenticate a replacement Note. If required by the Trustee or the Issuers, an indemnity bond must be supplied by the Holder that is sufficient in the judgment of both (i) the Trustee to protect the Trustee and (ii) the Issuers to protect any Issuer, the Trustee, any Agent and any Authentication Agent from any loss that any of them may suffer if a Note is replaced. The Issuers and the Trustee may charge the Holder for their expenses in replacing a Note.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20"/>
          </w:cols>
          <w:pgMar w:left="440" w:top="270" w:right="439" w:bottom="1440" w:gutter="0" w:footer="0" w:header="0"/>
        </w:sectPr>
      </w:pPr>
    </w:p>
    <w:bookmarkStart w:id="89" w:name="page90"/>
    <w:bookmarkEnd w:id="89"/>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Every replacement Note is a contractual obligation of the Issuers and shall be entitled to all of the benefits of this Indenture equally and proportionately with all other Notes duly issued hereunder.</w:t>
      </w:r>
    </w:p>
    <w:p>
      <w:pPr>
        <w:spacing w:after="0" w:line="158"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2.08. </w:t>
      </w:r>
      <w:r>
        <w:rPr>
          <w:rFonts w:ascii="Times New Roman" w:cs="Times New Roman" w:eastAsia="Times New Roman" w:hAnsi="Times New Roman"/>
          <w:sz w:val="18"/>
          <w:szCs w:val="18"/>
          <w:i w:val="1"/>
          <w:iCs w:val="1"/>
          <w:color w:val="auto"/>
        </w:rPr>
        <w:t>Outstanding Notes</w:t>
      </w:r>
      <w:r>
        <w:rPr>
          <w:rFonts w:ascii="Times New Roman" w:cs="Times New Roman" w:eastAsia="Times New Roman" w:hAnsi="Times New Roman"/>
          <w:sz w:val="18"/>
          <w:szCs w:val="18"/>
          <w:color w:val="auto"/>
        </w:rPr>
        <w:t>. The Notes outstanding at any time are all the Notes authenticated by the Trustee except for those cancelled by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delivered to it for cancellation, those reductions in the interest in a Global Note effected by the Trustee in accordance with the provisions hereof and those described in this Section 2.08 as not outstanding. Except as set forth in Sections 2.09 or 9.02 hereof, a Note does not cease to be outstanding because an Issuer or a Guarantor or an Affiliate of an Issuer or a Guarantor holds the Note.</w:t>
      </w:r>
    </w:p>
    <w:p>
      <w:pPr>
        <w:spacing w:after="0" w:line="180"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If a Note is replaced pursuant to Section 2.07 hereof, it ceases to be outstanding unless the Trustee receives proof satisfactory to it that the replaced Note is held by a protected purchaser (as defined in Section 8-303 of the Uniform Commercial Code).</w:t>
      </w:r>
    </w:p>
    <w:p>
      <w:pPr>
        <w:spacing w:after="0" w:line="162" w:lineRule="exact"/>
        <w:rPr>
          <w:sz w:val="20"/>
          <w:szCs w:val="20"/>
          <w:color w:val="auto"/>
        </w:rPr>
      </w:pPr>
    </w:p>
    <w:p>
      <w:pPr>
        <w:jc w:val="both"/>
        <w:ind w:right="160" w:firstLine="440"/>
        <w:spacing w:after="0" w:line="282" w:lineRule="auto"/>
        <w:rPr>
          <w:sz w:val="20"/>
          <w:szCs w:val="20"/>
          <w:color w:val="auto"/>
        </w:rPr>
      </w:pPr>
      <w:r>
        <w:rPr>
          <w:rFonts w:ascii="Times New Roman" w:cs="Times New Roman" w:eastAsia="Times New Roman" w:hAnsi="Times New Roman"/>
          <w:sz w:val="18"/>
          <w:szCs w:val="18"/>
          <w:color w:val="auto"/>
        </w:rPr>
        <w:t>Notes in exchange for or in lieu of which other Notes have been authenticated and delivered pursuant to this Indenture shall not be deemed to be outstanding for purposes hereof.</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the principal amount of any Note is considered paid under Section 4.01 hereof, such Note shall cease to be outstanding and interest thereon shall cease to accrue.</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If a Paying Agent (other than an Issuer or a Guarantor or an Affiliate of an Issuer or a Guarantor) holds, on a Redemption Date or maturity date, money sufficient to pay Notes (or portions thereof) payable on that date, then on and after that date such Notes (or portions thereof) shall be deemed to be no longer outstanding (including for accounting purposes) and shall cease to accrue interest on and after such date.</w:t>
      </w:r>
    </w:p>
    <w:p>
      <w:pPr>
        <w:spacing w:after="0" w:line="17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2.09. </w:t>
      </w:r>
      <w:r>
        <w:rPr>
          <w:rFonts w:ascii="Times New Roman" w:cs="Times New Roman" w:eastAsia="Times New Roman" w:hAnsi="Times New Roman"/>
          <w:sz w:val="18"/>
          <w:szCs w:val="18"/>
          <w:i w:val="1"/>
          <w:iCs w:val="1"/>
          <w:color w:val="auto"/>
        </w:rPr>
        <w:t>Treasury Notes</w:t>
      </w:r>
      <w:r>
        <w:rPr>
          <w:rFonts w:ascii="Times New Roman" w:cs="Times New Roman" w:eastAsia="Times New Roman" w:hAnsi="Times New Roman"/>
          <w:sz w:val="18"/>
          <w:szCs w:val="18"/>
          <w:color w:val="auto"/>
        </w:rPr>
        <w:t>. In determining whether the Holders of the required principal amount of Notes have concurred in any direction,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or consent, Notes owned by the Issuer or by any Subsidiary of the Issuer (and, in the case of Affiliated Holders, to the extent specified by Section 9.02) shall be considered as though not outstanding, except that for the purposes of determining whether the Trustee shall be protected in relying on any such direction, waiver or consent, only Notes that a Responsible Officer of the Trustee actually knows are so owned shall be so disregarded. Notes so owned which have been pledged in good faith shall not be disregarded if the pledgee establishes to the satisfaction of the Trustee the pledgee’s right to deliver any such direction, waiver or consent with respect to such pledged Notes and that the pledgee is not an Issuer or a Guarantor or any Affiliate of an Issuer or a Guarantor.</w:t>
      </w:r>
    </w:p>
    <w:p>
      <w:pPr>
        <w:spacing w:after="0" w:line="183"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i w:val="1"/>
          <w:iCs w:val="1"/>
          <w:color w:val="auto"/>
        </w:rPr>
        <w:t>Temporary Notes</w:t>
      </w:r>
      <w:r>
        <w:rPr>
          <w:rFonts w:ascii="Times New Roman" w:cs="Times New Roman" w:eastAsia="Times New Roman" w:hAnsi="Times New Roman"/>
          <w:sz w:val="18"/>
          <w:szCs w:val="18"/>
          <w:color w:val="auto"/>
        </w:rPr>
        <w:t>. Until certificates representing Notes are ready for delivery, the Issuers may prepare and the Trustee, upon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Authentication Order, shall authenticate temporary Notes. Temporary Notes shall be substantially in the form of certificated Notes but may have variations that the Issuers consider appropriate for temporary Notes. Without unreasonable delay, the Issuers shall prepare and the Trustee shall authenticate Definitive Notes in exchange for temporary Notes.</w:t>
      </w:r>
    </w:p>
    <w:p>
      <w:pPr>
        <w:spacing w:after="0" w:line="18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Holders and beneficial holders, as the case may be, of temporary Notes shall be entitled to all of the benefits accorded to Holders, or beneficial holders, respectively, of Notes under this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0" w:name="page91"/>
    <w:bookmarkEnd w:id="90"/>
    <w:p>
      <w:pPr>
        <w:ind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2.11. </w:t>
      </w:r>
      <w:r>
        <w:rPr>
          <w:rFonts w:ascii="Times New Roman" w:cs="Times New Roman" w:eastAsia="Times New Roman" w:hAnsi="Times New Roman"/>
          <w:sz w:val="18"/>
          <w:szCs w:val="18"/>
          <w:i w:val="1"/>
          <w:iCs w:val="1"/>
          <w:color w:val="auto"/>
        </w:rPr>
        <w:t>Cancellation</w:t>
      </w:r>
      <w:r>
        <w:rPr>
          <w:rFonts w:ascii="Times New Roman" w:cs="Times New Roman" w:eastAsia="Times New Roman" w:hAnsi="Times New Roman"/>
          <w:sz w:val="18"/>
          <w:szCs w:val="18"/>
          <w:color w:val="auto"/>
        </w:rPr>
        <w:t>. The Issuers at any time may deliver Notes to the Trustee for cancellation. The Registrar and the Paying Agent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 to the Trustee any such Notes surrendered to them for registration of transfer, exchange or payment. The Trustee or, at the direction of the Trustee, the applicable Registrar or the Paying Agent and no one else shall cancel all Notes surrendered for registration of transfer, exchange, payment, replacement or cancellation and shall dispose of such cancelled Notes in its customary manner (subject to the record retention requirements of the Exchange Act). Certification of the cancellation of all cancelled Notes shall be delivered to the Issuers upon their written request therefor. The Issuers may not issue new Notes to replace Notes that they have paid or that have been delivered to the Trustee for cancellation.</w:t>
      </w:r>
    </w:p>
    <w:p>
      <w:pPr>
        <w:spacing w:after="0" w:line="18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i w:val="1"/>
          <w:iCs w:val="1"/>
          <w:color w:val="auto"/>
        </w:rPr>
        <w:t>Defaulted Interest</w:t>
      </w:r>
      <w:r>
        <w:rPr>
          <w:rFonts w:ascii="Times New Roman" w:cs="Times New Roman" w:eastAsia="Times New Roman" w:hAnsi="Times New Roman"/>
          <w:sz w:val="18"/>
          <w:szCs w:val="18"/>
          <w:color w:val="auto"/>
        </w:rPr>
        <w:t>. If the Issuers default in a payment of interest on the Notes of any series, it shall pay the defaulted interest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lawful manner plus, to the extent lawful, interest payable on the defaulted interest to the Persons who are Holders of Notes of the applicable series on a subsequent special record date, in each case at the rate provided in the Notes of such series and in Section 4.01 hereof. The Issuers shall notify the Trustee in writing of the amount of defaulted interest proposed to be paid on each Note of the applicable series and the date of the proposed payment, and at the same time the Issuers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Issuers shall fix or cause to be fixed any such special record date and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special record date shall be less than 10 days prior to the related payment date for such defaulted interest. The Issuers shall promptly notify the Trustee of any such special record date. At least 15 days before any such special record date, the Issuers (or, upon the written request of the Issuers, the Trustee in the name and at the expense of the Issuers) shall send or cause to be sent to each Holder of Notes of the applicable series, with a copy to the Trustee, a notice at his or her address as it appears in the Note Register that states the special record date, the related payment date and the amount of such interest to be paid.</w:t>
      </w:r>
    </w:p>
    <w:p>
      <w:pPr>
        <w:spacing w:after="0" w:line="194"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which were carried by such other Note.</w:t>
      </w:r>
    </w:p>
    <w:p>
      <w:pPr>
        <w:spacing w:after="0" w:line="17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i w:val="1"/>
          <w:iCs w:val="1"/>
          <w:color w:val="auto"/>
        </w:rPr>
        <w:t>CUSIP, ISIN or Common Code Numbers</w:t>
      </w:r>
      <w:r>
        <w:rPr>
          <w:rFonts w:ascii="Times New Roman" w:cs="Times New Roman" w:eastAsia="Times New Roman" w:hAnsi="Times New Roman"/>
          <w:sz w:val="18"/>
          <w:szCs w:val="18"/>
          <w:color w:val="auto"/>
        </w:rPr>
        <w:t>. The Issuers in issuing the Notes may use CUSIP, ISIN, Common Code or other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numbers (in each case, if then generally in use) and, if so, the Trustee shall use CUSIP, ISIN, Common Code or other similar numbers in notices of redemption or exchange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Notes or as contained in any notice of redemption or exchange and that reliance may be placed only on the other identification numbers printed on the Notes, and any such redemption or exchange shall not be affected by any defect in or omission of such numbers. The Issuers will as promptly as practicable notify the Trustee in writing of any change in the CUSIP, ISIN, Common Code or other similar numbers.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w:t>
      </w:r>
    </w:p>
    <w:p>
      <w:pPr>
        <w:spacing w:after="0" w:line="203"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i w:val="1"/>
          <w:iCs w:val="1"/>
          <w:color w:val="auto"/>
        </w:rPr>
        <w:t>Notices to Trustee</w:t>
      </w:r>
      <w:r>
        <w:rPr>
          <w:rFonts w:ascii="Times New Roman" w:cs="Times New Roman" w:eastAsia="Times New Roman" w:hAnsi="Times New Roman"/>
          <w:sz w:val="18"/>
          <w:szCs w:val="18"/>
          <w:color w:val="auto"/>
        </w:rPr>
        <w:t>. If the Issuer elects to redeem Notes of a series pursuant to Section 3.07 hereof, it shall furnish to the Trustee,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two Business Days, in the case of Global Notes or five Business Days, in the case of Definitive Notes (unless a shorter notice shall be agreed to by the Trustee) before notice of redemption is required to be delivered or mailed to Holders pursuant to Section 3.03 hereof, an Officer’s Certificate setting forth (a) the paragraph or subparagraph of such Note and/or Section of this Indenture pursuant to which the redemption shall occur, (b) the date of redemption (as such date may be delayed pursuant to Section 3.07(e) hereof,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(c) the principal amount of the Notes to be redeemed and (d) the redemption price.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66" w:right="459" w:bottom="1440" w:gutter="0" w:footer="0" w:header="0"/>
        </w:sectPr>
      </w:pPr>
    </w:p>
    <w:bookmarkStart w:id="91" w:name="page92"/>
    <w:bookmarkEnd w:id="91"/>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i w:val="1"/>
          <w:iCs w:val="1"/>
          <w:color w:val="auto"/>
        </w:rPr>
        <w:t>Selection of Notes to Be Redeemed or Purchased</w:t>
      </w:r>
      <w:r>
        <w:rPr>
          <w:rFonts w:ascii="Times New Roman" w:cs="Times New Roman" w:eastAsia="Times New Roman" w:hAnsi="Times New Roman"/>
          <w:sz w:val="18"/>
          <w:szCs w:val="18"/>
          <w:color w:val="auto"/>
        </w:rPr>
        <w:t>. If less than all of the Notes of a series are to be redeemed or purchased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the selection of the Notes of such series to be redeemed or purchased will be made in accordance with the Applicable Procedures. The Issuers may elect to redeem Notes of one or more series without redeeming Notes of any other series. In the event of partial redemption or purchase by lot, the particular Notes of the applicable series to be redeemed or purchased shall be selected, unless otherwise provided herein, not less than 10 days nor more than 60 days prior to the Redemption Date by the Trustee from the outstanding Notes of such series not previously called for redemption or purchase.</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Trustee shall promptly notify the Issuer in writing of the Notes of the applicable series selected for redemption and, in the case of any Note selected for partial redemption, the principal amount thereof to be redeemed. Notes of the applicable series and portions of Notes of the applicable series selected shall be in minimum denominations of $1,000 and integral multiples of $1,000 in excess thereof; no Notes of the applicable series in denominations of $2,000 or less can be redeemed in part, except that if all of the Notes of the applicable series of a Holder are to be redeemed, the entire outstanding amount of Notes of such series held by such Holder shall be redeemed, even if not in a principal amount of at least $2,000 in the case of the Notes of such series. Except as provided in the preceding sentence, provisions of this Indenture that apply to Notes of a series called for redemption also apply to portions of Notes of such series called for redemption.</w:t>
      </w:r>
    </w:p>
    <w:p>
      <w:pPr>
        <w:spacing w:after="0" w:line="18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3.03. </w:t>
      </w:r>
      <w:r>
        <w:rPr>
          <w:rFonts w:ascii="Times New Roman" w:cs="Times New Roman" w:eastAsia="Times New Roman" w:hAnsi="Times New Roman"/>
          <w:sz w:val="18"/>
          <w:szCs w:val="18"/>
          <w:i w:val="1"/>
          <w:iCs w:val="1"/>
          <w:color w:val="auto"/>
        </w:rPr>
        <w:t>Notice of Redemption or Purchase</w:t>
      </w:r>
      <w:r>
        <w:rPr>
          <w:rFonts w:ascii="Times New Roman" w:cs="Times New Roman" w:eastAsia="Times New Roman" w:hAnsi="Times New Roman"/>
          <w:sz w:val="18"/>
          <w:szCs w:val="18"/>
          <w:color w:val="auto"/>
        </w:rPr>
        <w:t>. The Issuer shall send electronically, mail or cause to be mailed by first-class mail, postage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prepaid, notices of redemption or purchase at least 10 days but not more than 60 days (except as set forth in Section 3.07(e) hereof) before the Redemption Date to each Holder of Notes of the applicable series to be redeemed or purchased at such Holder’s registered address stated in the Note Register (with a copy to the Trustee) or otherwise in accordance with the Applicable Procedures, except that redemption or purchase notices may be delivered or mailed more than 60 days prior to a Redemption Date if the notice is issued in connection with Article 8 or Article 11 hereof with respect to the Notes of the applicable series. Notices of redemption or purchase may, at the Issuer’s discretion, be conditional. The Issuer may also provide in any redemption or purchase notice that payment of the redemption price and the performance of the Issuer’s obligations with respect to such redemption or purchase may be performed by another Person.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notice shall identify the Notes of the applicable series to be redeemed or purchased and shall state:</w:t>
      </w:r>
    </w:p>
    <w:p>
      <w:pPr>
        <w:spacing w:after="0" w:line="117" w:lineRule="exact"/>
        <w:rPr>
          <w:sz w:val="20"/>
          <w:szCs w:val="20"/>
          <w:color w:val="auto"/>
        </w:rPr>
      </w:pPr>
    </w:p>
    <w:p>
      <w:pPr>
        <w:ind w:left="1100" w:hanging="241"/>
        <w:spacing w:after="0"/>
        <w:tabs>
          <w:tab w:leader="none" w:pos="11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purchase price;</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0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of the applicable series is to be redeemed or purchased in part only, the portion of the principal amount of that Note that is to be redeemed or purchased and, with respect to any Definitive Note, that after the Redemption Date upon surrender of such Note, a new Note or Notes of such series in principal amount equal to the unredeemed or unpurchased portion of the original Note representing the same indebtedness to the extent not redeemed will be issued in the name of the Holder upon cancellation of the original Note; provided that new Notes of such series will only be issued in minimum denominations of $2,000 and integral multiples of $1,000 in excess thereof;</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0"/>
          </w:cols>
          <w:pgMar w:left="440" w:top="266" w:right="479" w:bottom="1440" w:gutter="0" w:footer="0" w:header="0"/>
        </w:sectPr>
      </w:pPr>
    </w:p>
    <w:bookmarkStart w:id="92" w:name="page93"/>
    <w:bookmarkEnd w:id="92"/>
    <w:p>
      <w:pPr>
        <w:ind w:left="1100" w:hanging="241"/>
        <w:spacing w:after="0"/>
        <w:tabs>
          <w:tab w:leader="none" w:pos="11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Notes called for redemption or purchase must be surrendered to the Paying Agent to collect the redemption or purchase price;</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08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Issuers default in making such redemption or purchase payment, interest on Notes of the applicable series called for redemption or purchase ceases to accrue on and after the Redemption Date subject to the satisfaction or waiver of any conditions set forth in such notice;</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or subparagraph of the Notes of the applicable series and/or Section of this Indenture pursuant to which the Notes of the applicable series called for redemption or purchase are being redeemed or purchased;</w:t>
      </w:r>
    </w:p>
    <w:p>
      <w:pPr>
        <w:spacing w:after="0" w:line="53" w:lineRule="exact"/>
        <w:rPr>
          <w:rFonts w:ascii="Times New Roman" w:cs="Times New Roman" w:eastAsia="Times New Roman" w:hAnsi="Times New Roman"/>
          <w:sz w:val="18"/>
          <w:szCs w:val="18"/>
          <w:color w:val="auto"/>
        </w:rPr>
      </w:pPr>
    </w:p>
    <w:p>
      <w:pPr>
        <w:jc w:val="both"/>
        <w:ind w:left="440" w:right="280" w:firstLine="419"/>
        <w:spacing w:after="0" w:line="266"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Common Code or similar number, if any, printed on the Notes of the applicable series being redeemed or purchased and that no representation is made as to the correctness or accuracy of any such CUSIP, ISIN, Common Code or similar number that is listed in such notice or printed on the Notes; and</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 to such redemption or purchase.</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In addition, any notice of redemption or purchase may include additional information, including any information pursuant to Section 3.07(e) hereof.</w:t>
      </w:r>
    </w:p>
    <w:p>
      <w:pPr>
        <w:spacing w:after="0" w:line="16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At the Issuer’s request, the Trustee shall give the notice of redemption or purchase in the Issuer’s name and at its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 shall have delivered to the Trustee, at least two Business Days, in the case of Global Notes, or five Business Days, in the case of Definitive Notes, before notice of redemption or purchase is required to be delivered electronically, mailed or caused to be mailed to Holders pursuant to this Section 3.03 (unless a shorter notice shall be agreed to by the Trustee), an Officer’s Certificate requesting that the Trustee give such notice and setting forth the information to be stated in such notice as provided in the preceding paragraph.</w:t>
      </w:r>
    </w:p>
    <w:p>
      <w:pPr>
        <w:spacing w:after="0" w:line="185"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If the Notes are listed on an exchange, for so long as the Notes are so listed and the rules of such exchange so require, the Issuer shall notify the exchange of any such redemption or purchase and, if applicable, of the principal amount of any Notes outstanding following any partial redemption or purchase of Notes.</w:t>
      </w:r>
    </w:p>
    <w:p>
      <w:pPr>
        <w:spacing w:after="0" w:line="17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3.04. </w:t>
      </w:r>
      <w:r>
        <w:rPr>
          <w:rFonts w:ascii="Times New Roman" w:cs="Times New Roman" w:eastAsia="Times New Roman" w:hAnsi="Times New Roman"/>
          <w:sz w:val="18"/>
          <w:szCs w:val="18"/>
          <w:i w:val="1"/>
          <w:iCs w:val="1"/>
          <w:color w:val="auto"/>
        </w:rPr>
        <w:t>Effect of Notice of Redemption or Purchase</w:t>
      </w:r>
      <w:r>
        <w:rPr>
          <w:rFonts w:ascii="Times New Roman" w:cs="Times New Roman" w:eastAsia="Times New Roman" w:hAnsi="Times New Roman"/>
          <w:sz w:val="18"/>
          <w:szCs w:val="18"/>
          <w:color w:val="auto"/>
        </w:rPr>
        <w:t>. A notice of redemption or purchase, if delivered electronically, mailed or caused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mailed in a manner herein provided, shall be conclusively presumed to have been given, whether or not the Holder receives such notice. In any case, failure to deliver such notice or any defect in the notice to the Holder of any Note of the applicable series designated for redemption or purchase in whole or in part shall not affect the validity of the proceedings for the redemption or purchase of any other Note. Notes of a series or portions of Notes of a series called for redemption or purchase shall become due and payable on the Redemption Date, subject to satisfaction or waiver of any conditions specified in the notice. Subject to Section 3.05 hereof, on and after the Redemption Date, unless the Issuers default in the payment of the redemption or purchase price, interest shall cease to accrue on the Notes of such series called for redemption or purchase.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3.05. </w:t>
      </w:r>
      <w:r>
        <w:rPr>
          <w:rFonts w:ascii="Times New Roman" w:cs="Times New Roman" w:eastAsia="Times New Roman" w:hAnsi="Times New Roman"/>
          <w:sz w:val="18"/>
          <w:szCs w:val="18"/>
          <w:i w:val="1"/>
          <w:iCs w:val="1"/>
          <w:color w:val="auto"/>
        </w:rPr>
        <w:t>Deposit of Redemption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36"/>
        <w:spacing w:after="0" w:line="261" w:lineRule="auto"/>
        <w:tabs>
          <w:tab w:leader="none" w:pos="68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noon (New York City time) on the Redemption Date, the Issuer shall deposit with the Trustee or with the Paying Agent money sufficient to pay the redemption price of and accrued and unpaid interest on all Notes of the applicable series to be redeemed on that Redemption Date. The Trustee or the Paying Agent shall promptly return to the Issuer any money deposited with the Trustee or the Paying Agent by the Issuer in excess of the amounts necessary to pay the redemption price of, and accrued and unpaid interest on, all Notes of the applicable series to be redeemed.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440" w:top="270" w:right="439" w:bottom="1440" w:gutter="0" w:footer="0" w:header="0"/>
        </w:sectPr>
      </w:pPr>
    </w:p>
    <w:bookmarkStart w:id="93" w:name="page94"/>
    <w:bookmarkEnd w:id="93"/>
    <w:p>
      <w:pPr>
        <w:ind w:right="40" w:firstLine="436"/>
        <w:spacing w:after="0" w:line="254" w:lineRule="auto"/>
        <w:tabs>
          <w:tab w:leader="none" w:pos="6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Issuer complies with the provisions of the preceding clause (a), on and after the Redemption Date, unless the Issuers default in the payment of the redemption price and subject to the satisfaction or waiver of any conditions set forth in the applicable notice of redemption, interest shall cease to accrue on the Notes of the applicable series called for redemption. If a Note of the applicable series is redeemed on or after an applicable Record Date but on or prior to the related Interest Payment Date, then any accrued and unpaid interest to the Redemption Date shall be paid to the Person in whose name such Note was registered at the close of business on such Record Date in accordance with Applicable Procedures. If any Note of the applicable series called for redemption shall not be so paid upon surrender for redemption because of the failure of the Issuer to comply with the preceding paragraph, interest shall be paid on the unpaid principal, from the Redemption Date until such principal is paid, and to the extent lawful on any interest accrued to the Redemption Date not paid on such unpaid principal, in each case at the rate provided in the Notes of the applicable series and in Section 4.01 hereof.</w:t>
      </w:r>
    </w:p>
    <w:p>
      <w:pPr>
        <w:spacing w:after="0" w:line="184"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3.06. </w:t>
      </w:r>
      <w:r>
        <w:rPr>
          <w:rFonts w:ascii="Times New Roman" w:cs="Times New Roman" w:eastAsia="Times New Roman" w:hAnsi="Times New Roman"/>
          <w:sz w:val="18"/>
          <w:szCs w:val="18"/>
          <w:i w:val="1"/>
          <w:iCs w:val="1"/>
          <w:color w:val="auto"/>
        </w:rPr>
        <w:t>Notes Redeemed in Part</w:t>
      </w:r>
      <w:r>
        <w:rPr>
          <w:rFonts w:ascii="Times New Roman" w:cs="Times New Roman" w:eastAsia="Times New Roman" w:hAnsi="Times New Roman"/>
          <w:sz w:val="18"/>
          <w:szCs w:val="18"/>
          <w:color w:val="auto"/>
        </w:rPr>
        <w:t>. Upon surrender of a Definitive Note of the applicable series that is redeemed in part, the Issuers shall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Trustee shall authenticate for the Holder, at the expense of the Issuers, a new Note of such series equal in principal amount to the unredeemed portion of the Note surrendered representing the same indebtedness to the extent not redeemed;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of such series will be in a minimum principal amount of $2,000 and any integral multiple of $1,000 in excess thereof. It is understood that, notwithstanding anything to the contrary in this Indenture, only an Authentication Order and an Officer’s Certificate and not an Opinion of Counsel are required for the Trustee to authenticate such new Note.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3.07.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36"/>
        <w:spacing w:after="0" w:line="282" w:lineRule="auto"/>
        <w:tabs>
          <w:tab w:leader="none" w:pos="6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clauses (b) and (d) of this Section 3.07, the Notes will not be redeemable at the Issuer’s option prior to the applicable Par Call Date.</w:t>
      </w:r>
    </w:p>
    <w:p>
      <w:pPr>
        <w:spacing w:after="0" w:line="161"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applicable Par Call Date, the Issuer may, at its option, at any time and from time to time, redeem the Notes of the applicable series, in whole or in part, upon notice in accordance with Section 3.03 hereof, at a redemption price (expressed as a percentage of principal amount and rounded to three decimal places) equal to the greater of: (A) (1) the sum of the present values of the remaining scheduled payments of principal and interest thereon discounted to the Redemption Date (assuming such Notes matured on the applicable Par Call Date) on a semi-annual basis (assuming a 360-day year consisting of twelve 30-day months) at the Treasury Rate plus 15 basis points,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(2) interest accrued to, but excluding, the Redemption Date, and (B) 100.0% of the principal amount of the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on the principal amount being redeemed to, but excluding, the Redemption Date, subject to the right of Holders of record on the relevant Record Date to receive interest due on the Notes on the relevant Interest Payment Date falling prior to or on the Redemption Date.</w:t>
      </w:r>
    </w:p>
    <w:p>
      <w:pPr>
        <w:spacing w:after="0" w:line="191"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after the applicable Par Call Date, the Issuer may, at its option, at any time and from time to time, redeem the Notes of the applicable series, in whole or in part, upon notice in accordance with Section 3.03 hereof, at a redemption price equal to 100% of the principal amount of such Notes being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on the principal amount being redeemed to, but excluding, the Redemption Date, subject to the right of Holders of record on the relevant Record Date to receive interest due on the relevant Interest Payment Date falling prior to or on the Redemption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4" w:name="page95"/>
    <w:bookmarkEnd w:id="94"/>
    <w:p>
      <w:pPr>
        <w:ind w:left="-40" w:right="80" w:firstLine="436"/>
        <w:spacing w:after="0" w:line="253"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in connection with any Change of Control Offer or Alternate Offer for the Notes of a series, if Holders of not less than 90% in aggregate principal amount of the then outstanding Notes of such series validly tender and do not validly withdraw such Notes in such offer and the Issuer, or any third party making such offer in lieu of the Issuer, purchases all of the Notes of such series validly tendered and not validly withdrawn by such Holders, the Issuer or such third party will have the right upon not less than 10 days nor more than 60 days’ prior notice, given not more than 60 days following such purchase date, to redeem all Notes of such series that remain outstanding following such purchase at a price in cash equal to 101% of the aggregate principal amount of the Notes of such series repurchased plus, to the extent not included in the offer payment, accrued and unpaid interest, if any, thereon, to, but excluding, the Redemption Date, subject to the right of Holders of record of Notes of such series on the relevant Record Date to receive interest due on the relevant Interest Payment Date falling prior to or on the Redemption Date. In determining whether the Holders of at least 90% of the aggregate principal amount of the then outstanding Notes of a series have validly tendered and not validly withdrawn Notes in a Change of Control Offer or Alternate Offer, as applicable, Notes of such series owned by an Affiliate of the Issuer or by funds controlled or managed by any Affiliate of the Issuer, or any successor thereof, or any Debt Fund Affiliate, shall be deemed to be outstanding for the purposes of such Change of Control Offer or Alternate Offer, as applicable.</w:t>
      </w:r>
    </w:p>
    <w:p>
      <w:pPr>
        <w:spacing w:after="0" w:line="189" w:lineRule="exact"/>
        <w:rPr>
          <w:rFonts w:ascii="Times New Roman" w:cs="Times New Roman" w:eastAsia="Times New Roman" w:hAnsi="Times New Roman"/>
          <w:sz w:val="18"/>
          <w:szCs w:val="18"/>
          <w:color w:val="auto"/>
        </w:rPr>
      </w:pPr>
    </w:p>
    <w:p>
      <w:pPr>
        <w:ind w:left="-40" w:firstLine="436"/>
        <w:spacing w:after="0" w:line="252" w:lineRule="auto"/>
        <w:tabs>
          <w:tab w:leader="none" w:pos="64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pursuant to this Section 3.07 shall be made pursuant to the provisions of Sections 3.01 through 3.06 hereof. Notice of any redemption or offer to purchase, whether in connection with an equity offering, Change of Control, Alternate Offer or other transaction or event or otherwise, may, at the Issuer’s (or, in the case of a Change of Control Offer, a third party making such Change of Control Offer) discretion, be given prior to the completion or occurrence thereof, and any such redemption, offer to purchase or notice may, at the Issuer’s (or, in the case of a Change of Control Offer, a third party making such Change of Control Offer) discretion, be subject to one or more conditions precedent (including conditions precedent applicable to different amounts of Notes redeemed), including, but not limited to, completion or occurrence of the related equity offering, Change of Control, Alternate Offer or other transaction or event, as the case may be. In addition, if such redemption or offer to purchase is subject to satisfaction of one or more conditions precedent, such notice shall state that, in the Issuer’s (or, in the case of a Change of Control Offer, a third party making such Change of Control Offer) discretion, the redemption or repurchase date may be delayed until such time (including more than 60 days after the date the notice of redemption or offer to purchase was sent) as any or all such conditions shall be satisfied (or waived by the Issuer (or, in the case of a Change of Control Offer, a third party making such Change of Control Offer) in its sole discretion), or such redemption or purchase may not occur and such notice may be rescinded in the event that any or all such conditions shall not have been satisfied (or waived by the Issuer (or, in the case of a Change of Control Offer, a third party making such Change of Control Offer) in its sole discretion) by the redemption or purchase date, or by the redemption or purchase date so delayed, or that such notice or offer may be rescinded at any time in the Issuer’s (or, in the case of a Change of Control Offer, a third party making such Change of Control Offer) sole discretion. For the avoidance of doubt, if any redemption or repurchase date shall be delayed pursuant to this Section 3.07 and the terms of the applicable notice of redemption or repurchase, such redemption or repurchase date as so delayed may occur at any time after the original redemption or repurchase date set forth in the applicable notice of redemption or repurchase and after the satisfaction of any applicable conditions precedent, including, without limitation, on a date that is less than 10 days after the original redemption or repurchase date or the redemption or repurchase date so delayed and more than 60 days after the date of the applicable notice of redemption or repurchase. In addition, the Issuer may provide in such notice or offer to purchase that payment of the redemption or purchase price and performance of the Issuer’s obligations with respect to such redemption or offer to purchase may be performed by another Person.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40"/>
          </w:cols>
          <w:pgMar w:left="480" w:top="270" w:right="479" w:bottom="1440" w:gutter="0" w:footer="0" w:header="0"/>
        </w:sectPr>
      </w:pPr>
    </w:p>
    <w:bookmarkStart w:id="95" w:name="page96"/>
    <w:bookmarkEnd w:id="95"/>
    <w:p>
      <w:pPr>
        <w:ind w:right="160" w:firstLine="436"/>
        <w:spacing w:after="0" w:line="266" w:lineRule="auto"/>
        <w:tabs>
          <w:tab w:leader="none" w:pos="66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Issuers, Holdings, their direct and indirect equityholders, including the Investors, any of their Subsidiaries and their respective Affiliates and members of management may acquire the Notes by means other than a redemption pursuant to this Article 3, whether by tender offer, open market purchases, negotiated transactions or otherwise.</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duty to calculate or verify the calculation of the redemption price.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3.08.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3.09. </w:t>
      </w:r>
      <w:r>
        <w:rPr>
          <w:rFonts w:ascii="Times New Roman" w:cs="Times New Roman" w:eastAsia="Times New Roman" w:hAnsi="Times New Roman"/>
          <w:sz w:val="18"/>
          <w:szCs w:val="18"/>
          <w:i w:val="1"/>
          <w:iCs w:val="1"/>
          <w:color w:val="auto"/>
        </w:rPr>
        <w:t>Mandatory Redemption</w:t>
      </w:r>
      <w:r>
        <w:rPr>
          <w:rFonts w:ascii="Times New Roman" w:cs="Times New Roman" w:eastAsia="Times New Roman" w:hAnsi="Times New Roman"/>
          <w:sz w:val="18"/>
          <w:szCs w:val="18"/>
          <w:color w:val="auto"/>
        </w:rPr>
        <w:t>. The Issuer shall not be required to make any mandatory redemption or sinking fund payment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Notes.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0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Section 4.01. </w:t>
      </w:r>
      <w:r>
        <w:rPr>
          <w:rFonts w:ascii="Times New Roman" w:cs="Times New Roman" w:eastAsia="Times New Roman" w:hAnsi="Times New Roman"/>
          <w:sz w:val="17"/>
          <w:szCs w:val="17"/>
          <w:i w:val="1"/>
          <w:iCs w:val="1"/>
          <w:color w:val="auto"/>
        </w:rPr>
        <w:t>Payment of Notes</w:t>
      </w:r>
      <w:r>
        <w:rPr>
          <w:rFonts w:ascii="Times New Roman" w:cs="Times New Roman" w:eastAsia="Times New Roman" w:hAnsi="Times New Roman"/>
          <w:sz w:val="17"/>
          <w:szCs w:val="17"/>
          <w:color w:val="auto"/>
        </w:rPr>
        <w:t>. The Issuers shall pay or cause to be paid the principal of, premium, if any, and interest on the Notes on the dates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in the manner provided in the Notes and this Indenture. Principal, premium, if any, and interest shall be considered paid on the date due if the Paying Agent, if other than an Issuer or a Guarantor or an Affiliate of the Issuers or a Guarantor, holds as of noon (New York City time) on the due date, money deposited by the Issuers in immediately available funds and designated for and sufficient to pay all principal, premium, if any, and interest then due.</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Paying Agent shall not be obliged to make any payment until such time as it has received sufficient funds in order to make such payment.</w:t>
      </w:r>
    </w:p>
    <w:p>
      <w:pPr>
        <w:spacing w:after="0" w:line="225"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The Issuers shall pay interest (including post-petition interest in any proceeding under any Bankruptcy Law) on overdue principal at the rate equal to the then applicable interest rate on the Notes to the extent lawful; the Issuers shall pay interest (including post-petition interest in any proceeding under any Bankruptcy Law) on overdue installments of interest (without regard to any applicable grace period) at the same rate to the extent lawful.</w:t>
      </w:r>
    </w:p>
    <w:p>
      <w:pPr>
        <w:spacing w:after="0" w:line="154"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i w:val="1"/>
          <w:iCs w:val="1"/>
          <w:color w:val="auto"/>
        </w:rPr>
        <w:t>Maintenance of Office or Agency</w:t>
      </w:r>
      <w:r>
        <w:rPr>
          <w:rFonts w:ascii="Times New Roman" w:cs="Times New Roman" w:eastAsia="Times New Roman" w:hAnsi="Times New Roman"/>
          <w:sz w:val="18"/>
          <w:szCs w:val="18"/>
          <w:color w:val="auto"/>
        </w:rPr>
        <w:t>. The Issuers shall maintain the offices or agencies (which may be an office of the Trustee 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 of the Trustee, Registrar or Transfer Agent) required under Section 2.03 hereof where Notes may be surrendered for registration of transfer or for exchange or presented for payment and where notices and demands to or upon the Issuers in respect of the Notes and this Indenture may be served. The Issuers shall give prompt written notice to the Trustee of the location, and any change in the location, of such office or agency. If at any time the Issuers shall fail to maintain any such required office or agency or shall fail to furnish the Trustee with the address thereof, such presentations, surrenders, notices and demands may be made or served at the Corporate Trust Office of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office of the Trustee shall be an office or agency of the Issuers for the purpose of effecting service of legal process against any Issuer or any Guarantor.</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Issuers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designation or rescission shall in any manner relieve the Issuers of their obligation to maintain such offices or agencies as required by Section 2.03 hereof for such purposes. The Issuers shall give prompt written notice to the Trustee of any such designation or rescission and of any change in the location of any such other office or agency.</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Issuers hereby designate the Corporate Trust Office of the Trustee as such offices or agencies of the Issuers in accordance with Section 2.03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20"/>
          </w:cols>
          <w:pgMar w:left="440" w:top="270" w:right="439" w:bottom="1440" w:gutter="0" w:footer="0" w:header="0"/>
        </w:sectPr>
      </w:pPr>
    </w:p>
    <w:bookmarkStart w:id="96" w:name="page97"/>
    <w:bookmarkEnd w:id="96"/>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4.03. </w:t>
      </w:r>
      <w:r>
        <w:rPr>
          <w:rFonts w:ascii="Times New Roman" w:cs="Times New Roman" w:eastAsia="Times New Roman" w:hAnsi="Times New Roman"/>
          <w:sz w:val="18"/>
          <w:szCs w:val="18"/>
          <w:i w:val="1"/>
          <w:iCs w:val="1"/>
          <w:color w:val="auto"/>
        </w:rPr>
        <w:t>Reports and Other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0" w:firstLine="436"/>
        <w:spacing w:after="0" w:line="266" w:lineRule="auto"/>
        <w:tabs>
          <w:tab w:leader="none" w:pos="68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Notes are outstanding, the Issuer shall have its annual consolidated financial statements audited by a nationally recognized firm of independent auditors. In addition, after the Issue Date, so long as any Notes are outstanding, the Issuer shall furnish to the Holders of the Notes the following reports:</w:t>
      </w:r>
    </w:p>
    <w:p>
      <w:pPr>
        <w:spacing w:after="0" w:line="67" w:lineRule="exact"/>
        <w:rPr>
          <w:rFonts w:ascii="Times New Roman" w:cs="Times New Roman" w:eastAsia="Times New Roman" w:hAnsi="Times New Roman"/>
          <w:sz w:val="18"/>
          <w:szCs w:val="18"/>
          <w:color w:val="auto"/>
        </w:rPr>
      </w:pPr>
    </w:p>
    <w:p>
      <w:pPr>
        <w:ind w:left="444" w:right="160" w:firstLine="419"/>
        <w:spacing w:after="0" w:line="261" w:lineRule="auto"/>
        <w:tabs>
          <w:tab w:leader="none" w:pos="112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all annual and year-to-date interim period (ended at the applicable quarter or semi-annual period end, except for the fourth quarter) financial statements consistent with those included in the Offering Memorandum, plus a “Management’s Discussion and Analysis of Financial Condition and Results of Operations”; and (y) with respect to the annual financial statements only, a report on the annual financial statements by the Issuer’s independent registered public accounting firm; and</w:t>
      </w:r>
    </w:p>
    <w:p>
      <w:pPr>
        <w:spacing w:after="0" w:line="71" w:lineRule="exact"/>
        <w:rPr>
          <w:rFonts w:ascii="Times New Roman" w:cs="Times New Roman" w:eastAsia="Times New Roman" w:hAnsi="Times New Roman"/>
          <w:sz w:val="18"/>
          <w:szCs w:val="18"/>
          <w:color w:val="auto"/>
        </w:rPr>
      </w:pPr>
    </w:p>
    <w:p>
      <w:pPr>
        <w:ind w:left="444" w:firstLine="419"/>
        <w:spacing w:after="0" w:line="255" w:lineRule="auto"/>
        <w:tabs>
          <w:tab w:leader="none" w:pos="112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the same information that would be required to be contained in filings with the SEC on Form 8-K under Items 1.01, 1.02, 1.03, 2.01 (only with respect to acquisitions that are “significant” at the 20% or greater level pursuant to clauses (1)(i) and (1)(ii) of the definition of “Significant Subsidiary” under Rule 1-02 of Regulation S-X only), 4.01, 4.02(a) and (b), 5.01 and 5.02(b) (with respect to the principal executive officer, president, principal financial officer and principal operating officer only) and (c) (with respect to the principal executive officer, president, principal financial officer and principal operating officer only and other than with respect to information otherwise required or contemplated by subclause (3) of such Item or by Item 402 of Regulation S-K) as in effect on the Issue Date if the Issuer were required to file such reports;</w:t>
      </w:r>
    </w:p>
    <w:p>
      <w:pPr>
        <w:spacing w:after="0" w:line="187" w:lineRule="exact"/>
        <w:rPr>
          <w:sz w:val="20"/>
          <w:szCs w:val="20"/>
          <w:color w:val="auto"/>
        </w:rPr>
      </w:pPr>
    </w:p>
    <w:p>
      <w:pPr>
        <w:ind w:left="4" w:right="40"/>
        <w:spacing w:after="0" w:line="267"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(A) no such report shall be required to include as an exhibit, or to include a summary of the terms of, any employment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compensatory arrangement, agreement, plan or understanding between the Issuer (or any of its direct or indirect parent entities or its Subsidiaries) and any director, manager or officer, of the Issuer (or any of its direct or indirect parent entities or its Subsidiaries), (B) the Issuer shall not be required to make available any information regarding the occurrence of any of the events set forth in clause (2) above if the Issuer determines in its good faith judgment that the event that would otherwise be required to be disclosed is not material to the Holders of the Notes or the business, assets, operations, financial positions or prospects of the Issuer and its Restricted Subsidiaries taken as a whole, (C) no such report will be required to comply with Regulation G under the Exchange Act or Item 10(e) of Regulation S-K with respect to any “non-GAAP” financial information contained therein, (D) no such report shall be required to comply with Regulation S-X including, without limitation, Rules 3-03(e), 3-05, 3-09, 3-10, 3-16, 13-01, 13-02 or Article 11 thereof (or any successor or similar rules), (E) no such report shall be required to provide any information that is not otherwise similar to information currently included (including information incorporated by reference) in the Offering Memorandum, (F) in no event shall such reports be required to include as an exhibit copies of any agreements, financial statements or other items that would be required to be filed as exhibits under the SEC rules,</w:t>
      </w:r>
    </w:p>
    <w:p>
      <w:pPr>
        <w:spacing w:after="0" w:line="4" w:lineRule="exact"/>
        <w:rPr>
          <w:sz w:val="20"/>
          <w:szCs w:val="20"/>
          <w:color w:val="auto"/>
        </w:rPr>
      </w:pPr>
    </w:p>
    <w:p>
      <w:pPr>
        <w:ind w:left="4" w:right="140" w:hanging="4"/>
        <w:spacing w:after="0" w:line="255" w:lineRule="auto"/>
        <w:tabs>
          <w:tab w:leader="none" w:pos="29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and other information that could cause competitive harm to the Issuer and its Restricted Subsidiaries may be excluded from any disclosures, (H) such financial statements or information shall not be required to contain any “segment reporting” and (I) such financial statements and information may, at the election of the Issuer, be prepared in accordance with U.S. GAAP or IFRS.</w:t>
      </w:r>
    </w:p>
    <w:p>
      <w:pPr>
        <w:spacing w:after="0" w:line="186"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All such annual reports shall be furnished within 120 days after the end of the fiscal year to which they relate; all such quarterly reports shall be furnished within 60 days after the end of the fiscal quarter to which they relate; and all such current reports shall be furnished within 15 days of the due date specified in the SEC’s rules and regulations for reporting companies under the Exchange Act. Notwithstanding the foregoing, any annual reports or quarterly reports may be furnished on or prior to the due date applicable to the Issuer or any parent entity of the Issuer pursuant to the SEC’s rules and regulations under the Exchange Act, if later than a date provided in the preceding sentence.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4"/>
          </w:cols>
          <w:pgMar w:left="436" w:top="266" w:right="459" w:bottom="1440" w:gutter="0" w:footer="0" w:header="0"/>
        </w:sectPr>
      </w:pPr>
    </w:p>
    <w:bookmarkStart w:id="97" w:name="page98"/>
    <w:bookmarkEnd w:id="97"/>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will be deemed to have furnished the reports referred to in subclauses (1) and (2) of this Section 4.03(a) if the Issuer or any parent entity of the Issuer has filed reports containing substantially such information for the time periods otherwise reported by such parent entity to the extent it is an SEC filer (or any such information of a parent entity pursuant to Section 4.03(d) hereof) with the SEC. Notwithstanding anything to the contrary in this Indenture, all required reports, information and documents filed by the Issuer or any parent entity referred to in this paragraph shall be deemed furnished to the Trustee and the Holders at the time such reports, information or documents are publicly filed with the SEC via the SEC’s EDGAR filing system (or any successor system).</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If the Issuer or any parent entity of the Issuer does not file reports containing such information with the SEC, then the Issuer shall make available such information and such reports to any Holder of the Notes and to any beneficial owner of the Notes, in each case by posting such information on a password-protected website or online data system which shall require a confidentiality acknowledgment, and shall make such information readily available to any bona fide prospective investor, any securities analyst (to the extent providing analysis of investment in the Notes) or any market maker in the Notes who agrees to treat such information as confidential;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 shall post such information thereon and make readily available any password or other login information to any such bona fide prospective investor, securities analyst or market maker;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Issuer may deny access to any information or reports otherwise to be provided pursuant to this covenant to any such Holder, beneficial owner, bona fide prospective investor, securities analyst or market maker that is a competitor or to the extent that the Issuer determines in its sole discretion that the provision of such information to such Person may be harmful to the Issuer and its Subsidiaries;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such Holders, beneficial owners, bona fide prospective investors, securities analysts and market makers shall agree to (A) treat all such reports (and information contained therein) as confidential, (B) not to use such reports (and the information contained therein) for any purpose other than their investment or potential investment in the Notes and (C) not publicly disclose any such reports (and the information contained therein).</w:t>
      </w:r>
    </w:p>
    <w:p>
      <w:pPr>
        <w:spacing w:after="0" w:line="190" w:lineRule="exact"/>
        <w:rPr>
          <w:sz w:val="20"/>
          <w:szCs w:val="20"/>
          <w:color w:val="auto"/>
        </w:rPr>
      </w:pPr>
    </w:p>
    <w:p>
      <w:pPr>
        <w:ind w:right="60" w:firstLine="436"/>
        <w:spacing w:after="0" w:line="266" w:lineRule="auto"/>
        <w:tabs>
          <w:tab w:leader="none" w:pos="69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satisfied by Section 4.03(a) hereof, the Issuer shall furnish to Holders of the Notes, securities analysts and prospective investors upon request the information required to be delivered pursuant to Rule 144A(d)(4) under the Securities Act, so long as the Notes are not freely transferable under the Securities Act.</w:t>
      </w:r>
    </w:p>
    <w:p>
      <w:pPr>
        <w:spacing w:after="0" w:line="175" w:lineRule="exact"/>
        <w:rPr>
          <w:rFonts w:ascii="Times New Roman" w:cs="Times New Roman" w:eastAsia="Times New Roman" w:hAnsi="Times New Roman"/>
          <w:sz w:val="18"/>
          <w:szCs w:val="18"/>
          <w:color w:val="auto"/>
        </w:rPr>
      </w:pPr>
    </w:p>
    <w:p>
      <w:pPr>
        <w:ind w:right="120" w:firstLine="436"/>
        <w:spacing w:after="0" w:line="258" w:lineRule="auto"/>
        <w:tabs>
          <w:tab w:leader="none" w:pos="68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Subsidiary of the Issuer is an Unrestricted Subsidiary and if any such Unrestricted Subsidiary or group of Unrestricted Subsidiaries, if taken together as one Subsidiary, would constitute a Significant Subsidiary of the Issuer, then the annual and quarterly information required by Section 4.03(a)(1) hereof shall include a presentation of selected financial metrics (in the Issuer’s sole discretion) of such Unrestricted Subsidiaries as a group in the “Management’s Discussion and Analysis of Financial Condition and Results of Operations” or other comparable section or accompanying presentation.</w:t>
      </w:r>
    </w:p>
    <w:p>
      <w:pPr>
        <w:spacing w:after="0" w:line="183" w:lineRule="exact"/>
        <w:rPr>
          <w:rFonts w:ascii="Times New Roman" w:cs="Times New Roman" w:eastAsia="Times New Roman" w:hAnsi="Times New Roman"/>
          <w:sz w:val="18"/>
          <w:szCs w:val="18"/>
          <w:color w:val="auto"/>
        </w:rPr>
      </w:pPr>
    </w:p>
    <w:p>
      <w:pPr>
        <w:jc w:val="both"/>
        <w:ind w:firstLine="436"/>
        <w:spacing w:after="0" w:line="258" w:lineRule="auto"/>
        <w:tabs>
          <w:tab w:leader="none" w:pos="69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Issuer may satisfy its obligations under this Section 4.03 by furnishing financial information relating to Holdings or any parent entity of the Issuer as of and for the time periods then reported by such parent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Holdings or such parent entity does not Guarantee the Notes, then the same is accompanied by selected financial metrics that show the differences (in the Issuer’s sole discretion) between the information relating to Holdings or such parent, on the one hand, and the information relating to the Issuer and its Restricted Subsidiaries on a stand-alone basis, on the other hand.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20"/>
          </w:cols>
          <w:pgMar w:left="440" w:top="270" w:right="439" w:bottom="1440" w:gutter="0" w:footer="0" w:header="0"/>
        </w:sectPr>
      </w:pPr>
    </w:p>
    <w:bookmarkStart w:id="98" w:name="page99"/>
    <w:bookmarkEnd w:id="98"/>
    <w:p>
      <w:pPr>
        <w:ind w:right="160" w:firstLine="436"/>
        <w:spacing w:after="0" w:line="282" w:lineRule="auto"/>
        <w:tabs>
          <w:tab w:leader="none" w:pos="68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herein to the contrary, the Issuer will not be deemed to have failed to comply with any of its obligations hereunder for purposes of clause (iii) of Section 6.01(a) hereof until 180 days after the receipt of the written notice delivered thereunder.</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To the extent any information is not provided within the time periods specified in this Section 4.03 and such information is subsequently provided, the Issuer will be deemed to have satisfied its obligations with respect thereto at such time and any Default with respect thereto shall be deemed to have been cured.</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Trustee shall have no duty to review or analyze any reports furnished or made available to it and the Trustee’s receipt of such reports shall not constitute actual or constructive knowledge of the information contained therein or determinable therefrom, including any Issuer’s compliance with any of its covenants (as to which the Trustee is entitled to conclusively rely on an Officer’s Certificate).</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Issuer will not be required to disclose any information or take any actions that, in the good faith view of the Issuer, would violate applicable securities laws or the SEC’s “gun-jumping” rules.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4.04.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54" w:lineRule="auto"/>
        <w:tabs>
          <w:tab w:leader="none" w:pos="6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deliver to the Trustee, within 120 days after the end of each fiscal year ending after the Issue Date, a certificate from its principal executive officer, principal financial officer or principal accounting officer stating that a review of the activities of the Issuer and its Restricted Subsidiaries during the preceding fiscal year has been made under the supervision of the signing Officer with a view to determining whether the Issuer and its Restricted Subsidiaries have kept, observed, performed and fulfilled their respective obligations under this Indenture, and further stating, as to such Officer signing such certificate, that to the best of his or her knowledge, on behalf of the Issuer, the Issuer and its Restricted Subsidiaries have kept, observed, performed and fulfilled in all material respects each and every condition and covenant contained in this Indenture during such fiscal year and no Default has occurred and is continuing with respect to any of the terms, provisions, covenants and conditions of this Indenture (or, if a Default shall have occurred and is continuing, describing all such Defaults of which he or she may have knowledge and what action the Issuer is taking or proposes to take with respect thereto).</w:t>
      </w:r>
    </w:p>
    <w:p>
      <w:pPr>
        <w:spacing w:after="0" w:line="188"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Default has occurred and is continuing under this Indenture, or if the Trustee or the holder of any other evidence of Indebtedness of the Issuer or any Subsidiary gives any notice or takes any other action with respect to a claimed Default, the Issuer shall promptly (which shall be no more than 20 Business Days after becoming aware of such Default) deliver to the Trustee by registered or certified mail or by facsimile or electronic transmission an Officer’s Certificate specifying such Default (unless such Default has been cured or waived within such 20-Business Day time period). The Trustee will not be deemed to have knowledge of any Defaults or Events of Default unless written notice of an event, which is in fact a Default, has been delivered to the Trustee at the Corporate Trust Office specified in this Indenture and such notice references the Notes and this Indenture and states that it is a “Notice of Default.”</w:t>
      </w:r>
    </w:p>
    <w:p>
      <w:pPr>
        <w:spacing w:after="0" w:line="18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4.05.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Issuer shall pay or discharge, and shall cause each of its Restricted Subsidiaries to pay or discharge, prior to delinquency,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material taxes, lawful assessments, and governmental levies except such as are contested in good faith and by appropriate actions or where the failure to effect such payment or discharge is not adverse in any material respect to the Holders.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80"/>
          </w:cols>
          <w:pgMar w:left="440" w:top="270" w:right="479" w:bottom="1440" w:gutter="0" w:footer="0" w:header="0"/>
        </w:sectPr>
      </w:pPr>
    </w:p>
    <w:bookmarkStart w:id="99" w:name="page100"/>
    <w:bookmarkEnd w:id="99"/>
    <w:p>
      <w:pPr>
        <w:ind w:left="4"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4.06. </w:t>
      </w:r>
      <w:r>
        <w:rPr>
          <w:rFonts w:ascii="Times New Roman" w:cs="Times New Roman" w:eastAsia="Times New Roman" w:hAnsi="Times New Roman"/>
          <w:sz w:val="18"/>
          <w:szCs w:val="18"/>
          <w:i w:val="1"/>
          <w:iCs w:val="1"/>
          <w:color w:val="auto"/>
        </w:rPr>
        <w:t>Stay, Extension and Usury Laws</w:t>
      </w:r>
      <w:r>
        <w:rPr>
          <w:rFonts w:ascii="Times New Roman" w:cs="Times New Roman" w:eastAsia="Times New Roman" w:hAnsi="Times New Roman"/>
          <w:sz w:val="18"/>
          <w:szCs w:val="18"/>
          <w:color w:val="auto"/>
        </w:rPr>
        <w:t>. Each Issuer and each of the Guarantors covenant (to the extent that they may lawfully do so)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shall not at any time insist upon, plead, or in any manner whatsoever claim or take the benefit or advantage of, any stay, extension or usury law wherever enacted, now or at any time hereafter in force, that may affect the covenants or the performance of this Indenture and the Notes; and each Issuer and each of the Guarantors (to the extent that they may lawfully do so) hereby expressly waive all benefit or advantage of any such law, and (to the extent that they may lawfully do so) covenant that they shall not, by resort to any such law, hinder, delay or impede the execution of any power herein granted to the Trustee, but shall suffer and permit the execution of every such power as though no such law has been enacted.</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4.07.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4.08.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4.09.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(a) Prior to the occurrence of the Collateral Release, the Issuers shall not, and shall not permit any Subsidiary Guarantor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create, incur, assume or suffer to exist any Lien (except Permitted Liens) (each, a “</w:t>
      </w:r>
      <w:r>
        <w:rPr>
          <w:rFonts w:ascii="Times New Roman" w:cs="Times New Roman" w:eastAsia="Times New Roman" w:hAnsi="Times New Roman"/>
          <w:sz w:val="18"/>
          <w:szCs w:val="18"/>
          <w:b w:val="1"/>
          <w:bCs w:val="1"/>
          <w:color w:val="auto"/>
        </w:rPr>
        <w:t>Subject Lien</w:t>
      </w:r>
      <w:r>
        <w:rPr>
          <w:rFonts w:ascii="Times New Roman" w:cs="Times New Roman" w:eastAsia="Times New Roman" w:hAnsi="Times New Roman"/>
          <w:sz w:val="18"/>
          <w:szCs w:val="18"/>
          <w:color w:val="auto"/>
        </w:rPr>
        <w:t>”) that secures Obligations under any Indebtedness or any related guarantee of Indebtedness, on any Collateral, unless (i) such Subject Lien expressly has Junior Lien Priority on the Collateral relative to the Notes and the Guarantees or (ii) such Subject Lien is a Permitted Lien.</w:t>
      </w:r>
    </w:p>
    <w:p>
      <w:pPr>
        <w:spacing w:after="0" w:line="180" w:lineRule="exact"/>
        <w:rPr>
          <w:sz w:val="20"/>
          <w:szCs w:val="20"/>
          <w:color w:val="auto"/>
        </w:rPr>
      </w:pPr>
    </w:p>
    <w:p>
      <w:pPr>
        <w:jc w:val="both"/>
        <w:ind w:left="4" w:right="280" w:firstLine="436"/>
        <w:spacing w:after="0" w:line="258" w:lineRule="auto"/>
        <w:tabs>
          <w:tab w:leader="none" w:pos="69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occurrence of the Collateral Release, the Issuers shall not, and shall not permit any Restricted Subsidiary to, directly or indirectly, create, assume or permit to exist any Lien (except Permitted IG Liens) that secures Obligations under any Indebtedness, on any Principal Property, or upon Capital Stock or Indebtedness of any Restricted Subsidiary that directly owns any Principal Property, now or hereafter acquired, without effectively providing concurrently that the Notes are secured equally and ratably with (or, at the Issuer’s option, on a senior basis to) such Indebtedness, for so long as such Indebtedness shall be so secured.</w:t>
      </w:r>
    </w:p>
    <w:p>
      <w:pPr>
        <w:spacing w:after="0" w:line="183" w:lineRule="exact"/>
        <w:rPr>
          <w:rFonts w:ascii="Times New Roman" w:cs="Times New Roman" w:eastAsia="Times New Roman" w:hAnsi="Times New Roman"/>
          <w:sz w:val="18"/>
          <w:szCs w:val="18"/>
          <w:color w:val="auto"/>
        </w:rPr>
      </w:pPr>
    </w:p>
    <w:p>
      <w:pPr>
        <w:ind w:left="4" w:firstLine="436"/>
        <w:spacing w:after="0" w:line="276" w:lineRule="auto"/>
        <w:tabs>
          <w:tab w:leader="none" w:pos="689"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restrictions described above, on and following the Collateral Release Date, the Issuers and their Restricted Subsidiaries may, directly or indirectly, create, assume or permit to exist any Lien that would otherwise be subject to the restrictions set forth in the preceding clause</w:t>
      </w:r>
    </w:p>
    <w:p>
      <w:pPr>
        <w:ind w:left="264" w:hanging="264"/>
        <w:spacing w:after="0"/>
        <w:tabs>
          <w:tab w:leader="none" w:pos="26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equally and ratably securing the Notes if, at the time of such creation, assumption or permission, after giving effect thereto and to the</w:t>
      </w:r>
    </w:p>
    <w:p>
      <w:pPr>
        <w:spacing w:after="0" w:line="9" w:lineRule="exact"/>
        <w:rPr>
          <w:rFonts w:ascii="Times New Roman" w:cs="Times New Roman" w:eastAsia="Times New Roman" w:hAnsi="Times New Roman"/>
          <w:sz w:val="18"/>
          <w:szCs w:val="18"/>
          <w:color w:val="auto"/>
        </w:rPr>
      </w:pPr>
    </w:p>
    <w:p>
      <w:pPr>
        <w:ind w:left="4"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of any Indebtedness which is concurrently being retired on a pro forma basis, the aggregate principal amount of outstanding Indebtedness secured by Liens which would otherwise be subject to such restrictions (not including Permitted IG Liens) plus all Attributable Debt of the Issuers and their Restricted Subsidiaries in respect of Sale and Lease-Back Transactions with respect to any Principal Property (not including such transactions described under any of clauses (a) through (g) set forth in Section 4.16 hereof), does not exceed 15% of the Consolidated Net Tangible Assets of the Issuer and its Subsidiaries.</w:t>
      </w:r>
    </w:p>
    <w:p>
      <w:pPr>
        <w:spacing w:after="0" w:line="186"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9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Times New Roman" w:cs="Times New Roman" w:eastAsia="Times New Roman" w:hAnsi="Times New Roman"/>
          <w:sz w:val="18"/>
          <w:szCs w:val="18"/>
          <w:b w:val="1"/>
          <w:bCs w:val="1"/>
          <w:color w:val="auto"/>
        </w:rPr>
        <w:t>Increased Amount</w:t>
      </w:r>
      <w:r>
        <w:rPr>
          <w:rFonts w:ascii="Times New Roman" w:cs="Times New Roman" w:eastAsia="Times New Roman" w:hAnsi="Times New Roman"/>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120"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04"/>
          </w:cols>
          <w:pgMar w:left="436" w:top="266" w:right="559" w:bottom="1440" w:gutter="0" w:footer="0" w:header="0"/>
        </w:sectPr>
      </w:pPr>
    </w:p>
    <w:bookmarkStart w:id="100" w:name="page101"/>
    <w:bookmarkEnd w:id="100"/>
    <w:p>
      <w:pPr>
        <w:ind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4.13. </w:t>
      </w:r>
      <w:r>
        <w:rPr>
          <w:rFonts w:ascii="Times New Roman" w:cs="Times New Roman" w:eastAsia="Times New Roman" w:hAnsi="Times New Roman"/>
          <w:sz w:val="18"/>
          <w:szCs w:val="18"/>
          <w:i w:val="1"/>
          <w:iCs w:val="1"/>
          <w:color w:val="auto"/>
        </w:rPr>
        <w:t>Company Existence</w:t>
      </w:r>
      <w:r>
        <w:rPr>
          <w:rFonts w:ascii="Times New Roman" w:cs="Times New Roman" w:eastAsia="Times New Roman" w:hAnsi="Times New Roman"/>
          <w:sz w:val="18"/>
          <w:szCs w:val="18"/>
          <w:color w:val="auto"/>
        </w:rPr>
        <w:t>. Subject to Article 5 hereof, the Issuer shall do or cause to be done all things necessary to preserve and keep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full force and effect its existence, and the corporate, partnership, limited liability company or other existence of each of its Restricted Subsidiaries, in accordance with the respective organizational documents (as the same may be amended from time to time) of the Issuer or any such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 shall not be required to preserve the corporate, partnership or other existence of its Restricted Subsidiaries, if the Issuer in good faith shall determine that the preservation thereof is no longer desirable in the conduct of the business of the Issuer and its Restricted Subsidiaries, taken as a whole. For the avoidance of doubt, the Issuer and its Restricted Subsidiaries will be permitted to change their organizational form.</w:t>
      </w:r>
    </w:p>
    <w:p>
      <w:pPr>
        <w:spacing w:after="0" w:line="18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i w:val="1"/>
          <w:iCs w:val="1"/>
          <w:color w:val="auto"/>
        </w:rPr>
        <w:t>Offer to Repurchase Upon Change of Control Triggering Event</w:t>
      </w:r>
      <w:r>
        <w:rPr>
          <w:rFonts w:ascii="Times New Roman" w:cs="Times New Roman" w:eastAsia="Times New Roman" w:hAnsi="Times New Roman"/>
          <w:sz w:val="18"/>
          <w:szCs w:val="18"/>
          <w:color w:val="auto"/>
        </w:rPr>
        <w:t>(a) . (a) If a Change of Control Triggering Event occurs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Date with respect to the Notes of a series, unless the Issuer has previously or concurrently sent a redemption notice with respect to all the outstanding Notes of such series as described under Section 3.07 hereof, the Issuers shall make an offer to purchase all of the Notes of such series pursuant to the offer described below (the “</w:t>
      </w:r>
      <w:r>
        <w:rPr>
          <w:rFonts w:ascii="Times New Roman" w:cs="Times New Roman" w:eastAsia="Times New Roman" w:hAnsi="Times New Roman"/>
          <w:sz w:val="18"/>
          <w:szCs w:val="18"/>
          <w:b w:val="1"/>
          <w:bCs w:val="1"/>
          <w:color w:val="auto"/>
        </w:rPr>
        <w:t>Change of Control Offer</w:t>
      </w:r>
      <w:r>
        <w:rPr>
          <w:rFonts w:ascii="Times New Roman" w:cs="Times New Roman" w:eastAsia="Times New Roman" w:hAnsi="Times New Roman"/>
          <w:sz w:val="18"/>
          <w:szCs w:val="18"/>
          <w:color w:val="auto"/>
        </w:rPr>
        <w:t>”) at a price in cash (the “</w:t>
      </w:r>
      <w:r>
        <w:rPr>
          <w:rFonts w:ascii="Times New Roman" w:cs="Times New Roman" w:eastAsia="Times New Roman" w:hAnsi="Times New Roman"/>
          <w:sz w:val="18"/>
          <w:szCs w:val="18"/>
          <w:b w:val="1"/>
          <w:bCs w:val="1"/>
          <w:color w:val="auto"/>
        </w:rPr>
        <w:t>Change of Control Payment</w:t>
      </w:r>
      <w:r>
        <w:rPr>
          <w:rFonts w:ascii="Times New Roman" w:cs="Times New Roman" w:eastAsia="Times New Roman" w:hAnsi="Times New Roman"/>
          <w:sz w:val="18"/>
          <w:szCs w:val="18"/>
          <w:color w:val="auto"/>
        </w:rPr>
        <w:t>”) equal to 101% of the aggregate principal amount thereof plus accrued and unpaid interest, if any, to, but excluding, the date of purchase, subject to the right of Holders of record of the Notes of such series on the relevant Record Date to receive interest due on the relevant Interest Payment Date falling prior to or on the Change of Control Payment Date (as defined below). Within 60 days following any Change of Control Triggering Event with respect to the Notes of a series, the Issuers will send (or cause to be sent) notice of such Change of Control Offer electronically or by first-class mail, with a copy to the Trustee, to each Holder of Notes of such series to the address of such Holder appearing in the Note Register or otherwise in accordance with the Applicable Procedures with the following information:</w:t>
      </w:r>
    </w:p>
    <w:p>
      <w:pPr>
        <w:spacing w:after="0" w:line="81" w:lineRule="exact"/>
        <w:rPr>
          <w:sz w:val="20"/>
          <w:szCs w:val="20"/>
          <w:color w:val="auto"/>
        </w:rPr>
      </w:pPr>
    </w:p>
    <w:p>
      <w:pPr>
        <w:ind w:left="440" w:right="20" w:firstLine="419"/>
        <w:spacing w:after="0" w:line="282" w:lineRule="auto"/>
        <w:tabs>
          <w:tab w:leader="none" w:pos="107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Change of Control Offer is being made pursuant to this Section 4.14 and that all Notes of such series properly tendered pursuant to such Change of Control Offer will be accepted for payment by the Issuer;</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2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and the purchase date, which will be no earlier than 10 days nor later than 60 days from the date such notice is sent (the “</w:t>
      </w:r>
      <w:r>
        <w:rPr>
          <w:rFonts w:ascii="Times New Roman" w:cs="Times New Roman" w:eastAsia="Times New Roman" w:hAnsi="Times New Roman"/>
          <w:sz w:val="18"/>
          <w:szCs w:val="18"/>
          <w:b w:val="1"/>
          <w:bCs w:val="1"/>
          <w:color w:val="auto"/>
        </w:rPr>
        <w:t>Change of Control Payment Date</w:t>
      </w:r>
      <w:r>
        <w:rPr>
          <w:rFonts w:ascii="Times New Roman" w:cs="Times New Roman" w:eastAsia="Times New Roman" w:hAnsi="Times New Roman"/>
          <w:sz w:val="18"/>
          <w:szCs w:val="18"/>
          <w:color w:val="auto"/>
        </w:rPr>
        <w:t>”), except in the case of a conditional Change of Control Offer made in advance of a Change of Control Triggering Event in accordance with Section 4.14(d);</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of such series not properly tendered will remain outstanding and continue to accrue interest;</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6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Issuers default in the payment of the Change of Control Payment, all Notes of such series accepted for payment pursuant to the Change of Control Offer shall cease to accrue interest on the Change of Control Payment Date;</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any Notes of such series purchased pursuant to a Change of Control Offer shall be required to surrender such Notes, with the form entitled “Option of Holder to Elect Purchase” on the reverse of such Notes completed or otherwise in accordance with the Applicable Procedures to the Paying Agent specified in the notice at the address specified in the notice prior to the close of business on the third Business Day preceding the Change of Control Payment Date;</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40"/>
          </w:cols>
          <w:pgMar w:left="440" w:top="266" w:right="519" w:bottom="1440" w:gutter="0" w:footer="0" w:header="0"/>
        </w:sectPr>
      </w:pPr>
    </w:p>
    <w:bookmarkStart w:id="101" w:name="page102"/>
    <w:bookmarkEnd w:id="101"/>
    <w:p>
      <w:pPr>
        <w:ind w:right="160" w:firstLine="419"/>
        <w:spacing w:after="0" w:line="266" w:lineRule="auto"/>
        <w:tabs>
          <w:tab w:leader="none" w:pos="72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Holders whose Notes of such series are being purchased only in part shall be issued new Notes of such series and such new Notes will be equal in principal amount to the unpurchased portion of the Notes of such series surrendered. The unpurchased portion of the Notes of such series must be equal to at least $2,000 or any integral multiple of $1,000 in excess thereof;</w:t>
      </w:r>
    </w:p>
    <w:p>
      <w:pPr>
        <w:spacing w:after="0" w:line="67" w:lineRule="exact"/>
        <w:rPr>
          <w:rFonts w:ascii="Times New Roman" w:cs="Times New Roman" w:eastAsia="Times New Roman" w:hAnsi="Times New Roman"/>
          <w:sz w:val="18"/>
          <w:szCs w:val="18"/>
          <w:color w:val="auto"/>
        </w:rPr>
      </w:pPr>
    </w:p>
    <w:p>
      <w:pPr>
        <w:ind w:right="80" w:firstLine="419"/>
        <w:spacing w:after="0" w:line="255" w:lineRule="auto"/>
        <w:tabs>
          <w:tab w:leader="none" w:pos="7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notice is delivered prior to the occurrence of a Change of Control Triggering Event with respect to such series, stating that the Change of Control Offer is conditional on the occurrence of such Change of Control Triggering Event with respect to such series and shall describe each such condition, and, if applicable, shall state that, in the Issuer’s discretion, the Change of Control Payment Date may be delayed until such time (including more than 60 days after the notice is sent) as any or all such conditions shall be satisfied or waived, or that such repurchase may not occur and such notice may be rescinded in the event that any or all such conditions shall not have been satisfied or waived by the Change of Control Payment Date, or by the Change of Control Payment Date as so delayed, or such notice or offer may be rescinded at any time in the Issuer’s sole discretion if the Issuer determines that any or all of such conditions will not be satisfied or waived;</w:t>
      </w:r>
    </w:p>
    <w:p>
      <w:pPr>
        <w:spacing w:after="0" w:line="80"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instructions, as determined by the Issuer, consistent with this Section 4.14 that a Holder of Notes of such series must follow;</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firstLine="419"/>
        <w:spacing w:after="0" w:line="258" w:lineRule="auto"/>
        <w:tabs>
          <w:tab w:leader="none" w:pos="72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shall be entitled to withdraw their tendered Notes of such series and their election to require the Issuers to purchase such Notes of such series; provided that the applicable Paying Agent receives, not later than the close of business on the tenth Business Day prior to the expiration date of the Change of Control Offer, a facsimile transmission or letter setting forth the name of the Holder of the Notes of such series, the principal amount of Notes of such series tendered for purchase, and a statement that such Holder is withdrawing its tendered Notes of such series, or a specified portion thereof, and its election to have such Notes purchased.</w:t>
      </w:r>
    </w:p>
    <w:p>
      <w:pPr>
        <w:spacing w:after="0" w:line="75"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While the Notes are in global form and the Issuers make an offer to purchase all of the Notes of the applicable series pursuant to the Change of Control Offer, a Holder of the Notes of the applicable series may exercise its option to elect for the purchase of the Notes of the applicable series or withdraw such election through the facilities of DTC, subject to its rules and regulations.</w:t>
      </w:r>
    </w:p>
    <w:p>
      <w:pPr>
        <w:spacing w:after="0" w:line="68"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The notice, if delivered electronically or mailed in a manner herein provided, shall be conclusively presumed to have been given, whether or not the Holder receives such notice. If (a) the notice is delivered or mailed in a manner herein provided and (b) any Holder fails to receive such notice or a Holder receives such notice but it is defective, such Holder’s failure to receive such notice or such defect shall not affect the validity of the proceedings for the purchase of the Notes as to all other Holders that properly received such notice without defect. The Issuers shall comply with the requirements of Rule 14e-1 under the Exchange Act and 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this Indenture, the Issuers shall comply with the applicable securities laws and regulations and shall not be deemed to have breached their obligations described in this Indenture by virtue thereof. Notwithstanding the foregoing, the Issuers may rely on any no-action letters issued by the SEC indicating that the staff of the SEC will not recommend enforcement action in the event a tender offer satisfies certain conditions.</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540"/>
          </w:cols>
          <w:pgMar w:left="880" w:top="270" w:right="479" w:bottom="1440" w:gutter="0" w:footer="0" w:header="0"/>
        </w:sectPr>
      </w:pPr>
    </w:p>
    <w:bookmarkStart w:id="102" w:name="page103"/>
    <w:bookmarkEnd w:id="102"/>
    <w:p>
      <w:pPr>
        <w:ind w:left="1240" w:hanging="253"/>
        <w:spacing w:after="0"/>
        <w:tabs>
          <w:tab w:leader="none" w:pos="12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Change of Control Payment Date, the Issuers shall, to the extent permitted by law:</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of the applicable series issued by it or portions thereof validly tendered pursuant to the Change of Control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w:t>
      </w:r>
    </w:p>
    <w:p>
      <w:pPr>
        <w:spacing w:after="0" w:line="98"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2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Change of Control Payment in respect of all Notes of the applicable series or portions thereof so tendered and not validly withdrawn; and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7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for cancellation the Notes of the applicable series so accepted together with an Officer’s Certificate to the Trustee stating that such Notes or portions thereof have been tendered to and purchased by the Issuers.</w:t>
      </w:r>
    </w:p>
    <w:p>
      <w:pPr>
        <w:spacing w:after="0" w:line="161"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not be required to make a Change of Control Offer with respect to a series of Notes following a Change of Control Triggering Event if (i) a third party makes the Change of Control Offer in the manner, at the times and otherwise in compliance with the requirements set forth in this Indenture applicable to a Change of Control Offer made by the Issuers and purchases all Notes of such series validly tendered and not validly withdrawn under such Change of Control Offer or (ii) in connection with or in contemplation of any Change of Control Triggering Event with respect to such series, the Issuers (or any Affiliate of the Issuers) have made an offer to purchase (an “</w:t>
      </w:r>
      <w:r>
        <w:rPr>
          <w:rFonts w:ascii="Times New Roman" w:cs="Times New Roman" w:eastAsia="Times New Roman" w:hAnsi="Times New Roman"/>
          <w:sz w:val="18"/>
          <w:szCs w:val="18"/>
          <w:b w:val="1"/>
          <w:bCs w:val="1"/>
          <w:color w:val="auto"/>
        </w:rPr>
        <w:t>Alternate Offer</w:t>
      </w:r>
      <w:r>
        <w:rPr>
          <w:rFonts w:ascii="Times New Roman" w:cs="Times New Roman" w:eastAsia="Times New Roman" w:hAnsi="Times New Roman"/>
          <w:sz w:val="18"/>
          <w:szCs w:val="18"/>
          <w:color w:val="auto"/>
        </w:rPr>
        <w:t>”) any and all Notes of such series validly tendered at a cash price equal to or higher than the Change of Control Payment and have purchased all Notes of such series properly tendered in accordance with the terms of the Alternate Offer.</w:t>
      </w:r>
    </w:p>
    <w:p>
      <w:pPr>
        <w:spacing w:after="0" w:line="188"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 Change of Control Offer or Alternate Offer may be made in advance of a Change of Control Triggering Event, conditional upon such Change of Control Triggering Event, if a definitive agreement is in place for the Change of Control at the time of making of the Change of Control Offer or Alternate Offer.</w:t>
      </w:r>
    </w:p>
    <w:p>
      <w:pPr>
        <w:spacing w:after="0" w:line="175" w:lineRule="exact"/>
        <w:rPr>
          <w:rFonts w:ascii="Times New Roman" w:cs="Times New Roman" w:eastAsia="Times New Roman" w:hAnsi="Times New Roman"/>
          <w:sz w:val="18"/>
          <w:szCs w:val="18"/>
          <w:color w:val="auto"/>
        </w:rPr>
      </w:pPr>
    </w:p>
    <w:p>
      <w:pPr>
        <w:ind w:right="240" w:firstLine="987"/>
        <w:spacing w:after="0" w:line="289" w:lineRule="auto"/>
        <w:tabs>
          <w:tab w:leader="none" w:pos="1236"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of Control Offer or Alternate Offer may be made at the same time as consents are solicited with respect to an amendment, supplement or waiver of this Indenture, the Notes of the applicable series, the Guarantees relating to such series and/or, to the extent relating to such series, the Security Documents (but the Change of Control Offer and the Alternate Offer may not condition tenders on the delivery of such consents).</w:t>
      </w:r>
    </w:p>
    <w:p>
      <w:pPr>
        <w:spacing w:after="0" w:line="157" w:lineRule="exact"/>
        <w:rPr>
          <w:rFonts w:ascii="Times New Roman" w:cs="Times New Roman" w:eastAsia="Times New Roman" w:hAnsi="Times New Roman"/>
          <w:sz w:val="17"/>
          <w:szCs w:val="17"/>
          <w:color w:val="auto"/>
        </w:rPr>
      </w:pPr>
    </w:p>
    <w:p>
      <w:pPr>
        <w:ind w:right="360" w:firstLine="987"/>
        <w:spacing w:after="0" w:line="266" w:lineRule="auto"/>
        <w:tabs>
          <w:tab w:leader="none" w:pos="121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provided in this Section 4.14, any purchase pursuant to this Section 4.14 shall be made pursuant to the provisions of Sections 3.02, 3.05 and 3.06 hereof, and references therein to “redeem,” “redemption,” “Redemption Date” and similar words shall be deemed to refer to “purchase,” “repurchase” and “Change of Control Payment Date” and similar words, as applicable.</w:t>
      </w:r>
    </w:p>
    <w:p>
      <w:pPr>
        <w:spacing w:after="0" w:line="175" w:lineRule="exact"/>
        <w:rPr>
          <w:rFonts w:ascii="Times New Roman" w:cs="Times New Roman" w:eastAsia="Times New Roman" w:hAnsi="Times New Roman"/>
          <w:sz w:val="18"/>
          <w:szCs w:val="18"/>
          <w:color w:val="auto"/>
        </w:rPr>
      </w:pPr>
    </w:p>
    <w:p>
      <w:pPr>
        <w:ind w:right="460" w:firstLine="987"/>
        <w:spacing w:after="0" w:line="282" w:lineRule="auto"/>
        <w:tabs>
          <w:tab w:leader="none" w:pos="124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4.14, including the definition of “Change of Control”, may be waived or modified with the written consent of the Required Holders.</w:t>
      </w:r>
    </w:p>
    <w:p>
      <w:pPr>
        <w:spacing w:after="0" w:line="158" w:lineRule="exact"/>
        <w:rPr>
          <w:sz w:val="20"/>
          <w:szCs w:val="20"/>
          <w:color w:val="auto"/>
        </w:rPr>
      </w:pPr>
    </w:p>
    <w:p>
      <w:pPr>
        <w:ind w:right="3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i w:val="1"/>
          <w:iCs w:val="1"/>
          <w:color w:val="auto"/>
        </w:rPr>
        <w:t>Limitations on Guarantees of Indebtedness by Restricted Subsidiaries</w:t>
      </w:r>
      <w:r>
        <w:rPr>
          <w:rFonts w:ascii="Times New Roman" w:cs="Times New Roman" w:eastAsia="Times New Roman" w:hAnsi="Times New Roman"/>
          <w:sz w:val="18"/>
          <w:szCs w:val="18"/>
          <w:color w:val="auto"/>
        </w:rPr>
        <w:t>. The Issuer shall not permit any of its Wholly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that are Restricted Subsidiaries (and non-Wholly Owned Subsidiaries if such non-Wholly Owned Subsidiaries guarantee other capital markets debt securities of the Issuers or any Subsidiary Guarantor pursuant to clause (b) below), other than the Co-Issuer, a Subsidiary Guarantor, a Captive Insurance Subsidiary, a Foreign Subsidiary, a FSHCO Subsidiary or a Securitization Subsidiary, to guarantee the payment of (i) the Senior Secured Credit Facilities, (ii) the Existing Notes or (iii) capital market debt securities of the Issuers or any Subsidiary Guarantor in an aggregate principal amount in excess of $720.0 million, unless: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103" w:name="page104"/>
    <w:bookmarkEnd w:id="103"/>
    <w:p>
      <w:pPr>
        <w:ind w:left="440" w:firstLine="419"/>
        <w:spacing w:after="0" w:line="254" w:lineRule="auto"/>
        <w:tabs>
          <w:tab w:leader="none" w:pos="110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Restricted Subsidiary within 60 days after the guarantee of such Indebtedness executes and delivers a supplemental indenture to this Indenture, the form of which is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providing for a Guarantee by such Restricted Subsidiary, except that with respect to a guarantee of Indebtedness of any Issuer or any Subsidiary Guarantor, if such Indebtedness is by its express terms subordinated in right of payment to the Notes or such Subsidiary Guarantor’s Guarantee, any such guarantee by such Restricted Subsidiary with respect to such Indebtedness shall be subordinated in right of payment to such Guarantee substantially to the same extent as such Indebtedness is subordinated to the Notes, and joinders to the Security Documents or new Security Documents, together with any filings and agreements required by the Security Documents to create or perfect the security interests for the benefit of the Holders in the Collateral of such Subsidiary, including all actions (if any) required to be taken with respect to such Restricted Subsidiary in order to satisfy the Collateral and Guarantee Requirement; and</w:t>
      </w:r>
    </w:p>
    <w:p>
      <w:pPr>
        <w:spacing w:after="0" w:line="83" w:lineRule="exact"/>
        <w:rPr>
          <w:rFonts w:ascii="Times New Roman" w:cs="Times New Roman" w:eastAsia="Times New Roman" w:hAnsi="Times New Roman"/>
          <w:sz w:val="18"/>
          <w:szCs w:val="18"/>
          <w:color w:val="auto"/>
        </w:rPr>
      </w:pPr>
    </w:p>
    <w:p>
      <w:pPr>
        <w:ind w:left="440" w:right="360" w:firstLine="419"/>
        <w:spacing w:after="0" w:line="266" w:lineRule="auto"/>
        <w:tabs>
          <w:tab w:leader="none" w:pos="111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Restricted Subsidiary waives and shall not in any manner whatsoever claim or take the benefit or advantage of, any rights of reimbursement, indemnity or subrogation or any other applicable rights against the Issuer or any other Restricted Subsidiary as a result of any payment by such Restricted Subsidiary under its Guarantee;</w:t>
      </w:r>
    </w:p>
    <w:p>
      <w:pPr>
        <w:spacing w:after="0" w:line="17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this Section 4.15 shall not be applicable to any guarantee of any Restricted Subsidiary that existed at the time such Person became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Subsidiary and was not incurred in connection with, or in contemplation of, such Person becoming a Restricted Subsidiary. The Issuer may elect, in its sole discretion, to cause any Subsidiary that is not otherwise required to be a Subsidiary Guarantor to become a Subsidiary Guarantor, in which case such Subsidiary shall not be required to comply with the 60 day period described in clause (a) of this Section 4.15.</w:t>
      </w:r>
    </w:p>
    <w:p>
      <w:pPr>
        <w:spacing w:after="0" w:line="178"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4.16. </w:t>
      </w:r>
      <w:r>
        <w:rPr>
          <w:rFonts w:ascii="Times New Roman" w:cs="Times New Roman" w:eastAsia="Times New Roman" w:hAnsi="Times New Roman"/>
          <w:sz w:val="18"/>
          <w:szCs w:val="18"/>
          <w:i w:val="1"/>
          <w:iCs w:val="1"/>
          <w:color w:val="auto"/>
        </w:rPr>
        <w:t>Sale and Lease-Back Transactions</w:t>
      </w:r>
      <w:r>
        <w:rPr>
          <w:rFonts w:ascii="Times New Roman" w:cs="Times New Roman" w:eastAsia="Times New Roman" w:hAnsi="Times New Roman"/>
          <w:sz w:val="18"/>
          <w:szCs w:val="18"/>
          <w:color w:val="auto"/>
        </w:rPr>
        <w:t>. From and after the occurrence of the Collateral Release, the Issuers shall not, and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 any Restricted Subsidiary to, consummate any Sale and Lease-Back Transaction with respect to any Principal Property, unless:</w:t>
      </w:r>
    </w:p>
    <w:p>
      <w:pPr>
        <w:spacing w:after="0" w:line="159" w:lineRule="exact"/>
        <w:rPr>
          <w:sz w:val="20"/>
          <w:szCs w:val="20"/>
          <w:color w:val="auto"/>
        </w:rPr>
      </w:pPr>
    </w:p>
    <w:p>
      <w:pPr>
        <w:ind w:left="680" w:hanging="244"/>
        <w:spacing w:after="0"/>
        <w:tabs>
          <w:tab w:leader="none" w:pos="6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Lease-Back Transaction is solely with the Issuers or a Subsidiary;</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in such Sale and Lease-Back Transaction is for a period not in excess of three years;</w:t>
      </w:r>
    </w:p>
    <w:p>
      <w:pPr>
        <w:spacing w:after="0" w:line="225" w:lineRule="exact"/>
        <w:rPr>
          <w:rFonts w:ascii="Times New Roman" w:cs="Times New Roman" w:eastAsia="Times New Roman" w:hAnsi="Times New Roman"/>
          <w:sz w:val="18"/>
          <w:szCs w:val="18"/>
          <w:color w:val="auto"/>
        </w:rPr>
      </w:pPr>
    </w:p>
    <w:p>
      <w:pPr>
        <w:ind w:right="40" w:firstLine="436"/>
        <w:spacing w:after="0" w:line="266" w:lineRule="auto"/>
        <w:tabs>
          <w:tab w:leader="none" w:pos="6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Lease-Back Transaction is entered into prior to or within 12 months after the purchase or acquisition, the completion of construction or improvement or the commencement of commercial operation of the Principal Property which is the subject of such Sale and Lease-Back Transaction;</w:t>
      </w:r>
    </w:p>
    <w:p>
      <w:pPr>
        <w:spacing w:after="0" w:line="175"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Lease-Back Transaction involves property of a Person existing at the time such Person is merged into or consolidated with, or acquired by, the Issuer or a Subsidiary or at the time of a sale, lease or other disposition of the properties of a Person as an entirety or substantially as an entirety to the Issuer or a Subsidiary;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04" w:name="page105"/>
    <w:bookmarkEnd w:id="104"/>
    <w:p>
      <w:pPr>
        <w:ind w:right="60" w:firstLine="436"/>
        <w:spacing w:after="0" w:line="253" w:lineRule="auto"/>
        <w:tabs>
          <w:tab w:leader="none" w:pos="6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proceeds of the Sale and Lease-Back Transaction are at least equal to the fair value (as determined by the Board in good faith) of the Principal Property leased pursuant to such Sale and Lease-Back Transaction, so long as within 365 days of the effective date of such Sale and Lease-Back Transaction, the Issuer or such Restricted Subsidiary applies (or irrevocably commits to an escrow account for the purpose or purposes hereinafter mentioned) an amount equal to the greater of (A) net proceeds of such sale, and (B) the Attributable Debt of the Issuer and its Restricted Subsidiaries in respect of such Sale and Lease-Back Transaction to either (x) the purchase, construction or development of other property, or (y) the retirement or repayment (other than any mandatory retirement, mandatory prepayment or sinking fund payment or by payment at maturity) of any Funded Debt of the Issuer or a Restricted Subsidiary (other than Funded Debt that is subordinated to the Notes) or Preferred Stock of any Subsidiary (other than any such Indebtedness owed to or Preferred Stock owned by the Issuer or any Subsidiary); provided, however, that in lieu of applying an amount equivalent to all or any part of such net proceeds to such retirement or repayment (or committing such an amount to an escrow account for such purpose), the Issuer or any Restricted Subsidiary may deliver to the Trustee outstanding Notes and thereby reduce the amount to be applied pursuant to subclause (y) of this clause (e) by an amount equivalent to the aggregate principal amount of the Notes so delivered;</w:t>
      </w:r>
    </w:p>
    <w:p>
      <w:pPr>
        <w:spacing w:after="0" w:line="191" w:lineRule="exact"/>
        <w:rPr>
          <w:rFonts w:ascii="Times New Roman" w:cs="Times New Roman" w:eastAsia="Times New Roman" w:hAnsi="Times New Roman"/>
          <w:sz w:val="18"/>
          <w:szCs w:val="18"/>
          <w:color w:val="auto"/>
        </w:rPr>
      </w:pPr>
    </w:p>
    <w:p>
      <w:pPr>
        <w:jc w:val="both"/>
        <w:ind w:right="140" w:firstLine="436"/>
        <w:spacing w:after="0" w:line="261" w:lineRule="auto"/>
        <w:tabs>
          <w:tab w:leader="none" w:pos="66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Lease-Back Transaction involves the extension, renewal or replacement (or successive extensions, renewals or replacements) in whole or in part of a lease pursuant to a Sale and Lease-Back Transaction referred to in the foregoing clauses (a) to (e), inclusive; provided, however, that such lease extension, renewal or replacement shall be limited to all or any part of the same property leased under the lease so extended, renewed or replaced (plus improvements to such property);</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 Subsidiary could incur Indebtedness secured by a mortgage on the property to be leased without equally and ratably securing the Notes pursuant to Section 4.12 hereof; provided that any Sale and Lease-Back Transaction permitted pursuant to this clause (g) incurred by reference to Section 4.12(c) hereof or to clause (e) of the definition of “Permitted IG Liens” shall reduce capacity pursuant to such provisions by a corresponding amount; or</w:t>
      </w:r>
    </w:p>
    <w:p>
      <w:pPr>
        <w:spacing w:after="0" w:line="179" w:lineRule="exact"/>
        <w:rPr>
          <w:rFonts w:ascii="Times New Roman" w:cs="Times New Roman" w:eastAsia="Times New Roman" w:hAnsi="Times New Roman"/>
          <w:sz w:val="18"/>
          <w:szCs w:val="18"/>
          <w:color w:val="auto"/>
        </w:rPr>
      </w:pPr>
    </w:p>
    <w:p>
      <w:pPr>
        <w:ind w:right="300" w:firstLine="436"/>
        <w:spacing w:after="0" w:line="258"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Attributable Debt of the Issuer and its Restricted Subsidiaries in respect of such Sale and Lease-Back Transaction and all other Sale and Lease-Back Transactions with respect to any Principal Property (not including any Sale and Lease-Back Transactions described under any of the foregoing clauses (a) through (g)), plus the aggregate principal amount of outstanding Indebtedness secured by Liens then outstanding (not including any such Indebtedness secured by Permitted IG Liens) which do not secure the Notes equally and ratably with (or on a basis senior to) the other Indebtedness secured thereby, would not exceed 15% of the Consolidated Net Tangible Assets of the Issuer and its Subsidiaries.</w:t>
      </w:r>
    </w:p>
    <w:p>
      <w:pPr>
        <w:spacing w:after="0" w:line="17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4.17. </w:t>
      </w:r>
      <w:r>
        <w:rPr>
          <w:rFonts w:ascii="Times New Roman" w:cs="Times New Roman" w:eastAsia="Times New Roman" w:hAnsi="Times New Roman"/>
          <w:sz w:val="18"/>
          <w:szCs w:val="18"/>
          <w:i w:val="1"/>
          <w:iCs w:val="1"/>
          <w:color w:val="auto"/>
        </w:rPr>
        <w:t>Release of Collateral and Guarantees upon Investment Grade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 any date following the Issue Date, (i) an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Grade Event occurs and (ii) the Issuer and its Restricted Subsidiaries would be permitted to incur all Liens existing as of such date (after giving effect to the release of the Liens on the Collateral securing the Notes Obligations and the Liens on any other Indebtedness released substantially concurrently) pursuant to Section 4.12(b) hereof (including, without limitation, Permitted IG Liens, but excluding clause (a) of the definition thereof) as if such Liens were incurred on such date, then, beginning on that day (such date, the “</w:t>
      </w:r>
      <w:r>
        <w:rPr>
          <w:rFonts w:ascii="Times New Roman" w:cs="Times New Roman" w:eastAsia="Times New Roman" w:hAnsi="Times New Roman"/>
          <w:sz w:val="18"/>
          <w:szCs w:val="18"/>
          <w:b w:val="1"/>
          <w:bCs w:val="1"/>
          <w:color w:val="auto"/>
        </w:rPr>
        <w:t>Collateral Release Date</w:t>
      </w:r>
      <w:r>
        <w:rPr>
          <w:rFonts w:ascii="Times New Roman" w:cs="Times New Roman" w:eastAsia="Times New Roman" w:hAnsi="Times New Roman"/>
          <w:sz w:val="18"/>
          <w:szCs w:val="18"/>
          <w:color w:val="auto"/>
        </w:rPr>
        <w:t>”), the Guarantees shall be released, the Liens on the Collateral securing the Notes, the Notes Obligations and the Guarantees of the Guarantors shall be released (the “</w:t>
      </w:r>
      <w:r>
        <w:rPr>
          <w:rFonts w:ascii="Times New Roman" w:cs="Times New Roman" w:eastAsia="Times New Roman" w:hAnsi="Times New Roman"/>
          <w:sz w:val="18"/>
          <w:szCs w:val="18"/>
          <w:b w:val="1"/>
          <w:bCs w:val="1"/>
          <w:color w:val="auto"/>
        </w:rPr>
        <w:t>Collateral Release</w:t>
      </w:r>
      <w:r>
        <w:rPr>
          <w:rFonts w:ascii="Times New Roman" w:cs="Times New Roman" w:eastAsia="Times New Roman" w:hAnsi="Times New Roman"/>
          <w:sz w:val="18"/>
          <w:szCs w:val="18"/>
          <w:color w:val="auto"/>
        </w:rPr>
        <w:t>”), and the Issuer and its Restricted Subsidiaries shall not be subject to Section 4.15 hereof or Section 4.18 hereof. Upon the request of the Issuers and after receipt of the Officer’s Certificate required by Sections 13.02(c) and 14.03, the Trustee and Notes Collateral Agent shall execute such documents reasonably requested by the Issuers, at the Issuers’ sole cost and expense, to evidence the Collateral Release. Neither the Trustee nor the Notes Collateral Agent shall have any liability to any person for releases given in reliance on the Officer’s Certificate delivered to it under this Indenture. Neither the Trustee nor the Notes Collateral Agent shall have any duty to monitor the ratings of the Notes, independently determine or verify the Issuers’ determination of the occurrence of a Collateral Release Date or notify Holders of the Notes of any of the foregoing.</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20"/>
          </w:cols>
          <w:pgMar w:left="440" w:top="270" w:right="439" w:bottom="1440" w:gutter="0" w:footer="0" w:header="0"/>
        </w:sectPr>
      </w:pPr>
    </w:p>
    <w:bookmarkStart w:id="105" w:name="page106"/>
    <w:bookmarkEnd w:id="10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4.18. </w:t>
      </w:r>
      <w:r>
        <w:rPr>
          <w:rFonts w:ascii="Times New Roman" w:cs="Times New Roman" w:eastAsia="Times New Roman" w:hAnsi="Times New Roman"/>
          <w:sz w:val="18"/>
          <w:szCs w:val="18"/>
          <w:i w:val="1"/>
          <w:iCs w:val="1"/>
          <w:color w:val="auto"/>
        </w:rPr>
        <w:t>After-Acquired Collatera</w:t>
      </w:r>
      <w:r>
        <w:rPr>
          <w:rFonts w:ascii="Times New Roman" w:cs="Times New Roman" w:eastAsia="Times New Roman" w:hAnsi="Times New Roman"/>
          <w:sz w:val="18"/>
          <w:szCs w:val="18"/>
          <w:color w:val="auto"/>
        </w:rPr>
        <w:t>l.</w:t>
      </w:r>
    </w:p>
    <w:p>
      <w:pPr>
        <w:spacing w:after="0" w:line="229" w:lineRule="exact"/>
        <w:rPr>
          <w:sz w:val="20"/>
          <w:szCs w:val="20"/>
          <w:color w:val="auto"/>
        </w:rPr>
      </w:pPr>
    </w:p>
    <w:p>
      <w:pPr>
        <w:ind w:right="40" w:firstLine="436"/>
        <w:spacing w:after="0" w:line="254" w:lineRule="auto"/>
        <w:tabs>
          <w:tab w:leader="none" w:pos="68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Issue Date, and subject to the limitations and exceptions set forth under “Collateral and Guarantee Requirements” or in the Security Documents, if any Issuer or any Guarantor acquires any property or rights which are of a type constituting Collateral under any Security Document (excluding, for the avoidance of doubt, any Excluded Assets or assets not required to be Collateral pursuant to this Indenture or the Security Documents), it will be required to execute and deliver such security instruments, financing statements and such certificates as are required under this Indenture or any Security Document to vest in the Notes Collateral Agent a perfected security interest (subject to Permitted Liens) in such after-acquired collateral and to take such actions to add such after-acquired collateral to the Collateral, including satisfying the Collateral and Guarantee Requirement with respect to such after-acquired collateral, and thereupon all provisions of this Indenture and the Security Documents relating to the Collateral shall be deemed to relate to such after-acquired collateral to the same extent and with the same force and effect.</w:t>
      </w:r>
    </w:p>
    <w:p>
      <w:pPr>
        <w:spacing w:after="0" w:line="191"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opinions of counsel will not be required in connection with the addition of new Guarantors by execution of a supplemental indenture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in connection with such Guarantors entering into the Security Documents or to vest in the Notes Collateral Agent a perfected security interest in such after-acquired collateral.</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4.19. </w:t>
      </w:r>
      <w:r>
        <w:rPr>
          <w:rFonts w:ascii="Times New Roman" w:cs="Times New Roman" w:eastAsia="Times New Roman" w:hAnsi="Times New Roman"/>
          <w:sz w:val="18"/>
          <w:szCs w:val="18"/>
          <w:i w:val="1"/>
          <w:iCs w:val="1"/>
          <w:color w:val="auto"/>
        </w:rPr>
        <w:t>Post-Closing Covenant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other provisions in this Indenture, to the extent that the security interests in the Collateral securing the Notes (other than as set forth in the following proviso) are not required to be in place on the Issue Date and will not be perfected on such date, they will be required to be perfected no later than 90 days after the Issue Date or as promptly as reasonably practicable thereafter; provided, however, the perfection of the security interests (1) in the certificated Equity Interests of the Issuer and, to the extent received by the Issuer after use of its commercially reasonable efforts to obtain such certificates, the Issuer’s wholly owned Domestic Subsidiaries will be required to be delivered on the Issue Date (subject to the Pari Passu Intercreditor Agreement) and (2) in other assets with respect to which a Lien may be perfected by the filing of a UCC financing statement (or equivalent), which UCC financing statement (or equivalent) will be required to be filed as of the Issue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5.01. </w:t>
      </w:r>
      <w:r>
        <w:rPr>
          <w:rFonts w:ascii="Times New Roman" w:cs="Times New Roman" w:eastAsia="Times New Roman" w:hAnsi="Times New Roman"/>
          <w:sz w:val="18"/>
          <w:szCs w:val="18"/>
          <w:i w:val="1"/>
          <w:iCs w:val="1"/>
          <w:color w:val="auto"/>
        </w:rPr>
        <w:t>Merger, Consolidation or Sale of All or Substantially All Assets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36"/>
        <w:spacing w:after="0" w:line="266" w:lineRule="auto"/>
        <w:tabs>
          <w:tab w:leader="none" w:pos="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not consolidate or merge with or into or wind up into, consummate a Division as the Dividing Person (whether or not the Issuer is the surviving Person), or sell, assign, transfer, lease, convey or otherwise dispose of all or substantially all of its properties or assets, in one or more related transactions, to any Person unless:</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07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Issuer is the surviving Person or (B) the Person formed by or surviving any such consolidation, amalgamation, merger or winding up or Division (if other than the Issuer) or to which such sale, assignment, transfer, lease, conveyance or other disposition will have been made (such Person being herein called the “</w:t>
      </w:r>
      <w:r>
        <w:rPr>
          <w:rFonts w:ascii="Times New Roman" w:cs="Times New Roman" w:eastAsia="Times New Roman" w:hAnsi="Times New Roman"/>
          <w:sz w:val="18"/>
          <w:szCs w:val="18"/>
          <w:b w:val="1"/>
          <w:bCs w:val="1"/>
          <w:color w:val="auto"/>
        </w:rPr>
        <w:t>Successor Company</w:t>
      </w:r>
      <w:r>
        <w:rPr>
          <w:rFonts w:ascii="Times New Roman" w:cs="Times New Roman" w:eastAsia="Times New Roman" w:hAnsi="Times New Roman"/>
          <w:sz w:val="18"/>
          <w:szCs w:val="18"/>
          <w:color w:val="auto"/>
        </w:rPr>
        <w:t>”), (1) expressly assumes all of the obligations of the Issuer under this Indenture, the Notes and the applicable Security Documents, pursuant to supplemental indentures or other applicable documents or instruments and (2) is a Person organized or existing under the laws of the jurisdiction of organization of the Issuer or the laws of the United States, any state thereof, the District of Columbia, or any territory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0"/>
          </w:cols>
          <w:pgMar w:left="440" w:top="266" w:right="439" w:bottom="1440" w:gutter="0" w:footer="0" w:header="0"/>
        </w:sectPr>
      </w:pPr>
    </w:p>
    <w:bookmarkStart w:id="106" w:name="page107"/>
    <w:bookmarkEnd w:id="106"/>
    <w:p>
      <w:pPr>
        <w:ind w:left="1120" w:hanging="261"/>
        <w:spacing w:after="0"/>
        <w:tabs>
          <w:tab w:leader="none" w:pos="11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after such transaction, no Event of Default described under clauses (i), (ii) or (vi) of Section 6.01(a) exists;</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17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if applicable, the Successor Company shall have delivered to the Trustee an Officer’s Certificate and, in circumstances involving a supplemental indenture, an Opinion of Counsel, each, as applicable, stating that such consolidation, merger or transfer and such supplemental indentures, if any, comply with this Indenture; and</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16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Collateral Release Date, to the extent any assets of the Person which is merged, consolidated or amalgamated with or into the Issuer are assets of the type which would constitute Collateral under the Security Documents, the Issuer or the Successor Company, as applicable, will take such action, if any, as may be reasonably necessary to cause such property and assets to be made subject to the Lien of the applicable Security Documents in the manner and to the extent required in this Indenture or the applicable Security Documents and shall take all reasonably necessary action so that such Lien is perfected to the extent required by the applicable Security Documents.</w:t>
      </w:r>
    </w:p>
    <w:p>
      <w:pPr>
        <w:spacing w:after="0" w:line="183"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Company shall succeed to, and be substituted for, the Issuer under this Indenture and the Notes and the Issuer will automatically be released and discharged from its obligations under this Indenture and the Notes.</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clause (ii) of Section 5.01(a) hereof:</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07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consolidate or amalgamate with or merge with or into or wind up into, consummate a Division as the Dividing Person or sell, assign, transfer, lease, convey or otherwise dispose all or part of its properties and assets to the Co-Issuer or a Subsidiary Guarantor;</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2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may consolidate or amalgamate with or merge with or into or wind up into, consummate a Division as the Dividing Person or sell, assign, transfer, lease, convey or otherwise dispose all or part of its properties and assets to the Issuer, the Co-Issuer or a Subsidiary Guarantor; and</w:t>
      </w:r>
    </w:p>
    <w:p>
      <w:pPr>
        <w:spacing w:after="0" w:line="67" w:lineRule="exact"/>
        <w:rPr>
          <w:rFonts w:ascii="Times New Roman" w:cs="Times New Roman" w:eastAsia="Times New Roman" w:hAnsi="Times New Roman"/>
          <w:sz w:val="18"/>
          <w:szCs w:val="18"/>
          <w:color w:val="auto"/>
        </w:rPr>
      </w:pPr>
    </w:p>
    <w:p>
      <w:pPr>
        <w:jc w:val="both"/>
        <w:ind w:left="440" w:right="60" w:firstLine="419"/>
        <w:spacing w:after="0" w:line="261" w:lineRule="auto"/>
        <w:tabs>
          <w:tab w:leader="none" w:pos="117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consolidate or amalgamate with or merge with or into or wind up into, consummate a Division as the Dividing Person or sell, assign, transfer, lease, convey or otherwise dispose all or part of its properties and assets to an Affiliate of the Issuer solely for the purpose of reorganizing the Issuer in the United States, any state thereof, the District of Columbia or any territory thereof so long as the amount of Indebtedness of the Issuer and its Restricted Subsidiaries is not increased thereby.</w:t>
      </w:r>
    </w:p>
    <w:p>
      <w:pPr>
        <w:spacing w:after="0" w:line="179"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5.01, the Issuer may contribute Capital Stock of any or all of its Subsidiaries to the Co-Issuer or any Subsidiary Guarantor.</w:t>
      </w:r>
    </w:p>
    <w:p>
      <w:pPr>
        <w:spacing w:after="0" w:line="161" w:lineRule="exact"/>
        <w:rPr>
          <w:rFonts w:ascii="Times New Roman" w:cs="Times New Roman" w:eastAsia="Times New Roman" w:hAnsi="Times New Roman"/>
          <w:sz w:val="18"/>
          <w:szCs w:val="18"/>
          <w:color w:val="auto"/>
        </w:rPr>
      </w:pPr>
    </w:p>
    <w:p>
      <w:pPr>
        <w:ind w:right="100" w:firstLine="436"/>
        <w:spacing w:after="0" w:line="266" w:lineRule="auto"/>
        <w:tabs>
          <w:tab w:leader="none" w:pos="68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Section 5.01(a) will not apply with respect to the sale, assignment, transfer, lease, conveyance or other disposition of substantially all property or assets of the Issuer if such sale, assignment, transfer, lease, conveyance or other disposition also constitutes a Change of Control Triggering Event for which a Change of Control Offer is made to Holders pursuant to Section 4.14 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107" w:name="page108"/>
    <w:bookmarkEnd w:id="107"/>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Times New Roman" w:cs="Times New Roman" w:eastAsia="Times New Roman" w:hAnsi="Times New Roman"/>
          <w:sz w:val="18"/>
          <w:szCs w:val="18"/>
          <w:i w:val="1"/>
          <w:iCs w:val="1"/>
          <w:color w:val="auto"/>
        </w:rPr>
        <w:t>Successor Person Substituted</w:t>
      </w:r>
      <w:r>
        <w:rPr>
          <w:rFonts w:ascii="Times New Roman" w:cs="Times New Roman" w:eastAsia="Times New Roman" w:hAnsi="Times New Roman"/>
          <w:sz w:val="18"/>
          <w:szCs w:val="18"/>
          <w:color w:val="auto"/>
        </w:rPr>
        <w:t>. Upon any consolidation or merger, or any sale, assignment, transfer, lease, conveyance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disposition of all or substantially all of the assets of the Issuer, in each case in accordance with Section 5.01(a) hereof, the Successor Company shall succeed to, and be substituted for (so that from and after the date of such consolidation, merger, sale, lease, conveyance or other disposition, the provisions of this Indenture referring to the Issuer shall refer instead to the Successor Company, and not to the Issuer), and may exercise every right and power of the Issuer under this Indenture with the same effect as if such Successor Company had been named as the Issuer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predecessor Issuer shall not be relieved from the obligation to pay the principal of and interest on the Notes, except in the case of a sale, assignment, transfer, lease, conveyance or other disposition of all or substantially all of the Issuer’s assets that meets the requirements of Section 5.01 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wherever used herein, means any one of the following events with respect to the Notes of a series:</w:t>
      </w:r>
    </w:p>
    <w:p>
      <w:pPr>
        <w:spacing w:after="0" w:line="121"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07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and payable, upon redemption, acceleration or otherwise, of principal of, or premium, if any, on the Notes of such series;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or more in the payment when due of interest on or with respect to the Notes of such series;</w:t>
      </w:r>
    </w:p>
    <w:p>
      <w:pPr>
        <w:spacing w:after="0" w:line="117" w:lineRule="exact"/>
        <w:rPr>
          <w:rFonts w:ascii="Times New Roman" w:cs="Times New Roman" w:eastAsia="Times New Roman" w:hAnsi="Times New Roman"/>
          <w:sz w:val="18"/>
          <w:szCs w:val="18"/>
          <w:color w:val="auto"/>
        </w:rPr>
      </w:pPr>
    </w:p>
    <w:p>
      <w:pPr>
        <w:jc w:val="both"/>
        <w:ind w:left="440" w:right="120" w:firstLine="419"/>
        <w:spacing w:after="0" w:line="261" w:lineRule="auto"/>
        <w:tabs>
          <w:tab w:leader="none" w:pos="117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4.03(e) hereof, failure by any Issuer or any Guarantor for 90 days after receipt of written notice given by the Trustee or the Holders of not less than 30% in aggregate principal amount of the then outstanding Notes of the applicable series to comply with any of its obligations, covenants or agreements (other than a default referred to in clause (i) or (ii) above) contained in this Indenture or the Notes of such series;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6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is issued or by which there is secured or evidenced any Indebtedness for money borrowed by the Issuer or any of its Restricted Subsidiaries or the payment of which is guaranteed by the Issuer or any of its Restricted Subsidiaries, other than Indebtedness owed to the Issuer or a Restricted Subsidiary, whether such Indebtedness or guarantee now exists or is created after the issuance of the Notes, if both:</w:t>
      </w:r>
    </w:p>
    <w:p>
      <w:pPr>
        <w:spacing w:after="0" w:line="71" w:lineRule="exact"/>
        <w:rPr>
          <w:rFonts w:ascii="Times New Roman" w:cs="Times New Roman" w:eastAsia="Times New Roman" w:hAnsi="Times New Roman"/>
          <w:sz w:val="18"/>
          <w:szCs w:val="18"/>
          <w:color w:val="auto"/>
        </w:rPr>
      </w:pPr>
    </w:p>
    <w:p>
      <w:pPr>
        <w:ind w:left="980" w:firstLine="408"/>
        <w:spacing w:after="0" w:line="261" w:lineRule="auto"/>
        <w:tabs>
          <w:tab w:leader="none" w:pos="1676"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maturity; and</w:t>
      </w:r>
    </w:p>
    <w:p>
      <w:pPr>
        <w:spacing w:after="0" w:line="71" w:lineRule="exact"/>
        <w:rPr>
          <w:rFonts w:ascii="Times New Roman" w:cs="Times New Roman" w:eastAsia="Times New Roman" w:hAnsi="Times New Roman"/>
          <w:sz w:val="18"/>
          <w:szCs w:val="18"/>
          <w:color w:val="auto"/>
        </w:rPr>
      </w:pPr>
    </w:p>
    <w:p>
      <w:pPr>
        <w:ind w:left="980" w:right="260" w:firstLine="408"/>
        <w:spacing w:after="0" w:line="261" w:lineRule="auto"/>
        <w:tabs>
          <w:tab w:leader="none" w:pos="1666"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Indebtedness, together with the principal amount of any other such Indebtedness in default for failure to pay principal at stated final maturity (after giving effect to any applicable grace periods), or the maturity of which has been so accelerated, aggregate the greater of (1) $1,500.0 million (or its foreign currency equivalent) and (2) 40.0% of LTM EBITDA or more outstanding;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66" w:right="459" w:bottom="1440" w:gutter="0" w:footer="0" w:header="0"/>
        </w:sectPr>
      </w:pPr>
    </w:p>
    <w:bookmarkStart w:id="108" w:name="page109"/>
    <w:bookmarkEnd w:id="108"/>
    <w:p>
      <w:pPr>
        <w:ind w:right="160" w:firstLine="419"/>
        <w:spacing w:after="0" w:line="256" w:lineRule="auto"/>
        <w:tabs>
          <w:tab w:leader="none" w:pos="67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failure by the Issuer or any Significant Subsidiary (or any group of Restricted Subsidiaries that together (as of the latest consolidated financial statements of the Issuer for a fiscal quarter end provided as required under Section 4.03 hereof) would constitute a Significant Subsidiary) to pay final judgments aggregating in excess of the greater of (1) $1,500.0 million and (2) 40.0% of LTM EBITDA (net of amounts covered by insurance policies issued by reputable insurance companies), which final judgments remain unpaid, undischarged and unstayed for a period of more than 60 days after such judgment becomes final, and in the event such judgment is covered by insurance, an enforcement proceeding has been commenced by any creditor upon such judgment or decree which is not promptly stayed;</w:t>
      </w:r>
    </w:p>
    <w:p>
      <w:pPr>
        <w:spacing w:after="0" w:line="79" w:lineRule="exact"/>
        <w:rPr>
          <w:rFonts w:ascii="Times New Roman" w:cs="Times New Roman" w:eastAsia="Times New Roman" w:hAnsi="Times New Roman"/>
          <w:sz w:val="18"/>
          <w:szCs w:val="18"/>
          <w:color w:val="auto"/>
        </w:rPr>
      </w:pPr>
    </w:p>
    <w:p>
      <w:pPr>
        <w:ind w:right="320" w:firstLine="419"/>
        <w:spacing w:after="0" w:line="266" w:lineRule="auto"/>
        <w:tabs>
          <w:tab w:leader="none" w:pos="72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Significant Subsidiary (or any group of Restricted Subsidiaries that together (as of the latest consolidated financial statements of the Issuer for a fiscal quarter end provided as required under Section 4.03 hereof) would constitute a Significant Subsidiary), pursuant to or within the meaning of any Bankruptcy Law:</w:t>
      </w:r>
    </w:p>
    <w:p>
      <w:pPr>
        <w:spacing w:after="0" w:line="6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proceedings to be adjudicated bankrupt or insolvent;</w:t>
      </w:r>
    </w:p>
    <w:p>
      <w:pPr>
        <w:spacing w:after="0" w:line="117" w:lineRule="exact"/>
        <w:rPr>
          <w:rFonts w:ascii="Times New Roman" w:cs="Times New Roman" w:eastAsia="Times New Roman" w:hAnsi="Times New Roman"/>
          <w:sz w:val="18"/>
          <w:szCs w:val="18"/>
          <w:color w:val="auto"/>
        </w:rPr>
      </w:pPr>
    </w:p>
    <w:p>
      <w:pPr>
        <w:ind w:left="540" w:firstLine="408"/>
        <w:spacing w:after="0" w:line="282" w:lineRule="auto"/>
        <w:tabs>
          <w:tab w:leader="none" w:pos="122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institution of bankruptcy or insolvency proceedings against it, or the filing by it of a petition or answer or consent seeking reorganization or relief under applicable Bankruptcy Law;</w:t>
      </w:r>
    </w:p>
    <w:p>
      <w:pPr>
        <w:spacing w:after="0" w:line="53" w:lineRule="exact"/>
        <w:rPr>
          <w:rFonts w:ascii="Times New Roman" w:cs="Times New Roman" w:eastAsia="Times New Roman" w:hAnsi="Times New Roman"/>
          <w:sz w:val="18"/>
          <w:szCs w:val="18"/>
          <w:color w:val="auto"/>
        </w:rPr>
      </w:pPr>
    </w:p>
    <w:p>
      <w:pPr>
        <w:ind w:left="540" w:right="400" w:firstLine="408"/>
        <w:spacing w:after="0" w:line="282" w:lineRule="auto"/>
        <w:tabs>
          <w:tab w:leader="none" w:pos="122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receiver, liquidator, assignee, trustee, sequestrator or other similar official of it or for all or substantially all of its property;</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117"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w:t>
      </w:r>
    </w:p>
    <w:p>
      <w:pPr>
        <w:spacing w:after="0" w:line="117"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61" w:lineRule="auto"/>
        <w:tabs>
          <w:tab w:leader="none" w:pos="123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Issuer or any Significant Subsidiary (or any group of Restricted Subsidiaries that together (as of the latest consolidated financial statements of the Issuer for a fiscal quarter end provided as required under Section 4.03 hereof) would constitute a Significant Subsidiary), in a proceeding in which the Issuer or any such Subsidiary or such group of Restricted Subsidiaries is to be adjudicated bankrupt or insolvent;</w:t>
      </w:r>
    </w:p>
    <w:p>
      <w:pPr>
        <w:spacing w:after="0" w:line="71" w:lineRule="exact"/>
        <w:rPr>
          <w:rFonts w:ascii="Times New Roman" w:cs="Times New Roman" w:eastAsia="Times New Roman" w:hAnsi="Times New Roman"/>
          <w:sz w:val="18"/>
          <w:szCs w:val="18"/>
          <w:color w:val="auto"/>
        </w:rPr>
      </w:pPr>
    </w:p>
    <w:p>
      <w:pPr>
        <w:jc w:val="both"/>
        <w:ind w:left="540" w:right="60" w:firstLine="408"/>
        <w:spacing w:after="0" w:line="261" w:lineRule="auto"/>
        <w:tabs>
          <w:tab w:leader="none" w:pos="122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receiver, liquidator, assignee, trustee, sequestrator or other similar official of the Issuer or any Significant Subsidiary (or any group of Restricted Subsidiaries that together (as of the latest consolidated financial statements the Issuer for a fiscal quarter end provided as required under Section 4.03 hereof) would constitute a Significant Subsidiary), or for all or substantially all of the property of the Issuer or any such Significant Subsidiary or such group of Restricted Subsidiaries; or</w:t>
      </w:r>
    </w:p>
    <w:p>
      <w:pPr>
        <w:spacing w:after="0" w:line="71" w:lineRule="exact"/>
        <w:rPr>
          <w:rFonts w:ascii="Times New Roman" w:cs="Times New Roman" w:eastAsia="Times New Roman" w:hAnsi="Times New Roman"/>
          <w:sz w:val="18"/>
          <w:szCs w:val="18"/>
          <w:color w:val="auto"/>
        </w:rPr>
      </w:pPr>
    </w:p>
    <w:p>
      <w:pPr>
        <w:ind w:left="540" w:right="80" w:firstLine="408"/>
        <w:spacing w:after="0" w:line="266" w:lineRule="auto"/>
        <w:tabs>
          <w:tab w:leader="none" w:pos="122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Issuer or any Significant Subsidiary (or any group of Restricted Subsidiaries that together (as of the latest consolidated financial statements of the Issuer for a fiscal quarter end provided as required under Section 4.03 hereof) would constitute a Significant Subsidiary);</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520"/>
          </w:cols>
          <w:pgMar w:left="880" w:top="270" w:right="499" w:bottom="1440" w:gutter="0" w:footer="0" w:header="0"/>
        </w:sectPr>
      </w:pPr>
    </w:p>
    <w:bookmarkStart w:id="109" w:name="page110"/>
    <w:bookmarkEnd w:id="109"/>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order or decree remains unstayed and in effect for 60 consecutive days;</w:t>
      </w:r>
    </w:p>
    <w:p>
      <w:pPr>
        <w:spacing w:after="0" w:line="117" w:lineRule="exact"/>
        <w:rPr>
          <w:sz w:val="20"/>
          <w:szCs w:val="20"/>
          <w:color w:val="auto"/>
        </w:rPr>
      </w:pPr>
    </w:p>
    <w:p>
      <w:pPr>
        <w:ind w:left="420" w:firstLine="419"/>
        <w:spacing w:after="0" w:line="254" w:lineRule="auto"/>
        <w:tabs>
          <w:tab w:leader="none" w:pos="124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with respect to such series of Notes of any Subsidiary Guarantor that is a Significant Subsidiary (or any group of Subsidiary Guarantors that together (as of the latest consolidated financial statements of the Issuer for a fiscal quarter end provided as required under Section 4.03 hereof) would constitute a Significant Subsidiary) shall for any reason cease to be in full force and effect or be declared null and void or any responsible officer of any Issuer or any Subsidiary Guarantor that is a Significant Subsidiary (or the responsible officers of any group of Subsidiary Guarantors that together (as of the latest consolidated financial statements of the Issuer for a fiscal quarter end provided as required under Section 4.03 hereof) would constitute a Significant Subsidiary), as the case may be, denies in writing that it has any further liability under its Guarantee with respect to such series of Notes or gives written notice to such effect, other than by reason of the termination of this Indenture with respect to such series of Notes or the release of any such Guarantee with respect to such series of Notes in accordance with this Indenture;</w:t>
      </w:r>
    </w:p>
    <w:p>
      <w:pPr>
        <w:spacing w:after="0" w:line="80" w:lineRule="exact"/>
        <w:rPr>
          <w:rFonts w:ascii="Times New Roman" w:cs="Times New Roman" w:eastAsia="Times New Roman" w:hAnsi="Times New Roman"/>
          <w:sz w:val="18"/>
          <w:szCs w:val="18"/>
          <w:color w:val="auto"/>
        </w:rPr>
      </w:pPr>
    </w:p>
    <w:p>
      <w:pPr>
        <w:ind w:left="420" w:right="60" w:firstLine="419"/>
        <w:spacing w:after="0" w:line="255" w:lineRule="auto"/>
        <w:tabs>
          <w:tab w:leader="none" w:pos="114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Liens created by the Security Documents securing the Notes of such series shall at any time not constitute a valid and perfected Lien on any material portion of the Collateral intended to be covered thereby (unless perfection is not required by this Indenture or the Security Documents) other than (1) in accordance with the terms of the relevant Security Document and this Indenture, (2) the satisfaction in full of all Obligations under this Indenture with respect to such series or (3) any loss of perfection that results from the failure of the Notes Collateral Agent or other applicable Collateral Agent to maintain possession of certificates delivered to it representing securities pledged under the Security Documents and (B) such default continues for 30 days after receipt of written notice given by the Trustee or the Holders of not less than 30% in aggregate principal amount of the then outstanding Notes of the applicable series; and</w:t>
      </w:r>
    </w:p>
    <w:p>
      <w:pPr>
        <w:spacing w:after="0" w:line="80" w:lineRule="exact"/>
        <w:rPr>
          <w:rFonts w:ascii="Times New Roman" w:cs="Times New Roman" w:eastAsia="Times New Roman" w:hAnsi="Times New Roman"/>
          <w:sz w:val="18"/>
          <w:szCs w:val="18"/>
          <w:color w:val="auto"/>
        </w:rPr>
      </w:pPr>
    </w:p>
    <w:p>
      <w:pPr>
        <w:ind w:left="420" w:right="120" w:firstLine="419"/>
        <w:spacing w:after="0" w:line="255" w:lineRule="auto"/>
        <w:tabs>
          <w:tab w:leader="none" w:pos="109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Issuer or any Subsidiary Guarantor that is a Significant Subsidiary (or any group of Subsidiary Guarantors that together (as of the latest consolidated financial statements of the Issuer for a fiscal quarter end provided as required under Section 4.03 hereof) would constitute a Significant Subsidiary) shall assert, in any pleading in any court of competent jurisdiction, that any security interest in any Security Document is invalid or unenforceable (other than by reason of the satisfaction in full of all obligations under this Indenture with respect to such series and discharge of this Indenture with respect to such series, the release of the Guarantee of such Subsidiary Guarantor with respect to such series in accordance with the terms of this Indenture or the release of such security interest with respect to such series in accordance with the terms of this Indenture and the Security Documents).</w:t>
      </w:r>
    </w:p>
    <w:p>
      <w:pPr>
        <w:spacing w:after="0" w:line="188" w:lineRule="exact"/>
        <w:rPr>
          <w:rFonts w:ascii="Times New Roman" w:cs="Times New Roman" w:eastAsia="Times New Roman" w:hAnsi="Times New Roman"/>
          <w:sz w:val="18"/>
          <w:szCs w:val="18"/>
          <w:color w:val="auto"/>
        </w:rPr>
      </w:pPr>
    </w:p>
    <w:p>
      <w:pPr>
        <w:ind w:left="-20" w:firstLine="436"/>
        <w:spacing w:after="0" w:line="266" w:lineRule="auto"/>
        <w:tabs>
          <w:tab w:leader="none" w:pos="67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Event of Default specified in clauses (iii), (iv), (v), (viii), (ix) or (x) of Section 6.01(a) hereof, such Event of Default and all consequences thereof (excluding any resulting payment default, other than as a result of acceleration of the Notes) shall be annulled, waived and rescinded, automatically and without any action by the Trustee or the Holders, if after such Event of Default arose:</w:t>
      </w:r>
    </w:p>
    <w:p>
      <w:pPr>
        <w:spacing w:after="0" w:line="67" w:lineRule="exact"/>
        <w:rPr>
          <w:rFonts w:ascii="Times New Roman" w:cs="Times New Roman" w:eastAsia="Times New Roman" w:hAnsi="Times New Roman"/>
          <w:sz w:val="18"/>
          <w:szCs w:val="18"/>
          <w:color w:val="auto"/>
        </w:rPr>
      </w:pPr>
    </w:p>
    <w:p>
      <w:pPr>
        <w:ind w:left="1060" w:hanging="221"/>
        <w:spacing w:after="0"/>
        <w:tabs>
          <w:tab w:leader="none" w:pos="10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or guarantee that is the basis for such Event of Default has been discharged;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960"/>
          </w:cols>
          <w:pgMar w:left="460" w:top="270" w:right="479" w:bottom="1440" w:gutter="0" w:footer="0" w:header="0"/>
        </w:sectPr>
      </w:pPr>
    </w:p>
    <w:bookmarkStart w:id="110" w:name="page111"/>
    <w:bookmarkEnd w:id="110"/>
    <w:p>
      <w:pPr>
        <w:ind w:left="440" w:right="300" w:firstLine="419"/>
        <w:spacing w:after="0" w:line="282" w:lineRule="auto"/>
        <w:tabs>
          <w:tab w:leader="none" w:pos="112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requisite number of holders thereof have rescinded or waived the acceleration, notice or action (as the case may be) giving rise to such Event of Default; or</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that is the basis for such Event of Default has been cured.</w:t>
      </w:r>
    </w:p>
    <w:p>
      <w:pPr>
        <w:spacing w:after="0" w:line="22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6.02.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If any Event of Default (other than an Event of Default of the type specified in clause (vi) or (vii) of Section 6.01(a)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hereof) with respect to the Notes of a series occurs and is continuing under this Indenture, the Trustee or the Holders of not less than 30% in aggregate principal amount of the then outstanding Notes of the applicable series may, by notice to the Issuer and the Trustee (if given by Holders), in either case specifying in such notice the respective Event of Default and that such notice is a “notice of acceleration,” declare the principal, premium, if any, interest and any other monetary obligations on all the then outstanding Notes of the applicable series to be due and payable immediately;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declaration may be made with respect to any action taken, and reported publicly or to Holders, more than two years prior to such declaration.</w:t>
      </w:r>
    </w:p>
    <w:p>
      <w:pPr>
        <w:spacing w:after="0" w:line="18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Upon the effectiveness of such declaration, to accelerate the Notes of the applicable series, such principal of and premium, if any, and interest will be due and payable immediately.</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the case of an Event of Default arising under clause (vi) or (vii) of Section 6.01(a) hereof, all outstanding Notes of the applicable series will become due and payable without further action or notice. The Trustee may withhold from the Holders of Notes of the applicable series notice of any continuing Default with respect to such series, except a Default relating to the payment of principal, premium, if any, or interest, if it determines that withholding notice is in their interest.</w:t>
      </w:r>
    </w:p>
    <w:p>
      <w:pPr>
        <w:spacing w:after="0" w:line="176" w:lineRule="exact"/>
        <w:rPr>
          <w:sz w:val="20"/>
          <w:szCs w:val="20"/>
          <w:color w:val="auto"/>
        </w:rPr>
      </w:pPr>
    </w:p>
    <w:p>
      <w:pPr>
        <w:ind w:right="6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Section 6.03. </w:t>
      </w:r>
      <w:r>
        <w:rPr>
          <w:rFonts w:ascii="Times New Roman" w:cs="Times New Roman" w:eastAsia="Times New Roman" w:hAnsi="Times New Roman"/>
          <w:sz w:val="17"/>
          <w:szCs w:val="17"/>
          <w:i w:val="1"/>
          <w:iCs w:val="1"/>
          <w:color w:val="auto"/>
        </w:rPr>
        <w:t>Other Remedies</w:t>
      </w:r>
      <w:r>
        <w:rPr>
          <w:rFonts w:ascii="Times New Roman" w:cs="Times New Roman" w:eastAsia="Times New Roman" w:hAnsi="Times New Roman"/>
          <w:sz w:val="17"/>
          <w:szCs w:val="17"/>
          <w:color w:val="auto"/>
        </w:rPr>
        <w:t>. If an Event of Default occurs and is continuing, the Trustee may pursue any available remedy to collect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payment of principal, premium, if any, and interest on the Notes or to enforce the performance of any provision of the Notes or this Indenture.</w:t>
      </w:r>
    </w:p>
    <w:p>
      <w:pPr>
        <w:spacing w:after="0" w:line="13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7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6.04. </w:t>
      </w:r>
      <w:r>
        <w:rPr>
          <w:rFonts w:ascii="Times New Roman" w:cs="Times New Roman" w:eastAsia="Times New Roman" w:hAnsi="Times New Roman"/>
          <w:sz w:val="18"/>
          <w:szCs w:val="18"/>
          <w:i w:val="1"/>
          <w:iCs w:val="1"/>
          <w:color w:val="auto"/>
        </w:rPr>
        <w:t>Waiver of Past Defaults</w:t>
      </w:r>
      <w:r>
        <w:rPr>
          <w:rFonts w:ascii="Times New Roman" w:cs="Times New Roman" w:eastAsia="Times New Roman" w:hAnsi="Times New Roman"/>
          <w:sz w:val="18"/>
          <w:szCs w:val="18"/>
          <w:color w:val="auto"/>
        </w:rPr>
        <w:t>. The Required Holders, by notice to the Trustee (with a copy to the Issuer;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 waiver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rescission under this Section 6.04 shall be valid and binding notwithstanding the failure to provide a copy of such notice to the Issuer) may on behalf of the Holders of all of the Notes waive any existing Default and its consequences under this Indenture and the Security Documents (including in connection with a Change of Control Offer or an Alternate Offer) and rescind any acceleration with respect to the Notes and its consequences under this Indenture and the Security Documents (except if such rescission would conflict with any judgment of a court of competent jurisdiction and except a continuing Default in the payment of interest on, premium, if any, or the principal of, any Note of the applicable series held by a non-consenting Holder). Upon any such waiver, such Default shall cease to exist, and any Event of Default arising therefrom shall be deemed to have been cured for every purpose of this Indenture and the Security Documents; but no such waiver shall extend to any subsequent or other Default or impair any right consequent thereto.</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70" w:right="459" w:bottom="1440" w:gutter="0" w:footer="0" w:header="0"/>
        </w:sectPr>
      </w:pPr>
    </w:p>
    <w:bookmarkStart w:id="111" w:name="page112"/>
    <w:bookmarkEnd w:id="111"/>
    <w:p>
      <w:pPr>
        <w:ind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6.05. </w:t>
      </w:r>
      <w:r>
        <w:rPr>
          <w:rFonts w:ascii="Times New Roman" w:cs="Times New Roman" w:eastAsia="Times New Roman" w:hAnsi="Times New Roman"/>
          <w:sz w:val="18"/>
          <w:szCs w:val="18"/>
          <w:i w:val="1"/>
          <w:iCs w:val="1"/>
          <w:color w:val="auto"/>
        </w:rPr>
        <w:t>Control by Majority</w:t>
      </w:r>
      <w:r>
        <w:rPr>
          <w:rFonts w:ascii="Times New Roman" w:cs="Times New Roman" w:eastAsia="Times New Roman" w:hAnsi="Times New Roman"/>
          <w:sz w:val="18"/>
          <w:szCs w:val="18"/>
          <w:color w:val="auto"/>
        </w:rPr>
        <w:t>. Subject to Section 7.01(e) hereof, the Required Holders may direct the time, method and place of conducting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proceeding for exercising any remedy available to the Trustee or the Notes Collateral Agent or of exercising any trust or power conferred on the Trustee or the Notes Collateral Agent, and the Trustee or the Notes Collateral Agent, as applicable, may take any other action deemed proper by the Trustee or the Notes Collateral Agent that is not inconsistent with such direction. The Trustee or the Notes Collateral Agent, as applicable, however, may refuse to follow any direction that conflicts with law or this Indenture or that the Trustee or the Notes Collateral Agent, as applicable, determines is unduly prejudicial to the rights of any other Holder or that would involve the Trustee or the Notes Collateral Agent, as applicable, in personal liability, and may take any other action that is not inconsistent with any such direction received from Holders of the Notes (it being understood that neither the Trustee nor the Notes Collateral Agent has an affirmative duty to determine whether any action is prejudicial to any Holder).</w:t>
      </w:r>
    </w:p>
    <w:p>
      <w:pPr>
        <w:spacing w:after="0" w:line="18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6.06. </w:t>
      </w:r>
      <w:r>
        <w:rPr>
          <w:rFonts w:ascii="Times New Roman" w:cs="Times New Roman" w:eastAsia="Times New Roman" w:hAnsi="Times New Roman"/>
          <w:sz w:val="18"/>
          <w:szCs w:val="18"/>
          <w:i w:val="1"/>
          <w:iCs w:val="1"/>
          <w:color w:val="auto"/>
        </w:rPr>
        <w:t>Limitation on Suits</w:t>
      </w:r>
      <w:r>
        <w:rPr>
          <w:rFonts w:ascii="Times New Roman" w:cs="Times New Roman" w:eastAsia="Times New Roman" w:hAnsi="Times New Roman"/>
          <w:sz w:val="18"/>
          <w:szCs w:val="18"/>
          <w:color w:val="auto"/>
        </w:rPr>
        <w:t>. Except to enforce the right to receive payment of principal, premium (if any) or interest when due on or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due dates expressed in an outstanding Note, no Holder of a Note of such series may pursue any remedy with respect to this Indenture or the Notes of such series unless:</w:t>
      </w:r>
    </w:p>
    <w:p>
      <w:pPr>
        <w:spacing w:after="0" w:line="67" w:lineRule="exact"/>
        <w:rPr>
          <w:sz w:val="20"/>
          <w:szCs w:val="20"/>
          <w:color w:val="auto"/>
        </w:rPr>
      </w:pPr>
    </w:p>
    <w:p>
      <w:pPr>
        <w:ind w:left="440" w:right="800" w:firstLine="419"/>
        <w:spacing w:after="0" w:line="282" w:lineRule="auto"/>
        <w:tabs>
          <w:tab w:leader="none" w:pos="110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that an Event of Default with respect to the Notes of such series is continuing;</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Notes, comprising at least 30% in the aggregate principal amount of the then outstanding Notes have requested in writing the Trustee to pursue the remedy;</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0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Notes of the applicable series have offered, and if requested, provided to the Trustee security or indemnity satisfactory to it against any loss, liability or expense;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complied with such request within 60 days after the receipt thereof and the offer of security or indemnity;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Holders have not given the Trustee a direction inconsistent with such written request within such 60-day period.</w:t>
      </w:r>
    </w:p>
    <w:p>
      <w:pPr>
        <w:spacing w:after="0" w:line="221"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6.07. </w:t>
      </w:r>
      <w:r>
        <w:rPr>
          <w:rFonts w:ascii="Times New Roman" w:cs="Times New Roman" w:eastAsia="Times New Roman" w:hAnsi="Times New Roman"/>
          <w:sz w:val="18"/>
          <w:szCs w:val="18"/>
          <w:i w:val="1"/>
          <w:iCs w:val="1"/>
          <w:color w:val="auto"/>
        </w:rPr>
        <w:t>Right of Holders to Sue for Payment</w:t>
      </w:r>
      <w:r>
        <w:rPr>
          <w:rFonts w:ascii="Times New Roman" w:cs="Times New Roman" w:eastAsia="Times New Roman" w:hAnsi="Times New Roman"/>
          <w:sz w:val="18"/>
          <w:szCs w:val="18"/>
          <w:color w:val="auto"/>
        </w:rPr>
        <w:t>. Notwithstanding any other provision of this Indenture, the contractual right expressly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Indenture or the Notes of any Holder of a Note to bring suit for the enforcement of any payment on or with respect to such Holder’s Notes on or after the respective due dates expressed in this Indenture or the Notes, shall not be amended without the consent of such Holder.</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6.08. </w:t>
      </w:r>
      <w:r>
        <w:rPr>
          <w:rFonts w:ascii="Times New Roman" w:cs="Times New Roman" w:eastAsia="Times New Roman" w:hAnsi="Times New Roman"/>
          <w:sz w:val="18"/>
          <w:szCs w:val="18"/>
          <w:i w:val="1"/>
          <w:iCs w:val="1"/>
          <w:color w:val="auto"/>
        </w:rPr>
        <w:t>Collection Suit by Trustee</w:t>
      </w:r>
      <w:r>
        <w:rPr>
          <w:rFonts w:ascii="Times New Roman" w:cs="Times New Roman" w:eastAsia="Times New Roman" w:hAnsi="Times New Roman"/>
          <w:sz w:val="18"/>
          <w:szCs w:val="18"/>
          <w:color w:val="auto"/>
        </w:rPr>
        <w:t>. If an Event of Default specified in Section 6.01(a)(i) or (ii) hereof occurs and is continuing, the Trustee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to recover judgment in its own name and as trustee of an express trust against the Issuer for the whole amount of principal of, premium, if any, and interest remaining unpaid on, the Notes and interest on overdue principal, if applicable,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9"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6.09. </w:t>
      </w:r>
      <w:r>
        <w:rPr>
          <w:rFonts w:ascii="Times New Roman" w:cs="Times New Roman" w:eastAsia="Times New Roman" w:hAnsi="Times New Roman"/>
          <w:sz w:val="18"/>
          <w:szCs w:val="18"/>
          <w:i w:val="1"/>
          <w:iCs w:val="1"/>
          <w:color w:val="auto"/>
        </w:rPr>
        <w:t>Restoration of Rights and Remedies</w:t>
      </w:r>
      <w:r>
        <w:rPr>
          <w:rFonts w:ascii="Times New Roman" w:cs="Times New Roman" w:eastAsia="Times New Roman" w:hAnsi="Times New Roman"/>
          <w:sz w:val="18"/>
          <w:szCs w:val="18"/>
          <w:color w:val="auto"/>
        </w:rPr>
        <w:t>. If the Trustee or any Holder has instituted any proceeding to enforce any right or remedy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Indenture and such proceeding has been discontinued or abandoned for any reason, or has been determined adversely to the Trustee or to such Holder, then and in every such case, subject to any determination in such proceedings, the Issuer,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66" w:right="459" w:bottom="1440" w:gutter="0" w:footer="0" w:header="0"/>
        </w:sectPr>
      </w:pPr>
    </w:p>
    <w:bookmarkStart w:id="112" w:name="page113"/>
    <w:bookmarkEnd w:id="112"/>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6.10. </w:t>
      </w:r>
      <w:r>
        <w:rPr>
          <w:rFonts w:ascii="Times New Roman" w:cs="Times New Roman" w:eastAsia="Times New Roman" w:hAnsi="Times New Roman"/>
          <w:sz w:val="18"/>
          <w:szCs w:val="18"/>
          <w:i w:val="1"/>
          <w:iCs w:val="1"/>
          <w:color w:val="auto"/>
        </w:rPr>
        <w:t>Rights and Remedies Cumulative</w:t>
      </w:r>
      <w:r>
        <w:rPr>
          <w:rFonts w:ascii="Times New Roman" w:cs="Times New Roman" w:eastAsia="Times New Roman" w:hAnsi="Times New Roman"/>
          <w:sz w:val="18"/>
          <w:szCs w:val="18"/>
          <w:color w:val="auto"/>
        </w:rPr>
        <w:t>. Except as otherwise provided with respect to the replacement or payment of mutilated, destroyed,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lost or stolen Notes in Section 2.07 hereof,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9" w:lineRule="exact"/>
        <w:rPr>
          <w:sz w:val="20"/>
          <w:szCs w:val="20"/>
          <w:color w:val="auto"/>
        </w:rPr>
      </w:pPr>
    </w:p>
    <w:p>
      <w:pPr>
        <w:ind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6.11. </w:t>
      </w:r>
      <w:r>
        <w:rPr>
          <w:rFonts w:ascii="Times New Roman" w:cs="Times New Roman" w:eastAsia="Times New Roman" w:hAnsi="Times New Roman"/>
          <w:sz w:val="18"/>
          <w:szCs w:val="18"/>
          <w:i w:val="1"/>
          <w:iCs w:val="1"/>
          <w:color w:val="auto"/>
        </w:rPr>
        <w:t>Delay or Omission Not Waiver</w:t>
      </w:r>
      <w:r>
        <w:rPr>
          <w:rFonts w:ascii="Times New Roman" w:cs="Times New Roman" w:eastAsia="Times New Roman" w:hAnsi="Times New Roman"/>
          <w:sz w:val="18"/>
          <w:szCs w:val="18"/>
          <w:color w:val="auto"/>
        </w:rPr>
        <w:t>. No delay or omission of the Trustee or of any Holder of any Note to exercise any right or remedy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6.12. </w:t>
      </w:r>
      <w:r>
        <w:rPr>
          <w:rFonts w:ascii="Times New Roman" w:cs="Times New Roman" w:eastAsia="Times New Roman" w:hAnsi="Times New Roman"/>
          <w:sz w:val="18"/>
          <w:szCs w:val="18"/>
          <w:i w:val="1"/>
          <w:iCs w:val="1"/>
          <w:color w:val="auto"/>
        </w:rPr>
        <w:t>Trustee May File Proofs of Claim</w:t>
      </w:r>
      <w:r>
        <w:rPr>
          <w:rFonts w:ascii="Times New Roman" w:cs="Times New Roman" w:eastAsia="Times New Roman" w:hAnsi="Times New Roman"/>
          <w:sz w:val="18"/>
          <w:szCs w:val="18"/>
          <w:color w:val="auto"/>
        </w:rPr>
        <w:t>. The Trustee is authorized to file such proofs of claim and other papers or documents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advisable in order to have the claims of the Trustee (including any claim for the reasonable compensation, expenses, disbursements and advances of the Trustee, its agents and counsel), the Notes Collateral Agent (including any claim for the reasonable compensation, expenses, disbursements and advances of the Notes Collateral Agent, its agents and counsel) and the Holders allowed in any judicial proceedings relative to the Issuers or any other obligor upon the Notes (including the Guarantors), their creditors or their property and shall be entitled and empowered to participate as a member in any official committee of creditors appointed in such matter and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 hereof. To the extent that the payment of any such compensation, expenses, disbursements and advances of the Trustee, the Notes Collateral Agent, their agents and counsel, and any other amounts due the Trustee or Notes Collateral Agent under Section 7.06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9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6.13. </w:t>
      </w:r>
      <w:r>
        <w:rPr>
          <w:rFonts w:ascii="Times New Roman" w:cs="Times New Roman" w:eastAsia="Times New Roman" w:hAnsi="Times New Roman"/>
          <w:sz w:val="18"/>
          <w:szCs w:val="18"/>
          <w:i w:val="1"/>
          <w:iCs w:val="1"/>
          <w:color w:val="auto"/>
        </w:rPr>
        <w:t>Priorities</w:t>
      </w:r>
      <w:r>
        <w:rPr>
          <w:rFonts w:ascii="Times New Roman" w:cs="Times New Roman" w:eastAsia="Times New Roman" w:hAnsi="Times New Roman"/>
          <w:sz w:val="18"/>
          <w:szCs w:val="18"/>
          <w:color w:val="auto"/>
        </w:rPr>
        <w:t>. Subject to the Pari Passu Intercreditor Agreement, if the Trustee collects any money or property pursuant to this 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upon exercise of remedies in respect of the Collateral, it shall pay out the money or property in the following order:</w:t>
      </w:r>
    </w:p>
    <w:p>
      <w:pPr>
        <w:spacing w:after="0" w:line="51" w:lineRule="exact"/>
        <w:rPr>
          <w:sz w:val="20"/>
          <w:szCs w:val="20"/>
          <w:color w:val="auto"/>
        </w:rPr>
      </w:pPr>
    </w:p>
    <w:p>
      <w:pPr>
        <w:ind w:left="440" w:right="20" w:firstLine="419"/>
        <w:spacing w:after="0" w:line="266" w:lineRule="auto"/>
        <w:tabs>
          <w:tab w:leader="none" w:pos="110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Trustee, the Notes Collateral Agent and the Agents, in each case, and their respective agents and attorneys for amounts due under Section 7.06 hereof, including payment of all compensation, expenses and liabilities incurred, and all advances made, by the Trustee, the Notes Collateral Agent and such Agent and the costs and expenses of collection;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66" w:right="459" w:bottom="1440" w:gutter="0" w:footer="0" w:header="0"/>
        </w:sectPr>
      </w:pPr>
    </w:p>
    <w:bookmarkStart w:id="113" w:name="page114"/>
    <w:bookmarkEnd w:id="113"/>
    <w:p>
      <w:pPr>
        <w:ind w:left="440" w:firstLine="419"/>
        <w:spacing w:after="0" w:line="282" w:lineRule="auto"/>
        <w:tabs>
          <w:tab w:leader="none" w:pos="11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 to Holders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Issuer or to such party as a court of competent jurisdiction shall direct including a Guarantor, if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pursuant to this Section 6.13.</w:t>
      </w:r>
    </w:p>
    <w:p>
      <w:pPr>
        <w:spacing w:after="0" w:line="221"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6.14. </w:t>
      </w:r>
      <w:r>
        <w:rPr>
          <w:rFonts w:ascii="Times New Roman" w:cs="Times New Roman" w:eastAsia="Times New Roman" w:hAnsi="Times New Roman"/>
          <w:sz w:val="18"/>
          <w:szCs w:val="18"/>
          <w:i w:val="1"/>
          <w:iCs w:val="1"/>
          <w:color w:val="auto"/>
        </w:rPr>
        <w:t>Undertaking for Costs</w:t>
      </w:r>
      <w:r>
        <w:rPr>
          <w:rFonts w:ascii="Times New Roman" w:cs="Times New Roman" w:eastAsia="Times New Roman" w:hAnsi="Times New Roman"/>
          <w:sz w:val="18"/>
          <w:szCs w:val="18"/>
          <w:color w:val="auto"/>
        </w:rPr>
        <w:t>. In any suit for the enforcement of any right or remedy under this Indenture or in any suit against the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6.14 does not apply to a suit by the Trustee, a suit by a Holder of a Note pursuant to Section 6.07 hereof, or a suit by Holders of more than 10.0% in principal amount of the then outstanding Notes.</w:t>
      </w:r>
    </w:p>
    <w:p>
      <w:pPr>
        <w:spacing w:after="0" w:line="182"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6.15. </w:t>
      </w:r>
      <w:r>
        <w:rPr>
          <w:rFonts w:ascii="Times New Roman" w:cs="Times New Roman" w:eastAsia="Times New Roman" w:hAnsi="Times New Roman"/>
          <w:sz w:val="18"/>
          <w:szCs w:val="18"/>
          <w:i w:val="1"/>
          <w:iCs w:val="1"/>
          <w:color w:val="auto"/>
        </w:rPr>
        <w:t>Underlying Cure</w:t>
      </w:r>
      <w:r>
        <w:rPr>
          <w:rFonts w:ascii="Times New Roman" w:cs="Times New Roman" w:eastAsia="Times New Roman" w:hAnsi="Times New Roman"/>
          <w:sz w:val="18"/>
          <w:szCs w:val="18"/>
          <w:color w:val="auto"/>
        </w:rPr>
        <w:t>. Any Default or Event of Default resulting from the failure to deliver a notice, report or certificate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shall cease to exist and be cured in all respects if the underlying Default or Event of Default giving rise to such notice, report or certificate requirement shall have ceased to exist and/or be cured (including pursuant to this paragraph). For the avoidance of doubt, each of the parties hereto agree that any court of competent jurisdiction may (x) extend or stay any grace period set forth in this Indenture prior to when any actual or alleged Default becomes an actual or alleged Event of Default or (y) stay the exercise of remedies by the Trustee or Holders contemplated by this Indenture or otherwise upon the occurrence of an actual or alleged Event of Default, in each case of clauses (x) and (y), in accordance with the requirements of applicable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 AND AGENTS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7.01. </w:t>
      </w:r>
      <w:r>
        <w:rPr>
          <w:rFonts w:ascii="Times New Roman" w:cs="Times New Roman" w:eastAsia="Times New Roman" w:hAnsi="Times New Roman"/>
          <w:sz w:val="18"/>
          <w:szCs w:val="18"/>
          <w:i w:val="1"/>
          <w:iCs w:val="1"/>
          <w:color w:val="auto"/>
        </w:rPr>
        <w:t>Duties of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0" w:firstLine="436"/>
        <w:spacing w:after="0" w:line="261" w:lineRule="auto"/>
        <w:tabs>
          <w:tab w:leader="none" w:pos="68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with respect to a series of Notes has occurred and is continuing of which the Trustee has received written notice or which is actually known to a Responsible Officer of the Trustee,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shall be determined solely by the express provisions of this Indenture and the Trustee need perform only those duties that are specifically set forth in this Indenture and no others, and no implied covenants, duties or obligations shall be read into this Indenture against the Trustee;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14" w:name="page115"/>
    <w:bookmarkEnd w:id="114"/>
    <w:p>
      <w:pPr>
        <w:ind w:left="400" w:right="20" w:firstLine="419"/>
        <w:spacing w:after="0" w:line="258" w:lineRule="auto"/>
        <w:tabs>
          <w:tab w:leader="none" w:pos="108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absence of willful misconduct or gross negligence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investigate or confirm the accuracy of mathematical calculations or other facts stated therein).</w:t>
      </w:r>
    </w:p>
    <w:p>
      <w:pPr>
        <w:spacing w:after="0" w:line="183" w:lineRule="exact"/>
        <w:rPr>
          <w:rFonts w:ascii="Times New Roman" w:cs="Times New Roman" w:eastAsia="Times New Roman" w:hAnsi="Times New Roman"/>
          <w:sz w:val="18"/>
          <w:szCs w:val="18"/>
          <w:color w:val="auto"/>
        </w:rPr>
      </w:pPr>
    </w:p>
    <w:p>
      <w:pPr>
        <w:ind w:left="-40" w:right="300" w:firstLine="436"/>
        <w:spacing w:after="0" w:line="282" w:lineRule="auto"/>
        <w:tabs>
          <w:tab w:leader="none" w:pos="64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1040" w:hanging="221"/>
        <w:spacing w:after="0"/>
        <w:tabs>
          <w:tab w:leader="none" w:pos="10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(c) does not limit the effect of paragraph (b) of this Section 7.01;</w:t>
      </w:r>
    </w:p>
    <w:p>
      <w:pPr>
        <w:spacing w:after="0" w:line="117" w:lineRule="exact"/>
        <w:rPr>
          <w:sz w:val="20"/>
          <w:szCs w:val="20"/>
          <w:color w:val="auto"/>
        </w:rPr>
      </w:pPr>
    </w:p>
    <w:p>
      <w:pPr>
        <w:ind w:left="400" w:right="320" w:firstLine="419"/>
        <w:spacing w:after="0" w:line="282" w:lineRule="auto"/>
        <w:tabs>
          <w:tab w:leader="none" w:pos="1088"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in a court of competent jurisdiction that the Trustee was negligent in ascertaining the pertinent facts; and</w:t>
      </w:r>
    </w:p>
    <w:p>
      <w:pPr>
        <w:spacing w:after="0" w:line="53" w:lineRule="exact"/>
        <w:rPr>
          <w:rFonts w:ascii="Times New Roman" w:cs="Times New Roman" w:eastAsia="Times New Roman" w:hAnsi="Times New Roman"/>
          <w:sz w:val="18"/>
          <w:szCs w:val="18"/>
          <w:color w:val="auto"/>
        </w:rPr>
      </w:pPr>
    </w:p>
    <w:p>
      <w:pPr>
        <w:ind w:left="400" w:right="20" w:firstLine="419"/>
        <w:spacing w:after="0" w:line="282" w:lineRule="auto"/>
        <w:tabs>
          <w:tab w:leader="none" w:pos="1138"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in good faith in accordance with a direction received by it pursuant to Section 6.02, 6.04 or 6.05 hereof.</w:t>
      </w:r>
    </w:p>
    <w:p>
      <w:pPr>
        <w:spacing w:after="0" w:line="161" w:lineRule="exact"/>
        <w:rPr>
          <w:rFonts w:ascii="Times New Roman" w:cs="Times New Roman" w:eastAsia="Times New Roman" w:hAnsi="Times New Roman"/>
          <w:sz w:val="18"/>
          <w:szCs w:val="18"/>
          <w:color w:val="auto"/>
        </w:rPr>
      </w:pPr>
    </w:p>
    <w:p>
      <w:pPr>
        <w:ind w:left="-40" w:right="160" w:firstLine="436"/>
        <w:spacing w:after="0" w:line="282"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that in any way relates to the Trustee is subject to paragraphs (a), (b) and (c) of this Section 7.01 and Section 7.02(f).</w:t>
      </w:r>
    </w:p>
    <w:p>
      <w:pPr>
        <w:spacing w:after="0" w:line="161" w:lineRule="exact"/>
        <w:rPr>
          <w:rFonts w:ascii="Times New Roman" w:cs="Times New Roman" w:eastAsia="Times New Roman" w:hAnsi="Times New Roman"/>
          <w:sz w:val="18"/>
          <w:szCs w:val="18"/>
          <w:color w:val="auto"/>
        </w:rPr>
      </w:pPr>
    </w:p>
    <w:p>
      <w:pPr>
        <w:ind w:left="-40" w:right="120" w:firstLine="436"/>
        <w:spacing w:after="0" w:line="261" w:lineRule="auto"/>
        <w:tabs>
          <w:tab w:leader="none" w:pos="64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Notes Collateral Agent shall be under any obligation to exercise any of its rights or powers under this Indenture at the request or direction of any of the Holders unless the Holders of the Notes of the applicable series have offered and if requested, provided to the Trustee and the Notes Collateral Agent, as applicable, indemnity or security satisfactory to the Trustee and the Notes Collateral Agent, as applicable, against any loss, liability or expense.</w:t>
      </w:r>
    </w:p>
    <w:p>
      <w:pPr>
        <w:spacing w:after="0" w:line="179" w:lineRule="exact"/>
        <w:rPr>
          <w:rFonts w:ascii="Times New Roman" w:cs="Times New Roman" w:eastAsia="Times New Roman" w:hAnsi="Times New Roman"/>
          <w:sz w:val="18"/>
          <w:szCs w:val="18"/>
          <w:color w:val="auto"/>
        </w:rPr>
      </w:pPr>
    </w:p>
    <w:p>
      <w:pPr>
        <w:ind w:left="-40" w:firstLine="436"/>
        <w:spacing w:after="0" w:line="282" w:lineRule="auto"/>
        <w:tabs>
          <w:tab w:leader="none" w:pos="62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Issuers. Money held in trust by the Trustee need not be segregated from other funds except to the extent required by law.</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Section 7.02. </w:t>
      </w:r>
      <w:r>
        <w:rPr>
          <w:rFonts w:ascii="Times New Roman" w:cs="Times New Roman" w:eastAsia="Times New Roman" w:hAnsi="Times New Roman"/>
          <w:sz w:val="18"/>
          <w:szCs w:val="18"/>
          <w:i w:val="1"/>
          <w:iCs w:val="1"/>
          <w:color w:val="auto"/>
        </w:rPr>
        <w:t>Rights of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0" w:right="20" w:firstLine="436"/>
        <w:spacing w:after="0" w:line="258" w:lineRule="auto"/>
        <w:tabs>
          <w:tab w:leader="none" w:pos="64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Issuers and Restricted Subsidiaries, personally or by agent or attorney at the sole cost of the Issuers and shall incur no liability or additional liability of any kind by reason of such inquiry or investigation.</w:t>
      </w:r>
    </w:p>
    <w:p>
      <w:pPr>
        <w:spacing w:after="0" w:line="183" w:lineRule="exact"/>
        <w:rPr>
          <w:rFonts w:ascii="Times New Roman" w:cs="Times New Roman" w:eastAsia="Times New Roman" w:hAnsi="Times New Roman"/>
          <w:sz w:val="18"/>
          <w:szCs w:val="18"/>
          <w:color w:val="auto"/>
        </w:rPr>
      </w:pPr>
    </w:p>
    <w:p>
      <w:pPr>
        <w:ind w:left="-40" w:right="120" w:firstLine="436"/>
        <w:spacing w:after="0" w:line="261"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40"/>
          </w:cols>
          <w:pgMar w:left="480" w:top="270" w:right="479" w:bottom="1440" w:gutter="0" w:footer="0" w:header="0"/>
        </w:sectPr>
      </w:pPr>
    </w:p>
    <w:bookmarkStart w:id="115" w:name="page116"/>
    <w:bookmarkEnd w:id="115"/>
    <w:p>
      <w:pPr>
        <w:ind w:right="320" w:firstLine="436"/>
        <w:spacing w:after="0" w:line="282" w:lineRule="auto"/>
        <w:tabs>
          <w:tab w:leader="none" w:pos="68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act through its attorneys and agents and shall not be responsible for the misconduct or negligence of any agent or attorney appointed with due care.</w:t>
      </w:r>
    </w:p>
    <w:p>
      <w:pPr>
        <w:spacing w:after="0" w:line="161" w:lineRule="exact"/>
        <w:rPr>
          <w:rFonts w:ascii="Times New Roman" w:cs="Times New Roman" w:eastAsia="Times New Roman" w:hAnsi="Times New Roman"/>
          <w:sz w:val="18"/>
          <w:szCs w:val="18"/>
          <w:color w:val="auto"/>
        </w:rPr>
      </w:pPr>
    </w:p>
    <w:p>
      <w:pPr>
        <w:ind w:right="500" w:firstLine="436"/>
        <w:spacing w:after="0" w:line="282" w:lineRule="auto"/>
        <w:tabs>
          <w:tab w:leader="none" w:pos="6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that it believes to be authorized or within the rights or powers conferred upon it by this Indenture.</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8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Issuer and/or the Co-Issuer, as the case may be, shall be sufficient if signed by an Officer of the Issuer and/or the Co-Issuer, as the case may be.</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6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an indemnity satisfactory to it against such risk or liability is not assured to it.</w:t>
      </w:r>
    </w:p>
    <w:p>
      <w:pPr>
        <w:spacing w:after="0" w:line="175"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or Event of Default is received by the Trustee at the Corporate Trust Office, and such notice references the Notes and this Indenture.</w:t>
      </w:r>
    </w:p>
    <w:p>
      <w:pPr>
        <w:spacing w:after="0" w:line="175"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175" w:lineRule="exact"/>
        <w:rPr>
          <w:rFonts w:ascii="Times New Roman" w:cs="Times New Roman" w:eastAsia="Times New Roman" w:hAnsi="Times New Roman"/>
          <w:sz w:val="18"/>
          <w:szCs w:val="18"/>
          <w:color w:val="auto"/>
        </w:rPr>
      </w:pPr>
    </w:p>
    <w:p>
      <w:pPr>
        <w:ind w:right="240" w:firstLine="436"/>
        <w:spacing w:after="0" w:line="266"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and the Notes Collateral Agent.</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reports, information and documents (including, without limitation, reports contemplated under Section 4.03 hereof) to the Trustee is for informational purposes only and the Trustee’s receipt of such shall not constitute actual or constructive notice of any information contained therein or determinable from information contained therein, including the Issuer’s and/or the Co-Issuer’s compliance with any of their covenants hereunder (as to which the Trustee is entitled to rely exclusively on Officer’s Certificates).</w:t>
      </w:r>
    </w:p>
    <w:p>
      <w:pPr>
        <w:spacing w:after="0" w:line="17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to take certain actions under this Indenture shall not be construed as a duty unless so specified herein.</w:t>
      </w:r>
    </w:p>
    <w:p>
      <w:pPr>
        <w:spacing w:after="0" w:line="225" w:lineRule="exact"/>
        <w:rPr>
          <w:rFonts w:ascii="Times New Roman" w:cs="Times New Roman" w:eastAsia="Times New Roman" w:hAnsi="Times New Roman"/>
          <w:sz w:val="18"/>
          <w:szCs w:val="18"/>
          <w:color w:val="auto"/>
        </w:rPr>
      </w:pPr>
    </w:p>
    <w:p>
      <w:pPr>
        <w:ind w:right="100" w:firstLine="436"/>
        <w:spacing w:after="0" w:line="256" w:lineRule="auto"/>
        <w:tabs>
          <w:tab w:leader="none" w:pos="74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debenture, note or other paper or document unless requested in writing to do so by the Holders of not less than a majority in principal amount of the Notes at the time outstanding,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and/or the Co-Issuer, as the case may be, personally or by agent or attorney, at the expense of the Issuer and shall incur no liability of any kind by reason of such inquiry or investigation.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20"/>
          </w:cols>
          <w:pgMar w:left="440" w:top="270" w:right="439" w:bottom="1440" w:gutter="0" w:footer="0" w:header="0"/>
        </w:sectPr>
      </w:pPr>
    </w:p>
    <w:bookmarkStart w:id="116" w:name="page117"/>
    <w:bookmarkEnd w:id="116"/>
    <w:p>
      <w:pPr>
        <w:ind w:right="40" w:firstLine="436"/>
        <w:spacing w:after="0" w:line="261" w:lineRule="auto"/>
        <w:tabs>
          <w:tab w:leader="none" w:pos="69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request that the Issuer and/or the Co-Issuer, as the case may be,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9"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or liable for any failure or delay in the performance of its obligations under this Indenture arising out of or caused, directly or indirectly, by circumstances beyond its reasonable control, including, without limitation, acts of God; earthquakes; fire; flood; terrorism; wars and other military disturbances; sabotage; epidemics; riots; loss or malfunction of utilities, computer (hardware or software) or communication services; strikes or similar labor disputes; and acts of civil or military authorities and governmental action or the unavailability of the Federal Reserve Bank wire or facsimile or other wire communication facility.</w:t>
      </w:r>
    </w:p>
    <w:p>
      <w:pPr>
        <w:spacing w:after="0" w:line="183"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duty to inquire as to the performance of the Issuer and/or the Co-Issuer, as the case may be, with respect to the covenants contained in Article 4 or to make any calculation in connection therewith or in connection with any redemption of the Notes. In addition, except as otherwise expressly provided herein, the Trustee shall have no obligation to monitor or verify compliance by any Issuer or any Guarantor with any other obligation or covenant under this Indenture.</w:t>
      </w:r>
    </w:p>
    <w:p>
      <w:pPr>
        <w:spacing w:after="0" w:line="179"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have any responsibility for the validity, perfection, priority, filing, continuation or enforceability of any Lien or security interest and shall have no obligations to take any action to procure or maintain such validity, perfection, priority, filing, continuation or enforceability (it being understood that such responsibility and obligation are the Issuers’).</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1"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7.03. </w:t>
      </w:r>
      <w:r>
        <w:rPr>
          <w:rFonts w:ascii="Times New Roman" w:cs="Times New Roman" w:eastAsia="Times New Roman" w:hAnsi="Times New Roman"/>
          <w:sz w:val="18"/>
          <w:szCs w:val="18"/>
          <w:i w:val="1"/>
          <w:iCs w:val="1"/>
          <w:color w:val="auto"/>
        </w:rPr>
        <w:t>Individual Rights of Trustee</w:t>
      </w:r>
      <w:r>
        <w:rPr>
          <w:rFonts w:ascii="Times New Roman" w:cs="Times New Roman" w:eastAsia="Times New Roman" w:hAnsi="Times New Roman"/>
          <w:sz w:val="18"/>
          <w:szCs w:val="18"/>
          <w:color w:val="auto"/>
        </w:rPr>
        <w:t>. The Trustee in its individual or any other capacity may become the owner or pledgee of Notes and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deal with the Issuer and/or the Co-Issuer, as the case may be, or any of their Affiliates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 7.09 hereof.</w:t>
      </w:r>
    </w:p>
    <w:p>
      <w:pPr>
        <w:spacing w:after="0" w:line="176"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7.04. </w:t>
      </w: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The Trustee shall not be responsible for and makes no representation as to the validity or adequacy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or the Notes, it shall not be accountable for the Issuers’ use of the proceeds from the Notes or any money paid to the Issuer and/or the Co-Issuer, as the case may be,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Trustee does not assume any responsibility for any failure or delay in performance or any breach by the Issuers or any other Grantor under this Indenture, the Pari Passu Intercreditor Agreement, the ABL/Fixed Asset Intercreditor Agreement, if any, the Junior Lien Intercreditor Agreement, if any, and the Security Documents. The Trustee shall not be responsible to the Holders or any other Person for any recitals, statements, information, representations or warranties contained in this Indenture, the Security Documents, the Pari Passu Intercreditor Agreement, the ABL/Fixed Asset Intercreditor Agreement, if any, the Junior Lien Intercreditor Agreement, if any, or in any certificate, report, statement, or other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20"/>
          </w:cols>
          <w:pgMar w:left="440" w:top="270" w:right="439" w:bottom="1440" w:gutter="0" w:footer="0" w:header="0"/>
        </w:sectPr>
      </w:pPr>
    </w:p>
    <w:bookmarkStart w:id="117" w:name="page118"/>
    <w:bookmarkEnd w:id="11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 referred to or provided for in, or received by the Trustee under or in connection with, this Indenture, the Pari Passu Intercreditor Agreement, the ABL/Fixed Asset Intercreditor Agreement, if any, the Junior Lien Intercreditor Agreement, if any, or any Security Document; the execution, validity, genuineness, effectiveness or enforceability of the Pari Passu Intercreditor Agreement, the ABL/Fixed Asset Intercreditor Agreement, if any, the Junior Lien Intercreditor Agreement, if any, and any Security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the Pari Passu Intercreditor Agreement, the ABL/Fixed Asset Intercreditor Agreement, if any, the Junior Lien Intercreditor Agreement, if any, and the Security Documents.</w:t>
      </w:r>
    </w:p>
    <w:p>
      <w:pPr>
        <w:spacing w:after="0" w:line="184"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7.05. </w:t>
      </w:r>
      <w:r>
        <w:rPr>
          <w:rFonts w:ascii="Times New Roman" w:cs="Times New Roman" w:eastAsia="Times New Roman" w:hAnsi="Times New Roman"/>
          <w:sz w:val="18"/>
          <w:szCs w:val="18"/>
          <w:i w:val="1"/>
          <w:iCs w:val="1"/>
          <w:color w:val="auto"/>
        </w:rPr>
        <w:t>Notice of Defaults</w:t>
      </w:r>
      <w:r>
        <w:rPr>
          <w:rFonts w:ascii="Times New Roman" w:cs="Times New Roman" w:eastAsia="Times New Roman" w:hAnsi="Times New Roman"/>
          <w:sz w:val="18"/>
          <w:szCs w:val="18"/>
          <w:color w:val="auto"/>
        </w:rPr>
        <w:t>. If a Default occurs and is continuing and if it is known to a Responsible Officer of the Trustee, the Trustee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to Holders a notice of the Default within 90 days after it occurs, unless such Default shall have been cured or waived, or if discovered after 90 days, promptly thereafter. The Trustee may withhold from the Holders notice of any continuing Default, except a Default relating to the payment of principal, premium, if any, or interest, if it determines that withholding notice is in their interest.</w:t>
      </w:r>
    </w:p>
    <w:p>
      <w:pPr>
        <w:spacing w:after="0" w:line="176" w:lineRule="exact"/>
        <w:rPr>
          <w:sz w:val="20"/>
          <w:szCs w:val="20"/>
          <w:color w:val="auto"/>
        </w:rPr>
      </w:pPr>
    </w:p>
    <w:p>
      <w:pPr>
        <w:ind w:right="3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7.06. </w:t>
      </w:r>
      <w:r>
        <w:rPr>
          <w:rFonts w:ascii="Times New Roman" w:cs="Times New Roman" w:eastAsia="Times New Roman" w:hAnsi="Times New Roman"/>
          <w:sz w:val="18"/>
          <w:szCs w:val="18"/>
          <w:i w:val="1"/>
          <w:iCs w:val="1"/>
          <w:color w:val="auto"/>
        </w:rPr>
        <w:t>Compensation and Indemnity</w:t>
      </w:r>
      <w:r>
        <w:rPr>
          <w:rFonts w:ascii="Times New Roman" w:cs="Times New Roman" w:eastAsia="Times New Roman" w:hAnsi="Times New Roman"/>
          <w:sz w:val="18"/>
          <w:szCs w:val="18"/>
          <w:color w:val="auto"/>
        </w:rPr>
        <w:t>. The Issuer shall pay to the Trustee and the Notes Collateral Agent from time to time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for its acceptance of this Indenture and services hereunder as the parties shall agree in writing from time to time. The Trustee’s compensation shall not be limited by any law on compensation of a trustee of an express trust. The Issuer shall reimburse the Trustee and the Notes Collateral Agent promptly upon request for all out-of-pocket disbursements, advances and expenses incurred or made by it in addition to the compensation for its services. Such expenses shall include the reasonable compensation, disbursements and expenses of the Trustee’s and Notes Collateral Agent’s agents and counsel.</w:t>
      </w:r>
    </w:p>
    <w:p>
      <w:pPr>
        <w:spacing w:after="0" w:line="18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Issuer and the Guarantors, jointly and severally, shall indemnify the Trustee, the Notes Collateral Agent and their officers, directors, employees, agents and any predecessor trustee and its officers, directors, employees and agents for, and hold each of the Trustee and Notes Collateral Agent harmless against, any and all loss, damage, claims, liability or expense (including reasonable attorneys’ fees and expenses) incurred by it in connection with the acceptance or administration of this trust and the performance of its duties hereunder (including the reasonable costs and expenses of enforcing this Indenture, the Notes, the Guarantees and the Security Documents against the Issuer or any of the Guarantors (including this Section 7.06) or defending itself against any claim whether asserted by any Holder, any Issuer, any Guarantor or any other Person, or liability in connection with the acceptance, exercise or performance of any of its powers or duties hereunder or thereunder) (but excluding taxes imposed on such Persons in connection with compensation for such administration or performance). The Trustee and Notes Collateral Agent, as applicable, shall notify the Issuer promptly of any claim of which a Responsible Officer has received written notice for which it may seek indemnity. Failure by the Trustee or Notes Collateral Agent, as applicable, to so notify the Issuer shall not relieve the Issuers or the Guarantors of their obligations hereunder. The Issuer shall defend the claim and the Trustee and Notes Collateral Agent may have separate counsel and the Issuer shall pay the reasonable fees and expenses of such counsel. Neither the Issuer nor any Guarantor need reimburse any expense or indemnify against any loss, liability or expense incurred by the Trustee through the Trustee’s or Notes Collateral Agent’s, as the case may be, own willful misconduct or gross negligence as determined by a final order of a court of competent jurisdiction. Neither the Issuer nor any Guarantor need pay for any settlement made without its consent.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80"/>
          </w:cols>
          <w:pgMar w:left="440" w:top="270" w:right="479" w:bottom="1440" w:gutter="0" w:footer="0" w:header="0"/>
        </w:sectPr>
      </w:pPr>
    </w:p>
    <w:bookmarkStart w:id="118" w:name="page119"/>
    <w:bookmarkEnd w:id="118"/>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obligations of the Issuer and the Guarantors under this Section 7.06 shall survive the satisfaction and discharge of this Indenture or the earlier resignation or removal of the Trustee or Notes Collateral Agent, as applicable.</w:t>
      </w:r>
    </w:p>
    <w:p>
      <w:pPr>
        <w:spacing w:after="0" w:line="16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To secure the payment obligations of the Issuer and the Guarantors in this Section 7.06, the Trustee shall have a Lien prior to the Notes on all money or property held or collected by the Trustee, except money or property held in trust to pay principal and interest on particular Notes. Such Lien shall survive the satisfaction and discharge of this Indenture.</w:t>
      </w:r>
    </w:p>
    <w:p>
      <w:pPr>
        <w:spacing w:after="0" w:line="176"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When the Trustee or Notes Collateral Agent is requested to act upon instructions of one or more Holders, the Trustee and Notes Collateral Agent shall not be required to act in the absence of indemnity against the costs, expenses and liabilities that may be incurred in compliance with such a request.</w:t>
      </w:r>
    </w:p>
    <w:p>
      <w:pPr>
        <w:spacing w:after="0" w:line="140"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6.01(a)(vi) or Section 6.01(a)(vii) hereof occurs, the expenses and the compensation for the services (including the reasonable fees and expenses of its agents and counsel) are intended to constitute expenses of administration under any Bankruptcy Law.</w:t>
      </w:r>
    </w:p>
    <w:p>
      <w:pPr>
        <w:spacing w:after="0" w:line="172"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7.07. </w:t>
      </w:r>
      <w:r>
        <w:rPr>
          <w:rFonts w:ascii="Times New Roman" w:cs="Times New Roman" w:eastAsia="Times New Roman" w:hAnsi="Times New Roman"/>
          <w:sz w:val="18"/>
          <w:szCs w:val="18"/>
          <w:i w:val="1"/>
          <w:iCs w:val="1"/>
          <w:color w:val="auto"/>
        </w:rPr>
        <w:t>Replacement of Trustee</w:t>
      </w:r>
      <w:r>
        <w:rPr>
          <w:rFonts w:ascii="Times New Roman" w:cs="Times New Roman" w:eastAsia="Times New Roman" w:hAnsi="Times New Roman"/>
          <w:sz w:val="18"/>
          <w:szCs w:val="18"/>
          <w:color w:val="auto"/>
        </w:rPr>
        <w:t>. A resignation or removal of the Trustee and appointment of a successor Trustee shall become effective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successor Trustee’s acceptance of appointment as provided in this Section 7.07. The Trustee may resign in writing at any time and be discharged from the trust hereby created by so notifying the Issuer. The Required Holders may remove the Trustee by so notifying the Trustee and the Issuer in writing. The Issuer may remove the Trustee if:</w:t>
      </w:r>
    </w:p>
    <w:p>
      <w:pPr>
        <w:spacing w:after="0" w:line="72" w:lineRule="exact"/>
        <w:rPr>
          <w:sz w:val="20"/>
          <w:szCs w:val="20"/>
          <w:color w:val="auto"/>
        </w:rPr>
      </w:pPr>
    </w:p>
    <w:p>
      <w:pPr>
        <w:ind w:left="1100" w:hanging="241"/>
        <w:spacing w:after="0"/>
        <w:tabs>
          <w:tab w:leader="none" w:pos="11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7.09 hereof;</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bankrupt or insolvent or an order for relief is entered with respect to the Trustee under any Bankruptcy Law;</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Issuer shall promptly appoint a successor Trustee. Within one year after the successor Trustee takes office, the Required Holders may appoint a successor Trustee to replace the successor Trustee appointed by the Issuer.</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a successor Trustee does not take office within 30 days after the retiring Trustee resigns or is removed, the retiring Trustee (at the Issuer’s expense), the Issuer or the Holders of at least 10% in principal amount of the then outstanding Notes may petition any court of competent jurisdiction for the appointment of a successor Trustee.</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If the Trustee, after written request by any Holder who has been a Holder for at least six months, fails to comply with Section 7.09 hereof, such Holder may petition any court of competent jurisdiction for the removal of the Trustee and the appointment of a successor Trustee.</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deliver a notice of its succession to Holders. The retiring Trustee shall promptly transfer all property held by it as Trustee to the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all sums owing to the Trustee hereunder have been paid and subject to the Lien provided for in Section 7.06 hereof. Notwithstanding replacement of the Trustee pursuant to this Section 7.07, the Issuer’s obligations under Section 7.06 hereof shall continue for the benefit of the retiring Trustee.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19" w:name="page120"/>
    <w:bookmarkEnd w:id="119"/>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7.08. </w:t>
      </w:r>
      <w:r>
        <w:rPr>
          <w:rFonts w:ascii="Times New Roman" w:cs="Times New Roman" w:eastAsia="Times New Roman" w:hAnsi="Times New Roman"/>
          <w:sz w:val="18"/>
          <w:szCs w:val="18"/>
          <w:i w:val="1"/>
          <w:iCs w:val="1"/>
          <w:color w:val="auto"/>
        </w:rPr>
        <w:t>Successor Trustee by Merger, etc</w:t>
      </w:r>
      <w:r>
        <w:rPr>
          <w:rFonts w:ascii="Times New Roman" w:cs="Times New Roman" w:eastAsia="Times New Roman" w:hAnsi="Times New Roman"/>
          <w:sz w:val="18"/>
          <w:szCs w:val="18"/>
          <w:color w:val="auto"/>
        </w:rPr>
        <w:t>. If the Trustee or Agent consolidates, merges or converts into, or transfers all or substantially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corporate trust business to, another corporation, the successor corporation without any further act shall be the successor Trustee or Agent. Any corporation into which the Trustee or any Agent for the time being may be merged or converted shall, on the date when such merger, conversion, consolidation, sale or transfer becomes effective and to the extent permitted by applicable law, be a successor Trustee or Agent under this Indenture without the execution or filing of any paper or any further act on the part of any of the parties to this Indenture. After the effective date all references in this Indenture to that Trustee or Agent shall be deemed to be references to that corporation.</w:t>
      </w:r>
    </w:p>
    <w:p>
      <w:pPr>
        <w:spacing w:after="0" w:line="182"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7.09. </w:t>
      </w:r>
      <w:r>
        <w:rPr>
          <w:rFonts w:ascii="Times New Roman" w:cs="Times New Roman" w:eastAsia="Times New Roman" w:hAnsi="Times New Roman"/>
          <w:sz w:val="18"/>
          <w:szCs w:val="18"/>
          <w:i w:val="1"/>
          <w:iCs w:val="1"/>
          <w:color w:val="auto"/>
        </w:rPr>
        <w:t>Eligibility; Disqualification</w:t>
      </w:r>
      <w:r>
        <w:rPr>
          <w:rFonts w:ascii="Times New Roman" w:cs="Times New Roman" w:eastAsia="Times New Roman" w:hAnsi="Times New Roman"/>
          <w:sz w:val="18"/>
          <w:szCs w:val="18"/>
          <w:color w:val="auto"/>
        </w:rPr>
        <w:t>. There shall at all times be a Trustee hereunder that is a corporation organized and doing business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the United States of America or of any state thereof that is authorized under such laws to exercise corporate trustee power, that is subject to supervision or examination by federal or state authorities and that has, together with its parent, a combined capital and surplus of at least $150,000,000 as set forth in its most recent published annual report of condition.</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7.10. </w:t>
      </w:r>
      <w:r>
        <w:rPr>
          <w:rFonts w:ascii="Times New Roman" w:cs="Times New Roman" w:eastAsia="Times New Roman" w:hAnsi="Times New Roman"/>
          <w:sz w:val="18"/>
          <w:szCs w:val="18"/>
          <w:i w:val="1"/>
          <w:iCs w:val="1"/>
          <w:color w:val="auto"/>
        </w:rPr>
        <w:t>Security Documents; Intercreditor Agreements</w:t>
      </w:r>
      <w:r>
        <w:rPr>
          <w:rFonts w:ascii="Times New Roman" w:cs="Times New Roman" w:eastAsia="Times New Roman" w:hAnsi="Times New Roman"/>
          <w:sz w:val="18"/>
          <w:szCs w:val="18"/>
          <w:color w:val="auto"/>
        </w:rPr>
        <w:t>. By their acceptance of the Notes, the Holders hereby authorize and direct the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Notes Collateral Agent, as the case may be, to execute and deliver the Pari Passu Intercreditor Agreement, the ABL/Fixed Asset Intercreditor Agreement, if any, the Junior Lien Intercreditor Agreement, if any, and any other Security Documents in which the Trustee or the Notes Collateral Agent, as applicable, is named as a party, including any Security Documents executed on or after the Issue Date. It is hereby expressly acknowledged and agreed that, in doing so, the Trustee and the Notes Collateral Agent are not responsible for the terms or contents of such agreements, or for the validity or enforceability thereof, or the sufficiency thereof for any purpose. Whether or not so expressly stated therein, in entering into, or taking (or forbearing from) any action under, the Pari Passu Intercreditor Agreement, the ABL/Fixed Asset Intercreditor Agreement, if any, the Junior Lien Intercreditor Agreement, if any, or any other Security Documents, the Trustee and the Notes Collateral Agent each shall have all of the rights, privileges, benefits, immunities, indemnities and other protections granted to it under this Indenture (in addition to those that may be granted to it under the terms of such other agreement or agreements).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7.11. </w:t>
      </w:r>
      <w:r>
        <w:rPr>
          <w:rFonts w:ascii="Times New Roman" w:cs="Times New Roman" w:eastAsia="Times New Roman" w:hAnsi="Times New Roman"/>
          <w:sz w:val="18"/>
          <w:szCs w:val="18"/>
          <w:i w:val="1"/>
          <w:iCs w:val="1"/>
          <w:color w:val="auto"/>
        </w:rPr>
        <w:t>Limitation on Duty of Trustee in Respect of Collateral; Indemnification.</w:t>
      </w:r>
    </w:p>
    <w:p>
      <w:pPr>
        <w:spacing w:after="0" w:line="229" w:lineRule="exact"/>
        <w:rPr>
          <w:sz w:val="20"/>
          <w:szCs w:val="20"/>
          <w:color w:val="auto"/>
        </w:rPr>
      </w:pPr>
    </w:p>
    <w:p>
      <w:pPr>
        <w:ind w:right="20" w:firstLine="436"/>
        <w:spacing w:after="0" w:line="254" w:lineRule="auto"/>
        <w:tabs>
          <w:tab w:leader="none" w:pos="68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Beyond the exercise of reasonable care in the custody thereof, the Trustee and Notes Collateral Agent shall have no duty as to any Collateral in its possession or control or in the possession or control of any agent or bailee or any income thereon or as to preservation of rights against prior parties or any other rights pertaining thereto and neither the Trustee nor the Notes Collateral Agent shall be responsible for filing any financing or continuation statements or recording any documents or instruments in any public office at any time or times or otherwise perfecting or maintaining the perfection of any security interest in the Collateral. The Notes Collateral Agent shall be deemed to have exercised reasonable care in the custody of the Collateral in its possession if the Collateral is accorded treatment substantially equal to that which it accords its own property and shall not be liable or responsible for any loss or diminution in the value of any of the Collateral, by reason of the act or omission of any carrier, forwarding agency or other agent or bailee selected by the Trustee or Notes Collateral Agent in good faith.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0"/>
          </w:cols>
          <w:pgMar w:left="440" w:top="266" w:right="459" w:bottom="1440" w:gutter="0" w:footer="0" w:header="0"/>
        </w:sectPr>
      </w:pPr>
    </w:p>
    <w:bookmarkStart w:id="120" w:name="page121"/>
    <w:bookmarkEnd w:id="120"/>
    <w:p>
      <w:pPr>
        <w:ind w:firstLine="436"/>
        <w:spacing w:after="0" w:line="254" w:lineRule="auto"/>
        <w:tabs>
          <w:tab w:leader="none" w:pos="69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and Notes Collateral Agent shall not be responsible for the existence, genuineness or value of any of the Collateral or for the validity, perfection, priority or enforceability of the Liens in any of the Collateral, whether impaired by operation of law or by reason of any action or omission to act on its part hereunder, for the validity or sufficiency of the Collateral or any agreement or assignment contained therein, for the validity of the title of the Issuer to the Collateral, for insuring the Collateral or for the payment of taxes, charges, assessments or Liens upon the Collateral or otherwise as to the maintenance of the Collateral (except with respect to certificates actually delivered to the Notes Collateral Agent representing securities pledged under the Security Documents). The Trustee and Notes Collateral Agent shall have no duty to ascertain or inquire as to the performance or observance of any of the terms of this Indenture, the Pari Passu Intercreditor Agreement, the ABL/Fixed Asset Intercreditor Agreement, if any, the Junior Lien Intercreditor Agreement, if any, or the Security Documents by any Issuer, any Guarantor, the Bank Collateral Agent or the Junior Lien Representative.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203"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8.01. </w:t>
      </w:r>
      <w:r>
        <w:rPr>
          <w:rFonts w:ascii="Times New Roman" w:cs="Times New Roman" w:eastAsia="Times New Roman" w:hAnsi="Times New Roman"/>
          <w:sz w:val="18"/>
          <w:szCs w:val="18"/>
          <w:i w:val="1"/>
          <w:iCs w:val="1"/>
          <w:color w:val="auto"/>
        </w:rPr>
        <w:t>Option to Effect Legal Defeasance or Covenant Defeasance</w:t>
      </w:r>
      <w:r>
        <w:rPr>
          <w:rFonts w:ascii="Times New Roman" w:cs="Times New Roman" w:eastAsia="Times New Roman" w:hAnsi="Times New Roman"/>
          <w:sz w:val="18"/>
          <w:szCs w:val="18"/>
          <w:color w:val="auto"/>
        </w:rPr>
        <w:t>. The Issuers may at their option and at any time, elect to have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8.02 or 8.03 hereof applied to all outstanding Notes of a series and all obligations of the Guarantors with respect to the Guarantees of such series upon compliance with the conditions set forth below in this Article 8. To the extent the Issuers exercise their option to effect Legal Defeasance or Covenant Defeasance, such election may be made with respect to the 2031 Notes only, the 2033 Notes only, or any combination thereof.</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8.02. </w:t>
      </w:r>
      <w:r>
        <w:rPr>
          <w:rFonts w:ascii="Times New Roman" w:cs="Times New Roman" w:eastAsia="Times New Roman" w:hAnsi="Times New Roman"/>
          <w:sz w:val="18"/>
          <w:szCs w:val="18"/>
          <w:i w:val="1"/>
          <w:iCs w:val="1"/>
          <w:color w:val="auto"/>
        </w:rPr>
        <w:t>Legal Defeasance and Discharge</w:t>
      </w:r>
      <w:r>
        <w:rPr>
          <w:rFonts w:ascii="Times New Roman" w:cs="Times New Roman" w:eastAsia="Times New Roman" w:hAnsi="Times New Roman"/>
          <w:sz w:val="18"/>
          <w:szCs w:val="18"/>
          <w:color w:val="auto"/>
        </w:rPr>
        <w:t>. Upon the Issuers’ exercise under Section 8.01 hereof of the option applicable to this Section 8.02,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Issuers and the Guarantors shall, subject to the satisfaction of the conditions set forth in Section 8.04 hereof, be deemed to have been discharged from their obligations under this Indenture with respect to all outstanding Notes of the applicable series, the related Guarantees and the Security Documents with respect to such series and all Defaults and Events of Default with respect to such series cured on the date the conditions set forth below are satisfied (“</w:t>
      </w:r>
      <w:r>
        <w:rPr>
          <w:rFonts w:ascii="Times New Roman" w:cs="Times New Roman" w:eastAsia="Times New Roman" w:hAnsi="Times New Roman"/>
          <w:sz w:val="18"/>
          <w:szCs w:val="18"/>
          <w:b w:val="1"/>
          <w:bCs w:val="1"/>
          <w:color w:val="auto"/>
        </w:rPr>
        <w:t>Legal Defeasance</w:t>
      </w:r>
      <w:r>
        <w:rPr>
          <w:rFonts w:ascii="Times New Roman" w:cs="Times New Roman" w:eastAsia="Times New Roman" w:hAnsi="Times New Roman"/>
          <w:sz w:val="18"/>
          <w:szCs w:val="18"/>
          <w:color w:val="auto"/>
        </w:rPr>
        <w:t>”). For this purpose, Legal Defeasance means that the Issuers and the Guarantors shall be deemed to have paid and discharged the entire Indebtedness represented by the outstanding Notes of such series, which shall thereafter be deemed to be “outstanding” only for the purposes of Section 8.05 hereof and the other Sections of this Indenture referred to in (a) and (b) below (it being understood that such Notes of such series shall not be deemed outstanding for accounting purposes), and to have satisfied all their other obligations under such Notes of such series, the Security Documents with respect to such series and this Indenture including that of the Guarantors (and the Trustee, on demand of and at the expense of the Issuers, shall execute instruments reasonably requested by the Issuers acknowledging the same) and to have cured all then existing Defaults and Events of Default with respect to such series, except for the following provisions which shall survive until otherwise terminated or discharged hereunder:</w:t>
      </w:r>
    </w:p>
    <w:p>
      <w:pPr>
        <w:spacing w:after="0" w:line="86" w:lineRule="exact"/>
        <w:rPr>
          <w:sz w:val="20"/>
          <w:szCs w:val="20"/>
          <w:color w:val="auto"/>
        </w:rPr>
      </w:pPr>
    </w:p>
    <w:p>
      <w:pPr>
        <w:ind w:left="440" w:right="260" w:firstLine="419"/>
        <w:spacing w:after="0" w:line="312" w:lineRule="auto"/>
        <w:tabs>
          <w:tab w:leader="none" w:pos="1108"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Holders of the Notes of such series to receive payments in respect of the principal of, premium, if any, and interest on the Notes of such series when such payments are due solely out of the trust created pursuant to this Indenture referred to in Section 8.04 hereof;</w:t>
      </w:r>
    </w:p>
    <w:p>
      <w:pPr>
        <w:spacing w:after="0" w:line="31" w:lineRule="exact"/>
        <w:rPr>
          <w:rFonts w:ascii="Times New Roman" w:cs="Times New Roman" w:eastAsia="Times New Roman" w:hAnsi="Times New Roman"/>
          <w:sz w:val="17"/>
          <w:szCs w:val="17"/>
          <w:color w:val="auto"/>
        </w:rPr>
      </w:pPr>
    </w:p>
    <w:p>
      <w:pPr>
        <w:ind w:left="440" w:right="140" w:firstLine="419"/>
        <w:spacing w:after="0" w:line="282" w:lineRule="auto"/>
        <w:tabs>
          <w:tab w:leader="none" w:pos="111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Notes concerning issuing temporary Notes, registration of such Notes, mutilated, destroyed, lost or stolen Notes and the maintenance of an office or agency for payment and money for security payments held in trust;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21" w:name="page122"/>
    <w:bookmarkEnd w:id="121"/>
    <w:p>
      <w:pPr>
        <w:ind w:left="1100" w:hanging="241"/>
        <w:spacing w:after="0"/>
        <w:tabs>
          <w:tab w:leader="none" w:pos="11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powers, trusts, duties and immunities of the Trustee, and the Issuers’ obligations in connection therewith;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8.02.</w:t>
      </w:r>
    </w:p>
    <w:p>
      <w:pPr>
        <w:spacing w:after="0" w:line="225"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8, the Issuers may exercise its option under this Section 8.02 with respect to the Notes of a series notwithstanding the prior exercise of its option under Section 8.03 hereof with respect to the Notes of such series.</w:t>
      </w:r>
    </w:p>
    <w:p>
      <w:pPr>
        <w:spacing w:after="0" w:line="15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8.03.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Upon the Issuers’ exercise under Section 8.01 hereof of the option applicable to this Section 8.03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Notes of a series, the Issuers and the Guarantors shall subject to the satisfaction of the conditions set forth in Section 8.04 hereof, be released from their obligations under Sections 4.03, 4.04, 4.05, 4.12, 4.13, 4.14, 4.15, 4.16, 4.18 and 4.19 hereof, and clause (ii) of Section 5.01(a)hereof with respect to all outstanding Notes of such series and the related Guarantees, on and after the date the conditions set forth in Section 8.04 hereof are satisfied (“</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 and such Notes of such series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of such series shall not be deemed outstanding for accounting purposes). For this purpose, Covenant Defeasance means that, with respect to all outstanding Notes of such series and the related Guarantees, the Issuers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with respect to such series, but, except as specified above, the remainder of this Indenture and the Notes of such series and the Guarantees with respect to such series shall be unaffected thereby. In addition, upon the Issuers’ exercise under Section 8.01 hereof of the option applicable to this Section 8.03 hereof with respect to the Notes of a series, subject to the satisfaction of the conditions set forth in Section 8.04 hereof, Section 6.01(a)(iii) (solely with respect to the covenants that are released upon a Covenant Defeasance), 6.01(a)(iv), 6.01(a)(v), 6.01(a)(vi) (solely with respect to Restricted Subsidiaries subject thereto), 6.01(a)(vii) (solely with respect to Restricted Subsidiaries subject thereto), 6.01(a)(viii), 6.01(a)(ix) and 6.01(a)(x) hereof shall not constitute Default or Events of Default with respect to the Notes of such series.</w:t>
      </w:r>
    </w:p>
    <w:p>
      <w:pPr>
        <w:spacing w:after="0" w:line="193"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8.04. </w:t>
      </w:r>
      <w:r>
        <w:rPr>
          <w:rFonts w:ascii="Times New Roman" w:cs="Times New Roman" w:eastAsia="Times New Roman" w:hAnsi="Times New Roman"/>
          <w:sz w:val="18"/>
          <w:szCs w:val="18"/>
          <w:i w:val="1"/>
          <w:iCs w:val="1"/>
          <w:color w:val="auto"/>
        </w:rPr>
        <w:t>Conditions to Legal or Covenant Defeasance</w:t>
      </w:r>
      <w:r>
        <w:rPr>
          <w:rFonts w:ascii="Times New Roman" w:cs="Times New Roman" w:eastAsia="Times New Roman" w:hAnsi="Times New Roman"/>
          <w:sz w:val="18"/>
          <w:szCs w:val="18"/>
          <w:color w:val="auto"/>
        </w:rPr>
        <w:t>. The following shall be the conditions to the application of either Section 8.02 or 8.03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to the outstanding Notes of a series: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the Notes of a series:</w:t>
      </w:r>
    </w:p>
    <w:p>
      <w:pPr>
        <w:spacing w:after="0" w:line="117" w:lineRule="exact"/>
        <w:rPr>
          <w:sz w:val="20"/>
          <w:szCs w:val="20"/>
          <w:color w:val="auto"/>
        </w:rPr>
      </w:pPr>
    </w:p>
    <w:p>
      <w:pPr>
        <w:ind w:left="440" w:right="60" w:firstLine="419"/>
        <w:spacing w:after="0" w:line="255" w:lineRule="auto"/>
        <w:tabs>
          <w:tab w:leader="none" w:pos="110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irrevocably deposit with the Trustee, in trust, for the benefit of the Holders of Notes of such series, cash in U.S. dollars, U.S. Government Securities, or a combination thereof, in such amount as will be sufficient, in the opinion of an Independent Financial Advisor, without consideration of any reinvestment to pay the principal of, premium, if any, and interest due on such Notes of such series on the stated maturity date or on the Redemption Date, as the case may be, of such principal, premium, if any, or interest on such Notes of such series and the Issuers must specify whether such Notes of such series are being defeased to maturity or to a particular Redemption Date; provided that upon any redemption prior to the Par Call Date, the amount deposited shall be sufficient for purposes of this Indenture to the extent that an amount is deposited with the Trustee equal to the redemption price calculated as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80"/>
          </w:cols>
          <w:pgMar w:left="440" w:top="270" w:right="479" w:bottom="1440" w:gutter="0" w:footer="0" w:header="0"/>
        </w:sectPr>
      </w:pPr>
    </w:p>
    <w:bookmarkStart w:id="122" w:name="page123"/>
    <w:bookmarkEnd w:id="122"/>
    <w:p>
      <w:pPr>
        <w:ind w:left="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of the notice of redemption, with any deficit as of the Redemption Date (any such amount, the “</w:t>
      </w:r>
      <w:r>
        <w:rPr>
          <w:rFonts w:ascii="Times New Roman" w:cs="Times New Roman" w:eastAsia="Times New Roman" w:hAnsi="Times New Roman"/>
          <w:sz w:val="18"/>
          <w:szCs w:val="18"/>
          <w:b w:val="1"/>
          <w:bCs w:val="1"/>
          <w:color w:val="auto"/>
        </w:rPr>
        <w:t>Applicable Premium Deficit</w:t>
      </w:r>
      <w:r>
        <w:rPr>
          <w:rFonts w:ascii="Times New Roman" w:cs="Times New Roman" w:eastAsia="Times New Roman" w:hAnsi="Times New Roman"/>
          <w:sz w:val="18"/>
          <w:szCs w:val="18"/>
          <w:color w:val="auto"/>
        </w:rPr>
        <w:t>”) only required to be deposited with the Trustee on or prior to the Redemption Date. Any Applicable Premium Deficit shall be set forth in an Officer’s Certificate delivered to the Trustee at least one Business Day prior to the date of the deposit of such Applicable Premium Deficit that confirms that such Applicable Premium Deficit shall be applied toward such redemption;</w:t>
      </w:r>
    </w:p>
    <w:p>
      <w:pPr>
        <w:spacing w:after="0" w:line="72" w:lineRule="exact"/>
        <w:rPr>
          <w:sz w:val="20"/>
          <w:szCs w:val="20"/>
          <w:color w:val="auto"/>
        </w:rPr>
      </w:pPr>
    </w:p>
    <w:p>
      <w:pPr>
        <w:ind w:left="440" w:right="620" w:firstLine="419"/>
        <w:spacing w:after="0" w:line="282" w:lineRule="auto"/>
        <w:tabs>
          <w:tab w:leader="none" w:pos="111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Issuers shall have delivered to the Trustee an Opinion of Counsel confirming that, subject to customary assumptions and exclusions:</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have received from, or there has been published by, the United States Internal Revenue Service a ruling, or</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Issue Date, there has been a change in the applicable U.S. federal income tax law,</w:t>
      </w:r>
    </w:p>
    <w:p>
      <w:pPr>
        <w:spacing w:after="0" w:line="117" w:lineRule="exact"/>
        <w:rPr>
          <w:sz w:val="20"/>
          <w:szCs w:val="20"/>
          <w:color w:val="auto"/>
        </w:rPr>
      </w:pPr>
    </w:p>
    <w:p>
      <w:pPr>
        <w:jc w:val="both"/>
        <w:ind w:left="440" w:right="180"/>
        <w:spacing w:after="0" w:line="261" w:lineRule="auto"/>
        <w:rPr>
          <w:sz w:val="20"/>
          <w:szCs w:val="20"/>
          <w:color w:val="auto"/>
        </w:rPr>
      </w:pPr>
      <w:r>
        <w:rPr>
          <w:rFonts w:ascii="Times New Roman" w:cs="Times New Roman" w:eastAsia="Times New Roman" w:hAnsi="Times New Roman"/>
          <w:sz w:val="18"/>
          <w:szCs w:val="18"/>
          <w:color w:val="auto"/>
        </w:rPr>
        <w:t>in either case to the effect that, and based thereon such Opinion of Counsel shall confirm that, subject to customary assumptions and exclusions, the beneficial owners of the Notes of such series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72" w:lineRule="exact"/>
        <w:rPr>
          <w:sz w:val="20"/>
          <w:szCs w:val="20"/>
          <w:color w:val="auto"/>
        </w:rPr>
      </w:pPr>
    </w:p>
    <w:p>
      <w:pPr>
        <w:ind w:left="440" w:right="200" w:firstLine="419"/>
        <w:spacing w:after="0" w:line="261" w:lineRule="auto"/>
        <w:tabs>
          <w:tab w:leader="none" w:pos="110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Issuers shall have delivered to the Trustee an Opinion of Counsel confirming that, subject to customary assumptions and exclusions, the beneficial owners of the Notes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71" w:lineRule="exact"/>
        <w:rPr>
          <w:rFonts w:ascii="Times New Roman" w:cs="Times New Roman" w:eastAsia="Times New Roman" w:hAnsi="Times New Roman"/>
          <w:sz w:val="18"/>
          <w:szCs w:val="18"/>
          <w:color w:val="auto"/>
        </w:rPr>
      </w:pPr>
    </w:p>
    <w:p>
      <w:pPr>
        <w:ind w:left="440" w:right="300" w:firstLine="419"/>
        <w:spacing w:after="0" w:line="258" w:lineRule="auto"/>
        <w:tabs>
          <w:tab w:leader="none" w:pos="111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shall not result in a breach or violation of, or constitute a default under, any material agreement or instrument (other than this Indenture) to which the Issuers or any Guarantor is a party or by which any Issuer or any Guarantor is bound (other than that resulting from any borrowing of funds to be applied to make the deposit required to effect such Legal Defeasance or Covenant Defeasance and any similar and simultaneous deposit relating to other Indebtedness, and, in each case, the granting of Liens in connection therewith);</w:t>
      </w:r>
    </w:p>
    <w:p>
      <w:pPr>
        <w:spacing w:after="0" w:line="75"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0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have delivered to the Trustee an Officer’s Certificate stating that the deposit was not made by the Issuers with the intent of defeating, hindering, delaying or defrauding any creditors of any Issuer or any Guarantor or others; and</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08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172"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8.05. </w:t>
      </w:r>
      <w:r>
        <w:rPr>
          <w:rFonts w:ascii="Times New Roman" w:cs="Times New Roman" w:eastAsia="Times New Roman" w:hAnsi="Times New Roman"/>
          <w:sz w:val="18"/>
          <w:szCs w:val="18"/>
          <w:i w:val="1"/>
          <w:iCs w:val="1"/>
          <w:color w:val="auto"/>
        </w:rPr>
        <w:t>Deposited Money and U.S. Government Securities to be Held in Trust; Other Miscellaneous Provisions</w:t>
      </w:r>
      <w:r>
        <w:rPr>
          <w:rFonts w:ascii="Times New Roman" w:cs="Times New Roman" w:eastAsia="Times New Roman" w:hAnsi="Times New Roman"/>
          <w:sz w:val="18"/>
          <w:szCs w:val="18"/>
          <w:color w:val="auto"/>
        </w:rPr>
        <w:t>. Subject to Section 8.06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all money and U.S. Government Securities (including the proceeds thereof) deposited with the Trustee (or other qualifying trustee, collectively for purposes of this Section 8.05,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pursuant to Section 8.04 hereof in respect of the outstanding</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66" w:right="459" w:bottom="1440" w:gutter="0" w:footer="0" w:header="0"/>
        </w:sectPr>
      </w:pPr>
    </w:p>
    <w:bookmarkStart w:id="123" w:name="page124"/>
    <w:bookmarkEnd w:id="123"/>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of a series shall be held in trust and applied by the Trustee, in accordance with the provisions of such Notes of such series and this Indenture, to the payment, either directly or through any Paying Agent (including an Issuer or a Guarantor acting as Paying Agent) as the Trustee may determine, to the Holders of such Notes of such series of all sums due and to become due thereon in respect of principal, premium and interest, but such money need not be segregated from other funds except to the extent required by law.</w:t>
      </w:r>
    </w:p>
    <w:p>
      <w:pPr>
        <w:spacing w:after="0" w:line="180"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Issuers shall pay and indemnify the Trustee against any tax, fee or other charge imposed on or assessed against the cash or U.S. Government Securities deposited pursuant to Section 8.04 hereof or the principal and interest received in respect thereof other than any such tax, fee or other charge which by law is for the account of the Holders of the outstanding Notes of the applicable series and the related Guarantees.</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Anything in this Article 8 to the contrary notwithstanding, the Trustee shall deliver or pay to the Issuers from time to time upon the request of the Issuers any money or U.S. Government Securities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179"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8.06. </w:t>
      </w:r>
      <w:r>
        <w:rPr>
          <w:rFonts w:ascii="Times New Roman" w:cs="Times New Roman" w:eastAsia="Times New Roman" w:hAnsi="Times New Roman"/>
          <w:sz w:val="18"/>
          <w:szCs w:val="18"/>
          <w:i w:val="1"/>
          <w:iCs w:val="1"/>
          <w:color w:val="auto"/>
        </w:rPr>
        <w:t>Repayment to Issuer</w:t>
      </w:r>
      <w:r>
        <w:rPr>
          <w:rFonts w:ascii="Times New Roman" w:cs="Times New Roman" w:eastAsia="Times New Roman" w:hAnsi="Times New Roman"/>
          <w:sz w:val="18"/>
          <w:szCs w:val="18"/>
          <w:color w:val="auto"/>
        </w:rPr>
        <w:t>. Subject to any applicable abandoned property law, any money deposited with the Trustee or any Paying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then held by an Issuer, in trust for the payment of the principal of, premium, if any, or interest on any Note and remaining unclaimed for two years after such principal, and premium, if any, or interest has become due and payable shall be paid to such Issuer on its request or (if then held by such Issuer) shall be discharged from such trust; and the Holder of such Note shall thereafter look only to such Issuer for payment thereof, and all liability of the Trustee or such Paying Agent with respect to such trust money, and all liability of such Issuer as trustee thereof, shall thereupon cease.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8.07. </w:t>
      </w:r>
      <w:r>
        <w:rPr>
          <w:rFonts w:ascii="Times New Roman" w:cs="Times New Roman" w:eastAsia="Times New Roman" w:hAnsi="Times New Roman"/>
          <w:sz w:val="18"/>
          <w:szCs w:val="18"/>
          <w:i w:val="1"/>
          <w:iCs w:val="1"/>
          <w:color w:val="auto"/>
        </w:rPr>
        <w:t>Reinstatement</w:t>
      </w:r>
      <w:r>
        <w:rPr>
          <w:rFonts w:ascii="Times New Roman" w:cs="Times New Roman" w:eastAsia="Times New Roman" w:hAnsi="Times New Roman"/>
          <w:sz w:val="18"/>
          <w:szCs w:val="18"/>
          <w:color w:val="auto"/>
        </w:rPr>
        <w:t>. If the Trustee or Paying Agent is unable to apply any United States dollars or U.S. Government Securities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Section 8.02 or 8.03 hereof, as the case may be, by reason of any order or judgment of any court or governmental authority enjoining,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restraining or otherwise prohibiting such application, then the Issuers’ and the Guarantors’ obligations under this Indenture and the Notes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series and the Guarantees with respect to such series shall be revived and reinstated as though no deposit had occurred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8.02 or 8.03 hereof until such time as the Trustee or Paying Agent is permitted to apply all such money in accordance with Section 8.02 or 8.03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hereof,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Issuers make any payment of principal of, premium, if any, or interest on any Notes of such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reinstatement of its obligations, the Issuers shall be subrogated to the rights of the Holders of such Notes of such series to receive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from the money held by the Trustee or Paying Agent.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03" w:lineRule="exact"/>
        <w:rPr>
          <w:sz w:val="20"/>
          <w:szCs w:val="20"/>
          <w:color w:val="auto"/>
        </w:rPr>
      </w:pPr>
    </w:p>
    <w:p>
      <w:pPr>
        <w:ind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9.01. </w:t>
      </w:r>
      <w:r>
        <w:rPr>
          <w:rFonts w:ascii="Times New Roman" w:cs="Times New Roman" w:eastAsia="Times New Roman" w:hAnsi="Times New Roman"/>
          <w:sz w:val="18"/>
          <w:szCs w:val="18"/>
          <w:i w:val="1"/>
          <w:iCs w:val="1"/>
          <w:color w:val="auto"/>
        </w:rPr>
        <w:t>Without Consent of Holders</w:t>
      </w:r>
      <w:r>
        <w:rPr>
          <w:rFonts w:ascii="Times New Roman" w:cs="Times New Roman" w:eastAsia="Times New Roman" w:hAnsi="Times New Roman"/>
          <w:sz w:val="18"/>
          <w:szCs w:val="18"/>
          <w:color w:val="auto"/>
        </w:rPr>
        <w:t>. Notwithstanding Section 9.02 hereof, the Issuers, any Guarantor (with respect to a Guarantee,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or the Security Documents to which it is a party), the Trustee and/or the Notes Collateral Agent (and any other Agents party thereto (to the extent applicable)), as the case may be, may amend or supplement this Indenture, the Notes, any Guarantee or the Security Documents without the consent of any Holder:</w:t>
      </w:r>
    </w:p>
    <w:p>
      <w:pPr>
        <w:spacing w:after="0" w:line="72" w:lineRule="exact"/>
        <w:rPr>
          <w:sz w:val="20"/>
          <w:szCs w:val="20"/>
          <w:color w:val="auto"/>
        </w:rPr>
      </w:pPr>
    </w:p>
    <w:p>
      <w:pPr>
        <w:ind w:left="5320" w:right="5140" w:hanging="4461"/>
        <w:spacing w:after="0" w:line="495" w:lineRule="auto"/>
        <w:tabs>
          <w:tab w:leader="none" w:pos="1112"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omission, mistake, defect or inconsistency; -114-</w:t>
      </w:r>
    </w:p>
    <w:p>
      <w:pPr>
        <w:sectPr>
          <w:pgSz w:w="11900" w:h="16838" w:orient="portrait"/>
          <w:cols w:equalWidth="0" w:num="1">
            <w:col w:w="11000"/>
          </w:cols>
          <w:pgMar w:left="440" w:top="270" w:right="459" w:bottom="1440" w:gutter="0" w:footer="0" w:header="0"/>
        </w:sectPr>
      </w:pPr>
    </w:p>
    <w:bookmarkStart w:id="124" w:name="page125"/>
    <w:bookmarkEnd w:id="124"/>
    <w:p>
      <w:pPr>
        <w:ind w:left="680" w:hanging="261"/>
        <w:spacing w:after="0"/>
        <w:tabs>
          <w:tab w:leader="none" w:pos="6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provide for uncertificated Notes in addition to or in place of certificated Notes;</w:t>
      </w:r>
    </w:p>
    <w:p>
      <w:pPr>
        <w:spacing w:after="0" w:line="11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Section 5.01 hereof;</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the Co-Issuer’s or any Guarantor’s obligations to the Holders;</w:t>
      </w:r>
    </w:p>
    <w:p>
      <w:pPr>
        <w:spacing w:after="0" w:line="117" w:lineRule="exact"/>
        <w:rPr>
          <w:rFonts w:ascii="Times New Roman" w:cs="Times New Roman" w:eastAsia="Times New Roman" w:hAnsi="Times New Roman"/>
          <w:sz w:val="18"/>
          <w:szCs w:val="18"/>
          <w:color w:val="auto"/>
        </w:rPr>
      </w:pPr>
    </w:p>
    <w:p>
      <w:pPr>
        <w:ind w:right="280" w:firstLine="419"/>
        <w:spacing w:after="0" w:line="282" w:lineRule="auto"/>
        <w:tabs>
          <w:tab w:leader="none" w:pos="66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or that does not materially adversely affect the legal rights under this Indenture of any such Holder;</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modify covenants for the benefit of the Holders or to surrender any right or power conferred upon the Issuers or any Guarantor;</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in accordance with the terms of this Indenture;</w:t>
      </w:r>
    </w:p>
    <w:p>
      <w:pPr>
        <w:spacing w:after="0" w:line="117" w:lineRule="exact"/>
        <w:rPr>
          <w:rFonts w:ascii="Times New Roman" w:cs="Times New Roman" w:eastAsia="Times New Roman" w:hAnsi="Times New Roman"/>
          <w:sz w:val="18"/>
          <w:szCs w:val="18"/>
          <w:color w:val="auto"/>
        </w:rPr>
      </w:pPr>
    </w:p>
    <w:p>
      <w:pPr>
        <w:ind w:right="300" w:firstLine="419"/>
        <w:spacing w:after="0" w:line="282" w:lineRule="auto"/>
        <w:tabs>
          <w:tab w:leader="none" w:pos="67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under this Indenture of a successor Trustee, a successor Notes Collateral Agent or a successor Paying Agent (or any other applicable agent) hereunder pursuant to the requirements hereof;</w:t>
      </w:r>
    </w:p>
    <w:p>
      <w:pPr>
        <w:spacing w:after="0" w:line="53" w:lineRule="exact"/>
        <w:rPr>
          <w:rFonts w:ascii="Times New Roman" w:cs="Times New Roman" w:eastAsia="Times New Roman" w:hAnsi="Times New Roman"/>
          <w:sz w:val="18"/>
          <w:szCs w:val="18"/>
          <w:color w:val="auto"/>
        </w:rPr>
      </w:pPr>
    </w:p>
    <w:p>
      <w:pPr>
        <w:ind w:right="140" w:firstLine="419"/>
        <w:spacing w:after="0" w:line="282" w:lineRule="auto"/>
        <w:tabs>
          <w:tab w:leader="none" w:pos="63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 obligor or a Guarantor under this Indenture (including designation of a Guarantor as “Holdings” under this Indenture pursuant to a New Holdings Designation);</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3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this Indenture, the Notes, any Guarantees or the Security Documents to any provision of the “Description of Notes” section of the Offering Memorandum;</w:t>
      </w:r>
    </w:p>
    <w:p>
      <w:pPr>
        <w:spacing w:after="0" w:line="53"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amendment to the provisions of this Indenture relating to the transfer and legending of Notes as permitted by this Indenture, including, without limitation to facilitate the issuance and administration of the Notes; provided, however, that such amendment does not materially and adversely affect the rights of Holders of Notes to transfer Notes;</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any Guarantor from its Guarantee pursuant to this Indenture when permitted or required by this Indenture;</w:t>
      </w:r>
    </w:p>
    <w:p>
      <w:pPr>
        <w:spacing w:after="0" w:line="11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and discharge any Lien securing the Notes when permitted or required by this Indenture or the Security Documents;</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securities depositary;</w:t>
      </w:r>
    </w:p>
    <w:p>
      <w:pPr>
        <w:spacing w:after="0" w:line="117"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mortgage, pledge, hypothecate or grant any other Lien in favor of the Trustee or the Notes Collateral Agent for the benefit of the Holders, as additional security for the payment and performance of all or any portion of the Notes Obligations, in any property or assets, including any which are required to be mortgaged, pledged or hypothecated, or in which a Lien is required to be granted to or for the benefit of the Trustee or the Notes Collateral Agent pursuant to this Indenture, any of the Security Documents or otherwise;</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Pari Passu Secured Parties to any Security Documents;</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560"/>
          </w:cols>
          <w:pgMar w:left="880" w:top="270" w:right="459" w:bottom="1440" w:gutter="0" w:footer="0" w:header="0"/>
        </w:sectPr>
      </w:pPr>
    </w:p>
    <w:bookmarkStart w:id="125" w:name="page126"/>
    <w:bookmarkEnd w:id="125"/>
    <w:p>
      <w:pPr>
        <w:ind w:left="440" w:firstLine="419"/>
        <w:spacing w:after="0" w:line="254" w:lineRule="auto"/>
        <w:tabs>
          <w:tab w:leader="none" w:pos="111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to enter into any intercreditor agreement having substantially similar terms with respect to the Holders as those set forth in the Pari Passu Intercreditor Agreement, taken as a whole, or any joinder thereto, (B) to enter into the Junior Lien Intercreditor Agreement or any intercreditor agreement having substantially similar terms with respect to the Holders as those set forth in the Junior Lien Intercreditor Agreement, taken as a whole, or any joinder thereto, (C) to enter into the ABL/Fixed Asset Intercreditor Agreement or any intercreditor agreement having substantially similar terms with respect to the Holders as those set forth in the ABL/Fixed Asset Intercreditor Agreement, taken as a whole, or any joinder thereto and (D) to enter into any amendment or supplement to any intercreditor agreement to add other debt representatives as party thereto and to make such other changes to the applicable intercreditor agreement, as in the good faith determination of the Issuer, are required to effectuate the foregoing;</w:t>
      </w:r>
    </w:p>
    <w:p>
      <w:pPr>
        <w:spacing w:after="0" w:line="83"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08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Security Document, to include therein any legend required to be set forth therein pursuant to the Pari Passu Intercreditor Agreement or any other intercreditor agreement or to modify any such legend as required by the Pari Passu Intercreditor Agreement or any other intercreditor agreement; and</w:t>
      </w:r>
    </w:p>
    <w:p>
      <w:pPr>
        <w:spacing w:after="0" w:line="67"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09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succession of any parties to the Security Documents (and other amendments that are administrative or ministerial in nature) in connection with an amendment, renewal, extension, substitution, refinancing, restructuring, replacement, supplementing or other modification from time to time of the Senior Secured Credit Facilities or any other agreement that is not prohibited by this Indenture.</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Upon the request of the Issuer, and upon receipt by the Trustee and the Notes Collateral Agent of the documents described in Section 7.02 hereof (to the extent requested by the Trustee and/or the Notes Collateral Agent and subject to the last sentence of Section 9.05), the Trustee and/or the Notes Collateral Agent shall join with the Issuers and the Guarantors in the execution of any amended or supplemental indenture, security documents or intercreditor agreements authorized or permitted by the terms of this Indenture and the Security Documents and to make any further appropriate agreements and stipulations that may be therein contained, but the Trustee and/or the Notes Collateral Agent shall have the right, but not be obligated to, enter into such amended or supplemental indenture, security documents or intercreditor agreements that affect its own rights, duties or immunities under this Indenture, the Security Documents or otherwise. Notwithstanding the foregoing, no Opinion of Counsel or board resolution shall under this Section 9.01 be required in connection with the addition of a Guarantor under this Indenture upon execution and delivery by such Guarantor, the Trustee and the Notes Collateral Agent of a supplemental indenture to this Indenture, the form of which is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w:t>
      </w:r>
    </w:p>
    <w:p>
      <w:pPr>
        <w:spacing w:after="0" w:line="18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9.02. </w:t>
      </w:r>
      <w:r>
        <w:rPr>
          <w:rFonts w:ascii="Times New Roman" w:cs="Times New Roman" w:eastAsia="Times New Roman" w:hAnsi="Times New Roman"/>
          <w:sz w:val="18"/>
          <w:szCs w:val="18"/>
          <w:i w:val="1"/>
          <w:iCs w:val="1"/>
          <w:color w:val="auto"/>
        </w:rPr>
        <w:t>With Consent of Holders</w:t>
      </w:r>
      <w:r>
        <w:rPr>
          <w:rFonts w:ascii="Times New Roman" w:cs="Times New Roman" w:eastAsia="Times New Roman" w:hAnsi="Times New Roman"/>
          <w:sz w:val="18"/>
          <w:szCs w:val="18"/>
          <w:color w:val="auto"/>
        </w:rPr>
        <w:t>. Except as provided in Section 9.01 and this Section 9.02, the Issuers, the Guarantors, the Trustee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Notes Collateral Agent may amend or supplement this Indenture, the Notes of a series, the Guarantees relating to such series and the Security Documents with respect to such series with the consent of the Required Holders (including consents obtained in connection with a purchase of, or tender offer or exchange offer for, Notes) and, subject to Sections 6.04 and 6.07 hereof, any existing Default or Event of Default (other than a Default or Event of Default in the payment of the principal of, premium, if any, or interest on the Notes (which shall be considered waived only with respect to Notes held by consenting Holders), except a payment default resulting from an acceleration that has been rescinded) or compliance with any provision of this Indenture, any Guarantee relating to a series of Notes, the Notes of such series or the Security Documents may be waived with the consent of the Required Holders (including consents obtained in connection with a purchase of, or tender offer or exchange offer for,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if any such amendment or waiver will only affect one series of Notes then outstanding under this Indenture, then only the consent of the Required Holders with respect to the Notes of such affected series shall be required and (y) if any such amendment or waiver by its terms will affect a series of Notes in a manner that is different from and materially adverse relative to the manner in which such amendment or waiver affects the other series of Notes, then the consent of the Required Holders with respect to the Notes of such differently and materially adversely affected series shall be required.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26" w:name="page127"/>
    <w:bookmarkEnd w:id="126"/>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Section 2.09, this Section 9.02, Section 6.01, the definition of “Required Holders” or otherwise in this Indenture to the contrary, for purposes of determining whether the Required Holders have (i) consented (or not consented) to any amendment, modification, waiver, consent or other action with respect to any of the terms of this Indenture, the Notes of the applicable series, the Guarantees or the Security Documents, in each case to the extent relating to such series, or any departure by the Issuers or any Guarantor therefrom, unless the action in question affects any Affiliated Holder in a disproportionately adverse manner than its effect on the other Holders, or any plan of reorganization pursuant to any applicable bankruptcy, insolvency or similar proceeding, (ii) otherwise acted on any matter related to this Indenture, the Notes of the applicable series, the Security Documents or the Guarantees, in each case to the extent relating to such series, or (iii) directed or required the Trustee, the Notes Collateral Agent or any Holder of Notes of the applicable series to undertake any action (or refrain from taking any action) with respect to or under this Indenture, the Notes of the applicable series, the Security Documents or the Guarantees, in each case to the extent relating to such series, no Affiliated Holder shall have any right to consent (or not consent), otherwise act or direct or require the Trustee, the Notes Collateral Agent or any Holder to take (or refrain from taking) any such action and all Notes held by any Affiliated Holders shall be deemed to be not outstanding for all purposes of calculating whether the Required Holders have taken any actions.</w:t>
      </w:r>
    </w:p>
    <w:p>
      <w:pPr>
        <w:spacing w:after="0" w:line="190"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Notwithstanding anything in Section 2.09, this Section 9.02, Section 6.01, the definition of “Required Holders” or otherwise in this Indenture to the contrary, for purposes of determining whether the Required Holders have (i) consented (or not consented) to any amendment, modification, waiver, consent or other action with respect to any of the terms of this Indenture, the Notes of the applicable series, the Guarantees or the Security Documents, in each case to the extent relating to such series, or any departure by the Issuers or any Guarantor therefrom, (ii) otherwise acted on any matter related to this Indenture, the Notes of the applicable series, the Guarantees or the Security Documents, in each case to the extent relating to such series, or</w:t>
      </w:r>
    </w:p>
    <w:p>
      <w:pPr>
        <w:spacing w:after="0" w:line="3" w:lineRule="exact"/>
        <w:rPr>
          <w:sz w:val="20"/>
          <w:szCs w:val="20"/>
          <w:color w:val="auto"/>
        </w:rPr>
      </w:pPr>
    </w:p>
    <w:p>
      <w:pPr>
        <w:ind w:left="4" w:right="80" w:hanging="4"/>
        <w:spacing w:after="0" w:line="253" w:lineRule="auto"/>
        <w:tabs>
          <w:tab w:leader="none" w:pos="31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or required the Trustee, the Notes Collateral Agent or any Holder of Notes to undertake any action (or refrain from taking any action) with respect to or under this Indenture, the Notes of the applicable series, the Security Documents or the Guarantees, in each case to the extent relating to such series, all Notes held or beneficially owned by Debt Fund Affiliates may not account for more than 49.9% (pro rata among such Debt Fund Affiliates) of the Notes held by consenting Holders included in determining whether the Required Holders have consented to any action pursuant to this Section 9.02.</w:t>
      </w:r>
    </w:p>
    <w:p>
      <w:pPr>
        <w:spacing w:after="0" w:line="187" w:lineRule="exact"/>
        <w:rPr>
          <w:sz w:val="20"/>
          <w:szCs w:val="20"/>
          <w:color w:val="auto"/>
        </w:rPr>
      </w:pPr>
    </w:p>
    <w:p>
      <w:pPr>
        <w:ind w:left="4" w:right="18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any action under this Indenture, the Notes of the applicable series, the Guarantees or the Security Documents, in each case to the extent relating to such series that requires a determination of whether the Required Holders or any of the Holders, as applicable, have consented to such action or otherwise acted on any matter or directed the Trustee or the Notes Collateral Agent to undertake any action (or refrain from taking any action), the Issuers shall identify the amount of Notes held or beneficially owned by an Affiliated Holder or a Debt Fund Affiliate in an Officer’s Certificate delivered to the Trustee and the Notes Collateral Agent, upon which the Trustee and the Notes Collateral Agent shall be entitled to conclusively rely without investigation. For purposes of determining whether the Trustee and Notes Collateral Agent are entitled to rely on consents, actions or directions of Holders, only those Notes which have been identified to the Trustee in an Officer’s Certificate as being held or beneficially owned by an Affiliated Holder or Debt Fund Affiliate shall be disregarded. In the absence of such Officer’s Certificate, the Trustee and the Notes Collateral Agent shall treat the Affiliated Holder and Debt Fund Affiliate provisions as being inapplicable.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4"/>
          </w:cols>
          <w:pgMar w:left="436" w:top="270" w:right="459" w:bottom="1440" w:gutter="0" w:footer="0" w:header="0"/>
        </w:sectPr>
      </w:pPr>
    </w:p>
    <w:bookmarkStart w:id="127" w:name="page128"/>
    <w:bookmarkEnd w:id="127"/>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request of the Issuer, and upon the filing with the Trustee and the Notes Collateral Agent, as applicable, of evidence satisfactory to the Trustee of the consent of the Holders as aforesaid, the Trustee and/or the Notes Collateral Agent shall join with the Issuers and the Guarantors in the execution of such amended or supplemental indenture, security documents or intercreditor agreements unless such amended or supplemental indenture, security documents or intercreditor agreements affect the Trustee’s or the Notes Collateral Agent’s, as applicable, own rights, duties or immunities under this Indenture or otherwise, in which case the Trustee or the Notes Collateral Agent, as applicable, may in its discretion, but shall not be obligated to, enter into such amended or supplemental indenture, security documents or intercreditor agreements.</w:t>
      </w:r>
    </w:p>
    <w:p>
      <w:pPr>
        <w:spacing w:after="0" w:line="18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9.02 to approve the particular form of any proposed amendment or waiver, but it shall be sufficient if such consent approves the substance thereof.</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After an amendment, supplement or waiver under this Section 9.02 becomes effective, the Issuer shall send to the Holders affected thereby (with a copy to the Trustee) a notice briefly describing the amendment, supplement or waiver. Any failure of the Issuer to send such notice, or any defect therein, shall not, however, in any way impair or affect the validity of any such amended or supplemental indenture or waiver.</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Without the consent of each affected Holder of Notes (including, for purposes of this paragraph, Notes held or beneficially owned by the Issuers or their Affiliates), an amendment or waiver under this Section 9.02 may not, with respect to any Notes held by a non-consenting Holder:</w:t>
      </w:r>
    </w:p>
    <w:p>
      <w:pPr>
        <w:spacing w:after="0" w:line="54" w:lineRule="exact"/>
        <w:rPr>
          <w:sz w:val="20"/>
          <w:szCs w:val="20"/>
          <w:color w:val="auto"/>
        </w:rPr>
      </w:pPr>
    </w:p>
    <w:p>
      <w:pPr>
        <w:ind w:left="1100" w:hanging="241"/>
        <w:spacing w:after="0"/>
        <w:tabs>
          <w:tab w:leader="none" w:pos="11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such Notes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final maturity of any such Note or alter or waive the provisions with respect to the redemption of such Notes (other than provisions relating to (i) notice periods (to the extent consistent with applicable requirements of clearing and settlement systems) for redemption and conditions to redemption and (ii) Section 4.14 hereof);</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such Note (other than provisions relating to Section 4.14 hereof);</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waive a Default or Event of Default in the payment of principal of or premium, if any, or interest on such Notes, except a rescission of acceleration of the Notes by the Required Holders, and a waiver of the payment default that resulted from such acceleration, or (B) waive a Default or Event of Default in respect of a covenant or provision contained in this Indenture, the Notes of such series or any Guarantee relating to such series which cannot be amended or modified without the consent of each affected Holder;</w:t>
      </w:r>
    </w:p>
    <w:p>
      <w:pPr>
        <w:spacing w:after="0" w:line="7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such Note payable in money other than that stated therein;</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this Indenture relating to waivers of past Defaults;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these amendment and waiver provisions;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80"/>
          </w:cols>
          <w:pgMar w:left="440" w:top="270" w:right="479" w:bottom="1440" w:gutter="0" w:footer="0" w:header="0"/>
        </w:sectPr>
      </w:pPr>
    </w:p>
    <w:bookmarkStart w:id="128" w:name="page129"/>
    <w:bookmarkEnd w:id="128"/>
    <w:p>
      <w:pPr>
        <w:ind w:left="440" w:right="220" w:firstLine="419"/>
        <w:spacing w:after="0" w:line="282" w:lineRule="auto"/>
        <w:tabs>
          <w:tab w:leader="none" w:pos="111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 the contractual right expressly set forth in this Indenture or the Notes of any Holder to institute suit for the enforcement of any payment on or with respect to such Holder’s Notes on or after the due dates therefor;</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or modify the ranking of such Notes that would adversely affect the Holders; or</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07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by this Indenture, modify the Guarantees of any Subsidiary Guarantor that is a Significant Subsidiary, or any group of Subsidiary Guarantors that, taken together (as of the latest consolidated financial statements of the Issuer for a fiscal quarter end provided as required under Section 4.03 hereof), would constitute a Significant Subsidiary, in any manner materially adverse to the Holders of such Notes.</w:t>
      </w:r>
    </w:p>
    <w:p>
      <w:pPr>
        <w:spacing w:after="0" w:line="180"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without the consent of the Holders of at least 66-2/3% in aggregate principal amount of the Notes then outstanding, no amendment or waiver may make any change in any Security Document or the provisions in this Indenture dealing with Collateral or application of trust proceeds of the Collateral with the effect of releasing the Liens on all or substantially all of the Collateral which secure the Obligations in respect of the Notes, other than as provided under the terms of this Indenture, the Security Documents or the Pari Passu Intercreditor Agreement.</w:t>
      </w:r>
    </w:p>
    <w:p>
      <w:pPr>
        <w:spacing w:after="0" w:line="179"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9.03. </w:t>
      </w:r>
      <w:r>
        <w:rPr>
          <w:rFonts w:ascii="Times New Roman" w:cs="Times New Roman" w:eastAsia="Times New Roman" w:hAnsi="Times New Roman"/>
          <w:sz w:val="18"/>
          <w:szCs w:val="18"/>
          <w:i w:val="1"/>
          <w:iCs w:val="1"/>
          <w:color w:val="auto"/>
        </w:rPr>
        <w:t>Revocation and Effect of Consents</w:t>
      </w:r>
      <w:r>
        <w:rPr>
          <w:rFonts w:ascii="Times New Roman" w:cs="Times New Roman" w:eastAsia="Times New Roman" w:hAnsi="Times New Roman"/>
          <w:sz w:val="18"/>
          <w:szCs w:val="18"/>
          <w:color w:val="auto"/>
        </w:rPr>
        <w:t>. Until an amendment, supplement or waiver becomes effective, a consent to it by a Holder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8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spacing w:after="0" w:line="179"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9.04. </w:t>
      </w:r>
      <w:r>
        <w:rPr>
          <w:rFonts w:ascii="Times New Roman" w:cs="Times New Roman" w:eastAsia="Times New Roman" w:hAnsi="Times New Roman"/>
          <w:sz w:val="18"/>
          <w:szCs w:val="18"/>
          <w:i w:val="1"/>
          <w:iCs w:val="1"/>
          <w:color w:val="auto"/>
        </w:rPr>
        <w:t>Notation on or Exchange of Notes</w:t>
      </w:r>
      <w:r>
        <w:rPr>
          <w:rFonts w:ascii="Times New Roman" w:cs="Times New Roman" w:eastAsia="Times New Roman" w:hAnsi="Times New Roman"/>
          <w:sz w:val="18"/>
          <w:szCs w:val="18"/>
          <w:color w:val="auto"/>
        </w:rPr>
        <w:t>. The Trustee may place an appropriate notation about an amendment, supplement or waiver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Note thereafter authenticated. The Issuers in exchange for all Notes may issue and the Trustee shall, upon receipt of an Authentication Order, authenticate new Notes that reflect the amendment, supplement or waiver.</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Failure to make the appropriate notation or issue a new Note shall not affect the validity and effect of such amendment, supplement or waiver.</w:t>
      </w:r>
    </w:p>
    <w:p>
      <w:pPr>
        <w:spacing w:after="0" w:line="221"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9.05. </w:t>
      </w:r>
      <w:r>
        <w:rPr>
          <w:rFonts w:ascii="Times New Roman" w:cs="Times New Roman" w:eastAsia="Times New Roman" w:hAnsi="Times New Roman"/>
          <w:sz w:val="18"/>
          <w:szCs w:val="18"/>
          <w:i w:val="1"/>
          <w:iCs w:val="1"/>
          <w:color w:val="auto"/>
        </w:rPr>
        <w:t>Trustee to Sign Amendments, etc</w:t>
      </w:r>
      <w:r>
        <w:rPr>
          <w:rFonts w:ascii="Times New Roman" w:cs="Times New Roman" w:eastAsia="Times New Roman" w:hAnsi="Times New Roman"/>
          <w:sz w:val="18"/>
          <w:szCs w:val="18"/>
          <w:color w:val="auto"/>
        </w:rPr>
        <w:t>. The Trustee and the Notes Collateral Agent shall sign any amendment, supplement or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pursuant to this Article 9 if the amendment, supplement or waiver does not adversely affect the rights, duties, liabilities or immunities of the Trustee or the Notes Collateral Agent, as applicable. Except as set forth in the last sentence of this Section 9.05, an Issuer may not sign an amendment, supplement or waiver until the Board of such Issuer approves it. In executing any amendment, supplement or waiver, the Trustee and the Notes Collateral Agent shall be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40"/>
          </w:cols>
          <w:pgMar w:left="440" w:top="270" w:right="519" w:bottom="1440" w:gutter="0" w:footer="0" w:header="0"/>
        </w:sectPr>
      </w:pPr>
    </w:p>
    <w:bookmarkStart w:id="129" w:name="page130"/>
    <w:bookmarkEnd w:id="129"/>
    <w:p>
      <w:pPr>
        <w:ind w:left="4"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provided with and (subject to Section 7.01 hereof) shall be fully protected in relying upon, in addition to the documents required by Section 14.03 hereof, an Officer’s Certificate and an Opinion of Counsel each stating that the execution of such amended or supplemental indenture or security documents or intercreditor agreements is authorized or permitted by this Indenture and that such amendment, supplement or waiver is the legal, valid and binding obligation of the Issuers and any Guarantors party thereto, enforceable against them in accordance with its terms, subject to customary exceptions, and complies with the provisions hereof. Notwithstanding the foregoing, no Opinion of Counsel or board resolution under this Section 9.05 shall be required in connection with the additional of a Guarantor under this Indenture upon execution and delivery by such Guarantor, the Trustee and the Notes Collateral Agent of a supplemental indenture to this Indenture, the form of which is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9.06. </w:t>
      </w:r>
      <w:r>
        <w:rPr>
          <w:rFonts w:ascii="Times New Roman" w:cs="Times New Roman" w:eastAsia="Times New Roman" w:hAnsi="Times New Roman"/>
          <w:sz w:val="18"/>
          <w:szCs w:val="18"/>
          <w:i w:val="1"/>
          <w:iCs w:val="1"/>
          <w:color w:val="auto"/>
        </w:rPr>
        <w:t>Additional Voting Terms; Calculation of Principal Amount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00" w:firstLine="436"/>
        <w:spacing w:after="0" w:line="266" w:lineRule="auto"/>
        <w:tabs>
          <w:tab w:leader="none" w:pos="689"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9.02 hereof, all Notes issued under this Indenture shall vote and consent together on all matters (as to which any such Notes may vote or consent) as one class. Determinations as to whether Holders of the requisite aggregate principal amount of Notes have concurred in any direction, waiver or consent shall be made in accordance with this Article 9, including Sections 9.02 and 9.06(b) hereof.</w:t>
      </w:r>
    </w:p>
    <w:p>
      <w:pPr>
        <w:spacing w:after="0" w:line="175" w:lineRule="exact"/>
        <w:rPr>
          <w:rFonts w:ascii="Times New Roman" w:cs="Times New Roman" w:eastAsia="Times New Roman" w:hAnsi="Times New Roman"/>
          <w:sz w:val="18"/>
          <w:szCs w:val="18"/>
          <w:color w:val="auto"/>
        </w:rPr>
      </w:pPr>
    </w:p>
    <w:p>
      <w:pPr>
        <w:ind w:left="4" w:right="80" w:firstLine="436"/>
        <w:spacing w:after="0" w:line="276" w:lineRule="auto"/>
        <w:tabs>
          <w:tab w:leader="none" w:pos="699"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Sections 2.08, 2.09 and 9.02 hereof, with respect to any matter requiring consent, waiver, approval or other action of the Holders of a specified percentage of the principal amount of all the Notes, such percentage shall be calculated, on the relevant date of determination, by dividing</w:t>
      </w:r>
    </w:p>
    <w:p>
      <w:pPr>
        <w:ind w:left="4" w:right="40" w:hanging="4"/>
        <w:spacing w:after="0" w:line="253" w:lineRule="auto"/>
        <w:tabs>
          <w:tab w:leader="none" w:pos="21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as of such date of determination, of Notes, the Holders of which have so consented by (ii) the aggregate principal amount, as of such date of determination, of the Notes then outstanding, in each case, as determined in accordance with the preceding subsection and Sections 2.08, 2.09 and 9.02 of this Indenture. Any such calculation made pursuant to this Section 9.06(b) shall be made by the Issuer and delivered to the Trustee pursuant to an Officer’s Certificate.</w:t>
      </w:r>
    </w:p>
    <w:p>
      <w:pPr>
        <w:spacing w:after="0" w:line="185"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9.07. </w:t>
      </w:r>
      <w:r>
        <w:rPr>
          <w:rFonts w:ascii="Times New Roman" w:cs="Times New Roman" w:eastAsia="Times New Roman" w:hAnsi="Times New Roman"/>
          <w:sz w:val="18"/>
          <w:szCs w:val="18"/>
          <w:i w:val="1"/>
          <w:iCs w:val="1"/>
          <w:color w:val="auto"/>
        </w:rPr>
        <w:t>No Impairment of Right of Holders to Receive Payment</w:t>
      </w:r>
      <w:r>
        <w:rPr>
          <w:rFonts w:ascii="Times New Roman" w:cs="Times New Roman" w:eastAsia="Times New Roman" w:hAnsi="Times New Roman"/>
          <w:sz w:val="18"/>
          <w:szCs w:val="18"/>
          <w:color w:val="auto"/>
        </w:rPr>
        <w:t>. For the avoidance of doubt, no amendment to, or deletion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under Article 4 or action taken in compliance with the covenants in effect at the time of such action, shall be deemed to impair or affect any legal rights of any Holders of the Notes to receive payment of principal of or premium, if any, or interest on the Notes or to institute suit for the enforcement of any payment on or with respect to such Holder’s Notes.</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GUARANTEES</w:t>
      </w:r>
    </w:p>
    <w:p>
      <w:pPr>
        <w:spacing w:after="0" w:line="203"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10.01.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Subject to this Article 10, each of the Guarantors hereby, jointly and severally, irrevocably and unconditionally,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obligor and not merely as a surety, guarantees, on a senior secured basis, to each Holder of a Note authenticated and delivered by the Trustee and to the Trustee and Notes Collateral Agent and their successors and assigns, irrespective of the validity and enforceability of this Indenture, the Notes or the Obligations of the Issuers hereunder or thereunder, that: (a) the principal of and interest and premium, if any, on the Notes shall be promptly paid in full when due, whether at maturity, by acceleration, redemption or otherwise, and interest on the overdue principal of and interest on the Notes, if any, if lawful, and all other Obligations of the Issuers to the Holders, the Trustee or the Notes Collateral Agent hereunder or under the Notes shall be promptly paid in full, all in accordance with the terms hereof and thereof; and (b) in case of any extension of time of payment or renewal of any Notes or any of such other obligations, that same shall be promptly paid in full when due in accordance with the terms of the extension or renewal, whether at stated maturity, by acceleration or otherwise. Each Guarantor agrees that this is a guarantee of payment and not a guarantee of collection. All payments under each Guarantee will be made in U.S. dollars.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4"/>
          </w:cols>
          <w:pgMar w:left="436" w:top="270" w:right="459" w:bottom="1440" w:gutter="0" w:footer="0" w:header="0"/>
        </w:sectPr>
      </w:pPr>
    </w:p>
    <w:bookmarkStart w:id="130" w:name="page131"/>
    <w:bookmarkEnd w:id="130"/>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Guarantors hereby agree that their obligations hereunder are equivalent to the obligations of a primary obligor and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Issuers any action to enforce the same or any other circumstance which might otherwise constitute a legal or equitable discharge or defense of a guarantor (other than payment in full of all of the Obligations of the Issuers hereunder or under the Notes). Each Guarantor hereby waives, to the fullest extent permitted by law, diligence, presentment, demand of payment, filing of claims with a court in the event of insolvency or bankruptcy of the Issuers, any right to require a proceeding first against the Issuers, protest, notice and all demands whatsoever and covenants that this Guarantee shall not be discharged except by full payment of the obligations contained in the Notes and this Indenture or by release in accordance with the provisions of this Indenture.</w:t>
      </w:r>
    </w:p>
    <w:p>
      <w:pPr>
        <w:spacing w:after="0" w:line="19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Each Guarantor also agrees to pay any and all costs and expenses (including reasonable attorneys’ fees and expenses) incurred by the Trustee or any Holder in enforcing any rights under this Section 10.01.</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If any Holder, the Trustee or the Notes Collateral Agent is required by any court or otherwise to return to the Issuers, the Guarantors or any custodian, trustee, liquidator or other similar official acting in relation to either the Issuers or the Guarantors, any amount paid to the Trustee, the Notes Collateral Agent or such Holder, then this Guarantee, to the extent theretofore discharged, shall be reinstated in full force and effect.</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the Trustee and the Notes Collateral Agent, on the other hand, (x) the maturity of the obligations guaranteed hereby may be accelerated as provided in Article 6 hereof for the purposes of this Guarantee, notwithstanding any stay, injunction or other prohibition preventing such acceleration in respect of the obligations guaranteed hereby, and (y) in the event of any declaration of acceleration of such obligations as provided in Article 6 hereof, such obligations (whether or not due and payable) shall forthwith become due and payable by the Guarantors for the purpose of this Guarantee. The Guarantors shall have the right to seek contribution from any nonpaying Guarantor so long as the exercise of such right does not impair the rights of the Holders under the Guarantees. Each Guarantor that makes a payment under its Guarantee shall, to the fullest extent permitted by applicable law, be entitled upon payment in full of all guaranteed obligations under this Indenture to a contribution from each other Guarantor in an amount equal to such other Guarantor’s pro rata portion of such payment based on the respective net assets of all the Guarantors at the time of such payment determined in accordance with GAAP.</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Until terminated in accordance with Section 10.06, each Guarantee shall remain in full force and effect and continue to be effective should any petition be filed by or against any Issuer for liquidation or reorganization, should any Issuer become insolvent or make an assignment for the benefit of creditors or should a receiver or trustee be appointed for all or any significant part of any Issuer’s assets, and shall, to the fullest extent permitted by law, continue to be effective or be reinstated, as the case may be, if at any time payment of the Notes is, pursuant to applicable law, rescinded or reduced in amount, or must otherwise be restored or returned by any obligee on the Notes or Guarantees, whether as a “voidable preference,” “fraudulent transfer” or otherwise, all as though such payment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60"/>
          </w:cols>
          <w:pgMar w:left="440" w:top="270" w:right="499" w:bottom="1440" w:gutter="0" w:footer="0" w:header="0"/>
        </w:sectPr>
      </w:pPr>
    </w:p>
    <w:bookmarkStart w:id="131" w:name="page132"/>
    <w:bookmarkEnd w:id="131"/>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any provision of any Guarantee shall be invalid, illegal or unenforceable, the validity, legality, and enforceability of the remaining provisions shall not in any way be affected or impaired thereby.</w:t>
      </w:r>
    </w:p>
    <w:p>
      <w:pPr>
        <w:spacing w:after="0" w:line="160"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Guarantee issued by any Guarantor shall be a general senior secured obligation of such Guarantor and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of such Guarantor.</w:t>
      </w:r>
    </w:p>
    <w:p>
      <w:pPr>
        <w:spacing w:after="0" w:line="16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Each payment to be made by a Guarantor in respect of its Guarantee shall be made without set-off, counterclaim, reduction or diminution of any kind or nature.</w:t>
      </w:r>
    </w:p>
    <w:p>
      <w:pPr>
        <w:spacing w:after="0" w:line="15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10.02. </w:t>
      </w:r>
      <w:r>
        <w:rPr>
          <w:rFonts w:ascii="Times New Roman" w:cs="Times New Roman" w:eastAsia="Times New Roman" w:hAnsi="Times New Roman"/>
          <w:sz w:val="18"/>
          <w:szCs w:val="18"/>
          <w:i w:val="1"/>
          <w:iCs w:val="1"/>
          <w:color w:val="auto"/>
        </w:rPr>
        <w:t>Limitation on Guarantor Liability</w:t>
      </w:r>
      <w:r>
        <w:rPr>
          <w:rFonts w:ascii="Times New Roman" w:cs="Times New Roman" w:eastAsia="Times New Roman" w:hAnsi="Times New Roman"/>
          <w:sz w:val="18"/>
          <w:szCs w:val="18"/>
          <w:color w:val="auto"/>
        </w:rPr>
        <w:t>. Each Guarantor, and by its acceptance of Notes, each Holder, hereby confirms that it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conveyance or fraudulent transfer under applicable law or being void or voidable under any law relating to insolvency of debtors.</w:t>
      </w:r>
    </w:p>
    <w:p>
      <w:pPr>
        <w:spacing w:after="0" w:line="188" w:lineRule="exact"/>
        <w:rPr>
          <w:sz w:val="20"/>
          <w:szCs w:val="20"/>
          <w:color w:val="auto"/>
        </w:rPr>
      </w:pPr>
    </w:p>
    <w:p>
      <w:pPr>
        <w:ind w:right="6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Section 10.03. </w:t>
      </w:r>
      <w:r>
        <w:rPr>
          <w:rFonts w:ascii="Times New Roman" w:cs="Times New Roman" w:eastAsia="Times New Roman" w:hAnsi="Times New Roman"/>
          <w:sz w:val="17"/>
          <w:szCs w:val="17"/>
          <w:i w:val="1"/>
          <w:iCs w:val="1"/>
          <w:color w:val="auto"/>
        </w:rPr>
        <w:t>Execution and Delivery</w:t>
      </w:r>
      <w:r>
        <w:rPr>
          <w:rFonts w:ascii="Times New Roman" w:cs="Times New Roman" w:eastAsia="Times New Roman" w:hAnsi="Times New Roman"/>
          <w:sz w:val="17"/>
          <w:szCs w:val="17"/>
          <w:color w:val="auto"/>
        </w:rPr>
        <w:t>. To evidence its Guarantee set forth in Section 10.01 hereof, each Guarantor hereby agrees that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Indenture (or a supplemental indenture in the form of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hereto) shall be executed on behalf of such Guarantor by one of its authorized Officers.</w:t>
      </w:r>
    </w:p>
    <w:p>
      <w:pPr>
        <w:spacing w:after="0" w:line="136"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Each Guarantor hereby agrees that its Guarantee set forth in Section 10.01 hereof shall remain in full force and effect notwithstanding the absence of the endorsement of any notation of such Guarantee on the Notes.</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If an Officer whose signature is on this Indenture (or a supplemental indenture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no longer holds that office at the time the Trustee authenticates a Note, the Guarantee of such Guarantor shall be valid nevertheless.</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hereunder, shall constitute due delivery of the Guarantee set forth in this Indenture on behalf of the Guarantors.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If required by Section 4.15 hereof, the Issuer shall cause any Restricted Subsidiary to comply with the provisions of Section 4.15 hereof and this Article 10, to the extent applicable.</w:t>
      </w:r>
    </w:p>
    <w:p>
      <w:pPr>
        <w:spacing w:after="0" w:line="158"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10.04. </w:t>
      </w:r>
      <w:r>
        <w:rPr>
          <w:rFonts w:ascii="Times New Roman" w:cs="Times New Roman" w:eastAsia="Times New Roman" w:hAnsi="Times New Roman"/>
          <w:sz w:val="18"/>
          <w:szCs w:val="18"/>
          <w:i w:val="1"/>
          <w:iCs w:val="1"/>
          <w:color w:val="auto"/>
        </w:rPr>
        <w:t>Subrogation</w:t>
      </w:r>
      <w:r>
        <w:rPr>
          <w:rFonts w:ascii="Times New Roman" w:cs="Times New Roman" w:eastAsia="Times New Roman" w:hAnsi="Times New Roman"/>
          <w:sz w:val="18"/>
          <w:szCs w:val="18"/>
          <w:color w:val="auto"/>
        </w:rPr>
        <w:t>. Each Guarantor shall be subrogated to all rights of Holders against the Issuers in respect of any amounts paid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Guarantor pursuant to the provisions of Section 10.01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of Default has occurred and is continuing, no Guarantor shall be entitled to enforce or receive any payments arising out of, or based upon, such right of subrogation until all amounts then due and payable by the Issuers under this Indenture or the Notes shall have been paid in full.</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60"/>
          </w:cols>
          <w:pgMar w:left="440" w:top="270" w:right="499" w:bottom="1440" w:gutter="0" w:footer="0" w:header="0"/>
        </w:sectPr>
      </w:pPr>
    </w:p>
    <w:bookmarkStart w:id="132" w:name="page133"/>
    <w:bookmarkEnd w:id="132"/>
    <w:p>
      <w:pPr>
        <w:jc w:val="both"/>
        <w:ind w:right="8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10.05. </w:t>
      </w:r>
      <w:r>
        <w:rPr>
          <w:rFonts w:ascii="Times New Roman" w:cs="Times New Roman" w:eastAsia="Times New Roman" w:hAnsi="Times New Roman"/>
          <w:sz w:val="18"/>
          <w:szCs w:val="18"/>
          <w:i w:val="1"/>
          <w:iCs w:val="1"/>
          <w:color w:val="auto"/>
        </w:rPr>
        <w:t>Benefits Acknowledged</w:t>
      </w:r>
      <w:r>
        <w:rPr>
          <w:rFonts w:ascii="Times New Roman" w:cs="Times New Roman" w:eastAsia="Times New Roman" w:hAnsi="Times New Roman"/>
          <w:sz w:val="18"/>
          <w:szCs w:val="18"/>
          <w:color w:val="auto"/>
        </w:rPr>
        <w:t>. Each Guarantor acknowledges that it will receive direct and indirect benefits from the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arrangements contemplated by this Indenture and that the guarantee and waivers made by it pursuant to its Guarantee are knowingly made in contemplation of such benefits.</w:t>
      </w:r>
    </w:p>
    <w:p>
      <w:pPr>
        <w:spacing w:after="0" w:line="17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10.06. </w:t>
      </w:r>
      <w:r>
        <w:rPr>
          <w:rFonts w:ascii="Times New Roman" w:cs="Times New Roman" w:eastAsia="Times New Roman" w:hAnsi="Times New Roman"/>
          <w:sz w:val="18"/>
          <w:szCs w:val="18"/>
          <w:i w:val="1"/>
          <w:iCs w:val="1"/>
          <w:color w:val="auto"/>
        </w:rPr>
        <w:t>Release of Guarantees</w:t>
      </w:r>
      <w:r>
        <w:rPr>
          <w:rFonts w:ascii="Times New Roman" w:cs="Times New Roman" w:eastAsia="Times New Roman" w:hAnsi="Times New Roman"/>
          <w:sz w:val="18"/>
          <w:szCs w:val="18"/>
          <w:color w:val="auto"/>
        </w:rPr>
        <w:t>. Each Guarantee by a Guarantor with respect to a series of Notes shall be automatically and unconditionally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released and discharged with respect to such series of Notes, and shall thereupon terminate and be of no further force and effect, and no further action by such Guarantor, the Issuers or the Trustee is required for the release of such Guarantor’s Guarantee, upon:</w:t>
      </w:r>
    </w:p>
    <w:p>
      <w:pPr>
        <w:spacing w:after="0" w:line="67" w:lineRule="exact"/>
        <w:rPr>
          <w:sz w:val="20"/>
          <w:szCs w:val="20"/>
          <w:color w:val="auto"/>
        </w:rPr>
      </w:pPr>
    </w:p>
    <w:p>
      <w:pPr>
        <w:ind w:left="440" w:right="200" w:firstLine="419"/>
        <w:spacing w:after="0" w:line="266" w:lineRule="auto"/>
        <w:tabs>
          <w:tab w:leader="none" w:pos="115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Subsidiary Guarantor, any sale, exchange, issuance, disposition or transfer (by merger, amalgamation, consolidation, dividend, distribution or otherwise) of (x) the Capital Stock of such Subsidiary Guarantor, after which the applicable Subsidiary Guarantor is no longer a Restricted Subsidiary or (y) all or substantially all the assets of such Subsidiary Guarantor;</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14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or discharge of the guarantee by, or direct obligation of, such Guarantor of Indebtedness under the Senior Secured Credit Facilities, or the release or discharge of such other guarantee or direct obligation that resulted in the creation of such Guarantee, except a discharge or release by or as a result of payment under such guarantee or direct obligation (it being understood that a release subject to a contingent reinstatement will constitute a release for the purposes of this provision, and that if any such Guarantee is so reinstated, such Guarantee shall also be reinstated to the extent that such Guarantor would then be required to provide a Guarantee pursuant to Section 4.15 hereof);</w:t>
      </w:r>
    </w:p>
    <w:p>
      <w:pPr>
        <w:spacing w:after="0" w:line="75" w:lineRule="exact"/>
        <w:rPr>
          <w:rFonts w:ascii="Times New Roman" w:cs="Times New Roman" w:eastAsia="Times New Roman" w:hAnsi="Times New Roman"/>
          <w:sz w:val="18"/>
          <w:szCs w:val="18"/>
          <w:color w:val="auto"/>
        </w:rPr>
      </w:pPr>
    </w:p>
    <w:p>
      <w:pPr>
        <w:ind w:left="440" w:right="380" w:firstLine="419"/>
        <w:spacing w:after="0" w:line="266" w:lineRule="auto"/>
        <w:tabs>
          <w:tab w:leader="none" w:pos="114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Subsidiary Guarantor, the designation of any Restricted Subsidiary that is a Subsidiary Guarantor as an Unrestricted Subsidiary in compliance with the applicable provisions of this Indenture or the occurrence of any event following which the Subsidiary Guarantor is no longer a Restricted Subsidiary in compliance with the applicable provisions of this Indenture;</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5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merger, amalgamation, consolidation or Division of any Guarantor with and into the Issuer, the Co-Issuer or another Guarantor or upon the liquidation or winding up of such Guarantor, in each case, in compliance with or in a manner not prohibited by the applicable provisions of this Indenture;</w:t>
      </w:r>
    </w:p>
    <w:p>
      <w:pPr>
        <w:spacing w:after="0" w:line="67" w:lineRule="exact"/>
        <w:rPr>
          <w:rFonts w:ascii="Times New Roman" w:cs="Times New Roman" w:eastAsia="Times New Roman" w:hAnsi="Times New Roman"/>
          <w:sz w:val="18"/>
          <w:szCs w:val="18"/>
          <w:color w:val="auto"/>
        </w:rPr>
      </w:pPr>
    </w:p>
    <w:p>
      <w:pPr>
        <w:ind w:left="1140" w:hanging="281"/>
        <w:spacing w:after="0"/>
        <w:tabs>
          <w:tab w:leader="none" w:pos="11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Investment Grade Event, but only as provided in Section 4.17 hereof;</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under Article 9 or in accordance with the provisions of the Pari Passu Intercreditor Agreement;</w:t>
      </w:r>
    </w:p>
    <w:p>
      <w:pPr>
        <w:spacing w:after="0" w:line="117" w:lineRule="exact"/>
        <w:rPr>
          <w:rFonts w:ascii="Times New Roman" w:cs="Times New Roman" w:eastAsia="Times New Roman" w:hAnsi="Times New Roman"/>
          <w:sz w:val="18"/>
          <w:szCs w:val="18"/>
          <w:color w:val="auto"/>
        </w:rPr>
      </w:pPr>
    </w:p>
    <w:p>
      <w:pPr>
        <w:ind w:left="440" w:right="280" w:firstLine="419"/>
        <w:spacing w:after="0" w:line="312" w:lineRule="auto"/>
        <w:tabs>
          <w:tab w:leader="none" w:pos="1158"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by the Issuers of their Legal Defeasance option or Covenant Defeasance option with respect to such series in accordance with Article 8 hereof or the discharge of the Issuers’ obligations under this Indenture in accordance with the terms of this Indenture; or</w:t>
      </w:r>
    </w:p>
    <w:p>
      <w:pPr>
        <w:spacing w:after="0" w:line="31" w:lineRule="exact"/>
        <w:rPr>
          <w:rFonts w:ascii="Times New Roman" w:cs="Times New Roman" w:eastAsia="Times New Roman" w:hAnsi="Times New Roman"/>
          <w:sz w:val="17"/>
          <w:szCs w:val="17"/>
          <w:color w:val="auto"/>
        </w:rPr>
      </w:pPr>
    </w:p>
    <w:p>
      <w:pPr>
        <w:ind w:left="440" w:right="500" w:firstLine="419"/>
        <w:spacing w:after="0" w:line="282" w:lineRule="auto"/>
        <w:tabs>
          <w:tab w:leader="none" w:pos="115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Holdings, if Holdings ceases to be the direct parent of the Issuer as a result of a transaction or designation permitted pursuant to the definition of “Holdings.”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66" w:right="45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03"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11.01. </w:t>
      </w: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This Indenture shall be discharged and shall cease to be of further effect as to all Notes of a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either:</w:t>
      </w:r>
    </w:p>
    <w:p>
      <w:pPr>
        <w:spacing w:after="0" w:line="51" w:lineRule="exact"/>
        <w:rPr>
          <w:sz w:val="20"/>
          <w:szCs w:val="20"/>
          <w:color w:val="auto"/>
        </w:rPr>
      </w:pPr>
    </w:p>
    <w:p>
      <w:pPr>
        <w:ind w:left="440" w:right="60" w:firstLine="419"/>
        <w:spacing w:after="0" w:line="266" w:lineRule="auto"/>
        <w:tabs>
          <w:tab w:leader="none" w:pos="110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such series theretofore authenticated and delivered, except lost, stolen or destroyed Notes of such series which have been replaced or paid and Notes of such series for whose payment money has theretofore been deposited in trust, have been delivered to the Trustee for cancellation; or</w:t>
      </w:r>
    </w:p>
    <w:p>
      <w:pPr>
        <w:spacing w:after="0" w:line="67"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Notes of such series not theretofore delivered to the Trustee for cancellation have become due and payable by reason of the making of a notice of redemption or otherwise, will become due and payable within one year or are to be called for redemption within one year under arrangements satisfactory to the Trustee for the giving of notice of redemption by the Trustee in the name, and at the expense, of the Issuers, and the Issuers or any Guarantor have irrevocably deposited or caused to be deposited with the Trustee as trust funds in trust solely for the benefit of the Holders of the Notes of such series, cash in U.S. dollars, U.S. Government Securities, or a combination thereof, in such amounts as will be sufficient without consideration of any reinvestment to pay and discharge the entire indebtedness on the Notes of such series not theretofore delivered to the Trustee for cancellation for principal, premium, if any, and accrued interest to the date of maturity or redemption; provided that upon any redemption prior to the Par Call Date, the amount deposited shall be sufficient for purposes of this Indenture to the extent that an amount is deposited with the Trustee equal to the redemption price calculated as of the date of the notice of redemption, with any Applicable Premium Deficit only required to be deposited with the Trustee on or prior to the Redemption Date. Any Applicable Premium Deficit shall be set forth in an Officer’s Certificate delivered to the Trustee at least one Business Day prior to the deposit of such Applicable Premium Deficit that confirms that such Applicable Premium Deficit shall be applied toward such redemption;</w:t>
      </w:r>
    </w:p>
    <w:p>
      <w:pPr>
        <w:spacing w:after="0" w:line="82" w:lineRule="exact"/>
        <w:rPr>
          <w:sz w:val="20"/>
          <w:szCs w:val="20"/>
          <w:color w:val="auto"/>
        </w:rPr>
      </w:pPr>
    </w:p>
    <w:p>
      <w:pPr>
        <w:ind w:left="1120" w:hanging="261"/>
        <w:spacing w:after="0"/>
        <w:tabs>
          <w:tab w:leader="none" w:pos="11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have paid or caused to be paid all sums payable by them under this Indenture with respect to the Notes of such series; and</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7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have delivered irrevocable instructions to the Trustee to apply the deposited money toward the payment of the Notes of such series at maturity or the Redemption Date, as the case may be.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addition, the Issuers must deliver an Officer’s Certificate and an Opinion of Counsel to the Trustee stating that all conditions precedent to satisfaction and discharge have been satisfied. Such Opinion of Counsel may rely on such Officer’s Certificate as to matters of fact, including clauses (b) (i), (ii) and (iii) above. This Indenture will be discharged as to all series of Notes when each series of Notes issued hereunder have been discharged.</w:t>
      </w:r>
    </w:p>
    <w:p>
      <w:pPr>
        <w:spacing w:after="0" w:line="176"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provisions of Section 7.06 shall survive and if money shall have been deposited with the Trustee pursuant to clause (b)(i) of this Section 11.01, the provisions of Section 11.02 and Section 8.06 hereof shall survive such satisfaction and discharge.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0"/>
          </w:cols>
          <w:pgMar w:left="440" w:top="270" w:right="459" w:bottom="1440" w:gutter="0" w:footer="0" w:header="0"/>
        </w:sectPr>
      </w:pPr>
    </w:p>
    <w:bookmarkStart w:id="134" w:name="page135"/>
    <w:bookmarkEnd w:id="134"/>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11.02. </w:t>
      </w:r>
      <w:r>
        <w:rPr>
          <w:rFonts w:ascii="Times New Roman" w:cs="Times New Roman" w:eastAsia="Times New Roman" w:hAnsi="Times New Roman"/>
          <w:sz w:val="18"/>
          <w:szCs w:val="18"/>
          <w:i w:val="1"/>
          <w:iCs w:val="1"/>
          <w:color w:val="auto"/>
        </w:rPr>
        <w:t>Application of Trust Money</w:t>
      </w:r>
      <w:r>
        <w:rPr>
          <w:rFonts w:ascii="Times New Roman" w:cs="Times New Roman" w:eastAsia="Times New Roman" w:hAnsi="Times New Roman"/>
          <w:sz w:val="18"/>
          <w:szCs w:val="18"/>
          <w:color w:val="auto"/>
        </w:rPr>
        <w:t>. Subject to the provisions of Section 8.06 hereof, all money and U.S. Government Securities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Trustee pursuant to Section 11.01 hereof shall be held in trust and applied by it, in accordance with the provisions of the Notes and this Indenture, to the payment, either directly or through any Paying Agent (including an Issuer or a Guarantor acting as its own Paying Agent) as the Trustee may determine, to the Persons entitled thereto, of the principal (and premium, if any) and interest for whose payment such money and U.S. Government Securities has been deposited with the Trustee; but such money and U.S. Government Securities need not be segregated from other funds except to the extent required by law.</w:t>
      </w:r>
    </w:p>
    <w:p>
      <w:pPr>
        <w:spacing w:after="0" w:line="18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money or U.S. Government Securities in accordance with Section 11.01 hereof by reason of any legal proceeding or by reason of any order or judgment of any court or governmental authority enjoining, restraining or otherwise prohibiting such application, any Issuer’s and any Guarantor’s obligations under this Indenture and the Notes shall be revived and reinstated as though no deposit had occurred pursuant to Section 11.01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Issuer has made any payment of principal of, premium, if any, or interest on any Notes because of the reinstatement of its obligations, such Issuer shall be subrogated to the rights of the Holders to receive such payment from the money or U.S. Government Securities held by the Trustee or Paying Agent.</w:t>
      </w:r>
    </w:p>
    <w:p>
      <w:pPr>
        <w:spacing w:after="0" w:line="18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[RESERVED]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COLLATERAL</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13.01. </w:t>
      </w:r>
      <w:r>
        <w:rPr>
          <w:rFonts w:ascii="Times New Roman" w:cs="Times New Roman" w:eastAsia="Times New Roman" w:hAnsi="Times New Roman"/>
          <w:sz w:val="18"/>
          <w:szCs w:val="18"/>
          <w:i w:val="1"/>
          <w:iCs w:val="1"/>
          <w:color w:val="auto"/>
        </w:rPr>
        <w:t>Security Documents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due and punctual payment of the principal of, premium and interest on the Notes when and as the same shall be due and payable, whether on an Interest Payment Date, at maturity, by acceleration, repurchase, redemption or otherwise, and interest on the overdue principal of, premium and interest on the Notes and performance of all other Obligations of the Issuers and the Guarantors to the Holders, the Trustee or the Notes Collateral Agent under this Indenture, the Notes, the Guarantees, the Pari Passu Intercreditor Agreement, the ABL/Fixed Asset Intercreditor Agreement, if any, the Junior Lien Intercreditor Agreement, if any, and the Security Documents, according to the terms hereunder or thereunder, shall be secured as provided in the Security Documents, which define the terms of the Liens that secure Notes Obligations, subject to the terms of the Pari Passu Intercreditor Agreement. The Trustee, the Issuers and the Guarantors hereby acknowledge and agree that the Notes Collateral Agent holds the Collateral in trust for the benefit of the Holders, the Trustee and the Notes Collateral Agent and pursuant to the terms of the Security Documents and the Pari Passu Intercreditor Agreement. Each Holder, by accepting a Note, consents and agrees to the terms of the Security Documents (including the provisions providing for the possession, use, release and foreclosure of Collateral) and the Pari Passu Intercreditor Agreement, the ABL/Fixed Asset Intercreditor Agreement, if any, and Junior Lien Intercreditor Agreement, if any, each as may be in effect or may be amended from time to time in accordance with their terms and this Indenture, and authorizes and directs the Notes Collateral Agent to enter into the Security Documents and the Pari Passu Intercreditor Agreement on the Issue Date, and the Security Documents and the Junior Lien Intercreditor Agreement, if any, at any time after the Issue Date, if applicable, and to perform its obligations and exercise its rights thereunder in accordance therewith. The Issuer shall deliver to the Notes Collateral Agent copies of all documents required to be filed pursuant to the Security Documents, and will do or cause to be done all such acts and things as may be reasonably required by the next sentence of this Section 13.01, to assure and confirm to the Notes Collateral Agent the security interest in the Collateral contemplated hereby, by the Security Documents or any part thereof, as from time to time constituted, so as to render the same available for the security and benefit of this Indenture and of the Notes secured hereby, according to the intent and purposes herein expressed. On or following the Issue Date and subject to the Pari Passu Intercreditor Agreement, the Issuers and the Guarantors shall execute, file and record (if applicable) any and all further documents, financing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0"/>
          </w:cols>
          <w:pgMar w:left="440" w:top="266" w:right="459" w:bottom="1440" w:gutter="0" w:footer="0" w:header="0"/>
        </w:sectPr>
      </w:pPr>
    </w:p>
    <w:bookmarkStart w:id="135" w:name="page136"/>
    <w:bookmarkEnd w:id="135"/>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statements (including continuation statements and amendments to financing statements), agreements and instruments, and take all further action that may be required under applicable law in order to grant, preserve, maintain, protect and perfect (or continue the perfection of) the validity and priority of the Liens and security interests created or intended to be created by the Security Documents in the Collateral and cause the Collateral and Guarantee Requirement to be and remain satisfied;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so long as there are outstanding any Senior Secured Credit Facility Obligations, no actions shall be required to be taken with respect to the perfection of the security interests in the Collateral to the extent such actions are not required to be taken with respect to the Senior Secured Credit Facilities. Such security interests and Liens will be created under the Security Documents and other security agreements and other instruments and documents.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13.02. </w:t>
      </w:r>
      <w:r>
        <w:rPr>
          <w:rFonts w:ascii="Times New Roman" w:cs="Times New Roman" w:eastAsia="Times New Roman" w:hAnsi="Times New Roman"/>
          <w:sz w:val="18"/>
          <w:szCs w:val="18"/>
          <w:i w:val="1"/>
          <w:iCs w:val="1"/>
          <w:color w:val="auto"/>
        </w:rPr>
        <w:t>Release of Collateral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firstLine="436"/>
        <w:spacing w:after="0" w:line="256" w:lineRule="auto"/>
        <w:tabs>
          <w:tab w:leader="none" w:pos="68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may be released from the Lien and security interest created by the Security Documents at any time and from time to time in accordance with the provisions of the Security Documents, the Pari Passu Intercreditor Agreement and this Indenture. Notwithstanding anything to the contrary in the Security Documents, the Pari Passu Intercreditor Agreement and this Indenture, the Issuers and the Guarantors will be entitled to the release of property and other assets constituting Collateral from the Liens securing the Notes and the Notes Obligations, and such release shall occur automatically and without further action by the Notes Collateral Agent, the Trustee or the Holders, under any one or more of the following circumstances:</w:t>
      </w:r>
    </w:p>
    <w:p>
      <w:pPr>
        <w:spacing w:after="0" w:line="79" w:lineRule="exact"/>
        <w:rPr>
          <w:rFonts w:ascii="Times New Roman" w:cs="Times New Roman" w:eastAsia="Times New Roman" w:hAnsi="Times New Roman"/>
          <w:sz w:val="18"/>
          <w:szCs w:val="18"/>
          <w:color w:val="auto"/>
        </w:rPr>
      </w:pPr>
    </w:p>
    <w:p>
      <w:pPr>
        <w:jc w:val="both"/>
        <w:ind w:left="440" w:right="120" w:firstLine="419"/>
        <w:spacing w:after="0" w:line="266" w:lineRule="auto"/>
        <w:tabs>
          <w:tab w:leader="none" w:pos="107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an Issuer and/or one or more Guarantors to consummate the sale, transfer or other disposition (including by the termination of capital leases or the repossession of the leased property in a capital lease by the lessor) of such property or assets (to a Person other than a Person required to grant a Lien on such property or asset to the Notes Collateral Agent under the Security Documents);</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2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Guarantor that is released from its Guarantee with respect to the Notes of all series secured by such Collateral pursuant to the terms of this Indenture, the release of the Equity Interests in, and property and assets of, such Guarantor;</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Collateral, upon the satisfaction of the conditions provided in Section 4.17 hereof;</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if all other liens on such Collateral securing Pari Passu Obligations are released or will be released simultaneously therewith and</w:t>
      </w:r>
    </w:p>
    <w:p>
      <w:pPr>
        <w:spacing w:after="0" w:line="27" w:lineRule="exact"/>
        <w:rPr>
          <w:sz w:val="20"/>
          <w:szCs w:val="20"/>
          <w:color w:val="auto"/>
        </w:rPr>
      </w:pPr>
    </w:p>
    <w:p>
      <w:pPr>
        <w:jc w:val="both"/>
        <w:ind w:left="440" w:right="160" w:hanging="4"/>
        <w:spacing w:after="0" w:line="255" w:lineRule="auto"/>
        <w:tabs>
          <w:tab w:leader="none" w:pos="6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ABL Priority Collateral securing Senior ABL Revolving Credit Obligations then outstanding, if the liens on such ABL Priority Collateral are released by the Senior ABL Credit Agreement Collateral Agent or otherwise pursuant to the Senior ABL Credit Agreement (other than any release by, or as a result of, payment of the Senior ABL Revolving Credit Obligations);</w:t>
      </w:r>
    </w:p>
    <w:p>
      <w:pPr>
        <w:spacing w:after="0" w:line="7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release of such Lien is approved, authorized or ratified by the Required Holders;</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property or asset constitutes or becomes an Excluded Asset; or</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under Article 9 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0"/>
          </w:cols>
          <w:pgMar w:left="440" w:top="270" w:right="459" w:bottom="1440" w:gutter="0" w:footer="0" w:header="0"/>
        </w:sectPr>
      </w:pPr>
    </w:p>
    <w:bookmarkStart w:id="136" w:name="page137"/>
    <w:bookmarkEnd w:id="136"/>
    <w:p>
      <w:pPr>
        <w:ind w:right="280" w:firstLine="436"/>
        <w:spacing w:after="0" w:line="282" w:lineRule="auto"/>
        <w:tabs>
          <w:tab w:leader="none" w:pos="69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Liens on the Collateral securing the Notes of a series and the Guarantees with respect to such series also will be released automatically and without further action by the Notes Collateral Agent, the Trustee or the Holders of Notes of such series:</w:t>
      </w:r>
    </w:p>
    <w:p>
      <w:pPr>
        <w:spacing w:after="0" w:line="53" w:lineRule="exact"/>
        <w:rPr>
          <w:rFonts w:ascii="Times New Roman" w:cs="Times New Roman" w:eastAsia="Times New Roman" w:hAnsi="Times New Roman"/>
          <w:sz w:val="18"/>
          <w:szCs w:val="18"/>
          <w:color w:val="auto"/>
        </w:rPr>
      </w:pPr>
    </w:p>
    <w:p>
      <w:pPr>
        <w:jc w:val="both"/>
        <w:ind w:left="440" w:right="140" w:firstLine="419"/>
        <w:spacing w:after="0" w:line="266" w:lineRule="auto"/>
        <w:tabs>
          <w:tab w:leader="none" w:pos="107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in full of the principal of, together with accrued and unpaid interest on, the Notes of such series and all other Obligations under this Indenture, the Guarantees and the Security Documents with respect to such series that are due and payable at or prior to the time such principal, together with accrued and unpaid interest, are paid;</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2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Legal Defeasance or Covenant Defeasance with respect to such series under this Indenture as described under Section 8.02 and Section 8.03 hereof, or a discharge of this Indenture with respect to such series as described under Section 11.01 hereof; or</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Security Documents or the Pari Passu Intercreditor Agreement.</w:t>
      </w:r>
    </w:p>
    <w:p>
      <w:pPr>
        <w:spacing w:after="0" w:line="225"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release of Collateral, upon receipt of an Officer’s Certificate stating that all conditions precedent under this Indenture, the Security Documents and the Pari Passu Intercreditor Agreement, as applicable, to such release have been met and that it is permitted for the Trustee and/or Notes Collateral Agent to execute and deliver the documents requested by the Issuers in connection with such release and any necessary or proper instruments of termination, satisfaction or release prepared by the Issuers, the Trustee and the Notes Collateral Agent, as applicable, shall, execute, deliver or acknowledge (at the Issuers’ expense) such instruments or releases reasonably requested by the Issuers to evidence the release of any Collateral permitted to be released pursuant to this Indenture, the Security Documents related thereto or the Pari Passu Intercreditor Agreement and shall do or cause to be done (at the Issuers’ expense) all acts reasonably requested of them to release such Lien as soon as is reasonably practicable. Neither the Trustee nor the Notes Collateral Agent shall be liable for any such release undertaken in reliance upon any such Officer’s Certificate, and notwithstanding any term hereof or in any Security Document or in the Pari Passu Intercreditor Agreement to the contrary, the Trustee and the Notes Collateral Agent shall not be under any obligation to release any such Lien and security interest, or execute and deliver any such instrument of release, satisfaction or termination, unless and until it receives such Officer’s Certificate, upon which it shall be entitled to conclusively rely.</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13.03. </w:t>
      </w:r>
      <w:r>
        <w:rPr>
          <w:rFonts w:ascii="Times New Roman" w:cs="Times New Roman" w:eastAsia="Times New Roman" w:hAnsi="Times New Roman"/>
          <w:sz w:val="18"/>
          <w:szCs w:val="18"/>
          <w:i w:val="1"/>
          <w:iCs w:val="1"/>
          <w:color w:val="auto"/>
        </w:rPr>
        <w:t>Suits to Protect the Collateral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the provisions of Article 7 and the Security Documents and the Pari Passu Intercreditor Agreement, the Trustee may or may direct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Collateral Agent to take all actions it determines in order to:</w:t>
      </w:r>
    </w:p>
    <w:p>
      <w:pPr>
        <w:spacing w:after="0" w:line="207" w:lineRule="exact"/>
        <w:rPr>
          <w:sz w:val="20"/>
          <w:szCs w:val="20"/>
          <w:color w:val="auto"/>
        </w:rPr>
      </w:pPr>
    </w:p>
    <w:p>
      <w:pPr>
        <w:ind w:left="680" w:hanging="244"/>
        <w:spacing w:after="0"/>
        <w:tabs>
          <w:tab w:leader="none" w:pos="6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any of the terms of the Security Documents; and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and receive any and all amounts payable in respect of the Obligations hereunder.</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Subject to the provisions of the Security Documents and the Pari Passu Intercreditor Agreement, the Trustee and the Notes Collateral Agent shall have power to institute and to maintain such suits and proceedings as the Trustee or the Notes Collateral Agent may determine to prevent any impairment of the Collateral by any acts which may be unlawful or in violation of any of the Security Documents or this Indenture, and such suits and proceedings as the Trustee or the Notes Collateral Agent may determine to preserve or protect its interests and the interests of the Holders in the Collateral. Nothing in this Section 13.03 shall be considered to impose any such duty or obligation to act on the part of the Trustee or the Notes Collateral Agent.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980"/>
          </w:cols>
          <w:pgMar w:left="440" w:top="270" w:right="479" w:bottom="1440" w:gutter="0" w:footer="0" w:header="0"/>
        </w:sectPr>
      </w:pPr>
    </w:p>
    <w:bookmarkStart w:id="137" w:name="page138"/>
    <w:bookmarkEnd w:id="13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13.04. </w:t>
      </w:r>
      <w:r>
        <w:rPr>
          <w:rFonts w:ascii="Times New Roman" w:cs="Times New Roman" w:eastAsia="Times New Roman" w:hAnsi="Times New Roman"/>
          <w:sz w:val="18"/>
          <w:szCs w:val="18"/>
          <w:i w:val="1"/>
          <w:iCs w:val="1"/>
          <w:color w:val="auto"/>
        </w:rPr>
        <w:t>Authorization of Receipt of Funds by the Trustee Under the Security Documents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40" w:firstLine="440"/>
        <w:spacing w:after="0" w:line="312" w:lineRule="auto"/>
        <w:rPr>
          <w:sz w:val="20"/>
          <w:szCs w:val="20"/>
          <w:color w:val="auto"/>
        </w:rPr>
      </w:pPr>
      <w:r>
        <w:rPr>
          <w:rFonts w:ascii="Times New Roman" w:cs="Times New Roman" w:eastAsia="Times New Roman" w:hAnsi="Times New Roman"/>
          <w:sz w:val="17"/>
          <w:szCs w:val="17"/>
          <w:color w:val="auto"/>
        </w:rPr>
        <w:t>Subject to the provisions of the Pari Passu Intercreditor Agreement, the Trustee is authorized to receive any funds for the benefit of the Holders distributed under the Security Documents, and to make further distributions of such funds to the Holders according to the provisions of this Indenture.</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13.05. </w:t>
      </w:r>
      <w:r>
        <w:rPr>
          <w:rFonts w:ascii="Times New Roman" w:cs="Times New Roman" w:eastAsia="Times New Roman" w:hAnsi="Times New Roman"/>
          <w:sz w:val="18"/>
          <w:szCs w:val="18"/>
          <w:i w:val="1"/>
          <w:iCs w:val="1"/>
          <w:color w:val="auto"/>
        </w:rPr>
        <w:t>Purchaser Protected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no event shall any purchaser in good faith of any property purported to be released hereunder be bound to ascertain the authority of the Notes Collateral Agent or the Trustee to execute the applicable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or rights permitted by this Article 13 to be sold be under any obligation to ascertain or inquire into the authority of the applicable Issuer or the applicable Guarantor to make any such sale or other transfer.</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13.06. </w:t>
      </w:r>
      <w:r>
        <w:rPr>
          <w:rFonts w:ascii="Times New Roman" w:cs="Times New Roman" w:eastAsia="Times New Roman" w:hAnsi="Times New Roman"/>
          <w:sz w:val="18"/>
          <w:szCs w:val="18"/>
          <w:i w:val="1"/>
          <w:iCs w:val="1"/>
          <w:color w:val="auto"/>
        </w:rPr>
        <w:t>Powers Exercisable by Receiver or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case the Collateral shall be in the possession of a receiver or trustee, lawfully appointed, the powers conferred in this Article 13 upon an Issuer or a Guarantor with respect to the release, sale or other disposition of such property may be exercised by such receiver or trustee, and an instrument signed by such receiver or trustee shall be deemed the equivalent of any similar instrument of an Issuer or a Guarantor or of any Officer or Officers thereof required by the provisions of this Article 13; and if the Trustee or the Notes Collateral Agent shall be in the possession of the Collateral under any provision of this Indenture, then such powers may be exercised by the Trustee or the Notes Collateral Agent.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13.07. </w:t>
      </w:r>
      <w:r>
        <w:rPr>
          <w:rFonts w:ascii="Times New Roman" w:cs="Times New Roman" w:eastAsia="Times New Roman" w:hAnsi="Times New Roman"/>
          <w:sz w:val="18"/>
          <w:szCs w:val="18"/>
          <w:i w:val="1"/>
          <w:iCs w:val="1"/>
          <w:color w:val="auto"/>
        </w:rPr>
        <w:t>Notes Collateral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36"/>
        <w:spacing w:after="0" w:line="252" w:lineRule="auto"/>
        <w:tabs>
          <w:tab w:leader="none" w:pos="68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and each of the Holders by acceptance of the Notes hereby designates and appoints the Notes Collateral Agent as its agent under this Indenture, the Security Documents, the Pari Passu Intercreditor Agreement, the ABL/Fixed Asset Intercreditor Agreement, if any, and the Junior Lien Intercreditor Agreement, if any, and the Issuers and each of the Holders by acceptance of the Notes hereby irrevocably authorizes the Notes Collateral Agent to take such action on its behalf under the provisions of this Indenture, the Security Documents, the Pari Passu Intercreditor Agreement, the ABL/Fixed Asset Intercreditor Agreement, if any, and the Junior Lien Intercreditor Agreement, if any, and to exercise such powers and perform such duties as are expressly delegated to the Notes Collateral Agent by the terms of this Indenture, the Security Documents, the Pari Passu Intercreditor Agreement, the ABL/Fixed Asset Intercreditor Agreement, if any, and the Junior Lien Intercreditor Agreement, if any, and consents and agrees to the terms of the Pari Passu Intercreditor Agreement, the ABL/Fixed Asset Intercreditor Agreement, if any, the Junior Lien Intercreditor Agreement, if any, and each Security Document, as the same may be in effect or may be amended, restated, supplemented or otherwise modified from time to time in accordance with their respective terms. The Notes Collateral Agent agrees to act as such on the express conditions contained in this Section 13.07. Each Holder agrees that any action taken by the Notes Collateral Agent in accordance with the provisions of this Indenture, the Pari Passu Intercreditor Agreement, the ABL/Fixed Asset Intercreditor Agreement, if any, the Junior Lien Intercreditor Agreement, if any, and the Security Documents, and the exercise by the Notes Collateral Agent of any rights or remedies set forth herein and therein shall be authorized and binding upon all Holders. Notwithstanding any provision to the contrary contained elsewhere in this Indenture, the Security Documents, the Pari Passu Intercreditor Agreement, the ABL/Fixed Asset Intercreditor Agreement, if any, and the Junior Lien Intercreditor Agreement, if any, the duties of the Notes Collateral Agent shall be ministerial and administrative in nature, and the Notes Collateral Agent shall not have any</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940"/>
          </w:cols>
          <w:pgMar w:left="440" w:top="266" w:right="519" w:bottom="1440" w:gutter="0" w:footer="0" w:header="0"/>
        </w:sectPr>
      </w:pPr>
    </w:p>
    <w:bookmarkStart w:id="138" w:name="page139"/>
    <w:bookmarkEnd w:id="138"/>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duties or responsibilities, except those expressly set forth herein and in the Security Documents, the Pari Passu Intercreditor Agreement, the ABL/Fixed Asset Intercreditor Agreement, if any, and the Junior Lien Intercreditor Agreement, if any, to which the Notes Collateral Agent is a party, nor shall the Notes Collateral Agent have or be deemed to have any trust or other fiduciary relationship with the Trustee, any Holder or any Grantor, and no implied covenants, functions, responsibilities, duties, obligations or liabilities shall be read into this Indenture, the Security Documents, the Pari Passu Intercreditor Agreement, the ABL/Fixed Asset Intercreditor Agreement, if any, and the Junior Lien Intercreditor Agreement, if any, or otherwise exist against the Notes Collateral Agent. Without limiting the generality of the foregoing sentence, the use of the term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88" w:lineRule="exact"/>
        <w:rPr>
          <w:sz w:val="20"/>
          <w:szCs w:val="20"/>
          <w:color w:val="auto"/>
        </w:rPr>
      </w:pPr>
    </w:p>
    <w:p>
      <w:pPr>
        <w:ind w:left="4" w:right="40" w:firstLine="436"/>
        <w:spacing w:after="0" w:line="255" w:lineRule="auto"/>
        <w:tabs>
          <w:tab w:leader="none" w:pos="699"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may perform any of its duties under this Indenture, the Security Documents, the Pari Passu Intercreditor Agreement, the ABL/Fixed Asset Intercreditor Agreement, if any, or the Junior Lien Intercreditor Agreement, if any, by or through receivers, agents, employees, attorneys-in-fact or with respect to any specified Person, such Person’s Affiliates, and the respective officers, directors, employees, agents, advisors and attorneys-in-fact of such Person and its Affiliates (a “</w:t>
      </w:r>
      <w:r>
        <w:rPr>
          <w:rFonts w:ascii="Times New Roman" w:cs="Times New Roman" w:eastAsia="Times New Roman" w:hAnsi="Times New Roman"/>
          <w:sz w:val="18"/>
          <w:szCs w:val="18"/>
          <w:b w:val="1"/>
          <w:bCs w:val="1"/>
          <w:color w:val="auto"/>
        </w:rPr>
        <w:t>Related Person</w:t>
      </w:r>
      <w:r>
        <w:rPr>
          <w:rFonts w:ascii="Times New Roman" w:cs="Times New Roman" w:eastAsia="Times New Roman" w:hAnsi="Times New Roman"/>
          <w:sz w:val="18"/>
          <w:szCs w:val="18"/>
          <w:color w:val="auto"/>
        </w:rPr>
        <w:t>”), and shall be entitled to advice of counsel concerning all matters pertaining to such duties, and shall be entitled to act upon, and shall be fully protected in taking action in reliance upon any advice or opinion given by legal counsel. The Notes Collateral Agent shall not be responsible for the negligence or misconduct of any receiver, agent, employee, attorney-in-fact or Related Person that it selects as long as such selection was made in good faith and with due care.</w:t>
      </w:r>
    </w:p>
    <w:p>
      <w:pPr>
        <w:spacing w:after="0" w:line="188" w:lineRule="exact"/>
        <w:rPr>
          <w:rFonts w:ascii="Times New Roman" w:cs="Times New Roman" w:eastAsia="Times New Roman" w:hAnsi="Times New Roman"/>
          <w:sz w:val="18"/>
          <w:szCs w:val="18"/>
          <w:color w:val="auto"/>
        </w:rPr>
      </w:pPr>
    </w:p>
    <w:p>
      <w:pPr>
        <w:ind w:left="4" w:firstLine="436"/>
        <w:spacing w:after="0" w:line="270" w:lineRule="auto"/>
        <w:tabs>
          <w:tab w:leader="none" w:pos="689"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Notes Collateral Agent or any of its respective Related Persons shall (i) be liable for any action taken or omitted to be taken by any of them under or in connection with this Indenture or the transactions contemplated hereby (except for its own gross negligence or willful misconduct) or under or in connection with any Security Document, the Pari Passu Intercreditor Agreement, the ABL/Fixed Asset Intercreditor Agreement, if any, or the Junior Lien Intercreditor Agreement, if any, or the transactions contemplated thereby (except for its own gross negligence or willful misconduct), or</w:t>
      </w:r>
    </w:p>
    <w:p>
      <w:pPr>
        <w:spacing w:after="0" w:line="2" w:lineRule="exact"/>
        <w:rPr>
          <w:rFonts w:ascii="Times New Roman" w:cs="Times New Roman" w:eastAsia="Times New Roman" w:hAnsi="Times New Roman"/>
          <w:sz w:val="17"/>
          <w:szCs w:val="17"/>
          <w:color w:val="auto"/>
        </w:rPr>
      </w:pPr>
    </w:p>
    <w:p>
      <w:pPr>
        <w:ind w:left="4" w:right="20" w:hanging="4"/>
        <w:spacing w:after="0" w:line="251" w:lineRule="auto"/>
        <w:tabs>
          <w:tab w:leader="none" w:pos="26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responsible in any manner to any of the Trustee or any Holder for any recital, statement, representation, warranty, covenant or agreement made by an Issuer or any other Grantor or Affiliate of any Grantor, or any Officer or Related Person thereof, contained in this Indenture, the Security Documents, the Pari Passu Intercreditor Agreement, the ABL/Fixed Asset Intercreditor Agreement, if any, or the Junior Lien Intercreditor Agreement, if any, or in any certificate, report, statement or other document referred to or provided for in, or received by the Notes Collateral Agent under or in connection with, this Indenture, the Security Documents, the Pari Passu Intercreditor Agreement, the ABL/Fixed Asset Intercreditor Agreement, if any, or the Junior Lien Intercreditor Agreement, if any, or the validity, effectiveness, genuineness, enforceability or sufficiency of this Indenture, the Security Documents, the Pari Passu Intercreditor Agreement, the ABL/Fixed Asset Intercreditor Agreement, if any, or the Junior Lien Intercreditor Agreement, if any, or for any failure of any Grantor or any other party to this Indenture, the Security Documents, the Pari Passu Intercreditor Agreement, the ABL/Fixed Asset Intercreditor Agreement, if any, or the Junior Lien Intercreditor Agreement, if any, to perform its obligations hereunder or thereunder. None of the Notes Collateral Agent or any of its respective Related Persons shall be under any obligation to the Trustee or any Holder to ascertain or to inquire as to the observance or performance of any of the agreements contained in, or conditions of, this Indenture, the Security Documents, the Pari Passu Intercreditor Agreement, the ABL/Fixed Asset Intercreditor Agreement, if any, or the Junior Lien Intercreditor Agreement, if any, or to inspect the properties, books, or records of any Grantor or any Grantor’s Affiliates.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04"/>
          </w:cols>
          <w:pgMar w:left="436" w:top="270" w:right="459" w:bottom="1440" w:gutter="0" w:footer="0" w:header="0"/>
        </w:sectPr>
      </w:pPr>
    </w:p>
    <w:bookmarkStart w:id="139" w:name="page140"/>
    <w:bookmarkEnd w:id="139"/>
    <w:p>
      <w:pPr>
        <w:ind w:firstLine="436"/>
        <w:spacing w:after="0" w:line="252" w:lineRule="auto"/>
        <w:tabs>
          <w:tab w:leader="none" w:pos="69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Collateral Agent shall be entitled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without limitation, counsel to the Issuers or any other Grantor), independent accountants and other experts and advisors selected by the Notes Collateral Agent. Before the Notes Collateral Agent acts or refrains from acting, it may require an Officer’s Certificate or an Opinion of Counsel or both. The Notes Collateral Agent will not be liable for any action it takes or omits to take in good faith in reliance on such Officer’s Certificate or Opinion of Counsel. The Notes Collateral Agent may consult with counsel of its selection and the advice of such counsel or any Opinion of Counsel will be full and complete authorization and protection from liability in respect of any action taken, suffered or omitted by it hereunder in good faith and in reliance thereon. The Notes Collateral Agent will be under no obligation to exercise any of the rights or powers vested in it by this Indenture at the request or direction of the Trustee or the Holders of a majority in aggregate principal amount of the Notes unless such Holders have offered, and if requested, provided to the Notes Collateral Agent indemnity or security satisfactory to the Notes Collateral Agent against the losses, liabilities and expenses that might be incurred by it in compliance with such request or direction. The Notes Collateral Agent shall not be bound to make any investigation into the facts or matters stated in any resolution, certificate, statement, instrument, opinion, report, notice, request, direction, consent, order, bond, debenture, or other paper or document. The Notes Collateral Agent shall be fully justified in failing or refusing to take any action under this Indenture, the Security Documents, the Pari Passu Intercreditor Agreement, the ABL/Fixed Asset Intercreditor Agreement, if any, or the Junior Lien Intercreditor Agreement, if any, unless it shall first receive such advice or concurrence of the Trustee or the Required Holders as it determines and, if it so requests, it shall first be indemnified to its satisfaction by the Holders against any and all liability and expense which may be incurred by it by reason of taking or continuing to take any such action. The Notes Collateral Agent shall in all cases be fully protected in acting, or in refraining from acting, under this Indenture, the Security Documents, the Pari Passu Intercreditor Agreement, the ABL/Fixed Asset Intercreditor Agreement, if any, or the Junior Lien Intercreditor Agreement, if any, in accordance with a request, direction, instruction or consent of the Trustee or the Required Holders and such request and any action taken or failure to act pursuant thereto shall be binding upon all of the Holders.</w:t>
      </w:r>
    </w:p>
    <w:p>
      <w:pPr>
        <w:spacing w:after="0" w:line="187" w:lineRule="exact"/>
        <w:rPr>
          <w:rFonts w:ascii="Times New Roman" w:cs="Times New Roman" w:eastAsia="Times New Roman" w:hAnsi="Times New Roman"/>
          <w:sz w:val="18"/>
          <w:szCs w:val="18"/>
          <w:color w:val="auto"/>
        </w:rPr>
      </w:pPr>
    </w:p>
    <w:p>
      <w:pPr>
        <w:ind w:right="160" w:firstLine="436"/>
        <w:spacing w:after="0" w:line="258" w:lineRule="auto"/>
        <w:tabs>
          <w:tab w:leader="none" w:pos="68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not be deemed to have knowledge or notice of the occurrence of any Default or Event of Default, unless a Responsible Officer of the Notes Collateral Agent shall have received written notice from the Trustee or the Issuers referring to this Indenture, describing such Default or Event of Default and stating that such notice is a “notice of default.” The Notes Collateral Agent shall take such action with respect to such Default or Event of Default as may be requested by the Trustee in accordance with Article 6 or the Required Holders (subject to this Section 13.07).</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6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may resign at any time by 30 days’ written notice to the Trustee and the Issuers, such resignation to be effective upon the acceptance of a successor agent to its appointment as Notes Collateral Agent. If the Notes Collateral Agent resigns under this Indenture, the Issuers shall appoint a successor collateral agent. If no successor collateral agent is appointed prior to the intended effective date of the resignation of the Notes Collateral Agent (as stated in the notice of resignation), the Trustee, at the direction of the Required Holders, may appoint a successor collateral agent, subject to the consent of the Issuers (which consent shall not be unreasonably withheld and which shall not be required during a continuing Event of Default). If no successor collateral agent is appointed and consented to by the Issuers pursuant to the preceding sentence within thirty (30) days after the intended effective date of resignation (as stated in the notice of resignation) the Notes Collateral Agent shall be entitled to petition a court of competent jurisdiction to appoint a successor. Upon the acceptance of its appointment as successor collateral agent hereunder, such successor collateral agent shall succeed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0"/>
          </w:cols>
          <w:pgMar w:left="440" w:top="270" w:right="459" w:bottom="1440" w:gutter="0" w:footer="0" w:header="0"/>
        </w:sectPr>
      </w:pPr>
    </w:p>
    <w:bookmarkStart w:id="140" w:name="page141"/>
    <w:bookmarkEnd w:id="14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the rights, powers and duties of the retiring Notes Collateral Agent, and the term “Notes Collateral Agent” shall mean such successor collateral agent, and the retiring Notes Collateral Agent’s appointment, powers and duties as the Notes Collateral Agent shall be terminated. After the retiring Notes Collateral Agent’s resignation hereunder, the provisions of this Section 13.07 (and Section 7.06 hereof) shall continue to inure to its benefit and the retiring Notes Collateral Agent shall not by reason of such resignation be deemed to be released from liability as to any actions taken or omitted to be taken by it while it was the Notes Collateral Agent under this Indenture. If the Notes Collateral Agent consolidates, merges or converts into, or transfers all or substantially all of its corporate trust business to, another corporation, the successor corporation shall be the successor Notes Collateral Agent and shall cooperate with the Issuers with respect to any actions as are necessary to ensure continued perfection.</w:t>
      </w:r>
    </w:p>
    <w:p>
      <w:pPr>
        <w:spacing w:after="0" w:line="189" w:lineRule="exact"/>
        <w:rPr>
          <w:sz w:val="20"/>
          <w:szCs w:val="20"/>
          <w:color w:val="auto"/>
        </w:rPr>
      </w:pPr>
    </w:p>
    <w:p>
      <w:pPr>
        <w:ind w:right="100" w:firstLine="436"/>
        <w:spacing w:after="0" w:line="272" w:lineRule="auto"/>
        <w:tabs>
          <w:tab w:leader="none" w:pos="695"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Wilmington Trust, National Association shall initially act as Notes Collateral Agent and shall be authorized to appoint co-Notes Collateral Agents as necessary in its sole discretion. Except as otherwise explicitly provided herein or in the Security Documents or the Pari Passu Intercreditor Agreement, the ABL/Fixed Asset Intercreditor Agreement, if any, or the Junior Lien Intercreditor Agreement, if any, neither the Notes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Notes Collateral Agent shall be accountable only for amounts that it actually receives as a result of the exercise of such powers, and neither the Notes Collateral Agent nor any of its officers, directors, employees or agents shall be responsible for any act or failure to act hereunder, except for its own gross negligence or willful misconduct.</w:t>
      </w:r>
    </w:p>
    <w:p>
      <w:pPr>
        <w:spacing w:after="0" w:line="171" w:lineRule="exact"/>
        <w:rPr>
          <w:rFonts w:ascii="Times New Roman" w:cs="Times New Roman" w:eastAsia="Times New Roman" w:hAnsi="Times New Roman"/>
          <w:sz w:val="17"/>
          <w:szCs w:val="17"/>
          <w:color w:val="auto"/>
        </w:rPr>
      </w:pPr>
    </w:p>
    <w:p>
      <w:pPr>
        <w:ind w:firstLine="436"/>
        <w:spacing w:after="0" w:line="256" w:lineRule="auto"/>
        <w:tabs>
          <w:tab w:leader="none" w:pos="69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is authorized and directed to (i) enter into the Security Documents to which it is party, whether executed on or after the Issue Date, (ii) enter into the Pari Passu Intercreditor Agreement on the Issue Date, (iii) enter into the ABL/Fixed Asset Intercreditor Agreement, if any, (iv) enter into the Junior Lien Intercreditor Agreement, if any, after the Issue Date, (v) make the representations of the Holders set forth in the Security Documents, the Pari Passu Intercreditor Agreement or the Junior Lien Intercreditor Agreement, if any, (vi) bind the Holders on the terms as set forth in the Security Documents, the Pari Passu Intercreditor Agreement or Junior Lien Intercreditor Agreement, if any, and (vii) perform and observe its obligations under the Security Documents, the Pari Passu Intercreditor Agreement and the Junior Lien Intercreditor Agreement, if any.</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65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Notes Collateral Agent pursuant to the terms of this Indenture, or (ii) payments from the Notes Collateral Agent in excess of the amount required to be paid to the Trustee pursuant to Article 6, the Trustee shall promptly turn the same over to the Notes Collateral Agent, in kind, and with such endorsements as may be required to negotiate the same to the Notes Collateral Agent such proceeds to be applied by the Notes Collateral Agent pursuant to the terms of this Indenture, the Security Documents and the Pari Passu Intercreditor Agreement.</w:t>
      </w:r>
    </w:p>
    <w:p>
      <w:pPr>
        <w:spacing w:after="0" w:line="187" w:lineRule="exact"/>
        <w:rPr>
          <w:rFonts w:ascii="Times New Roman" w:cs="Times New Roman" w:eastAsia="Times New Roman" w:hAnsi="Times New Roman"/>
          <w:sz w:val="18"/>
          <w:szCs w:val="18"/>
          <w:color w:val="auto"/>
        </w:rPr>
      </w:pPr>
    </w:p>
    <w:p>
      <w:pPr>
        <w:ind w:right="20" w:firstLine="436"/>
        <w:spacing w:after="0" w:line="261" w:lineRule="auto"/>
        <w:tabs>
          <w:tab w:leader="none" w:pos="65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is each Holder’s agent for the purpose of perfecting the Holders’ security interest in assets which, in accordance with Article 9 of the Uniform Commercial Code, can be perfected only by possession. Should the Trustee obtain possession of any such Collateral, upon request from the Issuers, the Trustee shall notify the Notes Collateral Agent thereof and promptly shall deliver such Collateral to the Notes Collateral Agent or otherwise deal with such Collateral in accordance with the Notes Collateral Agent’s instructions.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440" w:top="270" w:right="459" w:bottom="1440" w:gutter="0" w:footer="0" w:header="0"/>
        </w:sectPr>
      </w:pPr>
    </w:p>
    <w:bookmarkStart w:id="141" w:name="page142"/>
    <w:bookmarkEnd w:id="141"/>
    <w:p>
      <w:pPr>
        <w:ind w:firstLine="436"/>
        <w:spacing w:after="0" w:line="254" w:lineRule="auto"/>
        <w:tabs>
          <w:tab w:leader="none" w:pos="69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Collateral Agent shall have no obligation whatsoever to the Trustee or any of the Holders to assure that the Collateral exists or is owned by any Grantor or is cared for, protected, or insured or has been encumbered, or that the Notes Collateral Agent’s Liens have been properly or sufficiently or lawfully created, perfected, protected, maintained or enforced or are entitled to any particular priority, or to determine whether all of the Grantor’s property constituting Collateral intended to be subject to the Lien and security interest of the Security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Indenture, any Security Document, the Pari Passu Intercreditor Agreement, the ABL/Fixed Asset Intercreditor Agreement, if any, or the Junior Lien Intercreditor Agreement, if any, other than pursuant to the instructions of the Required Holders or as otherwise provided in the Security Documents.</w:t>
      </w:r>
    </w:p>
    <w:p>
      <w:pPr>
        <w:spacing w:after="0" w:line="188" w:lineRule="exact"/>
        <w:rPr>
          <w:rFonts w:ascii="Times New Roman" w:cs="Times New Roman" w:eastAsia="Times New Roman" w:hAnsi="Times New Roman"/>
          <w:sz w:val="18"/>
          <w:szCs w:val="18"/>
          <w:color w:val="auto"/>
        </w:rPr>
      </w:pPr>
    </w:p>
    <w:p>
      <w:pPr>
        <w:ind w:right="40" w:firstLine="436"/>
        <w:spacing w:after="0" w:line="253" w:lineRule="auto"/>
        <w:tabs>
          <w:tab w:leader="none" w:pos="65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Issuer or any Guarantor (i) incurs any obligations in respect of Pari Passu Obligations, Senior ABL Revolving Credit Obligations or Junior Lien Obligations at any time when no applicable intercreditor agreement is in effect or at any time when Indebtedness constituting Pari Passu Obligations, Senior ABL Revolving Credit Obligations or Junior Lien Obligations entitled to the benefit of an existing Pari Passu Intercreditor Agreement, the ABL/Fixed Asset Intercreditor Agreement, if any, or Junior Lien Intercreditor Agreement is concurrently retired, and (ii) delivers to the Notes Collateral Agent an Officer’s Certificate so stating and requesting the Notes Collateral Agent to enter into an intercreditor agreement (on substantially the same terms as the applicable Pari Passu Intercreditor Agreement, the ABL/Fixed Asset Intercreditor Agreement, if any, or Junior Lien Intercreditor Agreement) in favor of a designated agent or representative for the holders of the Pari Passu Obligations, Senior ABL Revolving Credit Obligations or Junior Lien Obligations so incurred, together with an Opinion of Counsel, the Notes Collateral Agent shall (and is hereby authorized and directed to) enter into such intercreditor agreement (at the sole expense and cost of the Issuers, including legal fees and expenses of the Notes Collateral Agent), bind the Holders on the terms set forth therein and perform and observe its obligations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an Officer’s Certificate nor an Opinion of Counsel shall be required in connection with the Pari Passu Intercreditor Agreement to be entered into by the Notes Collateral Agent on the Issue Date.</w:t>
      </w:r>
    </w:p>
    <w:p>
      <w:pPr>
        <w:spacing w:after="0" w:line="189" w:lineRule="exact"/>
        <w:rPr>
          <w:rFonts w:ascii="Times New Roman" w:cs="Times New Roman" w:eastAsia="Times New Roman" w:hAnsi="Times New Roman"/>
          <w:sz w:val="18"/>
          <w:szCs w:val="18"/>
          <w:color w:val="auto"/>
        </w:rPr>
      </w:pPr>
    </w:p>
    <w:p>
      <w:pPr>
        <w:ind w:firstLine="436"/>
        <w:spacing w:after="0" w:line="256" w:lineRule="auto"/>
        <w:tabs>
          <w:tab w:leader="none" w:pos="74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the Pari Passu Intercreditor Agreement, the ABL/Fixed Asset Intercreditor Agreement, if any, the Junior Lien Intercreditor Agreement, if any, or any Security Document shall require the Notes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Notes Collateral Agent) unless it shall have received indemnity satisfactory to the Notes Collateral Agent and the Trustee against potential costs and liabilities incurred by the Notes Collateral Agent relating thereto.</w:t>
      </w:r>
    </w:p>
    <w:p>
      <w:pPr>
        <w:spacing w:after="0" w:line="187"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Indenture, the Pari Passu Intercreditor Agreement, the ABL/Fixed Asset Intercreditor Agreement, if any, the Junior Lien Intercreditor Agreement, if any, or the Security Documents, in the event the Notes Collateral Agent is entitled or required to commence an action to foreclose or otherwise exercise its remedies to acquire control or possession of the Collateral, the Notes Collateral Agent shall not be required to commence any such action or exercise any remedy or to inspect or conduct any studies of any property under the mortgages or take any such other action if the Notes Collateral Agent has determined that the Notes Collateral Agent may incur personal liability as a result of the presence at, or release on or from, the Collateral or such property, of any hazardous substances. The Notes Collateral Agent shall at any time be entitled to cease taking any action described in this clause (m) if it no longer reasonably deems any indemnity, security or undertaking from the Issuers or the Holders to be sufficient.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980"/>
          </w:cols>
          <w:pgMar w:left="440" w:top="270" w:right="479" w:bottom="1440" w:gutter="0" w:footer="0" w:header="0"/>
        </w:sectPr>
      </w:pPr>
    </w:p>
    <w:bookmarkStart w:id="142" w:name="page143"/>
    <w:bookmarkEnd w:id="142"/>
    <w:p>
      <w:pPr>
        <w:ind w:left="-20" w:firstLine="436"/>
        <w:spacing w:after="0" w:line="254" w:lineRule="auto"/>
        <w:tabs>
          <w:tab w:leader="none" w:pos="67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Collateral Agent (i) shall not be liable for any action taken or omitted to be taken by it in connection with this Indenture, the Pari Passu Intercreditor Agreement, the ABL/Fixed Asset Intercreditor Agreement, if any, the Junior Lien Intercreditor Agreement, if any, and the Security Documents or instrument referred to herein or therein, except to the extent that any of the foregoing are found by a final, non-appealable judgment of a court of competent jurisdiction to have resulted from its own gross negligence or willful misconduct, (ii) shall not be liable for interest on any money received by it except as the Notes Collateral Agent may agree in writing with the Issuers (and money held in trust by the Collateral Agent need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Notes Collateral Agent shall not be construed to impose duties to act.</w:t>
      </w:r>
    </w:p>
    <w:p>
      <w:pPr>
        <w:spacing w:after="0" w:line="188"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Notes Collateral Agent nor the Trustee shall be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 Neither the Notes Collateral Agent nor the Trustee shall be liable for any indirect, special, punitive, incidental or consequential damages (included but not limited to lost profits) whatsoever, even if it has been informed of the likelihood thereof and regardless of the form of action.</w:t>
      </w:r>
    </w:p>
    <w:p>
      <w:pPr>
        <w:spacing w:after="0" w:line="183" w:lineRule="exact"/>
        <w:rPr>
          <w:rFonts w:ascii="Times New Roman" w:cs="Times New Roman" w:eastAsia="Times New Roman" w:hAnsi="Times New Roman"/>
          <w:sz w:val="18"/>
          <w:szCs w:val="18"/>
          <w:color w:val="auto"/>
        </w:rPr>
      </w:pPr>
    </w:p>
    <w:p>
      <w:pPr>
        <w:ind w:left="-20" w:right="20" w:firstLine="436"/>
        <w:spacing w:after="0" w:line="252" w:lineRule="auto"/>
        <w:tabs>
          <w:tab w:leader="none" w:pos="67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does not assume any responsibility for any failure or delay in performance or any breach by an Issuer or any other Grantor under this Indenture, the Pari Passu Intercreditor Agreement, the ABL/Fixed Asset Intercreditor Agreement, if any, the Junior Lien Intercreditor Agreement, if any, and the Security Documents. The Notes Collateral Agent shall not be responsible to the Holders or any other Person for any recitals, statements, information, representations or warranties contained in this Indenture, the Security Documents, the Pari Passu Intercreditor Agreement, the ABL/Fixed Asset Intercreditor Agreement, if any, the Junior Lien Intercreditor Agreement, if any, or in any certificate, report, statement, or other document referred to or provided for in, or received by the Notes Collateral Agent under or in connection with, this Indenture, the Pari Passu Intercreditor Agreement, the ABL/Fixed Asset Intercreditor Agreement, if any, the Junior Lien Intercreditor Agreement, if any, or any Security Document; the execution, validity, genuineness, effectiveness or enforceability of the Pari Passu Intercreditor Agreement, the ABL/Fixed Asset Intercreditor Agreement, if any, the Junior Lien Intercreditor Agreement, if any, and any Security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the Pari Passu Intercreditor Agreement, the ABL/Fixed Asset Intercreditor Agreement, if any, the Junior Lien Intercreditor Agreement, if any, and the Security Documents. The Notes Collateral Agent shall have no obligation to any Holder or any other Person to ascertain or inquire into the existence of any Default or Event of Default, the observance or performance by any obligor of any terms of this Indenture, the Pari Passu Intercreditor Agreement, the ABL/Fixed Asset Intercreditor Agreement, if any, the Junior Lien Intercreditor Agreement, if any, and the Security Documents, or the satisfaction of any conditions precedent contained in this Indenture, the Pari Passu Intercreditor Agreement, the ABL/Fixed Asset Intercreditor Agreement, if any, the Junior Lien Intercreditor Agreement, if any, and any Security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60"/>
          </w:cols>
          <w:pgMar w:left="460" w:top="270" w:right="479" w:bottom="1440" w:gutter="0" w:footer="0" w:header="0"/>
        </w:sectPr>
      </w:pPr>
    </w:p>
    <w:bookmarkStart w:id="143" w:name="page144"/>
    <w:bookmarkEnd w:id="143"/>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The Notes Collateral Agent shall not be required to initiate or conduct any litigation or collection or other proceeding under this Indenture, the Pari Passu Intercreditor Agreement, the ABL/Fixed Asset Intercreditor Agreement, if any, the Junior Lien Intercreditor Agreement, if any, and the Security Documents unless expressly set forth hereunder or thereunder. The Notes Collateral Agent shall have the right at any time to seek instructions from the Holders with respect to the administration of this Indenture, the Security Documents, the Pari Passu Intercreditor Agreement, the ABL/Fixed Asset Intercreditor Agreement, if any and the Junior Lien Intercreditor Agreement, if any.</w:t>
      </w:r>
    </w:p>
    <w:p>
      <w:pPr>
        <w:spacing w:after="0" w:line="183" w:lineRule="exact"/>
        <w:rPr>
          <w:sz w:val="20"/>
          <w:szCs w:val="20"/>
          <w:color w:val="auto"/>
        </w:rPr>
      </w:pPr>
    </w:p>
    <w:p>
      <w:pPr>
        <w:ind w:firstLine="436"/>
        <w:spacing w:after="0" w:line="251" w:lineRule="auto"/>
        <w:tabs>
          <w:tab w:leader="none" w:pos="69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and the Holders hereby agree and acknowledge that neither the Notes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Pari Passu Intercreditor Agreement, the ABL/Fixed Asset Intercreditor Agreement, if any, the Junior Lien Intercreditor Agreement, if any, the Security Documents or any actions taken pursuant hereto or thereto. Further, the parties hereto and the Holders hereby agree and acknowledge that in the exercise of its rights under this Indenture, the Pari Passu Intercreditor Agreement, the ABL/Fixed Asset Intercreditor Agreement, if any, the Junior Lien Intercreditor Agreement, if any, and the Security Documents, the Notes Collateral Agent may hold or obtain indicia of ownership primarily to protect the security interest of the Notes Collateral Agent in the Collateral and that any such actions taken by the Notes Collateral Agent shall not be construed as or otherwise constitute any participation in the management of such Collateral. In the event that the Notes Collateral Agent or the Trustee is required to acquire title to an asset for any reason, or take any managerial action of any kind in regard thereto, in order to carry out any fiduciary or trust obligation for the benefit of another, which in the Notes Collateral Agent or the Trustee’s sole discretion may cause the Notes Collateral Agent or the Trustee to be considered an “owner or operator” under the provisions of the Comprehensive Environmental Response, Compensation and Liability Act (“</w:t>
      </w:r>
      <w:r>
        <w:rPr>
          <w:rFonts w:ascii="Times New Roman" w:cs="Times New Roman" w:eastAsia="Times New Roman" w:hAnsi="Times New Roman"/>
          <w:sz w:val="18"/>
          <w:szCs w:val="18"/>
          <w:b w:val="1"/>
          <w:bCs w:val="1"/>
          <w:color w:val="auto"/>
        </w:rPr>
        <w:t>CERCLA</w:t>
      </w:r>
      <w:r>
        <w:rPr>
          <w:rFonts w:ascii="Times New Roman" w:cs="Times New Roman" w:eastAsia="Times New Roman" w:hAnsi="Times New Roman"/>
          <w:sz w:val="18"/>
          <w:szCs w:val="18"/>
          <w:color w:val="auto"/>
        </w:rPr>
        <w:t xml:space="preserve">”), 42 U.S.C.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or otherwise cause the Notes Collateral Agent or the Trustee to incur liability under CERCLA or any other federal, state or local law, the Notes Collateral Agent and the Trustee each reserves the right, instead of taking such action, to either resign as the Notes Collateral Agent or the Trustee or arrange for the transfer of the title or control of the asset to a court-appointed receiver. Neither the Notes Collateral Agent nor the Trustee shall be liable to the Issuers, the Guarantors or any other Person for any environmental claims or contribution actions under any federal, state or local law, rule or regulation by reason of the Notes Collateral Agent or the Trustee’s actions and conduct as authorized, empowered and directed hereunder or relating to the discharge, release or threatened release of hazardous materials into the environment. If at any time it is necessary or advisable for property to be possessed, owned, operated or managed by any Person (including the Notes Collateral Agent or the Trustee) other than the Issuers or the Guarantors, the Required Holders shall direct the Notes Collateral Agent or the Trustee to appoint an appropriately qualified Person (excluding the Notes Collateral Agent or the Trustee) who they shall designate to possess, own, operate or manage, as the case may be, the property.</w:t>
      </w:r>
    </w:p>
    <w:p>
      <w:pPr>
        <w:spacing w:after="0" w:line="201" w:lineRule="exact"/>
        <w:rPr>
          <w:rFonts w:ascii="Times New Roman" w:cs="Times New Roman" w:eastAsia="Times New Roman" w:hAnsi="Times New Roman"/>
          <w:sz w:val="18"/>
          <w:szCs w:val="18"/>
          <w:color w:val="auto"/>
        </w:rPr>
      </w:pPr>
    </w:p>
    <w:p>
      <w:pPr>
        <w:ind w:right="100" w:firstLine="436"/>
        <w:spacing w:after="0" w:line="257" w:lineRule="auto"/>
        <w:tabs>
          <w:tab w:leader="none" w:pos="66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receipt by the Notes Collateral Agent of a written request of the Issuers signed by an Officer of each Issuer (a “</w:t>
      </w:r>
      <w:r>
        <w:rPr>
          <w:rFonts w:ascii="Times New Roman" w:cs="Times New Roman" w:eastAsia="Times New Roman" w:hAnsi="Times New Roman"/>
          <w:sz w:val="18"/>
          <w:szCs w:val="18"/>
          <w:b w:val="1"/>
          <w:bCs w:val="1"/>
          <w:color w:val="auto"/>
        </w:rPr>
        <w:t>Security Document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the Notes Collateral Agent is hereby authorized to execute and enter into, and shall execute and enter into, without the further consent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or the Trustee, any Security Document or amendment or supplement thereto to be executed after the Issue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Notes Collateral Agent shall not be required to execute or enter into any such Security Document which, in the Notes Collateral Agent’s reasonable opinion is reasonably likely to adversely affect the rights, duties, liabilities or immunities of the Notes Collateral Agent or that the Notes Collateral Agent determines is reasonably likely to involve the Notes Collateral Agent in personal</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70" w:right="459" w:bottom="1440" w:gutter="0" w:footer="0" w:header="0"/>
        </w:sectPr>
      </w:pPr>
    </w:p>
    <w:bookmarkStart w:id="144" w:name="page145"/>
    <w:bookmarkEnd w:id="14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liability. Such Security Document Order shall (i) state that it is being delivered to the Notes Collateral Agent pursuant to, and is a Security Document Order referred to in, this Section 13.07(r), and (ii) instruct the Notes Collateral Agent to execute and enter into such Security Document. Other than as set forth in this Indenture, any such execution of a Security Document shall be at the direction and expense of the Issuers, upon delivery to the Notes Collateral Agent of an Officer’s Certificate stating that all conditions precedent to the execution and delivery of the Security Document have been satisfied. The Holders, by their acceptance of the Notes, hereby authorize and direct the Collateral Agent to execute such Security Documents (subject to the first sentence of this Section 13.07(r)).</w:t>
      </w:r>
    </w:p>
    <w:p>
      <w:pPr>
        <w:spacing w:after="0" w:line="187" w:lineRule="exact"/>
        <w:rPr>
          <w:sz w:val="20"/>
          <w:szCs w:val="20"/>
          <w:color w:val="auto"/>
        </w:rPr>
      </w:pPr>
    </w:p>
    <w:p>
      <w:pPr>
        <w:ind w:right="120" w:firstLine="436"/>
        <w:spacing w:after="0" w:line="254" w:lineRule="auto"/>
        <w:tabs>
          <w:tab w:leader="none" w:pos="67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applicable Security Documents, the Pari Passu Intercreditor Agreement, the ABL/Fixed Asset Intercreditor Agreement, if any, and the Junior Lien Intercreditor Agreement, if any, each Holder, by acceptance of the Notes, agrees that the Notes Collateral Agent shall execute and deliver the Pari Passu Intercreditor Agreement, the ABL/Fixed Asset Intercreditor Agreement, if any, the Junior Lien Intercreditor Agreement, if any, and the Security Documents to which it is a party and all agreements, documents and instruments incidental thereto, and act in accordance with the terms thereof. For the avoidance of doubt, the Notes Collateral Agent shall have no discretion under this Indenture, the Pari Passu Intercreditor Agreement, the ABL/Fixed Asset Intercreditor Agreement, if any, the Junior Lien Intercreditor Agreement, if any, or the Security Documents and shall not be required to make or give any determination, consent, approval, request or direction without the written direction of the Required Holders or the Trustee, as applicable.</w:t>
      </w:r>
    </w:p>
    <w:p>
      <w:pPr>
        <w:spacing w:after="0" w:line="191" w:lineRule="exact"/>
        <w:rPr>
          <w:rFonts w:ascii="Times New Roman" w:cs="Times New Roman" w:eastAsia="Times New Roman" w:hAnsi="Times New Roman"/>
          <w:sz w:val="18"/>
          <w:szCs w:val="18"/>
          <w:color w:val="auto"/>
        </w:rPr>
      </w:pPr>
    </w:p>
    <w:p>
      <w:pPr>
        <w:ind w:right="100" w:firstLine="436"/>
        <w:spacing w:after="0" w:line="266" w:lineRule="auto"/>
        <w:tabs>
          <w:tab w:leader="none" w:pos="6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and continuance of an Event of Default, the Trustee, acting at the direction of the Required Holders, may direct the Notes Collateral Agent in connection with any action required or permitted by this Indenture, the Security Documents or the Pari Passu Intercreditor Agreement, the ABL/Fixed Asset Intercreditor Agreement, if any, or the Junior Lien Intercreditor Agreement, if any.</w:t>
      </w:r>
    </w:p>
    <w:p>
      <w:pPr>
        <w:spacing w:after="0" w:line="175"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is authorized to receive any funds for the benefit of itself, the Trustee and the Holders distributed under the Security Documents or the Pari Passu Intercreditor Agreement, the ABL/Fixed Asset Intercreditor Agreement, if any, or the Junior Lien Intercreditor Agreement, if any, and to the extent not prohibited under the Pari Passu Intercreditor Agreement, the ABL/Fixed Asset Intercreditor Agreement, if any, or the Junior Lien Intercreditor Agreement, if any, for turnover to the Trustee to make further distributions of such funds to itself, the Trustee and the Holders in accordance with the provisions of Section 6.13 and the other provisions of this Indenture.</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that the Notes Collateral Agent may or is required hereunder or under any Security Document, the Pari Passu Intercreditor Agreement, the ABL/Fixed Asset Intercreditor Agreement, if any, or the Junior Lien Intercreditor Agreement, if any, to take any action (an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including without limitation to make any determination, to give consents, to exercise rights, powers or remedies, to release or sell Collateral or otherwise to act hereunder or under any Security Document or the Pari Passu Intercreditor Agreement, the ABL/Fixed Asset Intercreditor Agreement, if any, or the Junior Lien Intercreditor Agreement, if any, the Notes Collateral Agent may seek direction from the Required Holders. The Notes Collateral Agent shall not be liable with respect to any Action taken or omitted to be taken by it in accordance with the direction from the Required Holders. If the Notes Collateral Agent shall request direction from the Required Holders with respect to any Action, the Notes Collateral Agent shall be entitled to refrain from such Action unless and until the Notes Collateral Agent shall have received direction from the Required Holders, and the Notes Collateral Agent shall not incur liability to any Person by reason of so refraining.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00"/>
          </w:cols>
          <w:pgMar w:left="440" w:top="270" w:right="459" w:bottom="1440" w:gutter="0" w:footer="0" w:header="0"/>
        </w:sectPr>
      </w:pPr>
    </w:p>
    <w:bookmarkStart w:id="145" w:name="page146"/>
    <w:bookmarkEnd w:id="145"/>
    <w:p>
      <w:pPr>
        <w:ind w:right="80" w:firstLine="436"/>
        <w:spacing w:after="0" w:line="254" w:lineRule="auto"/>
        <w:tabs>
          <w:tab w:leader="none" w:pos="73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this Indenture or in any Security Document or the Pari Passu Intercreditor Agreement, the ABL/Fixed Asset Intercreditor Agreement, if any, or the Junior Lien Intercreditor Agreement, if any, in no event shall the Notes Collateral Agent or the Trustee be responsible for, or have any duty or obligation with respect to, the recording, filing, registering, perfection, protection or maintenance of the security interests or Liens intended to be created by this Indenture, the Security Documents, the Pari Passu Intercreditor Agreement, the ABL/Fixed Asset Intercreditor Agreement, if any, or the Junior Lien Intercreditor Agreement, if any (including without limitation the filing or continuation of any UCC financing or continuation statements or similar documents or instruments), nor shall the Notes Collateral Agent or the Trustee be responsible for, and neither the Notes Collateral Agent nor the Trustee makes any representation regarding, the validity, effectiveness or priority of any of the Security Documents or the security interests or Liens intended to be created thereby.</w:t>
      </w:r>
    </w:p>
    <w:p>
      <w:pPr>
        <w:spacing w:after="0" w:line="191"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Notes Collateral Agent acts or refrains from acting in each case at the request or direction of the Issuers or the Guarantors, other than as set forth in this Indenture, it may require an Officer’s Certificate and an Opinion of Counsel, which shall conform to the provisions of this Section 13.07 and Section 14.03 hereof. The Notes Collateral Agent shall not be liable for any action it takes or omits to take in good faith in reliance on such certificate or opinion.</w:t>
      </w:r>
    </w:p>
    <w:p>
      <w:pPr>
        <w:spacing w:after="0" w:line="179"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Notes Collateral Agent shall act pursuant to the instructions of the Holders and the Trustee solely with respect to the Security Documents and the Collateral.</w:t>
      </w:r>
    </w:p>
    <w:p>
      <w:pPr>
        <w:spacing w:after="0" w:line="161" w:lineRule="exact"/>
        <w:rPr>
          <w:rFonts w:ascii="Times New Roman" w:cs="Times New Roman" w:eastAsia="Times New Roman" w:hAnsi="Times New Roman"/>
          <w:sz w:val="18"/>
          <w:szCs w:val="18"/>
          <w:color w:val="auto"/>
        </w:rPr>
      </w:pPr>
    </w:p>
    <w:p>
      <w:pPr>
        <w:jc w:val="both"/>
        <w:ind w:firstLine="436"/>
        <w:spacing w:after="0" w:line="266" w:lineRule="auto"/>
        <w:tabs>
          <w:tab w:leader="none" w:pos="68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benefits, immunities, indemnities and other protections given to the Trustee are extended to, and shall be enforceable by, the Notes Collateral Agent as if the Notes Collateral Agent were named as the Trustee herein and the Security Documents were named as this Indenture herein.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notice or communication by the Issuers, any Guarantor, the Trustee or the Notes Collateral Agent to the others is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if in writing in English or delivered in person or mailed by first-class mail (registered or certified, return receipt requested), facsimile, electronic mail or other electronic transmission or overnight air courier guaranteeing next day delivery, to the others’ address:</w:t>
      </w:r>
    </w:p>
    <w:p>
      <w:pPr>
        <w:spacing w:after="0" w:line="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any Issuer or any Guarantor:</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 Lakes Drive</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Northfield, IL 60093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Alex Liberman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to (which shall not constitute notice for any purpose under this Indenture):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Facsimile No.: [Facsimile number]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Jonathan Ozner, Katharine Thompson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[Email address] [Email address]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980"/>
          </w:cols>
          <w:pgMar w:left="440" w:top="270" w:right="479" w:bottom="1440" w:gutter="0" w:footer="0" w:header="0"/>
        </w:sectPr>
      </w:pPr>
    </w:p>
    <w:bookmarkStart w:id="146" w:name="page147"/>
    <w:bookmarkEnd w:id="146"/>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Trustee or Notes Collateral Agent: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Global Capital Markets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50 South Sixth Street, Suite 1290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Facsimile No.: [Facsimile number]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Medline Borrower, LP Notes Administrator</w:t>
      </w:r>
    </w:p>
    <w:p>
      <w:pPr>
        <w:spacing w:after="0" w:line="20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Any Issuer, any Guarantor, the Trustee or the Notes Collateral Agent, by notice to the others, may designate additional or different addresses for subsequent notices or communications.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All notices and communications (other than those sent to Holders) shall be deemed to have been duly given: at the time delivered by hand, if personally delivered; five calendar days after being deposited in the mail, postage prepaid, if mailed by first-class mail; when receipt is acknowledged, if faxed or sent electronically; the next Business Day after timely delivery to the courier, if sent by overnight air courier guaranteeing next day delivery; and on the date sent to DTC if otherwise given in accordance with the procedures of DTC;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notice or communication delivered to the Trustee and Notes Collateral Agent shall be deemed effective upon actual receipt thereof.</w:t>
      </w:r>
    </w:p>
    <w:p>
      <w:pPr>
        <w:spacing w:after="0" w:line="183"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Any notice or communication to a Holder shall be electronically delivered, mailed by first-class mail, certified or registered, return receipt requested, or by overnight air courier guaranteeing next day delivery to its address shown on the Note Register kept by the Registrar or otherwise delivered in accordance with the procedures of the Depositary. Failure to deliver a notice or communication to a Holder or any defect in it shall not affect its sufficiency with respect to other Holders.</w:t>
      </w:r>
    </w:p>
    <w:p>
      <w:pPr>
        <w:spacing w:after="0" w:line="180" w:lineRule="exact"/>
        <w:rPr>
          <w:sz w:val="20"/>
          <w:szCs w:val="20"/>
          <w:color w:val="auto"/>
        </w:rPr>
      </w:pPr>
    </w:p>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or otherwise delivered in the manner provided above within the time prescribed, such notice or communication shall be deemed duly given, whether or not the addressee receives it.</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If the Issuers send a notice or communication to Holders, it shall send a copy to the Trustee, the Notes Collateral Agent and each Agent at the same time.</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applicable Depositary (or its designee) pursuant to the standing instructions from the applicable Depositary or its designee, including by electronic mail in accordance with accepted practices at the applicable Depositary.</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Each of the Trustee and the Notes Collateral Agent agrees to accept and act upon instructions or directions pursuant to this Indenture sent by unsecured email, facsimile transmission or other similar unsecured electronic methods;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party providing such written instructions, subsequent to such transmission of written instructions, shall provide the originally executed instructions or directions to the Trustee or the Notes Collateral Agent in a timely manner, and (b) such originally executed instructions or directions shall be signed by an authorized representative of the party providing such instructions or directions. If the party elects to give the Trustee or the Notes Collateral Agent email or facsimile instructions (or instructions by a similar electronic method) and the Trustee or the Notes Collateral Agent in its discretion elects to act upon such instructions, the Trustee’s or the Notes Collateral Agent’s, as applicable, understanding of such instructions shall be deemed controlling.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440" w:top="270" w:right="459" w:bottom="1440" w:gutter="0" w:footer="0" w:header="0"/>
        </w:sectPr>
      </w:pPr>
    </w:p>
    <w:bookmarkStart w:id="147" w:name="page148"/>
    <w:bookmarkEnd w:id="147"/>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Trustee nor the Notes Collateral Agent shall be liable for any losses, costs or expenses arising directly or indirectly from the Trustee’s or the Notes Collateral Agent’s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or the Notes Collateral Agent, including, without limitation, the risk of the Trustee or the Notes Collateral Agent acting on unauthorized instructions, and the risk of interception and misuse by third parties.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14.02.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14.03. </w:t>
      </w:r>
      <w:r>
        <w:rPr>
          <w:rFonts w:ascii="Times New Roman" w:cs="Times New Roman" w:eastAsia="Times New Roman" w:hAnsi="Times New Roman"/>
          <w:sz w:val="18"/>
          <w:szCs w:val="18"/>
          <w:i w:val="1"/>
          <w:iCs w:val="1"/>
          <w:color w:val="auto"/>
        </w:rPr>
        <w:t>Certificate and Opinion as to Conditions Precedent</w:t>
      </w:r>
      <w:r>
        <w:rPr>
          <w:rFonts w:ascii="Times New Roman" w:cs="Times New Roman" w:eastAsia="Times New Roman" w:hAnsi="Times New Roman"/>
          <w:sz w:val="18"/>
          <w:szCs w:val="18"/>
          <w:color w:val="auto"/>
        </w:rPr>
        <w:t>. Upon any request or application by the Issuers or any of the Guarantors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or the Notes Collateral Agent to take any action under this Indenture, the Issuers or such Guarantor, as the case may be, shall furnish to the Trustee and the Notes Collateral Agent, as applicable, or, if such action relates to a Security Document, the Pari Passu Intercreditor Agreement, the ABL/Fixed Asset Intercreditor Agreement, if any, or Junior Lien Intercreditor Agreement, if any, the Notes Collateral Agent:</w:t>
      </w:r>
    </w:p>
    <w:p>
      <w:pPr>
        <w:spacing w:after="0" w:line="72" w:lineRule="exact"/>
        <w:rPr>
          <w:sz w:val="20"/>
          <w:szCs w:val="20"/>
          <w:color w:val="auto"/>
        </w:rPr>
      </w:pPr>
    </w:p>
    <w:p>
      <w:pPr>
        <w:jc w:val="both"/>
        <w:ind w:left="440" w:right="140" w:firstLine="419"/>
        <w:spacing w:after="0" w:line="266" w:lineRule="auto"/>
        <w:tabs>
          <w:tab w:leader="none" w:pos="110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in form reasonably satisfactory to the Trustee or the Notes Collateral Agent, as applicable, (which shall include the statements set forth in Section 14.04 hereof) stating that, in the opinion of the signer, all conditions precedent and covenants, if any, provided for in this Indenture relating to the proposed action have been satisfied; and</w:t>
      </w:r>
    </w:p>
    <w:p>
      <w:pPr>
        <w:spacing w:after="0" w:line="67" w:lineRule="exact"/>
        <w:rPr>
          <w:rFonts w:ascii="Times New Roman" w:cs="Times New Roman" w:eastAsia="Times New Roman" w:hAnsi="Times New Roman"/>
          <w:sz w:val="18"/>
          <w:szCs w:val="18"/>
          <w:color w:val="auto"/>
        </w:rPr>
      </w:pPr>
    </w:p>
    <w:p>
      <w:pPr>
        <w:ind w:left="440" w:firstLine="419"/>
        <w:spacing w:after="0" w:line="281" w:lineRule="auto"/>
        <w:tabs>
          <w:tab w:leader="none" w:pos="1118"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Opinion of Counsel in form reasonably satisfactory to the Trustee or the Notes Collateral Agent, as applicable, (which shall include the statements set forth in Section 14.04 hereof) stating that, in the opinion of such counsel, all such conditions precedent and covenants have been satisfied; provided that no such Opinion of Counsel shall be delivered in connection with the issuance of the Initial Notes, in connection with the addition of Guarantors pursuant to a supplemental indenture in the form of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or release of Collateral in accordance with Section 13.02(c).</w:t>
      </w:r>
    </w:p>
    <w:p>
      <w:pPr>
        <w:spacing w:after="0" w:line="160"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14.04. </w:t>
      </w:r>
      <w:r>
        <w:rPr>
          <w:rFonts w:ascii="Times New Roman" w:cs="Times New Roman" w:eastAsia="Times New Roman" w:hAnsi="Times New Roman"/>
          <w:sz w:val="18"/>
          <w:szCs w:val="18"/>
          <w:i w:val="1"/>
          <w:iCs w:val="1"/>
          <w:color w:val="auto"/>
        </w:rPr>
        <w:t>Statements Required in Certificate or Opinion</w:t>
      </w:r>
      <w:r>
        <w:rPr>
          <w:rFonts w:ascii="Times New Roman" w:cs="Times New Roman" w:eastAsia="Times New Roman" w:hAnsi="Times New Roman"/>
          <w:sz w:val="18"/>
          <w:szCs w:val="18"/>
          <w:color w:val="auto"/>
        </w:rPr>
        <w:t>. Each certificate or opinion with respect to compliance with a condition or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for in this Indenture (other than a certificate provided pursuant to Section 4.04 hereof) shall include:</w:t>
      </w:r>
    </w:p>
    <w:p>
      <w:pPr>
        <w:spacing w:after="0" w:line="51" w:lineRule="exact"/>
        <w:rPr>
          <w:sz w:val="20"/>
          <w:szCs w:val="20"/>
          <w:color w:val="auto"/>
        </w:rPr>
      </w:pPr>
    </w:p>
    <w:p>
      <w:pPr>
        <w:ind w:left="1100" w:hanging="241"/>
        <w:spacing w:after="0"/>
        <w:tabs>
          <w:tab w:leader="none" w:pos="11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0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 in the case of an Opinion of Counsel, may be limited to reliance on an Officer’s Certificate as to matters of fact); and</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 provided, however, that with respect to matters of fact an Opinion of Counsel may rely on an Officer’s Certificate or certificates of public officials.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440" w:top="270" w:right="459" w:bottom="1440" w:gutter="0" w:footer="0" w:header="0"/>
        </w:sectPr>
      </w:pPr>
    </w:p>
    <w:bookmarkStart w:id="148" w:name="page149"/>
    <w:bookmarkEnd w:id="148"/>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14.05. </w:t>
      </w:r>
      <w:r>
        <w:rPr>
          <w:rFonts w:ascii="Times New Roman" w:cs="Times New Roman" w:eastAsia="Times New Roman" w:hAnsi="Times New Roman"/>
          <w:sz w:val="18"/>
          <w:szCs w:val="18"/>
          <w:i w:val="1"/>
          <w:iCs w:val="1"/>
          <w:color w:val="auto"/>
        </w:rPr>
        <w:t>Rules by Trustee and Agents</w:t>
      </w:r>
      <w:r>
        <w:rPr>
          <w:rFonts w:ascii="Times New Roman" w:cs="Times New Roman" w:eastAsia="Times New Roman" w:hAnsi="Times New Roman"/>
          <w:sz w:val="18"/>
          <w:szCs w:val="18"/>
          <w:color w:val="auto"/>
        </w:rPr>
        <w:t>. The Trustee may make reasonable rules for action by or at a meeting of Holders. The Registrar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Paying Agent may make reasonable rules and set reasonable requirements for its functions.</w:t>
      </w:r>
    </w:p>
    <w:p>
      <w:pPr>
        <w:spacing w:after="0" w:line="15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14.06. </w:t>
      </w:r>
      <w:r>
        <w:rPr>
          <w:rFonts w:ascii="Times New Roman" w:cs="Times New Roman" w:eastAsia="Times New Roman" w:hAnsi="Times New Roman"/>
          <w:sz w:val="18"/>
          <w:szCs w:val="18"/>
          <w:i w:val="1"/>
          <w:iCs w:val="1"/>
          <w:color w:val="auto"/>
        </w:rPr>
        <w:t>No Personal Liability of Directors, Officers, Employees and Stockholders</w:t>
      </w:r>
      <w:r>
        <w:rPr>
          <w:rFonts w:ascii="Times New Roman" w:cs="Times New Roman" w:eastAsia="Times New Roman" w:hAnsi="Times New Roman"/>
          <w:sz w:val="18"/>
          <w:szCs w:val="18"/>
          <w:color w:val="auto"/>
        </w:rPr>
        <w:t>. No past, present or future director, manager,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incorporator, member, partner or direct or indirect equityholder of the Issuer or any Restricted Subsidiaries or of any of their direct or indirect parent companies (other than in such equityholder’s capacity as an Issuer or a Guarantor) shall have any liability for any obligations of an Issuer or the Guarantors under the Notes, the Guarantees, the Security Documents or this Indenture or any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182"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14.07.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INDENTURE, THE NOTES AND ANY GUARANTEE, AND ANY CLAIM, CONTROVERSY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 ARISING UNDER OR RELATED TO THIS INDENTURE, THE NOTES OR ANY GUARANTEE, WILL BE GOVERNED BY, AND CONSTRUED IN ACCORDANCE WITH, THE LAWS OF THE STATE OF NEW YORK.</w:t>
      </w:r>
    </w:p>
    <w:p>
      <w:pPr>
        <w:spacing w:after="0" w:line="171"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14.08.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ISSUERS, THE GUARANTORS, THE NOTES COLLATERAL AGENT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(1) AGREES TO SUBMIT TO THE NON-EXCLUSIVE JURISDICTION OF ANY UNITED STATES FEDERAL OR STATE COURT LOCATED IN THE BOROUGH OF MANHATTAN, IN THE CITY OF NEW YORK IN ANY ACTION OR PROCEEDING ARISING OUT OF OR RELATING TO THIS INDENTURE OR THE NOTES AND (2) HEREBY IRREVOCABLY WAIVES, TO THE FULLEST EXTENT PERMITTED BY APPLICABLE LAW, ANY AND ALL RIGHT TO TRIAL BY JURY IN ANY LEGAL PROCEEDING ARISING OUT OF OR RELATING TO THIS INDENTURE, THE NOTES OR THE TRANSACTIONS CONTEMPLATED HEREBY.</w:t>
      </w:r>
    </w:p>
    <w:p>
      <w:pPr>
        <w:spacing w:after="0" w:line="182"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14.09.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In no event shall the Trustee or the Notes Collateral Agent be responsible or liable for any failure or delay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its obligations under this Indenture arising out of or caused by, directly or indirectly, forces beyond its reasonable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 or the unavailability of the Federal Reserve Bank wire or facsimile or other wire or communication facility.</w:t>
      </w:r>
    </w:p>
    <w:p>
      <w:pPr>
        <w:spacing w:after="0" w:line="179"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14.10. </w:t>
      </w:r>
      <w:r>
        <w:rPr>
          <w:rFonts w:ascii="Times New Roman" w:cs="Times New Roman" w:eastAsia="Times New Roman" w:hAnsi="Times New Roman"/>
          <w:sz w:val="18"/>
          <w:szCs w:val="18"/>
          <w:i w:val="1"/>
          <w:iCs w:val="1"/>
          <w:color w:val="auto"/>
        </w:rPr>
        <w:t>No Adverse Interpretation of Other Agreements</w:t>
      </w:r>
      <w:r>
        <w:rPr>
          <w:rFonts w:ascii="Times New Roman" w:cs="Times New Roman" w:eastAsia="Times New Roman" w:hAnsi="Times New Roman"/>
          <w:sz w:val="18"/>
          <w:szCs w:val="18"/>
          <w:color w:val="auto"/>
        </w:rPr>
        <w:t>. This Indenture may not be used to interpret any other indenture, loan or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of the Issuers or its Restricted Subsidiaries or of any other Person. Any such indenture, loan or debt agreement may not be used to interpret this Indenture.</w:t>
      </w:r>
    </w:p>
    <w:p>
      <w:pPr>
        <w:spacing w:after="0" w:line="171"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14.11.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All agreements of the Issuers in this Indenture and the Notes shall bind its respective successors. All agreements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in this Indenture shall bind its successors. All agreements of the Notes Collateral Agent shall bind its successors. All agreements of each Guarantor in this Indenture shall bind its successors, except as otherwise provided in Section 10.06 hereof.</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14.12.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case any provision in this Indenture or in the Notes shall be invalid, illegal or unenforceable, the validity, legality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enforceability of the remaining provisions shall not in any way be affected or impaired thereby.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66" w:right="459" w:bottom="1440" w:gutter="0" w:footer="0" w:header="0"/>
        </w:sectPr>
      </w:pPr>
    </w:p>
    <w:bookmarkStart w:id="149" w:name="page150"/>
    <w:bookmarkEnd w:id="149"/>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14.13. </w:t>
      </w:r>
      <w:r>
        <w:rPr>
          <w:rFonts w:ascii="Times New Roman" w:cs="Times New Roman" w:eastAsia="Times New Roman" w:hAnsi="Times New Roman"/>
          <w:sz w:val="18"/>
          <w:szCs w:val="18"/>
          <w:i w:val="1"/>
          <w:iCs w:val="1"/>
          <w:color w:val="auto"/>
        </w:rPr>
        <w:t>Intercreditor Agreements</w:t>
      </w:r>
      <w:r>
        <w:rPr>
          <w:rFonts w:ascii="Times New Roman" w:cs="Times New Roman" w:eastAsia="Times New Roman" w:hAnsi="Times New Roman"/>
          <w:sz w:val="18"/>
          <w:szCs w:val="18"/>
          <w:color w:val="auto"/>
        </w:rPr>
        <w:t>. Reference is made to the Pari Passu Intercreditor Agreement, the ABL/Fixed Asset Intercreditor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if any, and Junior Lien Intercreditor Agreement, if any. Each Holder, by its acceptance of a Note, (a) agrees that it will be bound by and will take no actions contrary to the provisions of the Pari Passu Intercreditor Agreement, the ABL/Fixed Asset Intercreditor Agreement, if any, and Junior Lien Intercreditor Agreement, if any, and (b) authorizes and instructs the Trustee and the Notes Collateral Agent, if applicable, to enter into the Pari Passu Intercreditor Agreement, the ABL/Fixed Asset Intercreditor Agreement, if any, and Junior Lien Intercreditor Agreement, if any, as Trustee and as Notes Collateral Agent, as the case may be, and on behalf of such Holder, including without limitation, making the representations of the Holders contained therein. The foregoing provisions are intended as an inducement to the lenders under the Senior Secured Credit Facilities to extend credit and such lenders are intended third party beneficiaries of such provisions and the provisions of the Pari Passu Intercreditor Agreement, the ABL/Fixed Asset Intercreditor Agreement, if any, and Junior Lien Intercreditor Agreement, if any.</w:t>
      </w:r>
    </w:p>
    <w:p>
      <w:pPr>
        <w:spacing w:after="0" w:line="188"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14.14. </w:t>
      </w:r>
      <w:r>
        <w:rPr>
          <w:rFonts w:ascii="Times New Roman" w:cs="Times New Roman" w:eastAsia="Times New Roman" w:hAnsi="Times New Roman"/>
          <w:sz w:val="18"/>
          <w:szCs w:val="18"/>
          <w:i w:val="1"/>
          <w:iCs w:val="1"/>
          <w:color w:val="auto"/>
        </w:rPr>
        <w:t>Counterpart Originals</w:t>
      </w:r>
      <w:r>
        <w:rPr>
          <w:rFonts w:ascii="Times New Roman" w:cs="Times New Roman" w:eastAsia="Times New Roman" w:hAnsi="Times New Roman"/>
          <w:sz w:val="18"/>
          <w:szCs w:val="18"/>
          <w:color w:val="auto"/>
        </w:rPr>
        <w:t>. The parties may sign any number of copies of this Indenture. Each signed copy shall be an original, but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them together represent the same agreement. This Indenture may be executed in multiple counterparts which, when taken together, shall constitute one instrument. The exchange of copies of this Indenture and of signature pages by facsimile, PDF or other electronic transmissions shall constitute effective execution and delivery of this Indenture as to the parties hereto and may be used in lieu of the original Indenture for all purposes. Signatures of the parties hereto transmitted by facsimile, PDF or other electronic transmissions shall be deemed to be their original signatures for all purposes.</w:t>
      </w:r>
    </w:p>
    <w:p>
      <w:pPr>
        <w:spacing w:after="0" w:line="179"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14.15. </w:t>
      </w:r>
      <w:r>
        <w:rPr>
          <w:rFonts w:ascii="Times New Roman" w:cs="Times New Roman" w:eastAsia="Times New Roman" w:hAnsi="Times New Roman"/>
          <w:sz w:val="18"/>
          <w:szCs w:val="18"/>
          <w:i w:val="1"/>
          <w:iCs w:val="1"/>
          <w:color w:val="auto"/>
        </w:rPr>
        <w:t>Table of Contents, Headings, etc</w:t>
      </w:r>
      <w:r>
        <w:rPr>
          <w:rFonts w:ascii="Times New Roman" w:cs="Times New Roman" w:eastAsia="Times New Roman" w:hAnsi="Times New Roman"/>
          <w:sz w:val="18"/>
          <w:szCs w:val="18"/>
          <w:color w:val="auto"/>
        </w:rPr>
        <w:t>. The Table of Contents, Cross-Reference Table and headings of the Articles and Sections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have been inserted for convenience of reference only, are not to be considered a part of this Indenture and shall in no way modify or restrict any of the terms or provisions hereof.</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14.16. </w:t>
      </w:r>
      <w:r>
        <w:rPr>
          <w:rFonts w:ascii="Times New Roman" w:cs="Times New Roman" w:eastAsia="Times New Roman" w:hAnsi="Times New Roman"/>
          <w:sz w:val="18"/>
          <w:szCs w:val="18"/>
          <w:i w:val="1"/>
          <w:iCs w:val="1"/>
          <w:color w:val="auto"/>
        </w:rPr>
        <w:t>Trust Indenture Act</w:t>
      </w:r>
      <w:r>
        <w:rPr>
          <w:rFonts w:ascii="Times New Roman" w:cs="Times New Roman" w:eastAsia="Times New Roman" w:hAnsi="Times New Roman"/>
          <w:sz w:val="18"/>
          <w:szCs w:val="18"/>
          <w:color w:val="auto"/>
        </w:rPr>
        <w:t>. The Issuers and the Guarantors shall not be required to qualify this Indenture under the Trust Indenture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Trust Indenture Act shall not apply to this Indenture prior to any such qualification, and all references herein to compliance with the Trust Indenture Act refer to such compliance following any such qualification.</w:t>
      </w:r>
    </w:p>
    <w:p>
      <w:pPr>
        <w:spacing w:after="0" w:line="17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14.17.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In order to comply with the laws, rules, regulations and executive orders in effect from time to time applicable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banking institutions, including, without limitation, those relating to the funding of terrorist activities and money laundering, including Section 326 of the USA PATRIOT Act of the United States (“</w:t>
      </w:r>
      <w:r>
        <w:rPr>
          <w:rFonts w:ascii="Times New Roman" w:cs="Times New Roman" w:eastAsia="Times New Roman" w:hAnsi="Times New Roman"/>
          <w:sz w:val="18"/>
          <w:szCs w:val="18"/>
          <w:b w:val="1"/>
          <w:bCs w:val="1"/>
          <w:color w:val="auto"/>
        </w:rPr>
        <w:t>Applicable AML Law</w:t>
      </w:r>
      <w:r>
        <w:rPr>
          <w:rFonts w:ascii="Times New Roman" w:cs="Times New Roman" w:eastAsia="Times New Roman" w:hAnsi="Times New Roman"/>
          <w:sz w:val="18"/>
          <w:szCs w:val="18"/>
          <w:color w:val="auto"/>
        </w:rPr>
        <w:t>”), the Trustee and Notes Collateral Agent are required to obtain, verify, record and update certain information relating to individuals and entities which maintain a business relationship with the Trustee and Notes Collateral Agent. Accordingly, each of the parties agree to provide to the Trustee and Notes Collateral Agent, upon their request from time to time such identifying information and documentation as may be available for such party in order to enable the Trustee and Notes Collateral Agent to comply with Applicable AML Law.</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80"/>
          </w:cols>
          <w:pgMar w:left="440" w:top="266"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MEDLINE BORROWER,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MOZART GP,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Title: Chief Legal Officer, Secretary</w:t>
      </w:r>
    </w:p>
    <w:p>
      <w:pPr>
        <w:spacing w:after="0" w:line="2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MEDLINE CO-ISSUER,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Title: Chief Legal Officer, Secretary</w:t>
      </w:r>
    </w:p>
    <w:p>
      <w:pPr>
        <w:spacing w:after="0" w:line="2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MEDLINE INTERMEDIATE,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MOZART GP,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38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70" w:right="1440" w:bottom="1440" w:gutter="0" w:footer="0" w:header="0"/>
        </w:sectPr>
      </w:pPr>
    </w:p>
    <w:bookmarkStart w:id="151" w:name="page152"/>
    <w:bookmarkEnd w:id="15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APLICARE PRODUCTS,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ESMA-MED-UXBRIDGE,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ESNY-MED-MONTGOMERY,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EXCELSIOR MEDICAL,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HEALTHCARE RECOVERY SERVICES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MBSI,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INTERNATIONAL TWO,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MEXICO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MILLS INDUSTRIES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MILLS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PHARMACY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SOONER ACQUISITION,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UNITED KINGDOM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VENTURES,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MEDTRANS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MICROTEK MEDICAL LLC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NORTHPOINT MEDICAL PROCESSING,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PDM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PREFCONNECT,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SIMCON INTERNATIONAL,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SURGICAL INSTRUMENT SERVICES AND</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SAVINGS,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SUTURE EXPRESS,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TRI-STATE MEXICO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UNITED MEDCO, LLC</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MEDLINE INDUSTRIES,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Manager</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MOZART GP,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CENTURION MEDICAL PRODUCTS,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INDUSTRIES,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MRE PROPCO, LP</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MOZART GP,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13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420"/>
          </w:cols>
          <w:pgMar w:left="1440" w:top="266" w:right="1039" w:bottom="1440" w:gutter="0" w:footer="0" w:header="0"/>
        </w:sectPr>
      </w:pPr>
    </w:p>
    <w:bookmarkStart w:id="152" w:name="page153"/>
    <w:bookmarkEnd w:id="15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MEDICAL STERILIZATION HOLDINGS,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MEDICAL STERILIZATION COMPANY (NLMX), LP</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MEDICAL STERILIZATION COMPANY (US), LP</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MEDICAL STERILIZATION GP,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BERMUDA HOLDINGS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INTERNATIONAL,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ONE MEXICO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SOLUCIONES MEDICAS HOLDINGS,</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MEXICALI DIRECTO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MICROTEK DOMINICANA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MOMH,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MSMH NL,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PMM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RCI HUDSON MEXICO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THIN CANDIED SHELL, LLC</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STELLAR HOLDCO,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B. Drazin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B. Drazin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960"/>
          </w:cols>
          <w:pgMar w:left="1440" w:top="266" w:right="499" w:bottom="1440" w:gutter="0" w:footer="0" w:header="0"/>
        </w:sectPr>
      </w:pPr>
    </w:p>
    <w:bookmarkStart w:id="153" w:name="page154"/>
    <w:bookmarkEnd w:id="15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MEDLINE DME,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DME TN, LP</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MEDLINE DME GP,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Bradley Mariam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Bradley Mariam</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INDUSTRIES HOLDINGS,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MEDLINE MILLS INDUSTRIES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MEDLINE INDUSTRIES,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MOZART GP,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MEDLINE INTERNATIONAL HOLDCO, INC.</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B. Drazin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B. Drazin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Indenture</w:t>
      </w:r>
      <w:r>
        <w:rPr>
          <w:rFonts w:ascii="Times New Roman" w:cs="Times New Roman" w:eastAsia="Times New Roman" w:hAnsi="Times New Roman"/>
          <w:sz w:val="17"/>
          <w:szCs w:val="17"/>
          <w:color w:val="auto"/>
        </w:rPr>
        <w:t>]</w:t>
      </w:r>
    </w:p>
    <w:p>
      <w:pPr>
        <w:sectPr>
          <w:pgSz w:w="11900" w:h="16838" w:orient="portrait"/>
          <w:cols w:equalWidth="0" w:num="1">
            <w:col w:w="9360"/>
          </w:cols>
          <w:pgMar w:left="1440" w:top="266" w:right="1099" w:bottom="1440" w:gutter="0" w:footer="0" w:header="0"/>
        </w:sectPr>
      </w:pPr>
    </w:p>
    <w:bookmarkStart w:id="154" w:name="page155"/>
    <w:bookmarkEnd w:id="15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ML PRODUCTS,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MMS, L.L.C.</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By: MEDLINE SOONER ACQUISITION, LLC</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MEDLINE INDUSTRIES,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MOZART GP,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PLUROGEN THERAPEUTICS,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Sameer Garg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Sameer Garg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Stuart J.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Stuart J. Schneider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STELLAR HOLDCO,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B. Drazin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B. Drazin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Indenture</w:t>
      </w:r>
      <w:r>
        <w:rPr>
          <w:rFonts w:ascii="Times New Roman" w:cs="Times New Roman" w:eastAsia="Times New Roman" w:hAnsi="Times New Roman"/>
          <w:sz w:val="17"/>
          <w:szCs w:val="17"/>
          <w:color w:val="auto"/>
        </w:rPr>
        <w:t>]</w:t>
      </w:r>
    </w:p>
    <w:p>
      <w:pPr>
        <w:sectPr>
          <w:pgSz w:w="11900" w:h="16838" w:orient="portrait"/>
          <w:cols w:equalWidth="0" w:num="1">
            <w:col w:w="9320"/>
          </w:cols>
          <w:pgMar w:left="1440" w:top="266" w:right="1139" w:bottom="1440" w:gutter="0" w:footer="0" w:header="0"/>
        </w:sectPr>
      </w:pPr>
    </w:p>
    <w:bookmarkStart w:id="155" w:name="page156"/>
    <w:bookmarkEnd w:id="15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TCS NUEVO LAREDO,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By: MEDICAL STERILIZATION HOLDINGS, LP</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MEDICAL STERILIZATION GP,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THIN CANDY SHELL,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CENTURION MEDICAL PRODUCTS,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Managing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MOZART GP,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13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600"/>
          </w:cols>
          <w:pgMar w:left="1440" w:top="266" w:right="859" w:bottom="1440" w:gutter="0" w:footer="0" w:header="0"/>
        </w:sectPr>
      </w:pPr>
    </w:p>
    <w:bookmarkStart w:id="156" w:name="page157"/>
    <w:bookmarkEnd w:id="15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Sarah Vilhauer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Sarah Vilhauer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WILMINGTON TRUST,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Notes Collateral Agent</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Sarah Vilhauer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Sarah Vilhauer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660"/>
          </w:cols>
          <w:pgMar w:left="1440" w:top="270" w:right="79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A-1</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[FORM OF 2031 NOTE]</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[FACE OF 2031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the Global Note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the Private Placement Legend, if applicable pursuant to the provisions of the Indenture]</w:t>
      </w:r>
    </w:p>
    <w:p>
      <w:pPr>
        <w:spacing w:after="0" w:line="225" w:lineRule="exact"/>
        <w:rPr>
          <w:sz w:val="20"/>
          <w:szCs w:val="20"/>
          <w:color w:val="auto"/>
        </w:rPr>
      </w:pPr>
    </w:p>
    <w:p>
      <w:pPr>
        <w:ind w:left="4920" w:right="2380" w:hanging="4927"/>
        <w:spacing w:after="0" w:line="454" w:lineRule="auto"/>
        <w:rPr>
          <w:sz w:val="20"/>
          <w:szCs w:val="20"/>
          <w:color w:val="auto"/>
        </w:rPr>
      </w:pPr>
      <w:r>
        <w:rPr>
          <w:rFonts w:ascii="Times New Roman" w:cs="Times New Roman" w:eastAsia="Times New Roman" w:hAnsi="Times New Roman"/>
          <w:sz w:val="18"/>
          <w:szCs w:val="18"/>
          <w:color w:val="auto"/>
        </w:rPr>
        <w:t>[Insert the Regulation S Temporary Global Note Legend, if applicable pursuant to the provisions of the Indenture] A-1</w:t>
      </w:r>
    </w:p>
    <w:p>
      <w:pPr>
        <w:sectPr>
          <w:pgSz w:w="11900" w:h="16838" w:orient="portrait"/>
          <w:cols w:equalWidth="0" w:num="1">
            <w:col w:w="10580"/>
          </w:cols>
          <w:pgMar w:left="880" w:top="270" w:right="439" w:bottom="1440" w:gutter="0" w:footer="0" w:header="0"/>
        </w:sectPr>
      </w:pPr>
    </w:p>
    <w:bookmarkStart w:id="158" w:name="page159"/>
    <w:bookmarkEnd w:id="15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[___]</w:t>
      </w:r>
      <w:r>
        <w:rPr>
          <w:rFonts w:ascii="Times New Roman" w:cs="Times New Roman" w:eastAsia="Times New Roman" w:hAnsi="Times New Roman"/>
          <w:sz w:val="26"/>
          <w:szCs w:val="26"/>
          <w:color w:val="auto"/>
          <w:vertAlign w:val="superscript"/>
        </w:rPr>
        <w:t>1</w:t>
      </w:r>
    </w:p>
    <w:p>
      <w:pPr>
        <w:ind w:left="4"/>
        <w:spacing w:after="0"/>
        <w:rPr>
          <w:sz w:val="20"/>
          <w:szCs w:val="20"/>
          <w:color w:val="auto"/>
        </w:rPr>
      </w:pPr>
      <w:r>
        <w:rPr>
          <w:rFonts w:ascii="Times New Roman" w:cs="Times New Roman" w:eastAsia="Times New Roman" w:hAnsi="Times New Roman"/>
          <w:sz w:val="18"/>
          <w:szCs w:val="18"/>
          <w:color w:val="auto"/>
        </w:rPr>
        <w:t>ISIN       [___]</w:t>
      </w:r>
      <w:r>
        <w:rPr>
          <w:rFonts w:ascii="Times New Roman" w:cs="Times New Roman" w:eastAsia="Times New Roman" w:hAnsi="Times New Roman"/>
          <w:sz w:val="26"/>
          <w:szCs w:val="26"/>
          <w:color w:val="auto"/>
          <w:vertAlign w:val="superscript"/>
        </w:rPr>
        <w:t>2</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[RULE 144A][REGULATION S] [GLOBAL] NOTE</w:t>
      </w:r>
    </w:p>
    <w:p>
      <w:pPr>
        <w:spacing w:after="0" w:line="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representing [up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5.000% Senior Secured Notes due 2031</w:t>
      </w:r>
    </w:p>
    <w:p>
      <w:pPr>
        <w:sectPr>
          <w:pgSz w:w="11900" w:h="16838" w:orient="portrait"/>
          <w:cols w:equalWidth="0" w:num="1">
            <w:col w:w="11024"/>
          </w:cols>
          <w:pgMar w:left="436" w:top="206" w:right="439" w:bottom="1440" w:gutter="0" w:footer="0" w:header="0"/>
        </w:sectPr>
      </w:pP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 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ectPr>
          <w:pgSz w:w="11900" w:h="16838" w:orient="portrait"/>
          <w:cols w:equalWidth="0" w:num="2">
            <w:col w:w="9184" w:space="720"/>
            <w:col w:w="1120"/>
          </w:cols>
          <w:pgMar w:left="436" w:top="206" w:right="439" w:bottom="1440" w:gutter="0" w:footer="0" w:header="0"/>
          <w:type w:val="continuous"/>
        </w:sectPr>
      </w:pPr>
    </w:p>
    <w:p>
      <w:pPr>
        <w:spacing w:after="0" w:line="25" w:lineRule="exact"/>
        <w:rPr>
          <w:sz w:val="20"/>
          <w:szCs w:val="20"/>
          <w:color w:val="auto"/>
        </w:rPr>
      </w:pPr>
    </w:p>
    <w:p>
      <w:pPr>
        <w:ind w:left="4" w:right="340"/>
        <w:spacing w:after="0" w:line="261" w:lineRule="auto"/>
        <w:rPr>
          <w:sz w:val="20"/>
          <w:szCs w:val="20"/>
          <w:color w:val="auto"/>
        </w:rPr>
      </w:pPr>
      <w:r>
        <w:rPr>
          <w:rFonts w:ascii="Times New Roman" w:cs="Times New Roman" w:eastAsia="Times New Roman" w:hAnsi="Times New Roman"/>
          <w:sz w:val="18"/>
          <w:szCs w:val="18"/>
          <w:color w:val="auto"/>
        </w:rPr>
        <w:t>Medline Borrower, LP, a Delaware limited partnership, and Medline Co-Issuer, Inc., a Delaware corporation, jointly and severally, promise to pay to [Cede &amp; Co.]* or registered assigns the principal sum [set forth on the Schedule of Exchanges of Interests in the Global Note attached hereto] [of</w:t>
      </w:r>
    </w:p>
    <w:p>
      <w:pPr>
        <w:ind w:left="4"/>
        <w:spacing w:after="0"/>
        <w:rPr>
          <w:sz w:val="20"/>
          <w:szCs w:val="20"/>
          <w:color w:val="auto"/>
        </w:rPr>
      </w:pPr>
      <w:r>
        <w:rPr>
          <w:rFonts w:ascii="Times New Roman" w:cs="Times New Roman" w:eastAsia="Times New Roman" w:hAnsi="Times New Roman"/>
          <w:sz w:val="17"/>
          <w:szCs w:val="17"/>
          <w:color w:val="auto"/>
        </w:rPr>
        <w:t>_______________ United States dollars, as may be increased or decreased on the attached Schedule of Exchanges of Interests in the Global Note,] on</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15, 2031.</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Interest Payment Dates: June 15 and December 15, commencing on December 15,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Record Dates:              June 1 and December 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Additional provisions of this 2031 Note are set forth on the other side of this 2031 Note.</w:t>
      </w:r>
    </w:p>
    <w:p>
      <w:pPr>
        <w:spacing w:after="0" w:line="252" w:lineRule="exact"/>
        <w:rPr>
          <w:sz w:val="20"/>
          <w:szCs w:val="20"/>
          <w:color w:val="auto"/>
        </w:rPr>
      </w:pPr>
    </w:p>
    <w:p>
      <w:pPr>
        <w:ind w:left="424" w:hanging="424"/>
        <w:spacing w:after="0"/>
        <w:tabs>
          <w:tab w:leader="none" w:pos="4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only if the 2031 Note is issued in global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8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58506D AB4 (144A); U8357D AC4 (Reg S)</w:t>
      </w:r>
    </w:p>
    <w:p>
      <w:pPr>
        <w:ind w:left="424" w:hanging="424"/>
        <w:spacing w:after="0" w:line="180" w:lineRule="auto"/>
        <w:tabs>
          <w:tab w:leader="none" w:pos="424" w:val="left"/>
        </w:tabs>
        <w:numPr>
          <w:ilvl w:val="0"/>
          <w:numId w:val="18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US58506DAB47 (144A); USU8357DAC49 (Reg S)</w:t>
      </w:r>
    </w:p>
    <w:p>
      <w:pPr>
        <w:spacing w:after="0" w:line="1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4"/>
          </w:cols>
          <w:pgMar w:left="436" w:top="206" w:right="439" w:bottom="1440" w:gutter="0" w:footer="0" w:header="0"/>
          <w:type w:val="continuous"/>
        </w:sectPr>
      </w:pPr>
    </w:p>
    <w:bookmarkStart w:id="159" w:name="page160"/>
    <w:bookmarkEnd w:id="15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HEREOF, each of the Issuers has caused this instrument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MEDLINE BORROWER, LP, as the Issuer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MOZART GP,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MEDLINE CO-ISSUER, INC., as the Co-Issuer</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080"/>
          </w:cols>
          <w:pgMar w:left="440" w:top="270" w:right="1379" w:bottom="1440" w:gutter="0" w:footer="0" w:header="0"/>
        </w:sectPr>
      </w:pPr>
    </w:p>
    <w:bookmarkStart w:id="160" w:name="page161"/>
    <w:bookmarkEnd w:id="16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2031 Notes referred to in the within-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mentioned Indenture:</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WILMINGTON TRUST, NATIONAL ASSOCIATION,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Trustee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4860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-7620</wp:posOffset>
            </wp:positionV>
            <wp:extent cx="11430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3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9860"/>
          </w:cols>
          <w:pgMar w:left="1440" w:top="270" w:right="599" w:bottom="1440" w:gutter="0" w:footer="0" w:header="0"/>
        </w:sectPr>
      </w:pPr>
    </w:p>
    <w:bookmarkStart w:id="161" w:name="page162"/>
    <w:bookmarkEnd w:id="161"/>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2031 NOTE]</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5.000% Senior Secured Notes due 2031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Capitalized terms used herein shall have the meanings assigned to them in the Indenture referred to below unless otherwise indicated.</w:t>
      </w:r>
    </w:p>
    <w:p>
      <w:pPr>
        <w:spacing w:after="0" w:line="221" w:lineRule="exact"/>
        <w:rPr>
          <w:sz w:val="20"/>
          <w:szCs w:val="20"/>
          <w:color w:val="auto"/>
        </w:rPr>
      </w:pPr>
    </w:p>
    <w:p>
      <w:pPr>
        <w:ind w:left="4" w:firstLine="436"/>
        <w:spacing w:after="0" w:line="233" w:lineRule="auto"/>
        <w:tabs>
          <w:tab w:leader="none" w:pos="6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Medline Borrower, LP, a Delaware limited partnership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and Medline Co-Issuer, Inc., a Delaware corporation (the “</w:t>
      </w:r>
      <w:r>
        <w:rPr>
          <w:rFonts w:ascii="Times New Roman" w:cs="Times New Roman" w:eastAsia="Times New Roman" w:hAnsi="Times New Roman"/>
          <w:sz w:val="18"/>
          <w:szCs w:val="18"/>
          <w:b w:val="1"/>
          <w:bCs w:val="1"/>
          <w:color w:val="auto"/>
        </w:rPr>
        <w:t>Co-Issuer</w:t>
      </w:r>
      <w:r>
        <w:rPr>
          <w:rFonts w:ascii="Times New Roman" w:cs="Times New Roman" w:eastAsia="Times New Roman" w:hAnsi="Times New Roman"/>
          <w:sz w:val="18"/>
          <w:szCs w:val="18"/>
          <w:color w:val="auto"/>
        </w:rPr>
        <w:t>” and, together with the Issuer,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jointly and severally, promise to pay interest on the principal amount of this 2031 Note at a rate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annum of 5.000% from May 28, 2026</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until maturity. The Issuers will pay interest on this 2031 Note semi-annually in arrears on June 15 and December 15 of each year, beginning December 15, 2026, or, if any such day is not a Business Day, on the next succeeding Business Day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The Issuers will make each interest payment to the Holder of record of this 2031 Note on the immediately preceding June 1 and December 1 (whether or not a Business Day) (each, a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Interest on this 2031 Note will accrue from the most recent date to which interest has been paid or, if no interest has been paid, from and including May 28, 2026.</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The Issuers will pay interest (including post-petition interest in any proceeding under any Bankruptcy Law) on overdue principal and premium, if any, from time to time on demand at the rate borne by this 2031 Note; the Issuers shall pay interest (including post-petition interest in any proceeding under any Bankruptcy Law) on overdue installments of interest (without regard to any applicable grace periods) from time to time on demand at the rate borne by this 2031 Note. Interest will be computed on the basis of a 360-day year comprised of twelve 30-day months.</w:t>
      </w:r>
    </w:p>
    <w:p>
      <w:pPr>
        <w:spacing w:after="0" w:line="204"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The Issuers will pay interest on this 2031 Note to the Person who is the registered Holder of this 2031 Note at the close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on the Record Date (whether or not a Business Day) next preceding the Interest Payment Date, even if this 2031 Note is cancelled after such Record Date and on or before such Interest Payment Date, except as provided in Section 2.12 of the Indenture with respect to defaulted interest. Cash payments of principal of, premium, if any, and interest on this 2031 Note will be payable at the office or agency of the Issuers maintained for such purpose pursuant to Section 4.02 of the Indenture or, at the option of the Issuers, cash payment of interest may be made through the Paying Agent by check mailed to the Holders at their respective addresses set forth in the Note Register of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all cash payments of principal, premium, if any, and interest with respect to 2031 Notes represented by Global Notes registered in the name of or held by DTC or its nominee will be made through the Paying Agent by wire transfer of immediately available funds to the accounts specified by the registered Holder or Holders thereof and (b) all cash payments of principal, premium, if any, and interest with respect to certificated 2031 Notes may, at the option of the Issuers, be made by wire transfer to a U.S. dollar account maintained by the payee with a bank in the United States of America if such Holder elects payment by wire transfer by giving written notice to the Trustee or the Paying Agent to such effect designating such account no later than 30 days immediately preceding the relevant due date for payment (or such other date as the Trustee may accept in its discretion). Such payment shall be in such coin or currency of the United States of America as at the time of payment is legal tender for payment of public and private debts.</w:t>
      </w:r>
    </w:p>
    <w:p>
      <w:pPr>
        <w:spacing w:after="0" w:line="187" w:lineRule="exact"/>
        <w:rPr>
          <w:rFonts w:ascii="Times New Roman" w:cs="Times New Roman" w:eastAsia="Times New Roman" w:hAnsi="Times New Roman"/>
          <w:sz w:val="18"/>
          <w:szCs w:val="18"/>
          <w:color w:val="auto"/>
        </w:rPr>
      </w:pPr>
    </w:p>
    <w:p>
      <w:pPr>
        <w:ind w:left="4" w:firstLine="436"/>
        <w:spacing w:after="0" w:line="267" w:lineRule="auto"/>
        <w:tabs>
          <w:tab w:leader="none" w:pos="6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Transfer Agent and Registrar</w:t>
      </w:r>
      <w:r>
        <w:rPr>
          <w:rFonts w:ascii="Times New Roman" w:cs="Times New Roman" w:eastAsia="Times New Roman" w:hAnsi="Times New Roman"/>
          <w:sz w:val="18"/>
          <w:szCs w:val="18"/>
          <w:color w:val="auto"/>
        </w:rPr>
        <w:t>. Initially, Wilmington Trust, National Association, the Trustee under the Indenture, will act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Paying Agent, Transfer Agent and Registrar. The Issuers may change any Paying Agent, Transfer Agent or Registrar without prior notice to the Holders. The Issuer or any of its Subsidiaries may act in any such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2" w:lineRule="exact"/>
        <w:rPr>
          <w:sz w:val="20"/>
          <w:szCs w:val="20"/>
          <w:color w:val="auto"/>
        </w:rPr>
      </w:pPr>
    </w:p>
    <w:p>
      <w:pPr>
        <w:ind w:left="424" w:hanging="424"/>
        <w:spacing w:after="0"/>
        <w:tabs>
          <w:tab w:leader="none" w:pos="424" w:val="left"/>
        </w:tabs>
        <w:numPr>
          <w:ilvl w:val="0"/>
          <w:numId w:val="18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case of 2031 Notes issued on the Issue Date.</w:t>
      </w:r>
    </w:p>
    <w:p>
      <w:pPr>
        <w:ind w:left="424" w:hanging="424"/>
        <w:spacing w:after="0" w:line="180" w:lineRule="auto"/>
        <w:tabs>
          <w:tab w:leader="none" w:pos="424" w:val="left"/>
        </w:tabs>
        <w:numPr>
          <w:ilvl w:val="0"/>
          <w:numId w:val="18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 the case of 2031 Notes issued on the Issue Date.</w:t>
      </w:r>
    </w:p>
    <w:p>
      <w:pPr>
        <w:spacing w:after="0" w:line="1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84"/>
          </w:cols>
          <w:pgMar w:left="436" w:top="270" w:right="479" w:bottom="1440" w:gutter="0" w:footer="0" w:header="0"/>
        </w:sectPr>
      </w:pPr>
    </w:p>
    <w:bookmarkStart w:id="162" w:name="page163"/>
    <w:bookmarkEnd w:id="162"/>
    <w:p>
      <w:pPr>
        <w:ind w:right="20" w:firstLine="436"/>
        <w:spacing w:after="0" w:line="257" w:lineRule="auto"/>
        <w:tabs>
          <w:tab w:leader="none" w:pos="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r>
        <w:rPr>
          <w:rFonts w:ascii="Times New Roman" w:cs="Times New Roman" w:eastAsia="Times New Roman" w:hAnsi="Times New Roman"/>
          <w:sz w:val="18"/>
          <w:szCs w:val="18"/>
          <w:color w:val="auto"/>
        </w:rPr>
        <w:t>. The Issuers issued the 2031 Notes under an Indenture, dated as of May 28, 2026 (as amended, supplemented or otherwise modified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among the Issuers, the Guarantors party thereto from time to time, the Trustee and the Notes Collateral Agent. This 2031 Note is one of a duly authorized issue of notes of the Issuers designated as their 5.000% Senior Secured Notes due 2031. The Issuers shall be entitled to issue Additional 2031 Notes pursuant to Sections 2.01 and 4.12 of the Indenture. The terms of the 2031 Notes include those stated in the Indenture. The 2031 Notes are subject to all such terms, and Holders are referred to the Indenture for a statement of such terms. To the extent any provision of this 2031 Note conflicts with the express provisions of the Indenture, the provisions of the Indenture shall govern and be controlling.</w:t>
      </w:r>
    </w:p>
    <w:p>
      <w:pPr>
        <w:spacing w:after="0" w:line="182"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436"/>
        <w:spacing w:after="0" w:line="282" w:lineRule="auto"/>
        <w:tabs>
          <w:tab w:leader="none" w:pos="68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clauses (b) and (d) of this paragraph 5 and in clauses (b) and (d) of Section 3.07 of the Indenture, the 2031 Notes will not be redeemable at the Issuer’s option prior to May 15, 2031.</w:t>
      </w:r>
    </w:p>
    <w:p>
      <w:pPr>
        <w:spacing w:after="0" w:line="161" w:lineRule="exact"/>
        <w:rPr>
          <w:rFonts w:ascii="Times New Roman" w:cs="Times New Roman" w:eastAsia="Times New Roman" w:hAnsi="Times New Roman"/>
          <w:sz w:val="18"/>
          <w:szCs w:val="18"/>
          <w:color w:val="auto"/>
        </w:rPr>
      </w:pPr>
    </w:p>
    <w:p>
      <w:pPr>
        <w:ind w:right="40" w:firstLine="436"/>
        <w:spacing w:after="0" w:line="270" w:lineRule="auto"/>
        <w:tabs>
          <w:tab w:leader="none" w:pos="695"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May 15, 2031, the Issuer may, at its option, at any time and from time to time, redeem the 2031 Notes, in whole or in part, upon notice in accordance with Section 3.03 of the Indenture, at a redemption price (expressed as a percentage of principal amount and rounded to three decimal places) equal to the greater of: (A) (1) the sum of the present values of the remaining scheduled payments of principal and interest thereon discounted to the Redemption Date (assuming such 2031 Notes matured on May 15, 2031) on a semi-annual basis (assuming a 360-day year consisting of twelve</w:t>
      </w:r>
    </w:p>
    <w:p>
      <w:pPr>
        <w:spacing w:after="0" w:line="2" w:lineRule="exact"/>
        <w:rPr>
          <w:rFonts w:ascii="Times New Roman" w:cs="Times New Roman" w:eastAsia="Times New Roman" w:hAnsi="Times New Roman"/>
          <w:sz w:val="17"/>
          <w:szCs w:val="17"/>
          <w:color w:val="auto"/>
        </w:rPr>
      </w:pP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30-day months) at the Treasury Rate plus 15 basis points,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(2) interest accrued to, but excluding, the Redemption Date, and (B) 100% of the principal amount of such 2031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on the principal amount being redeemed to, but excluding, the Redemption Date, subject to the right of Holders of record on the relevant Record Date to receive interest due on the 2031 Notes on the relevant Interest Payment Date falling prior to or on the Redemption Date.</w:t>
      </w:r>
    </w:p>
    <w:p>
      <w:pPr>
        <w:spacing w:after="0" w:line="188" w:lineRule="exact"/>
        <w:rPr>
          <w:rFonts w:ascii="Times New Roman" w:cs="Times New Roman" w:eastAsia="Times New Roman" w:hAnsi="Times New Roman"/>
          <w:sz w:val="17"/>
          <w:szCs w:val="17"/>
          <w:color w:val="auto"/>
        </w:rPr>
      </w:pPr>
    </w:p>
    <w:p>
      <w:pPr>
        <w:ind w:right="160" w:firstLine="436"/>
        <w:spacing w:after="0" w:line="281" w:lineRule="auto"/>
        <w:tabs>
          <w:tab w:leader="none" w:pos="685"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or after May 15, 2031, the Issuer may, at its option, at any time and from time to time, redeem the 2031 Notes, in whole or in part, upon notice in accordance with Section 3.03 of the Indenture, at a redemption price equal to 100% of the principal amount of such 2031 Notes being redeemed,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accrued and unpaid interest on the principal amount being redeemed to, but excluding, the Redemption Date, subject to the right of Holders of record on the relevant Record Date to receive interest due on the relevant Interest Payment Date falling prior to or on the Redemption Date.</w:t>
      </w:r>
    </w:p>
    <w:p>
      <w:pPr>
        <w:spacing w:after="0" w:line="164" w:lineRule="exact"/>
        <w:rPr>
          <w:rFonts w:ascii="Times New Roman" w:cs="Times New Roman" w:eastAsia="Times New Roman" w:hAnsi="Times New Roman"/>
          <w:sz w:val="17"/>
          <w:szCs w:val="17"/>
          <w:color w:val="auto"/>
        </w:rPr>
      </w:pPr>
    </w:p>
    <w:p>
      <w:pPr>
        <w:ind w:right="120" w:firstLine="436"/>
        <w:spacing w:after="0" w:line="253" w:lineRule="auto"/>
        <w:tabs>
          <w:tab w:leader="none" w:pos="69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connection with any Change of Control Offer or Alternate Offer for the 2031 Notes, if Holders of not less than 90% in aggregate principal amount of the then outstanding 2031 Notes validly tender and do not validly withdraw such 2031 Notes in such offer and the Issuer, or any third party making such offer in lieu of the Issuer, purchases all of the 2031 Notes validly tendered and not validly withdrawn by such Holders, the Issuer or such third party will have the right upon not less than 10 days nor more than 60 days’ prior notice, given not more than 60 days following such purchase date, to redeem all 2031 Notes that remain outstanding following such purchase at a price in cash equal to 101% of the aggregate principal amount of the 2031 Notes repurchased plus, to the extent not included in the offer payment, accrued and unpaid interest, if any, thereon, to, but excluding, the Redemption Date, subject to the right of Holders of record of 2031 Notes on the relevant Record Date to receive interest due on the relevant Interest Payment Date falling prior to or on the Redemption Date. In determining whether the Holders of at least 90% of the aggregate principal amount of the then outstanding 2031 Notes have validly tendered and not validly withdrawn 2031 Notes in a Change of Control Offer or Alternate Offer, as applicable, 2031 Notes owned by an Affiliate of the Issuer or by funds controlled or managed by any Affiliate of the Issuer, or any successor thereof, or any Debt Fund Affiliate, shall be deemed to be outstanding for the purposes of such Change of Control Offer or Alternate Offer, as applicable.</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0"/>
          </w:cols>
          <w:pgMar w:left="440" w:top="268" w:right="459" w:bottom="1440" w:gutter="0" w:footer="0" w:header="0"/>
        </w:sectPr>
      </w:pPr>
    </w:p>
    <w:bookmarkStart w:id="163" w:name="page164"/>
    <w:bookmarkEnd w:id="163"/>
    <w:p>
      <w:pPr>
        <w:ind w:firstLine="436"/>
        <w:spacing w:after="0" w:line="252" w:lineRule="auto"/>
        <w:tabs>
          <w:tab w:leader="none" w:pos="68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redemption pursuant to this paragraph 5 shall be made pursuant to the provisions of Sections 3.01 through 3.06 of the Indenture. Notice of any redemption or offer to purchase, whether in connection with an equity offering, Change of Control, Alternate Offer or other transaction or event or otherwise, may, at the Issuer’s (or, in the case of a Change of Control Offer, a third party making such Change of Control Offer) discretion, be given prior to the completion or occurrence thereof, and any such redemption, offer to purchase or notice may, at the Issuer’s (or, in the case of a Change of Control Offer, a third party making such Change of Control Offer) discretion, be subject to one or more conditions precedent (including conditions precedent applicable to different amounts of 2031 Notes redeemed) including, but not limited to, completion or occurrence of the related equity offering, Change of Control, Alternate Offer or other transaction or event, as the case may be. In addition, if such redemption or offer to purchase is subject to satisfaction of one or more conditions precedent, such notice shall state that, in the Issuer’s (or, in the case of a Change of Control Offer, a third party making such Change of Control Offer) discretion, the redemption or repurchase date may be delayed until such time (including more than 60 days after the date the notice of redemption or offer to purchase was sent) as any or all such conditions shall be satisfied (or waived by the Issuer (or, in the case of a Change of Control Offer, a third party making such Change of Control Offer) in its sole discretion), or such redemption or purchase may not occur and such notice may be rescinded in the event that any or all such conditions shall not have been satisfied (or waived by the Issuer (or, in the case of a Change of Control Offer, a third party making such Change of Control Offer) in its sole discretion) by the redemption or purchase date, or by the redemption or purchase date so delayed, or that such notice or offer may be rescinded at any time in the Issuer’s (or, in the case of a Change of Control Offer, a third party making such Change of Control Offer) sole discretion. In addition, the Issuer may provide in such notice or offer to purchase that payment of the redemption or purchase price and performance of the Issuer’s obligations with respect to such redemption or offer to purchase may be performed by another Person.</w:t>
      </w:r>
    </w:p>
    <w:p>
      <w:pPr>
        <w:spacing w:after="0" w:line="193" w:lineRule="exact"/>
        <w:rPr>
          <w:rFonts w:ascii="Times New Roman" w:cs="Times New Roman" w:eastAsia="Times New Roman" w:hAnsi="Times New Roman"/>
          <w:sz w:val="18"/>
          <w:szCs w:val="18"/>
          <w:color w:val="auto"/>
        </w:rPr>
      </w:pPr>
    </w:p>
    <w:p>
      <w:pPr>
        <w:ind w:right="60" w:firstLine="436"/>
        <w:spacing w:after="0" w:line="266" w:lineRule="auto"/>
        <w:tabs>
          <w:tab w:leader="none" w:pos="66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Holdings, their direct and indirect equityholders, including the Investors, any of their Subsidiaries and their respective Affiliates and members of management may acquire the 2031 Notes by means other than a redemption pursuant to this paragraph 5, whether by tender offer, open market purchases, negotiated transactions or otherwise.</w:t>
      </w:r>
    </w:p>
    <w:p>
      <w:pPr>
        <w:spacing w:after="0" w:line="174" w:lineRule="exact"/>
        <w:rPr>
          <w:sz w:val="20"/>
          <w:szCs w:val="20"/>
          <w:color w:val="auto"/>
        </w:rPr>
      </w:pPr>
    </w:p>
    <w:p>
      <w:pPr>
        <w:ind w:left="620" w:hanging="184"/>
        <w:spacing w:after="0"/>
        <w:tabs>
          <w:tab w:leader="none" w:pos="6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Redemption</w:t>
      </w:r>
      <w:r>
        <w:rPr>
          <w:rFonts w:ascii="Times New Roman" w:cs="Times New Roman" w:eastAsia="Times New Roman" w:hAnsi="Times New Roman"/>
          <w:sz w:val="18"/>
          <w:szCs w:val="18"/>
          <w:color w:val="auto"/>
        </w:rPr>
        <w:t>. The Issuer shall not be required to make any mandatory redemption or sinking fund payment with respect to the 2031</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204"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9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i w:val="1"/>
          <w:iCs w:val="1"/>
          <w:color w:val="auto"/>
        </w:rPr>
      </w:pPr>
    </w:p>
    <w:p>
      <w:pPr>
        <w:ind w:right="40" w:firstLine="436"/>
        <w:spacing w:after="0" w:line="255" w:lineRule="auto"/>
        <w:tabs>
          <w:tab w:leader="none" w:pos="6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Redemption</w:t>
      </w:r>
      <w:r>
        <w:rPr>
          <w:rFonts w:ascii="Times New Roman" w:cs="Times New Roman" w:eastAsia="Times New Roman" w:hAnsi="Times New Roman"/>
          <w:sz w:val="18"/>
          <w:szCs w:val="18"/>
          <w:color w:val="auto"/>
        </w:rPr>
        <w:t>. Subject to Section 3.03 of the Indenture, notice of redemption shall be delivered electronically or mailed by first-class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 postage prepaid, at least 10 days but not more than 60 days before the Redemption Date to each Holder whose 2031 Notes are to be redeemed at such Holder’s registered address stated in the Note Register or otherwise in accordance with the Applicable Procedures, except that redemption notices may be delivered electronically or mailed more than 60 days prior to a Redemption Date if the notice is issued in connection with Article 8 or Article 11 of the Indenture. 2031 Notes and portions of 2031 Notes selected for redemption shall be in integral multiples of $1,000 and no 2031 Notes of $2,000 or less can be redeemed in part, except that if all of the 2031 Notes of a Holder are to be redeemed, the entire outstanding amount of 2031 Notes held by such Holder shall be redeemed, even if not in a principal amount of at least $2,000. On and after the Redemption Date, unless the Issuers default in the payment of the redemption price, interest ceases to accrue on this 2031 Note or portions thereof called for redemption.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0"/>
          </w:cols>
          <w:pgMar w:left="440" w:top="270" w:right="459" w:bottom="1440" w:gutter="0" w:footer="0" w:header="0"/>
        </w:sectPr>
      </w:pPr>
    </w:p>
    <w:bookmarkStart w:id="164" w:name="page165"/>
    <w:bookmarkEnd w:id="164"/>
    <w:p>
      <w:pPr>
        <w:ind w:right="240" w:firstLine="436"/>
        <w:spacing w:after="0" w:line="267" w:lineRule="auto"/>
        <w:tabs>
          <w:tab w:leader="none" w:pos="6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Offers to Repurchase</w:t>
      </w:r>
      <w:r>
        <w:rPr>
          <w:rFonts w:ascii="Times New Roman" w:cs="Times New Roman" w:eastAsia="Times New Roman" w:hAnsi="Times New Roman"/>
          <w:sz w:val="18"/>
          <w:szCs w:val="18"/>
          <w:color w:val="auto"/>
        </w:rPr>
        <w:t>. Upon the occurrence of a Change of Control, unless the Issuer has previously or concurrently sent a redemption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all the outstanding 2031 Notes as described under Section 3.07 of the Indenture, the Issuers shall make a Change of Control Offer in accordance with Section 4.14 of the Indenture.</w:t>
      </w:r>
    </w:p>
    <w:p>
      <w:pPr>
        <w:spacing w:after="0" w:line="173" w:lineRule="exact"/>
        <w:rPr>
          <w:rFonts w:ascii="Times New Roman" w:cs="Times New Roman" w:eastAsia="Times New Roman" w:hAnsi="Times New Roman"/>
          <w:sz w:val="18"/>
          <w:szCs w:val="18"/>
          <w:color w:val="auto"/>
        </w:rPr>
      </w:pPr>
    </w:p>
    <w:p>
      <w:pPr>
        <w:ind w:firstLine="436"/>
        <w:spacing w:after="0" w:line="255" w:lineRule="auto"/>
        <w:tabs>
          <w:tab w:leader="none" w:pos="71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r>
        <w:rPr>
          <w:rFonts w:ascii="Times New Roman" w:cs="Times New Roman" w:eastAsia="Times New Roman" w:hAnsi="Times New Roman"/>
          <w:sz w:val="18"/>
          <w:szCs w:val="18"/>
          <w:color w:val="auto"/>
        </w:rPr>
        <w:t>. The 2031 Notes are in registered form without coupons in minimum denominations of $2,000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integral multiple of $1,000 in excess thereof. The transfer of 2031 Notes shall be registered and 2031 Notes may only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and the Transfer Agent need not exchange or register the transfer of any 2031 Note or portion of a 2031 Note selected for redemption, except for the unredeemed portion of any 2031 Note being redeemed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new 2031 Notes will only be issued in minimum denominations of $2,000 and integral multiples of $1,000 in excess thereof. Also, the Issuers and the Transfer Agent need not exchange or register the transfer of any 2031 Notes for a period of 15 days before the mailing of a notice of redemption of 2031 Notes to be redeemed.</w:t>
      </w:r>
    </w:p>
    <w:p>
      <w:pPr>
        <w:spacing w:after="0" w:line="184" w:lineRule="exact"/>
        <w:rPr>
          <w:rFonts w:ascii="Times New Roman" w:cs="Times New Roman" w:eastAsia="Times New Roman" w:hAnsi="Times New Roman"/>
          <w:sz w:val="18"/>
          <w:szCs w:val="18"/>
          <w:color w:val="auto"/>
        </w:rPr>
      </w:pPr>
    </w:p>
    <w:p>
      <w:pPr>
        <w:ind w:right="280" w:firstLine="436"/>
        <w:spacing w:after="0" w:line="284" w:lineRule="auto"/>
        <w:tabs>
          <w:tab w:leader="none" w:pos="70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The registered Holder of a 2031 Note shall be treated as its owner for all purposes. Only registered Holders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rights hereunder.</w:t>
      </w:r>
    </w:p>
    <w:p>
      <w:pPr>
        <w:spacing w:after="0" w:line="158" w:lineRule="exact"/>
        <w:rPr>
          <w:rFonts w:ascii="Times New Roman" w:cs="Times New Roman" w:eastAsia="Times New Roman" w:hAnsi="Times New Roman"/>
          <w:sz w:val="18"/>
          <w:szCs w:val="18"/>
          <w:color w:val="auto"/>
        </w:rPr>
      </w:pPr>
    </w:p>
    <w:p>
      <w:pPr>
        <w:ind w:right="780" w:firstLine="436"/>
        <w:spacing w:after="0" w:line="284" w:lineRule="auto"/>
        <w:tabs>
          <w:tab w:leader="none" w:pos="71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and Waiver</w:t>
      </w:r>
      <w:r>
        <w:rPr>
          <w:rFonts w:ascii="Times New Roman" w:cs="Times New Roman" w:eastAsia="Times New Roman" w:hAnsi="Times New Roman"/>
          <w:sz w:val="18"/>
          <w:szCs w:val="18"/>
          <w:color w:val="auto"/>
        </w:rPr>
        <w:t>. The Indenture, the Guarantees, the 2031 Notes or the Security Documents may be amended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supplemented as provided in the Indenture.</w:t>
      </w:r>
    </w:p>
    <w:p>
      <w:pPr>
        <w:spacing w:after="0" w:line="15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4" w:lineRule="auto"/>
        <w:tabs>
          <w:tab w:leader="none" w:pos="68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of Default relating to the 2031 Notes are defined in Section 6.01 of the Indenture. If any Event of Default (other than an Event of Default of the type specified in clause (vi) or (vii) of Section 6.01(a) of the Indenture) occurs and is continuing under the Indenture, the Trustee or the Holders of not less than 30% in aggregate principal amount of all of the then outstanding 2031 Notes may, by notice to the Issuer and the Trustee, in either case specifying in such notice the respective Event of Default and that such notice is a “notice of acceleration,” declare the principal, premium, if any, interest and any other monetary obligations on all the then outstanding 2031 Notes to be due and payable immediately. Upon the effectiveness of such declaration, such principal of and premium, if any, and interest will be due and payable immediately. Notwithstanding the foregoing, in the case of an Event of Default arising under clause (vi) or (vii) of Section 6.01(a) of the Indenture, all outstanding 2031 Notes will become due and payable without further action or notice. Holders of 2031 Notes may not enforce the Indenture, the 2031 Notes, the Security Documents or the Guarantees except as provided in the Indenture. Subject to certain limitations, the Required Holders may direct the Trustee in its exercise of any trust or power.</w:t>
      </w:r>
    </w:p>
    <w:p>
      <w:pPr>
        <w:spacing w:after="0" w:line="188" w:lineRule="exact"/>
        <w:rPr>
          <w:rFonts w:ascii="Times New Roman" w:cs="Times New Roman" w:eastAsia="Times New Roman" w:hAnsi="Times New Roman"/>
          <w:sz w:val="18"/>
          <w:szCs w:val="18"/>
          <w:color w:val="auto"/>
        </w:rPr>
      </w:pPr>
    </w:p>
    <w:p>
      <w:pPr>
        <w:ind w:right="520" w:firstLine="436"/>
        <w:spacing w:after="0" w:line="282" w:lineRule="auto"/>
        <w:tabs>
          <w:tab w:leader="none" w:pos="69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withhold from the Holders of 2031 Notes notice of any continuing Default, except a Default relating to the payment of principal, premium, if any, or interest, if it determines that withholding notice is in their interest.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0"/>
          </w:cols>
          <w:pgMar w:left="440" w:top="268" w:right="459" w:bottom="1440" w:gutter="0" w:footer="0" w:header="0"/>
        </w:sectPr>
      </w:pPr>
    </w:p>
    <w:bookmarkStart w:id="165" w:name="page166"/>
    <w:bookmarkEnd w:id="165"/>
    <w:p>
      <w:pPr>
        <w:ind w:left="-20" w:right="60" w:firstLine="436"/>
        <w:spacing w:after="0" w:line="255" w:lineRule="auto"/>
        <w:tabs>
          <w:tab w:leader="none" w:pos="66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Required Holders, by written notice to the Trustee (with a copy to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waiver or rescission under Section 6.04 of the Indenture shall be valid and binding notwithstanding the failure to provide a copy of such notice to the Issuer) may on behalf of the Holders of all of the 2031 Notes waive any existing Default and its consequences under the Indenture (except a continuing Default in the payment of interest on, premium, if any, or the principal of any 2031 Note held by a non-consenting Holder) (including in connection with a Change of Control Offer or an Alternate Offer) and rescind any acceleration with respect to the 2031 Notes and its consequences under the Indenture (except if such rescission would conflict with any judgment of a court of competent jurisdiction). Upon any such waiver, such Default shall cease to exist, and any Event of Default arising therefrom shall be deemed to have been cured for every purpose of the Indenture; but no such waiver shall extend to any subsequent or other Default or impair any right consequent thereto.</w:t>
      </w:r>
    </w:p>
    <w:p>
      <w:pPr>
        <w:spacing w:after="0" w:line="186" w:lineRule="exact"/>
        <w:rPr>
          <w:rFonts w:ascii="Times New Roman" w:cs="Times New Roman" w:eastAsia="Times New Roman" w:hAnsi="Times New Roman"/>
          <w:sz w:val="18"/>
          <w:szCs w:val="18"/>
          <w:color w:val="auto"/>
        </w:rPr>
      </w:pPr>
    </w:p>
    <w:p>
      <w:pPr>
        <w:ind w:left="-20" w:right="300" w:firstLine="436"/>
        <w:spacing w:after="0" w:line="261" w:lineRule="auto"/>
        <w:tabs>
          <w:tab w:leader="none" w:pos="67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required to deliver to the Trustee annually a statement regarding compliance with the Indenture, and the Issuer shall promptly (which shall be no more than 20 Business Days after becoming aware of such Default) deliver to the Trustee by registered or certified mail or by facsimile transmission an Officer’s Certificate specifying such Default, its status and what action the Issuer is taking or proposes to take with respect thereto.</w:t>
      </w:r>
    </w:p>
    <w:p>
      <w:pPr>
        <w:spacing w:after="0" w:line="178" w:lineRule="exact"/>
        <w:rPr>
          <w:sz w:val="20"/>
          <w:szCs w:val="20"/>
          <w:color w:val="auto"/>
        </w:rPr>
      </w:pPr>
    </w:p>
    <w:p>
      <w:pPr>
        <w:ind w:left="680" w:hanging="264"/>
        <w:spacing w:after="0"/>
        <w:tabs>
          <w:tab w:leader="none" w:pos="6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The Issuers’ obligations under the 2031 Notes are fully and unconditionally guaranteed, jointly and severally, by the Guarantors.</w:t>
      </w:r>
    </w:p>
    <w:p>
      <w:pPr>
        <w:spacing w:after="0" w:line="225" w:lineRule="exact"/>
        <w:rPr>
          <w:rFonts w:ascii="Times New Roman" w:cs="Times New Roman" w:eastAsia="Times New Roman" w:hAnsi="Times New Roman"/>
          <w:sz w:val="18"/>
          <w:szCs w:val="18"/>
          <w:color w:val="auto"/>
        </w:rPr>
      </w:pPr>
    </w:p>
    <w:p>
      <w:pPr>
        <w:ind w:left="-20" w:right="740" w:firstLine="436"/>
        <w:spacing w:after="0" w:line="284" w:lineRule="auto"/>
        <w:tabs>
          <w:tab w:leader="none" w:pos="69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This 2031 Note shall not be entitled to any benefit under the Indenture or be valid or obligatory for any purpose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authenticated by the manual signature of the Trustee.</w:t>
      </w:r>
    </w:p>
    <w:p>
      <w:pPr>
        <w:spacing w:after="0" w:line="158" w:lineRule="exact"/>
        <w:rPr>
          <w:rFonts w:ascii="Times New Roman" w:cs="Times New Roman" w:eastAsia="Times New Roman" w:hAnsi="Times New Roman"/>
          <w:sz w:val="18"/>
          <w:szCs w:val="18"/>
          <w:color w:val="auto"/>
        </w:rPr>
      </w:pPr>
    </w:p>
    <w:p>
      <w:pPr>
        <w:ind w:left="-20" w:firstLine="436"/>
        <w:spacing w:after="0" w:line="284" w:lineRule="auto"/>
        <w:tabs>
          <w:tab w:leader="none" w:pos="69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2031 NOTE, AND ANY CLAIM, CONTROVERSY OR DISPUTE ARISING UNDER OR RELATED TO THIS 2031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WILL BE GOVERNED BY, AND 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left="-20" w:right="60" w:firstLine="436"/>
        <w:spacing w:after="0" w:line="261" w:lineRule="auto"/>
        <w:tabs>
          <w:tab w:leader="none" w:pos="69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 and ISINs</w:t>
      </w:r>
      <w:r>
        <w:rPr>
          <w:rFonts w:ascii="Times New Roman" w:cs="Times New Roman" w:eastAsia="Times New Roman" w:hAnsi="Times New Roman"/>
          <w:sz w:val="18"/>
          <w:szCs w:val="18"/>
          <w:color w:val="auto"/>
        </w:rPr>
        <w:t>. Pursuant to a recommendation promulgated by the Committee on Uniform Security Identification Procedures,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Issuers have caused CUSIP numbers and ISINs to be printed on the 2031 Notes and the Trustee may use CUSIP numbers and ISINs in notices of redemption as a convenience to Holders. No representation is made as to the accuracy of such numbers either as printed on the 2031 Notes or as contained in any notice of redemption and reliance may be placed only on the other identification numbers placed thereon.</w:t>
      </w:r>
    </w:p>
    <w:p>
      <w:pPr>
        <w:spacing w:after="0" w:line="179"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9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The 2031 Notes and the related Guarantees will be secured by the Collateral on the terms and subject to the conditions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and the Security Documents. The Trustee and the Notes Collateral Agent, as the case may be, hold the Collateral in trust for the benefit of the Holders of the 2031 Notes, in each case pursuant to the Security Documents and the Pari Passu Intercreditor Agreement, the ABL/Fixed Asset Intercreditor Agreement, if any, and Junior Lien Intercreditor Agreement, if any. Each Holder, by accepting this 2031 Note, consents and agrees to the terms of the Security Documents (including the provisions providing for the foreclosure and release of Collateral) and the Pari Passu Intercreditor Agreement, the ABL/Fixed Asset Intercreditor Agreement, if any, and Junior Lien Intercreditor Agreement, if any, each as may be in effect or may be amended from time to time in accordance with their terms and the Indenture, and authorizes and directs the Notes Collateral Agent to enter into the Security Documents and the Pari Passu Intercreditor Agreement, the ABL/Fixed Asset Intercreditor Agreement, if any, on the Issue Date, and the Security Documents and the Junior Lien Intercreditor Agreement, if any, at any time after the Issue Date, if applicable, and to perform its obligations and exercise its rights thereunder in accordance therewith.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980"/>
          </w:cols>
          <w:pgMar w:left="460" w:top="268" w:right="459" w:bottom="1440" w:gutter="0" w:footer="0" w:header="0"/>
        </w:sectPr>
      </w:pPr>
    </w:p>
    <w:bookmarkStart w:id="166" w:name="page167"/>
    <w:bookmarkEnd w:id="16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will furnish to any Holder upon written request and without charge a copy of the Indenture. Requests may be made to the Issuer at the following address:</w:t>
      </w:r>
    </w:p>
    <w:p>
      <w:pPr>
        <w:spacing w:after="0" w:line="5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Medline Borrower, LP</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Northfield, IL 60093</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Attention: Alex Liberman</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2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With a copy to (which shall not constitute notice for any purpose under this Indenture):</w:t>
      </w:r>
    </w:p>
    <w:p>
      <w:pPr>
        <w:spacing w:after="0" w:line="2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Facsimile No.: [Facsimile number]</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Attention: Jonathan Ozner, Katharine Thompson</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Email: [Email address] [Email address]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880"/>
          </w:cols>
          <w:pgMar w:left="440" w:top="270" w:right="579" w:bottom="1440" w:gutter="0" w:footer="0" w:header="0"/>
        </w:sectPr>
      </w:pPr>
    </w:p>
    <w:bookmarkStart w:id="167" w:name="page168"/>
    <w:bookmarkEnd w:id="167"/>
    <w:p>
      <w:pPr>
        <w:jc w:val="center"/>
        <w:ind w:right="-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assign this 2031 Note, fill in the form below:</w:t>
      </w:r>
    </w:p>
    <w:p>
      <w:pPr>
        <w:spacing w:after="0" w:line="225" w:lineRule="exact"/>
        <w:rPr>
          <w:sz w:val="20"/>
          <w:szCs w:val="20"/>
          <w:color w:val="auto"/>
        </w:rPr>
      </w:pPr>
    </w:p>
    <w:p>
      <w:pPr>
        <w:ind w:left="224" w:hanging="224"/>
        <w:spacing w:after="0"/>
        <w:tabs>
          <w:tab w:leader="none" w:pos="22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(we) assign and transfer this 2031 Note to:                                  </w:t>
      </w:r>
    </w:p>
    <w:p>
      <w:pPr>
        <w:spacing w:after="0" w:line="27" w:lineRule="exact"/>
        <w:rPr>
          <w:rFonts w:ascii="Times New Roman" w:cs="Times New Roman" w:eastAsia="Times New Roman" w:hAnsi="Times New Roman"/>
          <w:sz w:val="18"/>
          <w:szCs w:val="18"/>
          <w:color w:val="auto"/>
        </w:rPr>
      </w:pPr>
    </w:p>
    <w:p>
      <w:pPr>
        <w:ind w:left="3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-156210</wp:posOffset>
            </wp:positionV>
            <wp:extent cx="13709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32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420370</wp:posOffset>
            </wp:positionV>
            <wp:extent cx="6995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643255</wp:posOffset>
            </wp:positionV>
            <wp:extent cx="6995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5740" w:type="dxa"/>
            <w:vAlign w:val="bottom"/>
            <w:gridSpan w:val="5"/>
          </w:tcPr>
          <w:p>
            <w:pPr>
              <w:ind w:left="186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91"/>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and irrevocably appoint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40" w:type="dxa"/>
            <w:vAlign w:val="bottom"/>
          </w:tcPr>
          <w:p>
            <w:pPr>
              <w:jc w:val="center"/>
              <w:ind w:right="15"/>
              <w:spacing w:after="0"/>
              <w:rPr>
                <w:sz w:val="20"/>
                <w:szCs w:val="20"/>
                <w:color w:val="auto"/>
              </w:rPr>
            </w:pPr>
            <w:r>
              <w:rPr>
                <w:rFonts w:ascii="Times New Roman" w:cs="Times New Roman" w:eastAsia="Times New Roman" w:hAnsi="Times New Roman"/>
                <w:sz w:val="8"/>
                <w:szCs w:val="8"/>
                <w:color w:val="auto"/>
                <w:w w:val="74"/>
              </w:rPr>
              <w:t> </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to transfer this</w:t>
            </w:r>
          </w:p>
        </w:tc>
      </w:tr>
      <w:tr>
        <w:trPr>
          <w:trHeight w:val="20"/>
        </w:trPr>
        <w:tc>
          <w:tcPr>
            <w:tcW w:w="174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7"/>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2031 Note on the books of the Issuer. The agent may substitute another to act for him.</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____________________</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18"/>
        </w:trPr>
        <w:tc>
          <w:tcPr>
            <w:tcW w:w="1740" w:type="dxa"/>
            <w:vAlign w:val="bottom"/>
          </w:tcPr>
          <w:p>
            <w:pPr>
              <w:spacing w:after="0"/>
              <w:rPr>
                <w:sz w:val="24"/>
                <w:szCs w:val="24"/>
                <w:color w:val="auto"/>
              </w:rPr>
            </w:pPr>
          </w:p>
        </w:tc>
        <w:tc>
          <w:tcPr>
            <w:tcW w:w="520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w w:val="88"/>
              </w:rPr>
              <w:t>Your Signature: 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34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rPr>
              <w:t xml:space="preserve">    </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17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9" w:lineRule="exact"/>
        <w:rPr>
          <w:sz w:val="20"/>
          <w:szCs w:val="20"/>
          <w:color w:val="auto"/>
        </w:rPr>
      </w:pPr>
    </w:p>
    <w:p>
      <w:pPr>
        <w:ind w:left="6824"/>
        <w:spacing w:after="0"/>
        <w:rPr>
          <w:sz w:val="20"/>
          <w:szCs w:val="20"/>
          <w:color w:val="auto"/>
        </w:rPr>
      </w:pPr>
      <w:r>
        <w:rPr>
          <w:rFonts w:ascii="Times New Roman" w:cs="Times New Roman" w:eastAsia="Times New Roman" w:hAnsi="Times New Roman"/>
          <w:sz w:val="18"/>
          <w:szCs w:val="18"/>
          <w:color w:val="auto"/>
        </w:rPr>
        <w:t>(Sign exactly as your name appears on the face of this</w:t>
      </w:r>
    </w:p>
    <w:p>
      <w:pPr>
        <w:spacing w:after="0" w:line="27" w:lineRule="exact"/>
        <w:rPr>
          <w:sz w:val="20"/>
          <w:szCs w:val="20"/>
          <w:color w:val="auto"/>
        </w:rPr>
      </w:pPr>
    </w:p>
    <w:p>
      <w:pPr>
        <w:ind w:left="6824"/>
        <w:spacing w:after="0"/>
        <w:rPr>
          <w:sz w:val="20"/>
          <w:szCs w:val="20"/>
          <w:color w:val="auto"/>
        </w:rPr>
      </w:pPr>
      <w:r>
        <w:rPr>
          <w:rFonts w:ascii="Times New Roman" w:cs="Times New Roman" w:eastAsia="Times New Roman" w:hAnsi="Times New Roman"/>
          <w:sz w:val="18"/>
          <w:szCs w:val="18"/>
          <w:color w:val="auto"/>
        </w:rPr>
        <w:t>2031 Note)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Signature Guarantee*: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-7620</wp:posOffset>
            </wp:positionV>
            <wp:extent cx="11430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32" w:lineRule="exact"/>
        <w:rPr>
          <w:sz w:val="20"/>
          <w:szCs w:val="20"/>
          <w:color w:val="auto"/>
        </w:rPr>
      </w:pPr>
    </w:p>
    <w:p>
      <w:pPr>
        <w:ind w:left="424" w:hanging="424"/>
        <w:spacing w:after="0"/>
        <w:tabs>
          <w:tab w:leader="none" w:pos="42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w:t>
      </w:r>
    </w:p>
    <w:p>
      <w:pPr>
        <w:spacing w:after="0" w:line="225" w:lineRule="exact"/>
        <w:rPr>
          <w:rFonts w:ascii="Times New Roman" w:cs="Times New Roman" w:eastAsia="Times New Roman" w:hAnsi="Times New Roman"/>
          <w:sz w:val="18"/>
          <w:szCs w:val="18"/>
          <w:color w:val="auto"/>
        </w:rPr>
      </w:pPr>
    </w:p>
    <w:p>
      <w:pPr>
        <w:ind w:left="37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OF HOLDER TO ELECT PURCHASE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you want to elect to have this 2031 Note purchased by the Issuer pursuant to Section 4.14 of the Indenture, check the appropriate box below:</w:t>
      </w:r>
    </w:p>
    <w:p>
      <w:pPr>
        <w:spacing w:after="0" w:line="225"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 ] Section 4.14</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this 2031 Note purchased by the Issuer pursuant to Section 4.14 of the Indenture, state the amount you elect to have purchased:</w:t>
      </w:r>
    </w:p>
    <w:p>
      <w:pPr>
        <w:spacing w:after="0" w:line="162"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____________________</w:t>
      </w:r>
    </w:p>
    <w:p>
      <w:pPr>
        <w:spacing w:after="0" w:line="225"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 xml:space="preserve">Your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-7620</wp:posOffset>
            </wp:positionV>
            <wp:extent cx="21710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71065" cy="8890"/>
                    </a:xfrm>
                    <a:prstGeom prst="rect">
                      <a:avLst/>
                    </a:prstGeom>
                    <a:noFill/>
                  </pic:spPr>
                </pic:pic>
              </a:graphicData>
            </a:graphic>
          </wp:anchor>
        </w:drawing>
      </w:r>
    </w:p>
    <w:p>
      <w:pPr>
        <w:spacing w:after="0" w:line="7" w:lineRule="exact"/>
        <w:rPr>
          <w:sz w:val="20"/>
          <w:szCs w:val="20"/>
          <w:color w:val="auto"/>
        </w:rPr>
      </w:pPr>
    </w:p>
    <w:p>
      <w:pPr>
        <w:ind w:left="6824"/>
        <w:spacing w:after="0"/>
        <w:rPr>
          <w:sz w:val="20"/>
          <w:szCs w:val="20"/>
          <w:color w:val="auto"/>
        </w:rPr>
      </w:pPr>
      <w:r>
        <w:rPr>
          <w:rFonts w:ascii="Times New Roman" w:cs="Times New Roman" w:eastAsia="Times New Roman" w:hAnsi="Times New Roman"/>
          <w:sz w:val="18"/>
          <w:szCs w:val="18"/>
          <w:color w:val="auto"/>
        </w:rPr>
        <w:t>(Sign exactly as your name appears on the face of this</w:t>
      </w:r>
    </w:p>
    <w:p>
      <w:pPr>
        <w:spacing w:after="0" w:line="9" w:lineRule="exact"/>
        <w:rPr>
          <w:sz w:val="20"/>
          <w:szCs w:val="20"/>
          <w:color w:val="auto"/>
        </w:rPr>
      </w:pPr>
    </w:p>
    <w:p>
      <w:pPr>
        <w:ind w:left="6824"/>
        <w:spacing w:after="0"/>
        <w:rPr>
          <w:sz w:val="20"/>
          <w:szCs w:val="20"/>
          <w:color w:val="auto"/>
        </w:rPr>
      </w:pPr>
      <w:r>
        <w:rPr>
          <w:rFonts w:ascii="Times New Roman" w:cs="Times New Roman" w:eastAsia="Times New Roman" w:hAnsi="Times New Roman"/>
          <w:sz w:val="18"/>
          <w:szCs w:val="18"/>
          <w:color w:val="auto"/>
        </w:rPr>
        <w:t>2031 Note)</w:t>
      </w:r>
    </w:p>
    <w:p>
      <w:pPr>
        <w:spacing w:after="0" w:line="207" w:lineRule="exact"/>
        <w:rPr>
          <w:sz w:val="20"/>
          <w:szCs w:val="20"/>
          <w:color w:val="auto"/>
        </w:rPr>
      </w:pPr>
    </w:p>
    <w:p>
      <w:pPr>
        <w:ind w:left="5624"/>
        <w:spacing w:after="0"/>
        <w:rPr>
          <w:sz w:val="20"/>
          <w:szCs w:val="20"/>
          <w:color w:val="auto"/>
        </w:rPr>
      </w:pPr>
      <w:r>
        <w:rPr>
          <w:rFonts w:ascii="Times New Roman" w:cs="Times New Roman" w:eastAsia="Times New Roman" w:hAnsi="Times New Roman"/>
          <w:sz w:val="18"/>
          <w:szCs w:val="18"/>
          <w:color w:val="auto"/>
        </w:rPr>
        <w:t>           Tax Identification No.:</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Signature Guarantee*: 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-7620</wp:posOffset>
            </wp:positionV>
            <wp:extent cx="11430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32" w:lineRule="exact"/>
        <w:rPr>
          <w:sz w:val="20"/>
          <w:szCs w:val="20"/>
          <w:color w:val="auto"/>
        </w:rPr>
      </w:pPr>
    </w:p>
    <w:p>
      <w:pPr>
        <w:ind w:left="5324" w:right="1580" w:hanging="5324"/>
        <w:spacing w:after="0" w:line="454" w:lineRule="auto"/>
        <w:tabs>
          <w:tab w:leader="none" w:pos="43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A-11</w:t>
      </w:r>
    </w:p>
    <w:p>
      <w:pPr>
        <w:sectPr>
          <w:pgSz w:w="11900" w:h="16838" w:orient="portrait"/>
          <w:cols w:equalWidth="0" w:num="1">
            <w:col w:w="10944"/>
          </w:cols>
          <w:pgMar w:left="436" w:top="270" w:right="519" w:bottom="1440" w:gutter="0" w:footer="0" w:header="0"/>
        </w:sectPr>
      </w:pPr>
    </w:p>
    <w:bookmarkStart w:id="168" w:name="page169"/>
    <w:bookmarkEnd w:id="168"/>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INTERESTS IN THE GLOBAL NOTE*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initial outstanding principal amount of this Global Note is $___________. The following exchanges of a part of this Global Note for an</w:t>
      </w:r>
    </w:p>
    <w:p>
      <w:pPr>
        <w:spacing w:after="0" w:line="27" w:lineRule="exact"/>
        <w:rPr>
          <w:sz w:val="20"/>
          <w:szCs w:val="20"/>
          <w:color w:val="auto"/>
        </w:rPr>
      </w:pPr>
    </w:p>
    <w:p>
      <w:pPr>
        <w:ind w:left="4" w:right="240"/>
        <w:spacing w:after="0" w:line="260" w:lineRule="auto"/>
        <w:rPr>
          <w:sz w:val="20"/>
          <w:szCs w:val="20"/>
          <w:color w:val="auto"/>
        </w:rPr>
      </w:pPr>
      <w:r>
        <w:rPr>
          <w:rFonts w:ascii="Times New Roman" w:cs="Times New Roman" w:eastAsia="Times New Roman" w:hAnsi="Times New Roman"/>
          <w:sz w:val="18"/>
          <w:szCs w:val="18"/>
          <w:color w:val="auto"/>
        </w:rPr>
        <w:t>interest in another Global Note or for a Definitive Note, or exchanges of a part of another Global Note or Definitive Note for an interest in this Global Note, have been made:</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Principal Amount of</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of increase</w:t>
            </w:r>
          </w:p>
        </w:tc>
        <w:tc>
          <w:tcPr>
            <w:tcW w:w="2300" w:type="dxa"/>
            <w:vAlign w:val="bottom"/>
            <w:gridSpan w:val="2"/>
            <w:vMerge w:val="continue"/>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2320" w:type="dxa"/>
            <w:vAlign w:val="bottom"/>
            <w:gridSpan w:val="2"/>
            <w:vMerge w:val="continue"/>
          </w:tcPr>
          <w:p>
            <w:pPr>
              <w:spacing w:after="0"/>
              <w:rPr>
                <w:sz w:val="12"/>
                <w:szCs w:val="12"/>
                <w:color w:val="auto"/>
              </w:rPr>
            </w:pP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this Global Note</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signatory of</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 Exchange</w:t>
            </w:r>
          </w:p>
        </w:tc>
        <w:tc>
          <w:tcPr>
            <w:tcW w:w="106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 Principal Amount</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Trustee or</w:t>
            </w: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vMerge w:val="continue"/>
          </w:tcPr>
          <w:p>
            <w:pPr>
              <w:spacing w:after="0"/>
              <w:rPr>
                <w:sz w:val="15"/>
                <w:szCs w:val="15"/>
                <w:color w:val="auto"/>
              </w:rPr>
            </w:pPr>
          </w:p>
        </w:tc>
        <w:tc>
          <w:tcPr>
            <w:tcW w:w="106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decrease or increase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411480</wp:posOffset>
            </wp:positionV>
            <wp:extent cx="7715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324" w:right="5120" w:hanging="5324"/>
        <w:spacing w:after="0" w:line="454" w:lineRule="auto"/>
        <w:tabs>
          <w:tab w:leader="none" w:pos="13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should be included only if the 2031 Note is issued in global form. A-12</w:t>
      </w:r>
    </w:p>
    <w:p>
      <w:pPr>
        <w:sectPr>
          <w:pgSz w:w="11900" w:h="16838" w:orient="portrait"/>
          <w:cols w:equalWidth="0" w:num="1">
            <w:col w:w="11024"/>
          </w:cols>
          <w:pgMar w:left="436" w:top="270" w:right="4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A-2</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[FORM OF 2033 NOTE]</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[FACE OF 2033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the Global Note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the Private Placement Legend, if applicable pursuant to the provisions of the Indenture]</w:t>
      </w:r>
    </w:p>
    <w:p>
      <w:pPr>
        <w:spacing w:after="0" w:line="225" w:lineRule="exact"/>
        <w:rPr>
          <w:sz w:val="20"/>
          <w:szCs w:val="20"/>
          <w:color w:val="auto"/>
        </w:rPr>
      </w:pPr>
    </w:p>
    <w:p>
      <w:pPr>
        <w:ind w:left="4920" w:right="2380" w:hanging="4927"/>
        <w:spacing w:after="0" w:line="454" w:lineRule="auto"/>
        <w:rPr>
          <w:sz w:val="20"/>
          <w:szCs w:val="20"/>
          <w:color w:val="auto"/>
        </w:rPr>
      </w:pPr>
      <w:r>
        <w:rPr>
          <w:rFonts w:ascii="Times New Roman" w:cs="Times New Roman" w:eastAsia="Times New Roman" w:hAnsi="Times New Roman"/>
          <w:sz w:val="18"/>
          <w:szCs w:val="18"/>
          <w:color w:val="auto"/>
        </w:rPr>
        <w:t>[Insert the Regulation S Temporary Global Note Legend, if applicable pursuant to the provisions of the Indenture] A-1</w:t>
      </w:r>
    </w:p>
    <w:p>
      <w:pPr>
        <w:sectPr>
          <w:pgSz w:w="11900" w:h="16838" w:orient="portrait"/>
          <w:cols w:equalWidth="0" w:num="1">
            <w:col w:w="10580"/>
          </w:cols>
          <w:pgMar w:left="880" w:top="270" w:right="439" w:bottom="1440" w:gutter="0" w:footer="0" w:header="0"/>
        </w:sectPr>
      </w:pPr>
    </w:p>
    <w:bookmarkStart w:id="170" w:name="page171"/>
    <w:bookmarkEnd w:id="17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[___]</w:t>
      </w:r>
      <w:r>
        <w:rPr>
          <w:rFonts w:ascii="Times New Roman" w:cs="Times New Roman" w:eastAsia="Times New Roman" w:hAnsi="Times New Roman"/>
          <w:sz w:val="26"/>
          <w:szCs w:val="26"/>
          <w:color w:val="auto"/>
          <w:vertAlign w:val="superscript"/>
        </w:rPr>
        <w:t>5</w:t>
      </w:r>
    </w:p>
    <w:p>
      <w:pPr>
        <w:ind w:left="4"/>
        <w:spacing w:after="0"/>
        <w:rPr>
          <w:sz w:val="20"/>
          <w:szCs w:val="20"/>
          <w:color w:val="auto"/>
        </w:rPr>
      </w:pPr>
      <w:r>
        <w:rPr>
          <w:rFonts w:ascii="Times New Roman" w:cs="Times New Roman" w:eastAsia="Times New Roman" w:hAnsi="Times New Roman"/>
          <w:sz w:val="18"/>
          <w:szCs w:val="18"/>
          <w:color w:val="auto"/>
        </w:rPr>
        <w:t>ISIN [___]</w:t>
      </w:r>
      <w:r>
        <w:rPr>
          <w:rFonts w:ascii="Times New Roman" w:cs="Times New Roman" w:eastAsia="Times New Roman" w:hAnsi="Times New Roman"/>
          <w:sz w:val="26"/>
          <w:szCs w:val="26"/>
          <w:color w:val="auto"/>
          <w:vertAlign w:val="superscript"/>
        </w:rPr>
        <w:t>6</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[RULE 144A][REGULATION S] [GLOBAL] NOTE</w:t>
      </w:r>
    </w:p>
    <w:p>
      <w:pPr>
        <w:spacing w:after="0" w:line="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representing [up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$[__________]</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5.250% Senior Secured Notes due 2033</w:t>
      </w:r>
    </w:p>
    <w:p>
      <w:pPr>
        <w:sectPr>
          <w:pgSz w:w="11900" w:h="16838" w:orient="portrait"/>
          <w:cols w:equalWidth="0" w:num="1">
            <w:col w:w="11024"/>
          </w:cols>
          <w:pgMar w:left="436" w:top="206"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No.___</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ectPr>
          <w:pgSz w:w="11900" w:h="16838" w:orient="portrait"/>
          <w:cols w:equalWidth="0" w:num="2">
            <w:col w:w="9184" w:space="720"/>
            <w:col w:w="1120"/>
          </w:cols>
          <w:pgMar w:left="436" w:top="206" w:right="439" w:bottom="1440" w:gutter="0" w:footer="0" w:header="0"/>
          <w:type w:val="continuous"/>
        </w:sectPr>
      </w:pPr>
    </w:p>
    <w:p>
      <w:pPr>
        <w:spacing w:after="0" w:line="25" w:lineRule="exact"/>
        <w:rPr>
          <w:sz w:val="20"/>
          <w:szCs w:val="20"/>
          <w:color w:val="auto"/>
        </w:rPr>
      </w:pPr>
    </w:p>
    <w:p>
      <w:pPr>
        <w:ind w:left="4" w:right="340"/>
        <w:spacing w:after="0" w:line="261" w:lineRule="auto"/>
        <w:rPr>
          <w:sz w:val="20"/>
          <w:szCs w:val="20"/>
          <w:color w:val="auto"/>
        </w:rPr>
      </w:pPr>
      <w:r>
        <w:rPr>
          <w:rFonts w:ascii="Times New Roman" w:cs="Times New Roman" w:eastAsia="Times New Roman" w:hAnsi="Times New Roman"/>
          <w:sz w:val="18"/>
          <w:szCs w:val="18"/>
          <w:color w:val="auto"/>
        </w:rPr>
        <w:t>Medline Borrower, LP, a Delaware limited partnership, and Medline Co-Issuer, Inc., a Delaware corporation, jointly and severally, promise to pay to [Cede &amp; Co.]* or registered assigns the principal sum [set forth on the Schedule of Exchanges of Interests in the Global Note attached hereto] [of</w:t>
      </w:r>
    </w:p>
    <w:p>
      <w:pPr>
        <w:ind w:left="4"/>
        <w:spacing w:after="0"/>
        <w:rPr>
          <w:sz w:val="20"/>
          <w:szCs w:val="20"/>
          <w:color w:val="auto"/>
        </w:rPr>
      </w:pPr>
      <w:r>
        <w:rPr>
          <w:rFonts w:ascii="Times New Roman" w:cs="Times New Roman" w:eastAsia="Times New Roman" w:hAnsi="Times New Roman"/>
          <w:sz w:val="17"/>
          <w:szCs w:val="17"/>
          <w:color w:val="auto"/>
        </w:rPr>
        <w:t>_______________ United States dollars, as may be increased or decreased on the attached Schedule of Exchanges of Interests in the Global Note,] on</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15, 2033.</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Interest Payment Dates: June 15 and December 15, commencing on December 15,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Record Dates:             June 1 and December 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Additional provisions of this 2033 Note are set forth on the other side of this 2033 Note.</w:t>
      </w:r>
    </w:p>
    <w:p>
      <w:pPr>
        <w:spacing w:after="0" w:line="252" w:lineRule="exact"/>
        <w:rPr>
          <w:sz w:val="20"/>
          <w:szCs w:val="20"/>
          <w:color w:val="auto"/>
        </w:rPr>
      </w:pPr>
    </w:p>
    <w:p>
      <w:pPr>
        <w:ind w:left="424" w:hanging="424"/>
        <w:spacing w:after="0"/>
        <w:tabs>
          <w:tab w:leader="none" w:pos="4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only if the 2033 Note is issued in global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20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58506D AC2 (144A); U8357D AD2 (Reg S)</w:t>
      </w:r>
    </w:p>
    <w:p>
      <w:pPr>
        <w:ind w:left="424" w:hanging="424"/>
        <w:spacing w:after="0" w:line="180" w:lineRule="auto"/>
        <w:tabs>
          <w:tab w:leader="none" w:pos="424" w:val="left"/>
        </w:tabs>
        <w:numPr>
          <w:ilvl w:val="0"/>
          <w:numId w:val="20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US58506DAC20 (144A); USU8357DAD22 (Reg S)</w:t>
      </w:r>
    </w:p>
    <w:p>
      <w:pPr>
        <w:spacing w:after="0" w:line="1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4"/>
          </w:cols>
          <w:pgMar w:left="436" w:top="206" w:right="439" w:bottom="1440" w:gutter="0" w:footer="0" w:header="0"/>
          <w:type w:val="continuous"/>
        </w:sectPr>
      </w:pPr>
    </w:p>
    <w:bookmarkStart w:id="171" w:name="page172"/>
    <w:bookmarkEnd w:id="1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HEREOF, each of the Issuers has caused this instrument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MEDLINE BORROWER, LP, as the Issuer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MOZART GP,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MEDLINE CO-ISSUER, INC., as the Co-Issuer</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080"/>
          </w:cols>
          <w:pgMar w:left="440" w:top="270" w:right="1379" w:bottom="1440" w:gutter="0" w:footer="0" w:header="0"/>
        </w:sectPr>
      </w:pPr>
    </w:p>
    <w:bookmarkStart w:id="172" w:name="page173"/>
    <w:bookmarkEnd w:id="17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2033 Notes referred to in the within-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mentioned Indenture:</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WILMINGTON TRUST, NATIONAL ASSOCIATION,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4860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w:t>
      </w:r>
    </w:p>
    <w:p>
      <w:pPr>
        <w:spacing w:after="0" w:line="15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9860"/>
          </w:cols>
          <w:pgMar w:left="1440" w:top="270" w:right="599" w:bottom="1440" w:gutter="0" w:footer="0" w:header="0"/>
        </w:sectPr>
      </w:pPr>
    </w:p>
    <w:bookmarkStart w:id="173" w:name="page174"/>
    <w:bookmarkEnd w:id="173"/>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2033 NOTE]</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5.250% Senior Secured Notes due 2033</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Capitalized terms used herein shall have the meanings assigned to them in the Indenture referred to below unless otherwise indicated.</w:t>
      </w:r>
    </w:p>
    <w:p>
      <w:pPr>
        <w:spacing w:after="0" w:line="221" w:lineRule="exact"/>
        <w:rPr>
          <w:sz w:val="20"/>
          <w:szCs w:val="20"/>
          <w:color w:val="auto"/>
        </w:rPr>
      </w:pPr>
    </w:p>
    <w:p>
      <w:pPr>
        <w:ind w:left="4" w:firstLine="436"/>
        <w:spacing w:after="0" w:line="233" w:lineRule="auto"/>
        <w:tabs>
          <w:tab w:leader="none" w:pos="62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Medline Borrower, LP, a Delaware limited partnership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and Medline Co-Issuer, Inc., a Delaware corporation (the “</w:t>
      </w:r>
      <w:r>
        <w:rPr>
          <w:rFonts w:ascii="Times New Roman" w:cs="Times New Roman" w:eastAsia="Times New Roman" w:hAnsi="Times New Roman"/>
          <w:sz w:val="18"/>
          <w:szCs w:val="18"/>
          <w:b w:val="1"/>
          <w:bCs w:val="1"/>
          <w:color w:val="auto"/>
        </w:rPr>
        <w:t>Co-Issuer</w:t>
      </w:r>
      <w:r>
        <w:rPr>
          <w:rFonts w:ascii="Times New Roman" w:cs="Times New Roman" w:eastAsia="Times New Roman" w:hAnsi="Times New Roman"/>
          <w:sz w:val="18"/>
          <w:szCs w:val="18"/>
          <w:color w:val="auto"/>
        </w:rPr>
        <w:t>” and, together with the Issuer,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jointly and severally, promise to pay interest on the principal amount of this 2033 Note at a rate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annum of 5.250% from May 28, 2026</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until maturity. The Issuers will pay interest on this 2033 Note semi-annually in arrears on June 15 and December 15 of each year, beginning December 15, 2026, or, if any such day is not a Business Day, on the next succeeding Business Day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The Issuers will make each interest payment to the Holder of record of this 2033 Note on the immediately preceding June 1 and December 1 (whether or not a Business Day) (each, a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Interest on this 2033 Note will accrue from the most recent date to which interest has been paid or, if no interest has been paid, from and including May 28, 2026.</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The Issuers will pay interest (including post-petition interest in any proceeding under any Bankruptcy Law) on overdue principal and premium, if any, from time to time on demand at the rate borne by this 2033 Note; the Issuers shall pay interest (including post-petition interest in any proceeding under any Bankruptcy Law) on overdue installments of interest (without regard to any applicable grace periods) from time to time on demand at the rate borne by this 2033 Note. Interest will be computed on the basis of a 360-day year comprised of twelve 30-day months.</w:t>
      </w:r>
    </w:p>
    <w:p>
      <w:pPr>
        <w:spacing w:after="0" w:line="204"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2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The Issuers will pay interest on this 2033 Note to the Person who is the registered Holder of this 2033 Note at the close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on the Record Date (whether or not a Business Day) next preceding the Interest Payment Date, even if this 2033 Note is cancelled after such Record Date and on or before such Interest Payment Date, except as provided in Section 2.12 of the Indenture with respect to defaulted interest. Cash payments of principal of, premium, if any, and interest on this 2033 Note will be payable at the office or agency of the Issuers maintained for such purpose pursuant to Section 4.02 of the Indenture or, at the option of the Issuers, cash payment of interest may be made through the Paying Agent by check mailed to the Holders at their respective addresses set forth in the Note Register of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all cash payments of principal, premium, if any, and interest with respect to 2033 Notes represented by Global Notes registered in the name of or held by DTC or its nominee will be made through the Paying Agent by wire transfer of immediately available funds to the accounts specified by the registered Holder or Holders thereof and (b) all cash payments of principal, premium, if any, and interest with respect to certificated 2033 Notes may, at the option of the Issuers, be made by wire transfer to a U.S. dollar account maintained by the payee with a bank in the United States of America if such Holder elects payment by wire transfer by giving written notice to the Trustee or the Paying Agent to such effect designating such account no later than 30 days immediately preceding the relevant due date for payment (or such other date as the Trustee may accept in its discretion). Such payment shall be in such coin or currency of the United States of America as at the time of payment is legal tender for payment of public and private debts.</w:t>
      </w:r>
    </w:p>
    <w:p>
      <w:pPr>
        <w:spacing w:after="0" w:line="187" w:lineRule="exact"/>
        <w:rPr>
          <w:rFonts w:ascii="Times New Roman" w:cs="Times New Roman" w:eastAsia="Times New Roman" w:hAnsi="Times New Roman"/>
          <w:sz w:val="18"/>
          <w:szCs w:val="18"/>
          <w:color w:val="auto"/>
        </w:rPr>
      </w:pPr>
    </w:p>
    <w:p>
      <w:pPr>
        <w:ind w:left="4" w:firstLine="436"/>
        <w:spacing w:after="0" w:line="267" w:lineRule="auto"/>
        <w:tabs>
          <w:tab w:leader="none" w:pos="62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Transfer Agent and Registrar</w:t>
      </w:r>
      <w:r>
        <w:rPr>
          <w:rFonts w:ascii="Times New Roman" w:cs="Times New Roman" w:eastAsia="Times New Roman" w:hAnsi="Times New Roman"/>
          <w:sz w:val="18"/>
          <w:szCs w:val="18"/>
          <w:color w:val="auto"/>
        </w:rPr>
        <w:t>. Initially, Wilmington Trust, National Association, the Trustee under the Indenture, will act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Paying Agent, Transfer Agent and Registrar. The Issuers may change any Paying Agent, Transfer Agent or Registrar without prior notice to the Holders. The Issuer or any of its Subsidiaries may act in any such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2" w:lineRule="exact"/>
        <w:rPr>
          <w:sz w:val="20"/>
          <w:szCs w:val="20"/>
          <w:color w:val="auto"/>
        </w:rPr>
      </w:pPr>
    </w:p>
    <w:p>
      <w:pPr>
        <w:ind w:left="424" w:hanging="424"/>
        <w:spacing w:after="0"/>
        <w:tabs>
          <w:tab w:leader="none" w:pos="424" w:val="left"/>
        </w:tabs>
        <w:numPr>
          <w:ilvl w:val="0"/>
          <w:numId w:val="20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case of 2033 Notes issued on the Issue Date.</w:t>
      </w:r>
    </w:p>
    <w:p>
      <w:pPr>
        <w:ind w:left="424" w:hanging="424"/>
        <w:spacing w:after="0" w:line="180" w:lineRule="auto"/>
        <w:tabs>
          <w:tab w:leader="none" w:pos="424" w:val="left"/>
        </w:tabs>
        <w:numPr>
          <w:ilvl w:val="0"/>
          <w:numId w:val="20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 the case of 2033 Notes issued on the Issue Date.</w:t>
      </w:r>
    </w:p>
    <w:p>
      <w:pPr>
        <w:spacing w:after="0" w:line="1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84"/>
          </w:cols>
          <w:pgMar w:left="436" w:top="270" w:right="479" w:bottom="1440" w:gutter="0" w:footer="0" w:header="0"/>
        </w:sectPr>
      </w:pPr>
    </w:p>
    <w:bookmarkStart w:id="174" w:name="page175"/>
    <w:bookmarkEnd w:id="174"/>
    <w:p>
      <w:pPr>
        <w:ind w:left="-20" w:firstLine="436"/>
        <w:spacing w:after="0" w:line="257" w:lineRule="auto"/>
        <w:tabs>
          <w:tab w:leader="none" w:pos="6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r>
        <w:rPr>
          <w:rFonts w:ascii="Times New Roman" w:cs="Times New Roman" w:eastAsia="Times New Roman" w:hAnsi="Times New Roman"/>
          <w:sz w:val="18"/>
          <w:szCs w:val="18"/>
          <w:color w:val="auto"/>
        </w:rPr>
        <w:t>. The Issuers issued the 2033 Notes under an Indenture, dated as of May 28, 2026 (as amended, supplemented or otherwise modified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among the Issuers, the Guarantors party thereto from time to time, the Trustee and the Notes Collateral Agent. This 2033 Note is one of a duly authorized issue of notes of the Issuers designated as their 5.250% Senior Secured Notes due 2033. The Issuers shall be entitled to issue Additional 2033 Notes pursuant to Sections 2.01 and 4.12 of the Indenture. The terms of the 2033 Notes include those stated in the Indenture. The 2033 Notes are subject to all such terms, and Holders are referred to the Indenture for a statement of such terms. To the extent any provision of this 2033 Note conflicts with the express provisions of the Indenture, the provisions of the Indenture shall govern and be controlling.</w:t>
      </w:r>
    </w:p>
    <w:p>
      <w:pPr>
        <w:spacing w:after="0" w:line="182"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right="20" w:firstLine="436"/>
        <w:spacing w:after="0" w:line="282" w:lineRule="auto"/>
        <w:tabs>
          <w:tab w:leader="none" w:pos="66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clauses (b) and (d) of this paragraph 5 and in clauses (b) and (d) of Section 3.07 of the Indenture, the 2033 Notes will not be redeemable at the Issuer’s option prior to April 15, 2033.</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7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April 15, 2033, the Issuer may, at its option, at any time and from time to time, redeem the 2033 Notes, in whole or in part, upon notice in accordance with Section 3.03 of the Indenture, at a redemption price (expressed as a percentage of principal amount and rounded to three decimal places) equal to the greater of: (A) (1) the sum of the present values of the remaining scheduled payments of principal and interest thereon discounted to the Redemption Date (assuming such 2033 Notes matured on April 15, 2033) on a semi-annual basis (assuming a 360-day year consisting of twelve 30-day months) at the Treasury Rate plus 15 basis points,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(2) interest accrued to, but excluding, the Redemption Date, and (B) 100% of the principal amount of such 2033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on the principal amount being redeemed to, but excluding, the Redemption Date, subject to the right of Holders of record on the relevant Record Date to receive interest due on the 2033 Notes on the relevant Interest Payment Date falling prior to or on the Redemption Date.</w:t>
      </w:r>
    </w:p>
    <w:p>
      <w:pPr>
        <w:spacing w:after="0" w:line="191" w:lineRule="exact"/>
        <w:rPr>
          <w:rFonts w:ascii="Times New Roman" w:cs="Times New Roman" w:eastAsia="Times New Roman" w:hAnsi="Times New Roman"/>
          <w:sz w:val="18"/>
          <w:szCs w:val="18"/>
          <w:color w:val="auto"/>
        </w:rPr>
      </w:pPr>
    </w:p>
    <w:p>
      <w:pPr>
        <w:ind w:left="-20" w:right="140" w:firstLine="436"/>
        <w:spacing w:after="0" w:line="281" w:lineRule="auto"/>
        <w:tabs>
          <w:tab w:leader="none" w:pos="665"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or after April 15, 2033, the Issuer may, at its option, at any time and from time to time, redeem the 2033 Notes, in whole or in part, upon notice in accordance with Section 3.03 of the Indenture, at a redemption price equal to 100% of the principal amount of such 2033 Notes being redeemed,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accrued and unpaid interest on the principal amount being redeemed to, but excluding, the Redemption Date, subject to the right of Holders of record on the relevant Record Date to receive interest due on the relevant Interest Payment Date falling prior to or on the Redemption Date.</w:t>
      </w:r>
    </w:p>
    <w:p>
      <w:pPr>
        <w:spacing w:after="0" w:line="164" w:lineRule="exact"/>
        <w:rPr>
          <w:rFonts w:ascii="Times New Roman" w:cs="Times New Roman" w:eastAsia="Times New Roman" w:hAnsi="Times New Roman"/>
          <w:sz w:val="17"/>
          <w:szCs w:val="17"/>
          <w:color w:val="auto"/>
        </w:rPr>
      </w:pPr>
    </w:p>
    <w:p>
      <w:pPr>
        <w:ind w:left="-20" w:right="100" w:firstLine="436"/>
        <w:spacing w:after="0" w:line="253" w:lineRule="auto"/>
        <w:tabs>
          <w:tab w:leader="none" w:pos="67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connection with any Change of Control Offer or Alternate Offer for the 2033 Notes, if Holders of not less than 90% in aggregate principal amount of the then outstanding 2033 Notes validly tender and do not validly withdraw such 2033 Notes in such offer and the Issuer, or any third party making such offer in lieu of the Issuer, purchases all of the 2033 Notes validly tendered and not validly withdrawn by such Holders, the Issuer or such third party will have the right upon not less than 10 days nor more than 60 days’ prior notice, given not more than 60 days following such purchase date, to redeem all 2033 Notes that remain outstanding following such purchase at a price in cash equal to 101% of the aggregate principal amount of the 2033 Notes repurchased plus, to the extent not included in the offer payment, accrued and unpaid interest, if any, thereon, to, but excluding, the Redemption Date, subject to the right of Holders of record of 2033 Notes on the relevant Record Date to receive interest due on the relevant Interest Payment Date falling prior to or on the Redemption Date. In determining whether the Holders of at least 90% of the aggregate principal amount of the then outstanding 2033 Notes have validly tendered and not validly withdrawn 2033 Notes in a Change of Control Offer or Alternate Offer, as applicable, 2033 Notes owned by an Affiliate of the Issuer or by funds controlled or managed by any Affiliate of the Issuer, or any successor thereof, or any Debt Fund Affiliate, shall be deemed to be outstanding for the purposes of such Change of Control Offer or Alternate Offer, as applicable.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60"/>
          </w:cols>
          <w:pgMar w:left="460" w:top="268" w:right="479" w:bottom="1440" w:gutter="0" w:footer="0" w:header="0"/>
        </w:sectPr>
      </w:pPr>
    </w:p>
    <w:bookmarkStart w:id="175" w:name="page176"/>
    <w:bookmarkEnd w:id="175"/>
    <w:p>
      <w:pPr>
        <w:ind w:firstLine="436"/>
        <w:spacing w:after="0" w:line="252" w:lineRule="auto"/>
        <w:tabs>
          <w:tab w:leader="none" w:pos="68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redemption pursuant to this paragraph 5 shall be made pursuant to the provisions of Sections 3.01 through 3.06 of the Indenture. Notice of any redemption or offer to purchase, whether in connection with an equity offering, Change of Control, Alternate Offer or other transaction or event or otherwise, may, at the Issuer’s (or, in the case of a Change of Control Offer, a third party making such Change of Control Offer) discretion, be given prior to the completion or occurrence thereof, and any such redemption, offer to purchase or notice may, at the Issuer’s (or, in the case of a Change of Control Offer, a third party making such Change of Control Offer) discretion, be subject to one or more conditions precedent (including conditions precedent applicable to different amounts of 2033 Notes redeemed) including, but not limited to, completion or occurrence of the related equity offering, Change of Control, Alternate Offer or other transaction or event, as the case may be. In addition, if such redemption or offer to purchase is subject to satisfaction of one or more conditions precedent, such notice shall state that, in the Issuer’s (or, in the case of a Change of Control Offer, a third party making such Change of Control Offer) discretion, the redemption or repurchase date may be delayed until such time (including more than 60 days after the date the notice of redemption or offer to purchase was sent) as any or all such conditions shall be satisfied (or waived by the Issuer (or, in the case of a Change of Control Offer, a third party making such Change of Control Offer) in its sole discretion), or such redemption or purchase may not occur and such notice may be rescinded in the event that any or all such conditions shall not have been satisfied (or waived by the Issuer (or, in the case of a Change of Control Offer, a third party making such Change of Control Offer) in its sole discretion) by the redemption or purchase date, or by the redemption or purchase date so delayed, or that such notice or offer may be rescinded at any time in the Issuer’s (or, in the case of a Change of Control Offer, a third party making such Change of Control Offer) sole discretion. In addition, the Issuer may provide in such notice or offer to purchase that payment of the redemption or purchase price and performance of the Issuer’s obligations with respect to such redemption or offer to purchase may be performed by another Person.</w:t>
      </w:r>
    </w:p>
    <w:p>
      <w:pPr>
        <w:spacing w:after="0" w:line="193" w:lineRule="exact"/>
        <w:rPr>
          <w:rFonts w:ascii="Times New Roman" w:cs="Times New Roman" w:eastAsia="Times New Roman" w:hAnsi="Times New Roman"/>
          <w:sz w:val="18"/>
          <w:szCs w:val="18"/>
          <w:color w:val="auto"/>
        </w:rPr>
      </w:pPr>
    </w:p>
    <w:p>
      <w:pPr>
        <w:ind w:right="60" w:firstLine="436"/>
        <w:spacing w:after="0" w:line="266" w:lineRule="auto"/>
        <w:tabs>
          <w:tab w:leader="none" w:pos="66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Holdings, their direct and indirect equityholders, including the Investors, any of their Subsidiaries and their respective Affiliates and members of management may acquire the 2033 Notes by means other than a redemption pursuant to this paragraph 5, whether by tender offer, open market purchases, negotiated transactions or otherwise.</w:t>
      </w:r>
    </w:p>
    <w:p>
      <w:pPr>
        <w:spacing w:after="0" w:line="174" w:lineRule="exact"/>
        <w:rPr>
          <w:sz w:val="20"/>
          <w:szCs w:val="20"/>
          <w:color w:val="auto"/>
        </w:rPr>
      </w:pPr>
    </w:p>
    <w:p>
      <w:pPr>
        <w:ind w:left="620" w:hanging="184"/>
        <w:spacing w:after="0"/>
        <w:tabs>
          <w:tab w:leader="none" w:pos="6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Redemption</w:t>
      </w:r>
      <w:r>
        <w:rPr>
          <w:rFonts w:ascii="Times New Roman" w:cs="Times New Roman" w:eastAsia="Times New Roman" w:hAnsi="Times New Roman"/>
          <w:sz w:val="18"/>
          <w:szCs w:val="18"/>
          <w:color w:val="auto"/>
        </w:rPr>
        <w:t>. The Issuer shall not be required to make any mandatory redemption or sinking fund payment with respect to the 2033</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204"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i w:val="1"/>
          <w:iCs w:val="1"/>
          <w:color w:val="auto"/>
        </w:rPr>
      </w:pPr>
    </w:p>
    <w:p>
      <w:pPr>
        <w:ind w:right="40" w:firstLine="436"/>
        <w:spacing w:after="0" w:line="255" w:lineRule="auto"/>
        <w:tabs>
          <w:tab w:leader="none" w:pos="6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Redemption</w:t>
      </w:r>
      <w:r>
        <w:rPr>
          <w:rFonts w:ascii="Times New Roman" w:cs="Times New Roman" w:eastAsia="Times New Roman" w:hAnsi="Times New Roman"/>
          <w:sz w:val="18"/>
          <w:szCs w:val="18"/>
          <w:color w:val="auto"/>
        </w:rPr>
        <w:t>. Subject to Section 3.03 of the Indenture, notice of redemption shall be delivered electronically or mailed by first-class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 postage prepaid, at least 10 days but not more than 60 days before the Redemption Date to each Holder whose 2033 Notes are to be redeemed at such Holder’s registered address stated in the Note Register or otherwise in accordance with the Applicable Procedures, except that redemption notices may be delivered electronically or mailed more than 60 days prior to a Redemption Date if the notice is issued in connection with Article 8 or Article 11 of the Indenture. 2033 Notes and portions of 2033 Notes selected for redemption shall be in integral multiples of $1,000 and no 2033 Notes of $2,000 or less can be redeemed in part, except that if all of the 2033 Notes of a Holder are to be redeemed, the entire outstanding amount of 2033 Notes held by such Holder shall be redeemed, even if not in a principal amount of at least $2,000. On and after the Redemption Date, unless the Issuers default in the payment of the redemption price, interest ceases to accrue on this 2033 Note or portions thereof called for redemption.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0"/>
          </w:cols>
          <w:pgMar w:left="440" w:top="270" w:right="459" w:bottom="1440" w:gutter="0" w:footer="0" w:header="0"/>
        </w:sectPr>
      </w:pPr>
    </w:p>
    <w:bookmarkStart w:id="176" w:name="page177"/>
    <w:bookmarkEnd w:id="176"/>
    <w:p>
      <w:pPr>
        <w:ind w:right="240" w:firstLine="436"/>
        <w:spacing w:after="0" w:line="267" w:lineRule="auto"/>
        <w:tabs>
          <w:tab w:leader="none" w:pos="6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Offers to Repurchase</w:t>
      </w:r>
      <w:r>
        <w:rPr>
          <w:rFonts w:ascii="Times New Roman" w:cs="Times New Roman" w:eastAsia="Times New Roman" w:hAnsi="Times New Roman"/>
          <w:sz w:val="18"/>
          <w:szCs w:val="18"/>
          <w:color w:val="auto"/>
        </w:rPr>
        <w:t>. Upon the occurrence of a Change of Control, unless the Issuer has previously or concurrently sent a redemption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all the outstanding 2033 Notes as described under Section 3.07 of the Indenture, the Issuers shall make a Change of Control Offer in accordance with Section 4.14 of the Indenture.</w:t>
      </w:r>
    </w:p>
    <w:p>
      <w:pPr>
        <w:spacing w:after="0" w:line="173" w:lineRule="exact"/>
        <w:rPr>
          <w:rFonts w:ascii="Times New Roman" w:cs="Times New Roman" w:eastAsia="Times New Roman" w:hAnsi="Times New Roman"/>
          <w:sz w:val="18"/>
          <w:szCs w:val="18"/>
          <w:color w:val="auto"/>
        </w:rPr>
      </w:pPr>
    </w:p>
    <w:p>
      <w:pPr>
        <w:ind w:firstLine="436"/>
        <w:spacing w:after="0" w:line="255" w:lineRule="auto"/>
        <w:tabs>
          <w:tab w:leader="none" w:pos="71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r>
        <w:rPr>
          <w:rFonts w:ascii="Times New Roman" w:cs="Times New Roman" w:eastAsia="Times New Roman" w:hAnsi="Times New Roman"/>
          <w:sz w:val="18"/>
          <w:szCs w:val="18"/>
          <w:color w:val="auto"/>
        </w:rPr>
        <w:t>. The 2033 Notes are in registered form without coupons in minimum denominations of $2,000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integral multiple of $1,000 in excess thereof. The transfer of 2033 Notes shall be registered and 2033 Notes may only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and the Transfer Agent need not exchange or register the transfer of any 2033 Note or portion of a 2033 Note selected for redemption, except for the unredeemed portion of any 2033 Note being redeemed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new 2033 Notes will only be issued in minimum denominations of $2,000 and integral multiples of $1,000 in excess thereof. Also, the Issuers and the Transfer Agent need not exchange or register the transfer of any 2033 Notes for a period of 15 days before the mailing of a notice of redemption of 2033 Notes to be redeemed.</w:t>
      </w:r>
    </w:p>
    <w:p>
      <w:pPr>
        <w:spacing w:after="0" w:line="184" w:lineRule="exact"/>
        <w:rPr>
          <w:rFonts w:ascii="Times New Roman" w:cs="Times New Roman" w:eastAsia="Times New Roman" w:hAnsi="Times New Roman"/>
          <w:sz w:val="18"/>
          <w:szCs w:val="18"/>
          <w:color w:val="auto"/>
        </w:rPr>
      </w:pPr>
    </w:p>
    <w:p>
      <w:pPr>
        <w:ind w:right="280" w:firstLine="436"/>
        <w:spacing w:after="0" w:line="284" w:lineRule="auto"/>
        <w:tabs>
          <w:tab w:leader="none" w:pos="703"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The registered Holder of a 2033 Note shall be treated as its owner for all purposes. Only registered Holders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rights hereunder.</w:t>
      </w:r>
    </w:p>
    <w:p>
      <w:pPr>
        <w:spacing w:after="0" w:line="158" w:lineRule="exact"/>
        <w:rPr>
          <w:rFonts w:ascii="Times New Roman" w:cs="Times New Roman" w:eastAsia="Times New Roman" w:hAnsi="Times New Roman"/>
          <w:sz w:val="18"/>
          <w:szCs w:val="18"/>
          <w:color w:val="auto"/>
        </w:rPr>
      </w:pPr>
    </w:p>
    <w:p>
      <w:pPr>
        <w:ind w:right="780" w:firstLine="436"/>
        <w:spacing w:after="0" w:line="284" w:lineRule="auto"/>
        <w:tabs>
          <w:tab w:leader="none" w:pos="71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and Waiver</w:t>
      </w:r>
      <w:r>
        <w:rPr>
          <w:rFonts w:ascii="Times New Roman" w:cs="Times New Roman" w:eastAsia="Times New Roman" w:hAnsi="Times New Roman"/>
          <w:sz w:val="18"/>
          <w:szCs w:val="18"/>
          <w:color w:val="auto"/>
        </w:rPr>
        <w:t>. The Indenture, the Guarantees, the 2033 Notes or the Security Documents may be amended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supplemented as provided in the Indenture.</w:t>
      </w:r>
    </w:p>
    <w:p>
      <w:pPr>
        <w:spacing w:after="0" w:line="15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4" w:lineRule="auto"/>
        <w:tabs>
          <w:tab w:leader="none" w:pos="68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of Default relating to the 2033 Notes are defined in Section 6.01 of the Indenture. If any Event of Default (other than an Event of Default of the type specified in clause (vi) or (vii) of Section 6.01(a) of the Indenture) occurs and is continuing under the Indenture, the Trustee or the Holders of not less than 30% in aggregate principal amount of all of the then outstanding 2033 Notes may, by notice to the Issuer and the Trustee, in either case specifying in such notice the respective Event of Default and that such notice is a “notice of acceleration,” declare the principal, premium, if any, interest and any other monetary obligations on all the then outstanding 2033 Notes to be due and payable immediately. Upon the effectiveness of such declaration, such principal of and premium, if any, and interest will be due and payable immediately. Notwithstanding the foregoing, in the case of an Event of Default arising under clause (vi) or (vii) of Section 6.01(a) of the Indenture, all outstanding 2033 Notes will become due and payable without further action or notice. Holders of 2033 Notes may not enforce the Indenture, the 2033 Notes, the Security Documents or the Guarantees except as provided in the Indenture. Subject to certain limitations, the Required Holders may direct the Trustee in its exercise of any trust or power.</w:t>
      </w:r>
    </w:p>
    <w:p>
      <w:pPr>
        <w:spacing w:after="0" w:line="188" w:lineRule="exact"/>
        <w:rPr>
          <w:rFonts w:ascii="Times New Roman" w:cs="Times New Roman" w:eastAsia="Times New Roman" w:hAnsi="Times New Roman"/>
          <w:sz w:val="18"/>
          <w:szCs w:val="18"/>
          <w:color w:val="auto"/>
        </w:rPr>
      </w:pPr>
    </w:p>
    <w:p>
      <w:pPr>
        <w:ind w:right="520" w:firstLine="436"/>
        <w:spacing w:after="0" w:line="282" w:lineRule="auto"/>
        <w:tabs>
          <w:tab w:leader="none" w:pos="69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withhold from the Holders of 2033 Notes notice of any continuing Default, except a Default relating to the payment of principal, premium, if any, or interest, if it determines that withholding notice is in their interest.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0"/>
          </w:cols>
          <w:pgMar w:left="440" w:top="268" w:right="459" w:bottom="1440" w:gutter="0" w:footer="0" w:header="0"/>
        </w:sectPr>
      </w:pPr>
    </w:p>
    <w:bookmarkStart w:id="177" w:name="page178"/>
    <w:bookmarkEnd w:id="177"/>
    <w:p>
      <w:pPr>
        <w:ind w:left="-20" w:right="60" w:firstLine="436"/>
        <w:spacing w:after="0" w:line="255" w:lineRule="auto"/>
        <w:tabs>
          <w:tab w:leader="none" w:pos="66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Required Holders, by written notice to the Trustee (with a copy to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waiver or rescission under Section 6.04 of the Indenture shall be valid and binding notwithstanding the failure to provide a copy of such notice to the Issuer) may on behalf of the Holders of all of the 2033 Notes waive any existing Default and its consequences under the Indenture (except a continuing Default in the payment of interest on, premium, if any, or the principal of any 2033 Note held by a non-consenting Holder) (including in connection with a Change of Control Offer or an Alternate Offer) and rescind any acceleration with respect to the 2033 Notes and its consequences under the Indenture (except if such rescission would conflict with any judgment of a court of competent jurisdiction). Upon any such waiver, such Default shall cease to exist, and any Event of Default arising therefrom shall be deemed to have been cured for every purpose of the Indenture; but no such waiver shall extend to any subsequent or other Default or impair any right consequent thereto.</w:t>
      </w:r>
    </w:p>
    <w:p>
      <w:pPr>
        <w:spacing w:after="0" w:line="186" w:lineRule="exact"/>
        <w:rPr>
          <w:rFonts w:ascii="Times New Roman" w:cs="Times New Roman" w:eastAsia="Times New Roman" w:hAnsi="Times New Roman"/>
          <w:sz w:val="18"/>
          <w:szCs w:val="18"/>
          <w:color w:val="auto"/>
        </w:rPr>
      </w:pPr>
    </w:p>
    <w:p>
      <w:pPr>
        <w:ind w:left="-20" w:right="300" w:firstLine="436"/>
        <w:spacing w:after="0" w:line="261" w:lineRule="auto"/>
        <w:tabs>
          <w:tab w:leader="none" w:pos="67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required to deliver to the Trustee annually a statement regarding compliance with the Indenture, and the Issuer shall promptly (which shall be no more than 20 Business Days after becoming aware of such Default) deliver to the Trustee by registered or certified mail or by facsimile transmission an Officer’s Certificate specifying such Default, its status and what action the Issuer is taking or proposes to take with respect thereto.</w:t>
      </w:r>
    </w:p>
    <w:p>
      <w:pPr>
        <w:spacing w:after="0" w:line="178" w:lineRule="exact"/>
        <w:rPr>
          <w:sz w:val="20"/>
          <w:szCs w:val="20"/>
          <w:color w:val="auto"/>
        </w:rPr>
      </w:pPr>
    </w:p>
    <w:p>
      <w:pPr>
        <w:ind w:left="680" w:hanging="264"/>
        <w:spacing w:after="0"/>
        <w:tabs>
          <w:tab w:leader="none" w:pos="6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The Issuers’ obligations under the 2033 Notes are fully and unconditionally guaranteed, jointly and severally, by the Guarantors.</w:t>
      </w:r>
    </w:p>
    <w:p>
      <w:pPr>
        <w:spacing w:after="0" w:line="225" w:lineRule="exact"/>
        <w:rPr>
          <w:rFonts w:ascii="Times New Roman" w:cs="Times New Roman" w:eastAsia="Times New Roman" w:hAnsi="Times New Roman"/>
          <w:sz w:val="18"/>
          <w:szCs w:val="18"/>
          <w:color w:val="auto"/>
        </w:rPr>
      </w:pPr>
    </w:p>
    <w:p>
      <w:pPr>
        <w:ind w:left="-20" w:right="740" w:firstLine="436"/>
        <w:spacing w:after="0" w:line="284" w:lineRule="auto"/>
        <w:tabs>
          <w:tab w:leader="none" w:pos="69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This 2033 Note shall not be entitled to any benefit under the Indenture or be valid or obligatory for any purpose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authenticated by the manual signature of the Trustee.</w:t>
      </w:r>
    </w:p>
    <w:p>
      <w:pPr>
        <w:spacing w:after="0" w:line="158" w:lineRule="exact"/>
        <w:rPr>
          <w:rFonts w:ascii="Times New Roman" w:cs="Times New Roman" w:eastAsia="Times New Roman" w:hAnsi="Times New Roman"/>
          <w:sz w:val="18"/>
          <w:szCs w:val="18"/>
          <w:color w:val="auto"/>
        </w:rPr>
      </w:pPr>
    </w:p>
    <w:p>
      <w:pPr>
        <w:ind w:left="-20" w:firstLine="436"/>
        <w:spacing w:after="0" w:line="284" w:lineRule="auto"/>
        <w:tabs>
          <w:tab w:leader="none" w:pos="69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2033 NOTE, AND ANY CLAIM, CONTROVERSY OR DISPUTE ARISING UNDER OR RELATED TO THIS 2033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WILL BE GOVERNED BY, AND 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left="-20" w:right="60" w:firstLine="436"/>
        <w:spacing w:after="0" w:line="261" w:lineRule="auto"/>
        <w:tabs>
          <w:tab w:leader="none" w:pos="69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 and ISINs</w:t>
      </w:r>
      <w:r>
        <w:rPr>
          <w:rFonts w:ascii="Times New Roman" w:cs="Times New Roman" w:eastAsia="Times New Roman" w:hAnsi="Times New Roman"/>
          <w:sz w:val="18"/>
          <w:szCs w:val="18"/>
          <w:color w:val="auto"/>
        </w:rPr>
        <w:t>. Pursuant to a recommendation promulgated by the Committee on Uniform Security Identification Procedures,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Issuers have caused CUSIP numbers and ISINs to be printed on the 2033 Notes and the Trustee may use CUSIP numbers and ISINs in notices of redemption as a convenience to Holders. No representation is made as to the accuracy of such numbers either as printed on the 2033 Notes or as contained in any notice of redemption and reliance may be placed only on the other identification numbers placed thereon.</w:t>
      </w:r>
    </w:p>
    <w:p>
      <w:pPr>
        <w:spacing w:after="0" w:line="179"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9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The 2033 Notes and the related Guarantees will be secured by the Collateral on the terms and subject to the conditions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and the Security Documents. The Trustee and the Notes Collateral Agent, as the case may be, hold the Collateral in trust for the benefit of the Holders of the 2033 Notes, in each case pursuant to the Security Documents and the Pari Passu Intercreditor Agreement, the ABL/Fixed Asset Intercreditor Agreement, if any, and Junior Lien Intercreditor Agreement, if any. Each Holder, by accepting this 2033 Note, consents and agrees to the terms of the Security Documents (including the provisions providing for the foreclosure and release of Collateral) and the Pari Passu Intercreditor Agreement, the ABL/Fixed Asset Intercreditor Agreement, if any, and Junior Lien Intercreditor Agreement, if any, each as may be in effect or may be amended from time to time in accordance with their terms and the Indenture, and authorizes and directs the Notes Collateral Agent to enter into the Security Documents and the Pari Passu Intercreditor Agreement, the ABL/Fixed Asset Intercreditor Agreement, if any, on the Issue Date, and the Security Documents and the Junior Lien Intercreditor Agreement, if any, at any time after the Issue Date, if applicable, and to perform its obligations and exercise its rights thereunder in accordance therewith.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980"/>
          </w:cols>
          <w:pgMar w:left="460" w:top="268" w:right="459" w:bottom="1440" w:gutter="0" w:footer="0" w:header="0"/>
        </w:sectPr>
      </w:pPr>
    </w:p>
    <w:bookmarkStart w:id="178" w:name="page179"/>
    <w:bookmarkEnd w:id="17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will furnish to any Holder upon written request and without charge a copy of the Indenture. Requests may be made to the Issuer at the following address:</w:t>
      </w:r>
    </w:p>
    <w:p>
      <w:pPr>
        <w:spacing w:after="0" w:line="5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Medline Borrower, LP</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Northfield, IL 60093</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Attention: Alex Liberman</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9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With a copy to (which shall not constitute notice for any purpose under this Indenture):</w:t>
      </w:r>
    </w:p>
    <w:p>
      <w:pPr>
        <w:spacing w:after="0" w:line="11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Facsimile No.: [Facsimile number]</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Attention: Jonathan Ozner, Katharine Thompson</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Email: [Email address] [Email address]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880"/>
          </w:cols>
          <w:pgMar w:left="440" w:top="270" w:right="579" w:bottom="1440" w:gutter="0" w:footer="0" w:header="0"/>
        </w:sectPr>
      </w:pPr>
    </w:p>
    <w:bookmarkStart w:id="179" w:name="page180"/>
    <w:bookmarkEnd w:id="179"/>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assign this 2033 Note, fill in the form below: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 or (we) assign and transfer this 2033 Note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-7620</wp:posOffset>
            </wp:positionV>
            <wp:extent cx="148526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85265" cy="8890"/>
                    </a:xfrm>
                    <a:prstGeom prst="rect">
                      <a:avLst/>
                    </a:prstGeom>
                    <a:noFill/>
                  </pic:spPr>
                </pic:pic>
              </a:graphicData>
            </a:graphic>
          </wp:anchor>
        </w:drawing>
      </w:r>
    </w:p>
    <w:p>
      <w:pPr>
        <w:spacing w:after="0" w:line="7" w:lineRule="exact"/>
        <w:rPr>
          <w:sz w:val="20"/>
          <w:szCs w:val="20"/>
          <w:color w:val="auto"/>
        </w:rPr>
      </w:pPr>
    </w:p>
    <w:p>
      <w:pPr>
        <w:ind w:left="3524"/>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420370</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643255</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2"/>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3"/>
              </w:rPr>
              <w:t>and irrevocably appoint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w w:val="98"/>
              </w:rPr>
              <w:t>to transfer this 2033 Note</w:t>
            </w:r>
          </w:p>
        </w:tc>
      </w:tr>
      <w:tr>
        <w:trPr>
          <w:trHeight w:val="20"/>
        </w:trPr>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9"/>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7"/>
        </w:trPr>
        <w:tc>
          <w:tcPr>
            <w:tcW w:w="7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on the books of the Issuer. The agent may substitute another to act for him.</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2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 ____________________</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92"/>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4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 xml:space="preserve">Your Signature: 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8"/>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(Sign exactly as your name appears on the face</w:t>
            </w:r>
          </w:p>
        </w:tc>
      </w:tr>
      <w:tr>
        <w:trPr>
          <w:trHeight w:val="234"/>
        </w:trPr>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this 2033 Note)</w:t>
            </w: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1"/>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Signature Guarantee*: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52" w:lineRule="exact"/>
        <w:rPr>
          <w:sz w:val="20"/>
          <w:szCs w:val="20"/>
          <w:color w:val="auto"/>
        </w:rPr>
      </w:pPr>
    </w:p>
    <w:p>
      <w:pPr>
        <w:ind w:left="5324" w:right="1660" w:hanging="5324"/>
        <w:spacing w:after="0" w:line="454" w:lineRule="auto"/>
        <w:tabs>
          <w:tab w:leader="none" w:pos="43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A-11</w:t>
      </w:r>
    </w:p>
    <w:p>
      <w:pPr>
        <w:sectPr>
          <w:pgSz w:w="11900" w:h="16838" w:orient="portrait"/>
          <w:cols w:equalWidth="0" w:num="1">
            <w:col w:w="11024"/>
          </w:cols>
          <w:pgMar w:left="436" w:top="270" w:right="439" w:bottom="1440" w:gutter="0" w:footer="0" w:header="0"/>
        </w:sectPr>
      </w:pPr>
    </w:p>
    <w:bookmarkStart w:id="180" w:name="page181"/>
    <w:bookmarkEnd w:id="180"/>
    <w:p>
      <w:pPr>
        <w:jc w:val="center"/>
        <w:ind w:right="-1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you want to elect to have this 2033 Note purchased by the Issuer pursuant to Section 4.14 of the Indenture, check the appropriate box below:</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 ] Section 4.14</w:t>
      </w:r>
    </w:p>
    <w:p>
      <w:pPr>
        <w:spacing w:after="0" w:line="225"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this 2033 Note purchased by the Issuer pursuant to Section 4.14 of the Indenture, state the amount you elect to have purchased:</w:t>
      </w:r>
    </w:p>
    <w:p>
      <w:pPr>
        <w:spacing w:after="0" w:line="162"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____________________</w:t>
      </w:r>
    </w:p>
    <w:p>
      <w:pPr>
        <w:spacing w:after="0" w:line="117" w:lineRule="exact"/>
        <w:rPr>
          <w:sz w:val="20"/>
          <w:szCs w:val="20"/>
          <w:color w:val="auto"/>
        </w:rPr>
      </w:pPr>
    </w:p>
    <w:p>
      <w:pPr>
        <w:ind w:left="6184"/>
        <w:spacing w:after="0"/>
        <w:rPr>
          <w:sz w:val="20"/>
          <w:szCs w:val="20"/>
          <w:color w:val="auto"/>
        </w:rPr>
      </w:pPr>
      <w:r>
        <w:rPr>
          <w:rFonts w:ascii="Times New Roman" w:cs="Times New Roman" w:eastAsia="Times New Roman" w:hAnsi="Times New Roman"/>
          <w:sz w:val="18"/>
          <w:szCs w:val="18"/>
          <w:color w:val="auto"/>
        </w:rPr>
        <w:t xml:space="preserve">Your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4709795</wp:posOffset>
            </wp:positionH>
            <wp:positionV relativeFrom="paragraph">
              <wp:posOffset>-7620</wp:posOffset>
            </wp:positionV>
            <wp:extent cx="22853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7" w:lineRule="exact"/>
        <w:rPr>
          <w:sz w:val="20"/>
          <w:szCs w:val="20"/>
          <w:color w:val="auto"/>
        </w:rPr>
      </w:pPr>
    </w:p>
    <w:p>
      <w:pPr>
        <w:ind w:left="7484"/>
        <w:spacing w:after="0"/>
        <w:rPr>
          <w:sz w:val="20"/>
          <w:szCs w:val="20"/>
          <w:color w:val="auto"/>
        </w:rPr>
      </w:pPr>
      <w:r>
        <w:rPr>
          <w:rFonts w:ascii="Times New Roman" w:cs="Times New Roman" w:eastAsia="Times New Roman" w:hAnsi="Times New Roman"/>
          <w:sz w:val="18"/>
          <w:szCs w:val="18"/>
          <w:color w:val="auto"/>
        </w:rPr>
        <w:t>(Sign exactly as your name appears on the face</w:t>
      </w:r>
    </w:p>
    <w:p>
      <w:pPr>
        <w:spacing w:after="0" w:line="9" w:lineRule="exact"/>
        <w:rPr>
          <w:sz w:val="20"/>
          <w:szCs w:val="20"/>
          <w:color w:val="auto"/>
        </w:rPr>
      </w:pPr>
    </w:p>
    <w:p>
      <w:pPr>
        <w:ind w:left="7484"/>
        <w:spacing w:after="0"/>
        <w:rPr>
          <w:sz w:val="20"/>
          <w:szCs w:val="20"/>
          <w:color w:val="auto"/>
        </w:rPr>
      </w:pPr>
      <w:r>
        <w:rPr>
          <w:rFonts w:ascii="Times New Roman" w:cs="Times New Roman" w:eastAsia="Times New Roman" w:hAnsi="Times New Roman"/>
          <w:sz w:val="18"/>
          <w:szCs w:val="18"/>
          <w:color w:val="auto"/>
        </w:rPr>
        <w:t>of this 2033 Note)</w:t>
      </w:r>
    </w:p>
    <w:p>
      <w:pPr>
        <w:spacing w:after="0" w:line="207" w:lineRule="exact"/>
        <w:rPr>
          <w:sz w:val="20"/>
          <w:szCs w:val="20"/>
          <w:color w:val="auto"/>
        </w:rPr>
      </w:pPr>
    </w:p>
    <w:p>
      <w:pPr>
        <w:ind w:left="7044"/>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Signature Guarantee*: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-7620</wp:posOffset>
            </wp:positionV>
            <wp:extent cx="12566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32" w:lineRule="exact"/>
        <w:rPr>
          <w:sz w:val="20"/>
          <w:szCs w:val="20"/>
          <w:color w:val="auto"/>
        </w:rPr>
      </w:pPr>
    </w:p>
    <w:p>
      <w:pPr>
        <w:ind w:left="5324" w:right="1520" w:hanging="5324"/>
        <w:spacing w:after="0" w:line="454" w:lineRule="auto"/>
        <w:tabs>
          <w:tab w:leader="none" w:pos="433"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A-12</w:t>
      </w:r>
    </w:p>
    <w:p>
      <w:pPr>
        <w:sectPr>
          <w:pgSz w:w="11900" w:h="16838" w:orient="portrait"/>
          <w:cols w:equalWidth="0" w:num="1">
            <w:col w:w="10884"/>
          </w:cols>
          <w:pgMar w:left="436" w:top="270" w:right="579" w:bottom="1440" w:gutter="0" w:footer="0" w:header="0"/>
        </w:sectPr>
      </w:pPr>
    </w:p>
    <w:bookmarkStart w:id="181" w:name="page182"/>
    <w:bookmarkEnd w:id="181"/>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INTERESTS IN THE GLOBAL NOTE*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initial outstanding principal amount of this Global Note is $___________. The following exchanges of a part of this Global Note for an</w:t>
      </w:r>
    </w:p>
    <w:p>
      <w:pPr>
        <w:spacing w:after="0" w:line="27" w:lineRule="exact"/>
        <w:rPr>
          <w:sz w:val="20"/>
          <w:szCs w:val="20"/>
          <w:color w:val="auto"/>
        </w:rPr>
      </w:pPr>
    </w:p>
    <w:p>
      <w:pPr>
        <w:ind w:left="4" w:right="240"/>
        <w:spacing w:after="0" w:line="260" w:lineRule="auto"/>
        <w:rPr>
          <w:sz w:val="20"/>
          <w:szCs w:val="20"/>
          <w:color w:val="auto"/>
        </w:rPr>
      </w:pPr>
      <w:r>
        <w:rPr>
          <w:rFonts w:ascii="Times New Roman" w:cs="Times New Roman" w:eastAsia="Times New Roman" w:hAnsi="Times New Roman"/>
          <w:sz w:val="18"/>
          <w:szCs w:val="18"/>
          <w:color w:val="auto"/>
        </w:rPr>
        <w:t>interest in another Global Note or for a Definitive Note, or exchanges of a part of another Global Note or Definitive Note for an interest in this Global Note, have been made:</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Principal Amount of</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of increase</w:t>
            </w:r>
          </w:p>
        </w:tc>
        <w:tc>
          <w:tcPr>
            <w:tcW w:w="2300" w:type="dxa"/>
            <w:vAlign w:val="bottom"/>
            <w:gridSpan w:val="2"/>
            <w:vMerge w:val="continue"/>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2320" w:type="dxa"/>
            <w:vAlign w:val="bottom"/>
            <w:gridSpan w:val="2"/>
            <w:vMerge w:val="continue"/>
          </w:tcPr>
          <w:p>
            <w:pPr>
              <w:spacing w:after="0"/>
              <w:rPr>
                <w:sz w:val="12"/>
                <w:szCs w:val="12"/>
                <w:color w:val="auto"/>
              </w:rPr>
            </w:pP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this Global Note</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signatory of</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 Exchange</w:t>
            </w:r>
          </w:p>
        </w:tc>
        <w:tc>
          <w:tcPr>
            <w:tcW w:w="106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 Principal Amount</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Trustee or</w:t>
            </w: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vMerge w:val="continue"/>
          </w:tcPr>
          <w:p>
            <w:pPr>
              <w:spacing w:after="0"/>
              <w:rPr>
                <w:sz w:val="15"/>
                <w:szCs w:val="15"/>
                <w:color w:val="auto"/>
              </w:rPr>
            </w:pPr>
          </w:p>
        </w:tc>
        <w:tc>
          <w:tcPr>
            <w:tcW w:w="106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decrease or increase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411480</wp:posOffset>
            </wp:positionV>
            <wp:extent cx="7715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324" w:right="5120" w:hanging="5324"/>
        <w:spacing w:after="0" w:line="454" w:lineRule="auto"/>
        <w:tabs>
          <w:tab w:leader="none" w:pos="13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should be included only if the 2033 Note is issued in global form. A-13</w:t>
      </w:r>
    </w:p>
    <w:p>
      <w:pPr>
        <w:sectPr>
          <w:pgSz w:w="11900" w:h="16838" w:orient="portrait"/>
          <w:cols w:equalWidth="0" w:num="1">
            <w:col w:w="11024"/>
          </w:cols>
          <w:pgMar w:left="436" w:top="270" w:right="4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CERTIFICATE OF TRANSFER]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Medline Borrower, 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Northfield, IL 60093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Alex Liberman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to (which shall not constitute notice for any purpose under this Indenture):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Facsimile No.: [Facsimile number]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Jonathan Ozner, Katharine Thompson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[Email address] [Email address]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Global Capital Markets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50 South Sixth Street, Suite 1290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Facsimile No.: [Facsimile number]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Medline Borrower, LP Notes Administrator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 [</w:t>
      </w:r>
      <w:r>
        <w:rPr>
          <w:rFonts w:ascii="Times New Roman" w:cs="Times New Roman" w:eastAsia="Times New Roman" w:hAnsi="Times New Roman"/>
          <w:sz w:val="18"/>
          <w:szCs w:val="18"/>
          <w:u w:val="single" w:color="auto"/>
          <w:color w:val="auto"/>
        </w:rPr>
        <w:t>5.000% Senior Secured Notes due 2031][5.250% Senior Secured Notes due 2033]</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Reference is hereby made to the Indenture, dated as of May 28, 2026 (as amended, supplemented or otherwise modified from time to time,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among Medline Borrower, LP, a Delaware limited partnership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Medline Co-Issuer, Inc., a Delaware corporation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Co-Issuer</w:t>
      </w:r>
      <w:r>
        <w:rPr>
          <w:rFonts w:ascii="Times New Roman" w:cs="Times New Roman" w:eastAsia="Times New Roman" w:hAnsi="Times New Roman"/>
          <w:sz w:val="18"/>
          <w:szCs w:val="18"/>
          <w:color w:val="auto"/>
        </w:rPr>
        <w:t>” and, together with the Issuer,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Medline Intermediate, LP, a Delaware limited partnership, the Subsidiary Guarantors named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therein, and Wilmington Trust, National Association, a national banking association, as Trustee and Notes Collateral Agent. Capitalized terms used but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defined herein shall have the meanings given to them in the Indenture.</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____________________ (the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principal amount of $_______________ in such Note[s] or interests (the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to (the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as further specified in Annex A hereto.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connection with the Transfer, the Transferor hereby certifies that:</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225" w:lineRule="exact"/>
        <w:rPr>
          <w:sz w:val="20"/>
          <w:szCs w:val="20"/>
          <w:color w:val="auto"/>
        </w:rPr>
      </w:pPr>
    </w:p>
    <w:p>
      <w:pPr>
        <w:ind w:left="4" w:right="180" w:firstLine="436"/>
        <w:spacing w:after="0" w:line="255" w:lineRule="auto"/>
        <w:tabs>
          <w:tab w:leader="none" w:pos="62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RELEVANT 144A GLOBAL NOTE OR RELEVANT DEFINITIVE NOTE PURSUANT TO RULE 144A. The Transfer is being effected pursuant to and in accordance with Rule 144A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the transfer is being made to the Issuer, Holdings or any of their Subsidiaries or Affiliates, and, accordingly, the Transferor hereby further certifies that the beneficial interest or Definitive Note is being transferred</w:t>
      </w:r>
    </w:p>
    <w:p>
      <w:pPr>
        <w:spacing w:after="0" w:line="2"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4"/>
          </w:cols>
          <w:pgMar w:left="436" w:top="270" w:right="439" w:bottom="1440" w:gutter="0" w:footer="0" w:header="0"/>
        </w:sectPr>
      </w:pPr>
    </w:p>
    <w:bookmarkStart w:id="183" w:name="page184"/>
    <w:bookmarkEnd w:id="18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or (B) the transfer is being made to the Issuer, Holdings or any of their Subsidiaries of Affiliates.</w:t>
      </w:r>
    </w:p>
    <w:p>
      <w:pPr>
        <w:spacing w:after="0" w:line="180" w:lineRule="exact"/>
        <w:rPr>
          <w:sz w:val="20"/>
          <w:szCs w:val="20"/>
          <w:color w:val="auto"/>
        </w:rPr>
      </w:pPr>
    </w:p>
    <w:p>
      <w:pPr>
        <w:ind w:firstLine="436"/>
        <w:spacing w:after="0" w:line="253" w:lineRule="auto"/>
        <w:tabs>
          <w:tab w:leader="none" w:pos="6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RELEVANT REGULATION S GLOBAL NOTE OR RELEVANT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(iii) the transaction is not part of a plan or scheme to evade the registration requirements of the Securities Act and (iv) if the proposed transfer is being made prior to the expiration of the applicable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Indenture and the Securities Act.</w:t>
      </w:r>
    </w:p>
    <w:p>
      <w:pPr>
        <w:spacing w:after="0" w:line="189" w:lineRule="exact"/>
        <w:rPr>
          <w:rFonts w:ascii="Times New Roman" w:cs="Times New Roman" w:eastAsia="Times New Roman" w:hAnsi="Times New Roman"/>
          <w:sz w:val="18"/>
          <w:szCs w:val="18"/>
          <w:color w:val="auto"/>
        </w:rPr>
      </w:pPr>
    </w:p>
    <w:p>
      <w:pPr>
        <w:ind w:right="120" w:firstLine="436"/>
        <w:spacing w:after="0" w:line="258" w:lineRule="auto"/>
        <w:tabs>
          <w:tab w:leader="none" w:pos="6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AND COMPLETE IF TRANSFEREE WILL TAKE DELIVERY OF A BENEFICIAL INTEREST IN THE RELEVANT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7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such Transfer is being effected pursuant to and in accordance with Rule 144 under the Securities Act;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such Transfer is being effected to the Issuer, Holdings or any of their Subsidiaries or Affiliates thereof; or</w:t>
      </w:r>
    </w:p>
    <w:p>
      <w:pPr>
        <w:spacing w:after="0" w:line="11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08"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such Transfer is being effected pursuant to an effective registration statement under the Securities Act and in compliance with the prospectus delivery requirements of the Securities Act.</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6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AN UNRESTRICTED GLOBAL NOTE OR OF AN UNRESTRICTED DEFINITIVE NOTE.</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 IS PURSUANT TO RULE 144. (i) The Transfer is being effected pursuant to and in accordance with Rule</w:t>
      </w:r>
    </w:p>
    <w:p>
      <w:pPr>
        <w:spacing w:after="0" w:line="27" w:lineRule="exact"/>
        <w:rPr>
          <w:rFonts w:ascii="Times New Roman" w:cs="Times New Roman" w:eastAsia="Times New Roman" w:hAnsi="Times New Roman"/>
          <w:sz w:val="18"/>
          <w:szCs w:val="18"/>
          <w:color w:val="auto"/>
        </w:rPr>
      </w:pPr>
    </w:p>
    <w:p>
      <w:pPr>
        <w:ind w:left="440" w:right="40" w:hanging="4"/>
        <w:spacing w:after="0" w:line="260" w:lineRule="auto"/>
        <w:tabs>
          <w:tab w:leader="none" w:pos="75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and in compliance with the transfer restrictions contained in the Indenture and any applicable blue sky securities laws of any state of the United States and (ii) the restrictions on transfer contained in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20"/>
          </w:cols>
          <w:pgMar w:left="440" w:top="270" w:right="439" w:bottom="1440" w:gutter="0" w:footer="0" w:header="0"/>
        </w:sectPr>
      </w:pPr>
    </w:p>
    <w:bookmarkStart w:id="184" w:name="page185"/>
    <w:bookmarkEnd w:id="18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72" w:lineRule="exact"/>
        <w:rPr>
          <w:sz w:val="20"/>
          <w:szCs w:val="20"/>
          <w:color w:val="auto"/>
        </w:rPr>
      </w:pPr>
    </w:p>
    <w:p>
      <w:pPr>
        <w:ind w:firstLine="419"/>
        <w:spacing w:after="0" w:line="256" w:lineRule="auto"/>
        <w:tabs>
          <w:tab w:leader="none" w:pos="67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 IS PURSUANT TO REGULATION S.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79" w:lineRule="exact"/>
        <w:rPr>
          <w:rFonts w:ascii="Times New Roman" w:cs="Times New Roman" w:eastAsia="Times New Roman" w:hAnsi="Times New Roman"/>
          <w:sz w:val="18"/>
          <w:szCs w:val="18"/>
          <w:color w:val="auto"/>
        </w:rPr>
      </w:pPr>
    </w:p>
    <w:p>
      <w:pPr>
        <w:ind w:right="20" w:firstLine="419"/>
        <w:spacing w:after="0" w:line="255" w:lineRule="auto"/>
        <w:tabs>
          <w:tab w:leader="none" w:pos="66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0560"/>
          </w:cols>
          <w:pgMar w:left="880" w:top="270" w:right="459" w:bottom="1440" w:gutter="0" w:footer="0" w:header="0"/>
        </w:sectPr>
      </w:pPr>
    </w:p>
    <w:bookmarkStart w:id="185" w:name="page186"/>
    <w:bookmarkEnd w:id="18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certificate and the statements contained herein are made for your benefit and the benefit of the Issuer.</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[Insert Name of Transferor]</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019"/>
          </w:cols>
          <w:pgMar w:left="440" w:top="270" w:right="1440"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 TO CERTIFICATE OF TRANSFER</w:t>
      </w:r>
    </w:p>
    <w:p>
      <w:pPr>
        <w:spacing w:after="0" w:line="252" w:lineRule="exact"/>
        <w:rPr>
          <w:sz w:val="20"/>
          <w:szCs w:val="20"/>
          <w:color w:val="auto"/>
        </w:rPr>
      </w:pPr>
    </w:p>
    <w:p>
      <w:pPr>
        <w:ind w:left="560" w:right="5720" w:hanging="552"/>
        <w:spacing w:after="0" w:line="383" w:lineRule="auto"/>
        <w:tabs>
          <w:tab w:leader="none" w:pos="54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 [CHECK ONE OF (a) OR (b)]</w:t>
      </w:r>
    </w:p>
    <w:p>
      <w:pPr>
        <w:ind w:left="1000" w:hanging="439"/>
        <w:spacing w:after="0"/>
        <w:tabs>
          <w:tab w:leader="none" w:pos="10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beneficial interest in the:</w:t>
      </w:r>
    </w:p>
    <w:p>
      <w:pPr>
        <w:sectPr>
          <w:pgSz w:w="11900" w:h="16838" w:orient="portrait"/>
          <w:cols w:equalWidth="0" w:num="1">
            <w:col w:w="10600"/>
          </w:cols>
          <w:pgMar w:left="860" w:top="270" w:right="439" w:bottom="1440" w:gutter="0" w:footer="0" w:header="0"/>
        </w:sectPr>
      </w:pPr>
    </w:p>
    <w:p>
      <w:pPr>
        <w:spacing w:after="0" w:line="131" w:lineRule="exact"/>
        <w:rPr>
          <w:sz w:val="20"/>
          <w:szCs w:val="20"/>
          <w:color w:val="auto"/>
        </w:rPr>
      </w:pPr>
    </w:p>
    <w:p>
      <w:pPr>
        <w:ind w:left="1000"/>
        <w:spacing w:after="0"/>
        <w:tabs>
          <w:tab w:leader="none" w:pos="15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 ] 144A Global Note (CUSIP: [            ]; ISIN: [            ]), or</w:t>
      </w:r>
    </w:p>
    <w:p>
      <w:pPr>
        <w:spacing w:after="0" w:line="131" w:lineRule="exact"/>
        <w:rPr>
          <w:sz w:val="20"/>
          <w:szCs w:val="20"/>
          <w:color w:val="auto"/>
        </w:rPr>
      </w:pPr>
    </w:p>
    <w:p>
      <w:pPr>
        <w:ind w:left="1000"/>
        <w:spacing w:after="0"/>
        <w:tabs>
          <w:tab w:leader="none" w:pos="152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 ] Regulation S Global Note (CUSIP: [            ]; ISIN: [            ]), or</w:t>
      </w:r>
    </w:p>
    <w:p>
      <w:pPr>
        <w:sectPr>
          <w:pgSz w:w="11900" w:h="16838" w:orient="portrait"/>
          <w:cols w:equalWidth="0" w:num="1">
            <w:col w:w="10600"/>
          </w:cols>
          <w:pgMar w:left="860" w:top="270" w:right="439" w:bottom="1440" w:gutter="0" w:footer="0" w:header="0"/>
          <w:type w:val="continuous"/>
        </w:sectPr>
      </w:pPr>
    </w:p>
    <w:p>
      <w:pPr>
        <w:spacing w:after="0" w:line="131" w:lineRule="exact"/>
        <w:rPr>
          <w:sz w:val="20"/>
          <w:szCs w:val="20"/>
          <w:color w:val="auto"/>
        </w:rPr>
      </w:pPr>
    </w:p>
    <w:p>
      <w:pPr>
        <w:ind w:left="1000" w:hanging="439"/>
        <w:spacing w:after="0"/>
        <w:tabs>
          <w:tab w:leader="none" w:pos="10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Restricted Definitive Note.</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ONE]</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beneficial interest in the:</w:t>
      </w:r>
    </w:p>
    <w:p>
      <w:pPr>
        <w:sectPr>
          <w:pgSz w:w="11900" w:h="16838" w:orient="portrait"/>
          <w:cols w:equalWidth="0" w:num="1">
            <w:col w:w="10600"/>
          </w:cols>
          <w:pgMar w:left="860" w:top="270" w:right="439" w:bottom="1440" w:gutter="0" w:footer="0" w:header="0"/>
          <w:type w:val="continuous"/>
        </w:sectPr>
      </w:pPr>
    </w:p>
    <w:p>
      <w:pPr>
        <w:spacing w:after="0" w:line="131" w:lineRule="exact"/>
        <w:rPr>
          <w:sz w:val="20"/>
          <w:szCs w:val="20"/>
          <w:color w:val="auto"/>
        </w:rPr>
      </w:pPr>
    </w:p>
    <w:p>
      <w:pPr>
        <w:ind w:left="1000"/>
        <w:spacing w:after="0"/>
        <w:tabs>
          <w:tab w:leader="none" w:pos="15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 ] 144A Global Note (CUSIP: [            ]; ISIN: [            ]), or</w:t>
      </w:r>
    </w:p>
    <w:p>
      <w:pPr>
        <w:spacing w:after="0" w:line="131" w:lineRule="exact"/>
        <w:rPr>
          <w:sz w:val="20"/>
          <w:szCs w:val="20"/>
          <w:color w:val="auto"/>
        </w:rPr>
      </w:pPr>
    </w:p>
    <w:p>
      <w:pPr>
        <w:ind w:left="1000"/>
        <w:spacing w:after="0"/>
        <w:tabs>
          <w:tab w:leader="none" w:pos="152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 ] Regulation S Global Note (CUSIP: [            ]; ISIN: [            ]);</w:t>
      </w:r>
    </w:p>
    <w:p>
      <w:pPr>
        <w:sectPr>
          <w:pgSz w:w="11900" w:h="16838" w:orient="portrait"/>
          <w:cols w:equalWidth="0" w:num="1">
            <w:col w:w="10600"/>
          </w:cols>
          <w:pgMar w:left="860" w:top="270" w:right="439" w:bottom="1440" w:gutter="0" w:footer="0" w:header="0"/>
          <w:type w:val="continuous"/>
        </w:sectPr>
      </w:pPr>
    </w:p>
    <w:p>
      <w:pPr>
        <w:spacing w:after="0" w:line="131" w:lineRule="exact"/>
        <w:rPr>
          <w:sz w:val="20"/>
          <w:szCs w:val="20"/>
          <w:color w:val="auto"/>
        </w:rPr>
      </w:pPr>
    </w:p>
    <w:p>
      <w:pPr>
        <w:ind w:left="1000" w:hanging="439"/>
        <w:spacing w:after="0"/>
        <w:tabs>
          <w:tab w:leader="none" w:pos="10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Restricted Definitive Note; or</w:t>
      </w:r>
    </w:p>
    <w:p>
      <w:pPr>
        <w:spacing w:after="0" w:line="130" w:lineRule="exact"/>
        <w:rPr>
          <w:rFonts w:ascii="Times New Roman" w:cs="Times New Roman" w:eastAsia="Times New Roman" w:hAnsi="Times New Roman"/>
          <w:sz w:val="18"/>
          <w:szCs w:val="18"/>
          <w:color w:val="auto"/>
        </w:rPr>
      </w:pPr>
    </w:p>
    <w:p>
      <w:pPr>
        <w:ind w:left="4940" w:right="3740" w:hanging="4379"/>
        <w:spacing w:after="0" w:line="454" w:lineRule="auto"/>
        <w:tabs>
          <w:tab w:leader="none" w:pos="98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an Unrestricted Definitive Note, in accordance with the terms of the Indenture. B-5</w:t>
      </w:r>
    </w:p>
    <w:p>
      <w:pPr>
        <w:sectPr>
          <w:pgSz w:w="11900" w:h="16838" w:orient="portrait"/>
          <w:cols w:equalWidth="0" w:num="1">
            <w:col w:w="10600"/>
          </w:cols>
          <w:pgMar w:left="860" w:top="270" w:right="439" w:bottom="1440" w:gutter="0" w:footer="0" w:header="0"/>
          <w:type w:val="continuous"/>
        </w:sectPr>
      </w:pPr>
    </w:p>
    <w:bookmarkStart w:id="187" w:name="page188"/>
    <w:bookmarkEnd w:id="187"/>
    <w:p>
      <w:pPr>
        <w:ind w:left="10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EXCHANGE]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Medline Borrower,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Northfield, IL 60093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Alex Liberman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 for any purpose under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[Facsimile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Jonathan Ozner, Katharine Thompson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[Email address] [Email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Capital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South Sixth Street, Suite 1290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[Facsimile number]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Medline Borrower, LP Notes Administrator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 [</w:t>
      </w:r>
      <w:r>
        <w:rPr>
          <w:rFonts w:ascii="Times New Roman" w:cs="Times New Roman" w:eastAsia="Times New Roman" w:hAnsi="Times New Roman"/>
          <w:sz w:val="18"/>
          <w:szCs w:val="18"/>
          <w:u w:val="single" w:color="auto"/>
          <w:color w:val="auto"/>
        </w:rPr>
        <w:t>5.000% Senior Secured Notes due 2031][5.250% Senior Secured Notes due 2033]</w:t>
      </w:r>
    </w:p>
    <w:p>
      <w:pPr>
        <w:spacing w:after="0" w:line="225"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Reference is hereby made to the Indenture, dated as of May 28, 2026 (as amended, supplemented or otherwise modified from time to time, the “</w:t>
      </w:r>
      <w:r>
        <w:rPr>
          <w:rFonts w:ascii="Times New Roman" w:cs="Times New Roman" w:eastAsia="Times New Roman" w:hAnsi="Times New Roman"/>
          <w:sz w:val="17"/>
          <w:szCs w:val="17"/>
          <w:b w:val="1"/>
          <w:bCs w:val="1"/>
          <w:color w:val="auto"/>
        </w:rPr>
        <w:t>Indenture</w:t>
      </w:r>
      <w:r>
        <w:rPr>
          <w:rFonts w:ascii="Times New Roman" w:cs="Times New Roman" w:eastAsia="Times New Roman" w:hAnsi="Times New Roman"/>
          <w:sz w:val="17"/>
          <w:szCs w:val="17"/>
          <w:color w:val="auto"/>
        </w:rPr>
        <w:t>”), among Medline Borrower, LP, a Delaware limited partnership, Medline Co-Issuer, Inc., a Delaware corporation, Medline Intermediate, LP, a Delaware limited partnership, the Subsidiary Guarantors named therein, and Wilmington Trust, National Association, a national banking association, as Trustee and Notes Collateral Agent. Capitalized terms used but not defined herein shall have the meanings given to them in the Indenture.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________________ (the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owns and proposes to exchange Note[s] or an interest in such Note[s], in the principal amount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$__________in such Note[s] or interests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207" w:lineRule="exact"/>
        <w:rPr>
          <w:sz w:val="20"/>
          <w:szCs w:val="20"/>
          <w:color w:val="auto"/>
        </w:rPr>
      </w:pPr>
    </w:p>
    <w:p>
      <w:pPr>
        <w:ind w:right="720" w:firstLine="436"/>
        <w:spacing w:after="0" w:line="282" w:lineRule="auto"/>
        <w:tabs>
          <w:tab w:leader="none" w:pos="62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 RESTRICTED DEFINITIVE NOTES OR BENEFICIAL INTERESTS IN A RESTRICTED GLOBAL NOTE FOR UNRESTRICTED DEFINITIVE NOTES OR BENEFICIAL INTERESTS IN AN UNRESTRICTED GLOBAL NOTE</w:t>
      </w:r>
    </w:p>
    <w:p>
      <w:pPr>
        <w:spacing w:after="0" w:line="53" w:lineRule="exact"/>
        <w:rPr>
          <w:rFonts w:ascii="Times New Roman" w:cs="Times New Roman" w:eastAsia="Times New Roman" w:hAnsi="Times New Roman"/>
          <w:sz w:val="18"/>
          <w:szCs w:val="18"/>
          <w:color w:val="auto"/>
        </w:rPr>
      </w:pPr>
    </w:p>
    <w:p>
      <w:pPr>
        <w:ind w:left="440" w:right="380" w:firstLine="419"/>
        <w:spacing w:after="0" w:line="261" w:lineRule="auto"/>
        <w:tabs>
          <w:tab w:leader="none" w:pos="1108"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70" w:right="439" w:bottom="1440" w:gutter="0" w:footer="0" w:header="0"/>
        </w:sectPr>
      </w:pPr>
    </w:p>
    <w:bookmarkStart w:id="188" w:name="page189"/>
    <w:bookmarkEnd w:id="188"/>
    <w:p>
      <w:pPr>
        <w:ind w:left="440"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Owner’s own account without transfer, (ii) such Exchange has been effected in compliance with the transfer restrictions applicable to the Global Notes and pursuant to and in accordance with the United States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(iii) the restrictions on transfer contained in the Indenture and the Private Placement Legend are not required in order to maintain compliance with the Securities Act and</w:t>
      </w:r>
    </w:p>
    <w:p>
      <w:pPr>
        <w:spacing w:after="0" w:line="2" w:lineRule="exact"/>
        <w:rPr>
          <w:sz w:val="20"/>
          <w:szCs w:val="20"/>
          <w:color w:val="auto"/>
        </w:rPr>
      </w:pPr>
    </w:p>
    <w:p>
      <w:pPr>
        <w:ind w:left="440" w:right="60" w:hanging="4"/>
        <w:spacing w:after="0" w:line="260" w:lineRule="auto"/>
        <w:tabs>
          <w:tab w:leader="none" w:pos="74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interest in an Unrestricted Global Note is being acquired in compliance with any applicable blue sky securities laws of any state of the United States.</w:t>
      </w:r>
    </w:p>
    <w:p>
      <w:pPr>
        <w:spacing w:after="0" w:line="73" w:lineRule="exact"/>
        <w:rPr>
          <w:rFonts w:ascii="Times New Roman" w:cs="Times New Roman" w:eastAsia="Times New Roman" w:hAnsi="Times New Roman"/>
          <w:sz w:val="18"/>
          <w:szCs w:val="18"/>
          <w:color w:val="auto"/>
        </w:rPr>
      </w:pPr>
    </w:p>
    <w:p>
      <w:pPr>
        <w:ind w:left="440" w:right="120" w:firstLine="419"/>
        <w:spacing w:after="0" w:line="255" w:lineRule="auto"/>
        <w:tabs>
          <w:tab w:leader="none" w:pos="1118"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80" w:lineRule="exact"/>
        <w:rPr>
          <w:rFonts w:ascii="Times New Roman" w:cs="Times New Roman" w:eastAsia="Times New Roman" w:hAnsi="Times New Roman"/>
          <w:sz w:val="18"/>
          <w:szCs w:val="18"/>
          <w:color w:val="auto"/>
        </w:rPr>
      </w:pPr>
    </w:p>
    <w:p>
      <w:pPr>
        <w:ind w:left="440" w:right="100" w:firstLine="419"/>
        <w:spacing w:after="0" w:line="255" w:lineRule="auto"/>
        <w:tabs>
          <w:tab w:leader="none" w:pos="1108"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80" w:lineRule="exact"/>
        <w:rPr>
          <w:rFonts w:ascii="Times New Roman" w:cs="Times New Roman" w:eastAsia="Times New Roman" w:hAnsi="Times New Roman"/>
          <w:sz w:val="18"/>
          <w:szCs w:val="18"/>
          <w:color w:val="auto"/>
        </w:rPr>
      </w:pPr>
    </w:p>
    <w:p>
      <w:pPr>
        <w:ind w:left="440" w:right="60" w:firstLine="419"/>
        <w:spacing w:after="0" w:line="269" w:lineRule="auto"/>
        <w:tabs>
          <w:tab w:leader="none" w:pos="1118"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w:t>
      </w:r>
    </w:p>
    <w:p>
      <w:pPr>
        <w:spacing w:after="0" w:line="2" w:lineRule="exact"/>
        <w:rPr>
          <w:rFonts w:ascii="Times New Roman" w:cs="Times New Roman" w:eastAsia="Times New Roman" w:hAnsi="Times New Roman"/>
          <w:sz w:val="17"/>
          <w:szCs w:val="17"/>
          <w:color w:val="auto"/>
        </w:rPr>
      </w:pPr>
    </w:p>
    <w:p>
      <w:pPr>
        <w:ind w:left="740" w:hanging="304"/>
        <w:spacing w:after="0"/>
        <w:tabs>
          <w:tab w:leader="none" w:pos="7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Unrestricted Definitive Note is being acquired in compliance with any applicable blue sky securities laws of any state of the United States.</w:t>
      </w:r>
    </w:p>
    <w:p>
      <w:pPr>
        <w:spacing w:after="0" w:line="207" w:lineRule="exact"/>
        <w:rPr>
          <w:sz w:val="20"/>
          <w:szCs w:val="20"/>
          <w:color w:val="auto"/>
        </w:rPr>
      </w:pPr>
    </w:p>
    <w:p>
      <w:pPr>
        <w:ind w:right="780" w:firstLine="436"/>
        <w:spacing w:after="0" w:line="282" w:lineRule="auto"/>
        <w:tabs>
          <w:tab w:leader="none" w:pos="62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 RESTRICTED DEFINITIVE NOTES OR BENEFICIAL INTERESTS IN RESTRICTED GLOBAL NOTES FOR RESTRICTED DEFINITIVE NOTES OR BENEFICIAL INTERESTS IN RESTRICTED GLOBAL NOTES</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BENEFICIAL INTEREST IN A RESTRICTED GLOBAL NOTE TO RESTRICTED</w:t>
      </w:r>
    </w:p>
    <w:p>
      <w:pPr>
        <w:spacing w:after="0" w:line="27" w:lineRule="exact"/>
        <w:rPr>
          <w:rFonts w:ascii="Times New Roman" w:cs="Times New Roman" w:eastAsia="Times New Roman" w:hAnsi="Times New Roman"/>
          <w:sz w:val="18"/>
          <w:szCs w:val="18"/>
          <w:color w:val="auto"/>
        </w:rPr>
      </w:pPr>
    </w:p>
    <w:p>
      <w:pPr>
        <w:ind w:left="4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020"/>
          </w:cols>
          <w:pgMar w:left="440" w:top="270" w:right="439" w:bottom="1440" w:gutter="0" w:footer="0" w:header="0"/>
        </w:sectPr>
      </w:pPr>
    </w:p>
    <w:bookmarkStart w:id="189" w:name="page190"/>
    <w:bookmarkEnd w:id="189"/>
    <w:p>
      <w:pPr>
        <w:ind w:firstLine="419"/>
        <w:spacing w:after="0" w:line="254" w:lineRule="auto"/>
        <w:tabs>
          <w:tab w:leader="none" w:pos="67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 CHECK IF EXCHANGE IS FROM RESTRICTED DEFINITIVE NOTE TO BENEFICIAL INTEREST IN A RESTRICTED GLOBAL NOTE. In connection with the Exchange of the Owner’s Restricted Definitive Note for a beneficial interest in the [CHECK ONE] [ ] 144A Global Note [ ] Regulation S Global Note in each case,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0540"/>
          </w:cols>
          <w:pgMar w:left="880" w:top="270" w:right="479" w:bottom="1440" w:gutter="0" w:footer="0" w:header="0"/>
        </w:sectPr>
      </w:pPr>
    </w:p>
    <w:bookmarkStart w:id="190" w:name="page191"/>
    <w:bookmarkEnd w:id="19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certificate and the statements contained herein are made for your benefit and the benefit of the Issuer.</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[Insert Name of Transferor]</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0019"/>
          </w:cols>
          <w:pgMar w:left="440" w:top="270" w:right="1440"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DELIVERED BY SUBSEQUENT GUARANTORS]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 Supplemental Indenture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dated as of ______________, among ________________________ (the</w:t>
      </w:r>
    </w:p>
    <w:p>
      <w:pPr>
        <w:spacing w:after="0" w:line="31" w:lineRule="exact"/>
        <w:rPr>
          <w:sz w:val="20"/>
          <w:szCs w:val="20"/>
          <w:color w:val="auto"/>
        </w:rPr>
      </w:pPr>
    </w:p>
    <w:p>
      <w:pPr>
        <w:ind w:right="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Guaranteeing Subsidiary</w:t>
      </w:r>
      <w:r>
        <w:rPr>
          <w:rFonts w:ascii="Times New Roman" w:cs="Times New Roman" w:eastAsia="Times New Roman" w:hAnsi="Times New Roman"/>
          <w:sz w:val="18"/>
          <w:szCs w:val="18"/>
          <w:color w:val="auto"/>
        </w:rPr>
        <w:t>”), a subsidiary of Medline Borrower, LP, a Delaware limited partnership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Medline Co-Issuer, Inc., a Delaware corporation (the “</w:t>
      </w:r>
      <w:r>
        <w:rPr>
          <w:rFonts w:ascii="Times New Roman" w:cs="Times New Roman" w:eastAsia="Times New Roman" w:hAnsi="Times New Roman"/>
          <w:sz w:val="18"/>
          <w:szCs w:val="18"/>
          <w:b w:val="1"/>
          <w:bCs w:val="1"/>
          <w:color w:val="auto"/>
        </w:rPr>
        <w:t>Co-Issuer</w:t>
      </w:r>
      <w:r>
        <w:rPr>
          <w:rFonts w:ascii="Times New Roman" w:cs="Times New Roman" w:eastAsia="Times New Roman" w:hAnsi="Times New Roman"/>
          <w:sz w:val="18"/>
          <w:szCs w:val="18"/>
          <w:color w:val="auto"/>
        </w:rPr>
        <w:t>” and, together with the Issuer,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Medline Intermediate, LP, a Delaware limited partnership, the Subsidiary Guarantors named therein, and Wilmington Trust, National Association, a national banking association, as trustee (in such capacity,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as collateral agent (in such capacity, the “</w:t>
      </w:r>
      <w:r>
        <w:rPr>
          <w:rFonts w:ascii="Times New Roman" w:cs="Times New Roman" w:eastAsia="Times New Roman" w:hAnsi="Times New Roman"/>
          <w:sz w:val="18"/>
          <w:szCs w:val="18"/>
          <w:b w:val="1"/>
          <w:bCs w:val="1"/>
          <w:color w:val="auto"/>
        </w:rPr>
        <w:t>Notes Collateral Agent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1"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color w:val="auto"/>
        </w:rPr>
        <w:t>WHEREAS, the Issuers have heretofore executed and delivered to the Trustee and the Notes Collateral Agent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May 28, 2026, providing for the issuance of $1,250,000,000 aggregate principal amount of 5.000% Senior Secured Notes due 2031 and $750,000,000 aggregate principal amount of 5.250% Senior Secured Notes due 2033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and the Notes Collateral Agent a supplemental indenture pursuant to which the Guaranteeing Subsidiary shall unconditionally guarantee all of the Issuers’ Obligations under the Notes and the Indenture on the terms and conditions set forth herein and under the Indenture (the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 and the Notes Collateral Agent are authorized to execute and deliver this Supplemental Indenture without the consent of Holders.</w:t>
      </w:r>
    </w:p>
    <w:p>
      <w:pPr>
        <w:spacing w:after="0" w:line="162" w:lineRule="exact"/>
        <w:rPr>
          <w:sz w:val="20"/>
          <w:szCs w:val="20"/>
          <w:color w:val="auto"/>
        </w:rPr>
      </w:pPr>
    </w:p>
    <w:p>
      <w:pPr>
        <w:ind w:right="10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62" w:lineRule="exact"/>
        <w:rPr>
          <w:sz w:val="20"/>
          <w:szCs w:val="20"/>
          <w:color w:val="auto"/>
        </w:rPr>
      </w:pPr>
    </w:p>
    <w:p>
      <w:pPr>
        <w:ind w:left="700" w:hanging="264"/>
        <w:spacing w:after="0"/>
        <w:tabs>
          <w:tab w:leader="none" w:pos="7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ind w:right="140" w:firstLine="436"/>
        <w:spacing w:after="0" w:line="256" w:lineRule="auto"/>
        <w:tabs>
          <w:tab w:leader="none" w:pos="69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Guarantee</w:t>
      </w:r>
      <w:r>
        <w:rPr>
          <w:rFonts w:ascii="Times New Roman" w:cs="Times New Roman" w:eastAsia="Times New Roman" w:hAnsi="Times New Roman"/>
          <w:sz w:val="18"/>
          <w:szCs w:val="18"/>
          <w:color w:val="auto"/>
        </w:rPr>
        <w:t>. The Guaranteeing Subsidiary acknowledges that it has received and reviewed a copy of the Indenture and all other documents it deems necessary to review in order to enter into this Supplemental Indenture, and acknowledges and agrees to (i) join and become a party to the Indenture as indicated by its signature below; (ii) be bound by the Indenture, as of the date hereof, as if made by, and with respect to, each signatory hereto; and (iii) perform all obligations and duties required of a Guarantor pursuant to the Indenture. The Guaranteeing Subsidiary hereby agrees to provide an unconditional Guarantee on the terms and subject to the conditions set forth in the Indenture, including, but not limited to, Article 10 thereof.</w:t>
      </w:r>
    </w:p>
    <w:p>
      <w:pPr>
        <w:spacing w:after="0" w:line="187" w:lineRule="exact"/>
        <w:rPr>
          <w:rFonts w:ascii="Times New Roman" w:cs="Times New Roman" w:eastAsia="Times New Roman" w:hAnsi="Times New Roman"/>
          <w:sz w:val="18"/>
          <w:szCs w:val="18"/>
          <w:color w:val="auto"/>
        </w:rPr>
      </w:pPr>
    </w:p>
    <w:p>
      <w:pPr>
        <w:ind w:right="500" w:firstLine="436"/>
        <w:spacing w:after="0" w:line="282" w:lineRule="auto"/>
        <w:tabs>
          <w:tab w:leader="none" w:pos="69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Delivery</w:t>
      </w:r>
      <w:r>
        <w:rPr>
          <w:rFonts w:ascii="Times New Roman" w:cs="Times New Roman" w:eastAsia="Times New Roman" w:hAnsi="Times New Roman"/>
          <w:sz w:val="18"/>
          <w:szCs w:val="18"/>
          <w:color w:val="auto"/>
        </w:rPr>
        <w:t>. The Guaranteeing Subsidiary agrees that the Guarantee shall remain in full force and effect notwithstanding the absence of the endorsement of any notation of such Guarantee on the Notes.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020"/>
          </w:cols>
          <w:pgMar w:left="440" w:top="270" w:right="439" w:bottom="1440" w:gutter="0" w:footer="0" w:header="0"/>
        </w:sectPr>
      </w:pPr>
    </w:p>
    <w:bookmarkStart w:id="192" w:name="page193"/>
    <w:bookmarkEnd w:id="192"/>
    <w:p>
      <w:pPr>
        <w:ind w:firstLine="436"/>
        <w:spacing w:after="0" w:line="258" w:lineRule="auto"/>
        <w:tabs>
          <w:tab w:leader="none" w:pos="69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Recourse Against Others</w:t>
      </w:r>
      <w:r>
        <w:rPr>
          <w:rFonts w:ascii="Times New Roman" w:cs="Times New Roman" w:eastAsia="Times New Roman" w:hAnsi="Times New Roman"/>
          <w:sz w:val="18"/>
          <w:szCs w:val="18"/>
          <w:color w:val="auto"/>
        </w:rPr>
        <w:t>. No past, present or future director, manager, officer, employee, incorporator, member, partner or direct or indirect equityholder of the Issuers, Holdings or the Guaranteeing Subsidiary shall have any liability for any obligations of the Issuers or the Guarantors (including the Guaranteeing Subsidiary) under the Notes, any Guarantees, [the Security Documents,] the Indenture or this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183" w:lineRule="exact"/>
        <w:rPr>
          <w:rFonts w:ascii="Times New Roman" w:cs="Times New Roman" w:eastAsia="Times New Roman" w:hAnsi="Times New Roman"/>
          <w:sz w:val="18"/>
          <w:szCs w:val="18"/>
          <w:color w:val="auto"/>
        </w:rPr>
      </w:pPr>
    </w:p>
    <w:p>
      <w:pPr>
        <w:ind w:right="240" w:firstLine="436"/>
        <w:spacing w:after="0" w:line="266" w:lineRule="auto"/>
        <w:tabs>
          <w:tab w:leader="none" w:pos="69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SUPPLEMENTAL INDENTURE, AND ANY CLAIM, CONTROVERSY OR DISPUTE ARISING UNDER OR RELATED TO THIS SUPPLEMENTAL INDENTURE, WILL BE GOVERNED BY, AND CONSTRUED IN ACCORDANCE WITH, THE LAWS OF THE STATE OF NEW YORK.</w:t>
      </w:r>
    </w:p>
    <w:p>
      <w:pPr>
        <w:spacing w:after="0" w:line="175"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The exchange of copies of this Supplemental Indenture and of signature pages by facsimile, PDF or other electronic transmissions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transmissions shall be deemed to be their original signatures for all purposes.</w:t>
      </w:r>
    </w:p>
    <w:p>
      <w:pPr>
        <w:spacing w:after="0" w:line="18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Trustee and the Notes Collateral Agent</w:t>
      </w:r>
      <w:r>
        <w:rPr>
          <w:rFonts w:ascii="Times New Roman" w:cs="Times New Roman" w:eastAsia="Times New Roman" w:hAnsi="Times New Roman"/>
          <w:sz w:val="18"/>
          <w:szCs w:val="18"/>
          <w:color w:val="auto"/>
        </w:rPr>
        <w:t>. The Trustee and the Note Collateral Agent shall not be responsible in any manner whatsoever for or in respect of the validity or sufficiency of this Supplemental Indenture or for or in respect of the recitals contained herein, all of which recitals are made solely by the Guaranteeing Subsidiary.</w:t>
      </w:r>
    </w:p>
    <w:p>
      <w:pPr>
        <w:spacing w:after="0" w:line="175"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Acknowledged</w:t>
      </w:r>
      <w:r>
        <w:rPr>
          <w:rFonts w:ascii="Times New Roman" w:cs="Times New Roman" w:eastAsia="Times New Roman" w:hAnsi="Times New Roman"/>
          <w:sz w:val="18"/>
          <w:szCs w:val="18"/>
          <w:color w:val="auto"/>
        </w:rPr>
        <w:t>. The Guaranteeing Subsidiary’s Guarantee is subject to the terms and conditions set forth in the Indenture. The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79" w:lineRule="exact"/>
        <w:rPr>
          <w:rFonts w:ascii="Times New Roman" w:cs="Times New Roman" w:eastAsia="Times New Roman" w:hAnsi="Times New Roman"/>
          <w:sz w:val="18"/>
          <w:szCs w:val="18"/>
          <w:color w:val="auto"/>
        </w:rPr>
      </w:pPr>
    </w:p>
    <w:p>
      <w:pPr>
        <w:ind w:right="420" w:firstLine="436"/>
        <w:spacing w:after="0" w:line="282" w:lineRule="auto"/>
        <w:tabs>
          <w:tab w:leader="none" w:pos="78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Guaranteeing Subsidiary in this Supplemental Indenture shall bind its successors, except as otherwise provided in this Supplemental Indenture. All agreements of the Trustee in this Supplemental Indenture shall bind its successors.</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77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Indenture; Supplemental Indentures Part of Indenture</w:t>
      </w:r>
      <w:r>
        <w:rPr>
          <w:rFonts w:ascii="Times New Roman" w:cs="Times New Roman" w:eastAsia="Times New Roman" w:hAnsi="Times New Roman"/>
          <w:sz w:val="18"/>
          <w:szCs w:val="18"/>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shall be bound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000"/>
          </w:cols>
          <w:pgMar w:left="440" w:top="270"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[GUARANTEEING SUBSIDIARY]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WILMINGTON TRUST, NATIONAL ASSOCIATION, as</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Trustee and Notes Collateral Agent</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0420"/>
          </w:cols>
          <w:pgMar w:left="880" w:top="270" w:right="59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[FORM OF JUNIOR LIEN INTERCREDITOR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[Attached.]</w:t>
      </w:r>
    </w:p>
    <w:p>
      <w:pPr>
        <w:spacing w:after="0" w:line="15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0020"/>
          </w:cols>
          <w:pgMar w:left="1440" w:top="270" w:right="439" w:bottom="1440" w:gutter="0" w:footer="0" w:header="0"/>
        </w:sectPr>
      </w:pPr>
    </w:p>
    <w:bookmarkStart w:id="195" w:name="page196"/>
    <w:bookmarkEnd w:id="195"/>
    <w:p>
      <w:pPr>
        <w:ind w:left="96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AGREED FORM</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JUNIOR PRIORITY LIEN INTERCREDITOR AGREEMENT dated as of [          ] (as amended,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Medline Intermediate, LP, a Delaware limited partnership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Medline Borrower, LP, a Delaware limited partnership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Grantors (as defined below) party hereto, BANK OF AMERICA, N.A., as Representative for the First Lien Credit Agreement Secured Parties (in such capacity and together with its successors in such capacity, the “</w:t>
      </w:r>
      <w:r>
        <w:rPr>
          <w:rFonts w:ascii="Times New Roman" w:cs="Times New Roman" w:eastAsia="Times New Roman" w:hAnsi="Times New Roman"/>
          <w:sz w:val="18"/>
          <w:szCs w:val="18"/>
          <w:u w:val="single" w:color="auto"/>
          <w:color w:val="auto"/>
        </w:rPr>
        <w:t>First Lien Credit Agreement Collateral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WILMINGTON TRUST, NATIONAL ASSOCIATION, in its capacity as Notes Collateral Agent under and as defined in the 2021 Indenture for the 2021 Indenture Secured Parties (in such capacity, the “</w:t>
      </w:r>
      <w:r>
        <w:rPr>
          <w:rFonts w:ascii="Times New Roman" w:cs="Times New Roman" w:eastAsia="Times New Roman" w:hAnsi="Times New Roman"/>
          <w:sz w:val="18"/>
          <w:szCs w:val="18"/>
          <w:u w:val="single" w:color="auto"/>
          <w:color w:val="auto"/>
        </w:rPr>
        <w:t>2021 Notes Collateral Agent</w:t>
      </w:r>
      <w:r>
        <w:rPr>
          <w:rFonts w:ascii="Times New Roman" w:cs="Times New Roman" w:eastAsia="Times New Roman" w:hAnsi="Times New Roman"/>
          <w:sz w:val="18"/>
          <w:szCs w:val="18"/>
          <w:color w:val="auto"/>
        </w:rPr>
        <w:t>”), WILMINGTON TRUST, NATIONAL ASSOCIATION, in its capacity as Notes Collateral Agent under and as defined in the 2024 Indenture for the 2024 Indenture Secured Parties (in such capacity, the “</w:t>
      </w:r>
      <w:r>
        <w:rPr>
          <w:rFonts w:ascii="Times New Roman" w:cs="Times New Roman" w:eastAsia="Times New Roman" w:hAnsi="Times New Roman"/>
          <w:sz w:val="18"/>
          <w:szCs w:val="18"/>
          <w:u w:val="single" w:color="auto"/>
          <w:color w:val="auto"/>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 Collateral Agent</w:t>
      </w:r>
      <w:r>
        <w:rPr>
          <w:rFonts w:ascii="Times New Roman" w:cs="Times New Roman" w:eastAsia="Times New Roman" w:hAnsi="Times New Roman"/>
          <w:sz w:val="18"/>
          <w:szCs w:val="18"/>
          <w:color w:val="auto"/>
        </w:rPr>
        <w:t>”), WILMINGTON TRUST, NATIONAL ASSOCIATION, in its capacity as Notes Collateral Agent under and as defined in the 2026 Indenture for the 2026 Indenture Secured Parties (in such capacity, the “</w:t>
      </w:r>
      <w:r>
        <w:rPr>
          <w:rFonts w:ascii="Times New Roman" w:cs="Times New Roman" w:eastAsia="Times New Roman" w:hAnsi="Times New Roman"/>
          <w:sz w:val="18"/>
          <w:szCs w:val="18"/>
          <w:u w:val="single" w:color="auto"/>
          <w:color w:val="auto"/>
        </w:rPr>
        <w:t>2026 Notes Collateral Agent</w:t>
      </w:r>
      <w:r>
        <w:rPr>
          <w:rFonts w:ascii="Times New Roman" w:cs="Times New Roman" w:eastAsia="Times New Roman" w:hAnsi="Times New Roman"/>
          <w:sz w:val="18"/>
          <w:szCs w:val="18"/>
          <w:color w:val="auto"/>
        </w:rPr>
        <w:t>”), [each additional Collateral Agent for any Senior Obligations (each, an “</w:t>
      </w:r>
      <w:r>
        <w:rPr>
          <w:rFonts w:ascii="Times New Roman" w:cs="Times New Roman" w:eastAsia="Times New Roman" w:hAnsi="Times New Roman"/>
          <w:sz w:val="18"/>
          <w:szCs w:val="18"/>
          <w:u w:val="single" w:color="auto"/>
          <w:color w:val="auto"/>
        </w:rPr>
        <w:t>Additional Senior Debt Collateral Agent</w:t>
      </w:r>
      <w:r>
        <w:rPr>
          <w:rFonts w:ascii="Times New Roman" w:cs="Times New Roman" w:eastAsia="Times New Roman" w:hAnsi="Times New Roman"/>
          <w:sz w:val="18"/>
          <w:szCs w:val="18"/>
          <w:color w:val="auto"/>
        </w:rPr>
        <w:t>”),] [          ], as Representative for the Initial Second Lien Secured Parties (in such capacity and together with its successors in such capacity, the “</w:t>
      </w:r>
      <w:r>
        <w:rPr>
          <w:rFonts w:ascii="Times New Roman" w:cs="Times New Roman" w:eastAsia="Times New Roman" w:hAnsi="Times New Roman"/>
          <w:sz w:val="18"/>
          <w:szCs w:val="18"/>
          <w:u w:val="single" w:color="auto"/>
          <w:color w:val="auto"/>
        </w:rPr>
        <w:t>Initial Second Lien Collateral Agent</w:t>
      </w:r>
      <w:r>
        <w:rPr>
          <w:rFonts w:ascii="Times New Roman" w:cs="Times New Roman" w:eastAsia="Times New Roman" w:hAnsi="Times New Roman"/>
          <w:sz w:val="18"/>
          <w:szCs w:val="18"/>
          <w:color w:val="auto"/>
        </w:rPr>
        <w:t>”), and each additional Second Priority Representative and Senior Representative that from time to time becomes a party hereto pursuant to Section 8.09.</w:t>
      </w:r>
    </w:p>
    <w:p>
      <w:pPr>
        <w:spacing w:after="0" w:line="19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In consideration of the mutual agreements herein contained and other good and valuable consideration, the receipt and sufficiency of which are hereby acknowledged, the First Lien Credit Agreement Collateral Agent (for itself and on behalf of the First Lien Credit Agreement Secured Parties), the 2021 Notes Collateral Agent (for itself and on behalf of the 2021 Indenture Secured Parties), 2024 Notes Collateral Agent (for itself and on behalf of the 2024 Indenture Secured Parties), 2026 Notes Collateral Agent (for itself and on behalf of the 2026 Indenture Secured Parties), the Initial Second Lien Collateral Agent (for itself and on behalf of the Initial Second Lien Secured Parties), each additional Senior Representative (for itself and on behalf of the Additional Senior Debt Parties under the applicable Additional Senior Debt Facility) and each additional Second Priority Representative (for itself and on behalf of the Second Priority Debt Parties under the applicable Second Priority Debt Facility) agree as follows: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Capitalized terms used but not otherwise defined herein have the meanings set forth in the First Lien Credit Agreement or, if defined in the New York UCC, have the meanings specified therein. As used in this Agreement, the following terms have the meanings specified below.</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Indenture</w:t>
      </w:r>
      <w:r>
        <w:rPr>
          <w:rFonts w:ascii="Times New Roman" w:cs="Times New Roman" w:eastAsia="Times New Roman" w:hAnsi="Times New Roman"/>
          <w:sz w:val="18"/>
          <w:szCs w:val="18"/>
          <w:color w:val="auto"/>
        </w:rPr>
        <w:t>” means that certain Indenture, dated as of October 15, 2021, between Mozart Debt Merger Sub Inc. (which, upon consummation of the Acquisition on the Closing Date, was merged with and into the Borrower) and Wilmington Trust, National Association, as trustee and notes collateral agent, as amended and supplemented by that certain First Supplemental Indenture, dated as of October 21, 2021, that certain Second Supplemental Indenture, dated as of July 19, 2024, and that certain Third Supplemental Indenture, dated as of December 20, 2024, among the Borrower, Medline Co-Issuer, Inc., a Delaware corporation (the “</w:t>
      </w:r>
      <w:r>
        <w:rPr>
          <w:rFonts w:ascii="Times New Roman" w:cs="Times New Roman" w:eastAsia="Times New Roman" w:hAnsi="Times New Roman"/>
          <w:sz w:val="18"/>
          <w:szCs w:val="18"/>
          <w:u w:val="single" w:color="auto"/>
          <w:color w:val="auto"/>
        </w:rPr>
        <w:t>Notes Co-Issuer</w:t>
      </w:r>
      <w:r>
        <w:rPr>
          <w:rFonts w:ascii="Times New Roman" w:cs="Times New Roman" w:eastAsia="Times New Roman" w:hAnsi="Times New Roman"/>
          <w:sz w:val="18"/>
          <w:szCs w:val="18"/>
          <w:color w:val="auto"/>
        </w:rPr>
        <w:t xml:space="preserve">”), Holdings and the other guarantors party thereto and Wilmington Trust, National Association, as trustee and notes collateral agent, as amended, restated, amended and restated, extended, supplemented or otherwise modified from time to time, together with any indentures, agreements and other documents as may be entered into in connection with any Refinancing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 that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020"/>
          </w:cols>
          <w:pgMar w:left="440" w:top="266" w:right="439" w:bottom="1440" w:gutter="0" w:footer="0" w:header="0"/>
        </w:sectPr>
      </w:pPr>
    </w:p>
    <w:bookmarkStart w:id="196" w:name="page197"/>
    <w:bookmarkEnd w:id="196"/>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obligations in respect of any such other financing arrangement or agreement are secured by Liens on the Shared Collateral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securing the Senior Obligations, (b) that the collateral agent for any such other financing arrangement or agreement becomes a party to the Equal Priority Lien Intercreditor Agreement by executing and delivering a Collateral Agent Joinder Agreement (as defined in the Equal Priority Lien Intercreditor Agreement) and to this Agreement by executing and delivering a Joinder Agreement and (c) in the case of any refinancing or replacement, the Borrower designates such financing arrangement or agreement as the “Initial Additional Equal Priority Agreement” (and not an Additional Equal Priority Obligation, as defined in the Equal Priority Lien Intercreditor Agreement) under the Equal Priority Lien Intercreditor Agreement and as the “2021 Indenture” (and not Additional Senior Debt) hereunder.</w:t>
      </w:r>
    </w:p>
    <w:p>
      <w:pPr>
        <w:spacing w:after="0" w:line="185"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Indenture Documents</w:t>
      </w:r>
      <w:r>
        <w:rPr>
          <w:rFonts w:ascii="Times New Roman" w:cs="Times New Roman" w:eastAsia="Times New Roman" w:hAnsi="Times New Roman"/>
          <w:sz w:val="18"/>
          <w:szCs w:val="18"/>
          <w:color w:val="auto"/>
        </w:rPr>
        <w:t>” means the 2021 Indenture, the notes issued pursuant thereto and the “Security Documents” (as defined in the 2021 Indenture).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Indenture Obligations</w:t>
      </w:r>
      <w:r>
        <w:rPr>
          <w:rFonts w:ascii="Times New Roman" w:cs="Times New Roman" w:eastAsia="Times New Roman" w:hAnsi="Times New Roman"/>
          <w:sz w:val="18"/>
          <w:szCs w:val="18"/>
          <w:color w:val="auto"/>
        </w:rPr>
        <w:t>” means the “Secured Obligations” as defined in the 2021 Indenture Security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“2021 Indenture Secured Parties” means “Secured Parties” as defined in the 2021 Indenture Security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2021 Indenture Security Agreement</w:t>
      </w:r>
      <w:r>
        <w:rPr>
          <w:rFonts w:ascii="Times New Roman" w:cs="Times New Roman" w:eastAsia="Times New Roman" w:hAnsi="Times New Roman"/>
          <w:sz w:val="17"/>
          <w:szCs w:val="17"/>
          <w:color w:val="auto"/>
        </w:rPr>
        <w:t>” means the Security Agreement, dated as of October 21, 2021, among the Borrower, the Notes Co-Issuer, the</w:t>
      </w:r>
    </w:p>
    <w:p>
      <w:pPr>
        <w:spacing w:after="0" w:line="39" w:lineRule="exact"/>
        <w:rPr>
          <w:sz w:val="20"/>
          <w:szCs w:val="20"/>
          <w:color w:val="auto"/>
        </w:rPr>
      </w:pPr>
    </w:p>
    <w:p>
      <w:pPr>
        <w:ind w:left="4" w:right="200"/>
        <w:spacing w:after="0" w:line="260" w:lineRule="auto"/>
        <w:rPr>
          <w:sz w:val="20"/>
          <w:szCs w:val="20"/>
          <w:color w:val="auto"/>
        </w:rPr>
      </w:pPr>
      <w:r>
        <w:rPr>
          <w:rFonts w:ascii="Times New Roman" w:cs="Times New Roman" w:eastAsia="Times New Roman" w:hAnsi="Times New Roman"/>
          <w:sz w:val="18"/>
          <w:szCs w:val="18"/>
          <w:color w:val="auto"/>
        </w:rPr>
        <w:t>2021 Notes Collateral Agent and the other parties thereto, as amended, restated, amended and restated, extended, supplemented or otherwise modified from time to time.</w:t>
      </w:r>
    </w:p>
    <w:p>
      <w:pPr>
        <w:spacing w:after="0" w:line="181" w:lineRule="exact"/>
        <w:rPr>
          <w:sz w:val="20"/>
          <w:szCs w:val="20"/>
          <w:color w:val="auto"/>
        </w:rPr>
      </w:pPr>
    </w:p>
    <w:p>
      <w:pPr>
        <w:ind w:left="4" w:right="60"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2024 Indenture</w:t>
      </w:r>
      <w:r>
        <w:rPr>
          <w:rFonts w:ascii="Times New Roman" w:cs="Times New Roman" w:eastAsia="Times New Roman" w:hAnsi="Times New Roman"/>
          <w:sz w:val="17"/>
          <w:szCs w:val="17"/>
          <w:color w:val="auto"/>
        </w:rPr>
        <w:t xml:space="preserve">” means that certain Indenture, dated as of March 27, 2024, among the Borrower, the Notes Co-Issuer, Holdings and the other guarantors party thereto and Wilmington Trust, National Association, as trustee and notes collateral agent, as amended and supplemented by that certain First Supplemental Indenture, dated as of June 24, 2024, that certain Second Supplemental Indenture, dated as of July 19, 2024, and that certain Third Supplemental Indenture, dated as of December 20, 2024, among the Borrower, the Notes Co-Issuer, Holdings and the other guarantors party thereto and Wilmington Trust, National Association, as trustee and notes collateral agent, as amended, restated, amended and restated, extended, supplemented or otherwise modified from time to time, together with any indentures, agreements and other documents as may be entered into in connection with any Refinancing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(a) that the obligations in respect of any such other financing arrangement or agreement are secured by Liens on the Shared Collateral that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Liens securing the Senior Obligations, (b) that the collateral agent for any such other financing arrangement or agreement becomes a party to the Equal Priority Lien Intercreditor Agreement by executing and delivering a Collateral Agent Joinder Agreement (as defined in the Equal Priority Lien Intercreditor Agreement) and to this Agreement by executing and delivering a Joinder Agreement and</w:t>
      </w:r>
    </w:p>
    <w:p>
      <w:pPr>
        <w:spacing w:after="0" w:line="4" w:lineRule="exact"/>
        <w:rPr>
          <w:sz w:val="20"/>
          <w:szCs w:val="20"/>
          <w:color w:val="auto"/>
        </w:rPr>
      </w:pPr>
    </w:p>
    <w:p>
      <w:pPr>
        <w:ind w:left="4" w:right="500" w:hanging="4"/>
        <w:spacing w:after="0" w:line="290" w:lineRule="auto"/>
        <w:tabs>
          <w:tab w:leader="none" w:pos="249"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refinancing or replacement, the Borrower designates such financing arrangement or agreement as “Additional Equal Priority Obligations” under the Equal Priority Lien Intercreditor Agreement and as the “2024 Indenture” (and not Additional Senior Debt) hereunder.</w:t>
      </w:r>
    </w:p>
    <w:p>
      <w:pPr>
        <w:spacing w:after="0" w:line="157"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2024 Indenture Documents</w:t>
      </w:r>
      <w:r>
        <w:rPr>
          <w:rFonts w:ascii="Times New Roman" w:cs="Times New Roman" w:eastAsia="Times New Roman" w:hAnsi="Times New Roman"/>
          <w:sz w:val="18"/>
          <w:szCs w:val="18"/>
          <w:color w:val="auto"/>
        </w:rPr>
        <w:t>” means the 2024 Indenture, the notes issued pursuant thereto and the “Security Documents” (as defined in the 2024 Indenture).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2024 Indenture Obligations</w:t>
      </w:r>
      <w:r>
        <w:rPr>
          <w:rFonts w:ascii="Times New Roman" w:cs="Times New Roman" w:eastAsia="Times New Roman" w:hAnsi="Times New Roman"/>
          <w:sz w:val="18"/>
          <w:szCs w:val="18"/>
          <w:color w:val="auto"/>
        </w:rPr>
        <w:t>” means the “Secured Obligations” as defined in the 2024 Indenture Security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“2024 Indenture Secured Parties” means “Secured Parties” as defined in the 2024 Indenture Security Agreement.</w:t>
      </w:r>
    </w:p>
    <w:p>
      <w:pPr>
        <w:spacing w:after="0" w:line="158" w:lineRule="exact"/>
        <w:rPr>
          <w:sz w:val="20"/>
          <w:szCs w:val="20"/>
          <w:color w:val="auto"/>
        </w:rPr>
      </w:pPr>
    </w:p>
    <w:p>
      <w:pPr>
        <w:ind w:left="5384"/>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004"/>
          </w:cols>
          <w:pgMar w:left="436" w:top="268" w:right="459" w:bottom="1440" w:gutter="0" w:footer="0" w:header="0"/>
        </w:sectPr>
      </w:pPr>
    </w:p>
    <w:bookmarkStart w:id="197" w:name="page198"/>
    <w:bookmarkEnd w:id="197"/>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2024 Indenture Security Agreement</w:t>
      </w:r>
      <w:r>
        <w:rPr>
          <w:rFonts w:ascii="Times New Roman" w:cs="Times New Roman" w:eastAsia="Times New Roman" w:hAnsi="Times New Roman"/>
          <w:sz w:val="18"/>
          <w:szCs w:val="18"/>
          <w:color w:val="auto"/>
        </w:rPr>
        <w:t>” means the Security Agreement, dated as of March 27, 2024, among the Borrower, the Notes Co-Issuer, the 2024 Notes Collateral Agent and the other parties thereto, as amended, restated, amended and restated, extended, supplemented or otherwise modified from time to time.</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Indenture</w:t>
      </w:r>
      <w:r>
        <w:rPr>
          <w:rFonts w:ascii="Times New Roman" w:cs="Times New Roman" w:eastAsia="Times New Roman" w:hAnsi="Times New Roman"/>
          <w:sz w:val="18"/>
          <w:szCs w:val="18"/>
          <w:color w:val="auto"/>
        </w:rPr>
        <w:t xml:space="preserve">” means that certain Indenture, dated as of May 28, 2026, among the Borrower, the Notes Co-Issuer, Holdings and the other guarantors party thereto and Wilmington Trust, National Association, as trustee and notes collateral agent, as amended, restated, amended and restated, extended, supplemented or otherwise modified from time to time, together with any indentures, agreements and other documents as may be entered into in connection with any Refinancing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 that the obligations in respect of any such other financing arrangement or agreement are secured by Liens on the Shared Collateral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securing the Senior Obligations, (b) that the collateral agent for any such other financing arrangement or agreement becomes a party to the Equal Priority Lien Intercreditor Agreement by executing and delivering a Collateral Agent Joinder Agreement (as defined in the Equal Priority Lien Intercreditor Agreement) and to this Agreement by executing and delivering a Joinder Agreement and (c) in the case of any refinancing or replacement, the Borrower designates such financing arrangement or agreement as “Additional Equal Priority Obligations” under the Equal Priority Lien Intercreditor Agreement and as the “2026 Indenture” (and not Additional Senior Debt) hereunder.</w:t>
      </w:r>
    </w:p>
    <w:p>
      <w:pPr>
        <w:spacing w:after="0" w:line="194"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Indenture Documents</w:t>
      </w:r>
      <w:r>
        <w:rPr>
          <w:rFonts w:ascii="Times New Roman" w:cs="Times New Roman" w:eastAsia="Times New Roman" w:hAnsi="Times New Roman"/>
          <w:sz w:val="18"/>
          <w:szCs w:val="18"/>
          <w:color w:val="auto"/>
        </w:rPr>
        <w:t>” means the 2026 Indenture, the notes issued pursuant thereto and the “Security Documents” (as defined in the 2024 Indenture).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Indenture Obligations</w:t>
      </w:r>
      <w:r>
        <w:rPr>
          <w:rFonts w:ascii="Times New Roman" w:cs="Times New Roman" w:eastAsia="Times New Roman" w:hAnsi="Times New Roman"/>
          <w:sz w:val="18"/>
          <w:szCs w:val="18"/>
          <w:color w:val="auto"/>
        </w:rPr>
        <w:t>” means the “Secured Obligations” as defined in the 2026 Indenture Security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“2026 Indenture Secured Parties” means “Secured Parties” as defined in the 2026 Indenture Security Agreement.</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Indenture Security Agreement</w:t>
      </w:r>
      <w:r>
        <w:rPr>
          <w:rFonts w:ascii="Times New Roman" w:cs="Times New Roman" w:eastAsia="Times New Roman" w:hAnsi="Times New Roman"/>
          <w:sz w:val="18"/>
          <w:szCs w:val="18"/>
          <w:color w:val="auto"/>
        </w:rPr>
        <w:t>” means the Security Agreement, dated as of May 28, 2026, among the Borrower, the Notes Co-Issuer, the 2026 Notes Collateral Agent and the other parties thereto, as amended, restated, amended and restated, extended, supplemented or otherwise modified from time to time.</w:t>
      </w:r>
    </w:p>
    <w:p>
      <w:pPr>
        <w:spacing w:after="0" w:line="176"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Second Priority Debt</w:t>
      </w:r>
      <w:r>
        <w:rPr>
          <w:rFonts w:ascii="Times New Roman" w:cs="Times New Roman" w:eastAsia="Times New Roman" w:hAnsi="Times New Roman"/>
          <w:sz w:val="18"/>
          <w:szCs w:val="18"/>
          <w:color w:val="auto"/>
        </w:rPr>
        <w:t xml:space="preserve">” means any Indebtedness that is issued or guaranteed by the Borrower and/or any other Grantor (and not guaranteed by any Subsidiary that is not a Guarantor) (other than Indebtedness constituting Initial Second Lien Obligations), which Indebtedness and guarantees are secured by the Second Priority Collateral (or any portion thereof) on a subordinate basis to the Senior Obligations (and which is not secured by Liens on any assets of the Borrower or any other Grantor other than the Second Priority Collateral or which are not included in the Senior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Indebtedness is permitted to be incurred, secured and guaranteed on such basis by each then extant Senior Debt Document and Second Priority Debt Document and (ii) the Representative for the holders of such Indebtedness shall have become party to this Agreement pursuant to, and by satisfying the conditions set forth in, Section 8.09 hereof. Additional Second Priority Debt shall include any Registered Equivalent Notes and Guarantees thereof by the Guarantors issued in exchange therefor.</w:t>
      </w:r>
    </w:p>
    <w:p>
      <w:pPr>
        <w:spacing w:after="0" w:line="19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Second Priority Debt Documents</w:t>
      </w:r>
      <w:r>
        <w:rPr>
          <w:rFonts w:ascii="Times New Roman" w:cs="Times New Roman" w:eastAsia="Times New Roman" w:hAnsi="Times New Roman"/>
          <w:sz w:val="18"/>
          <w:szCs w:val="18"/>
          <w:color w:val="auto"/>
        </w:rPr>
        <w:t>” means, with respect to any series, issue or class of Additional Second Priority Debt, the promissory notes, credit agreements, indentures, the Second Priority Collateral Documents or other operative agreements evidencing or governing such Indebtedness or the liens securing such Indebtedness.</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Second Priority Debt Facility</w:t>
      </w:r>
      <w:r>
        <w:rPr>
          <w:rFonts w:ascii="Times New Roman" w:cs="Times New Roman" w:eastAsia="Times New Roman" w:hAnsi="Times New Roman"/>
          <w:sz w:val="18"/>
          <w:szCs w:val="18"/>
          <w:color w:val="auto"/>
        </w:rPr>
        <w:t>” means each indenture, credit agreement or other governing agreement with respect to any Additional Second Priority Debt.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0980"/>
          </w:cols>
          <w:pgMar w:left="440" w:top="270" w:right="479" w:bottom="1440" w:gutter="0" w:footer="0" w:header="0"/>
        </w:sectPr>
      </w:pPr>
    </w:p>
    <w:bookmarkStart w:id="198" w:name="page199"/>
    <w:bookmarkEnd w:id="198"/>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Additional Second Priority Debt Obligations</w:t>
      </w:r>
      <w:r>
        <w:rPr>
          <w:rFonts w:ascii="Times New Roman" w:cs="Times New Roman" w:eastAsia="Times New Roman" w:hAnsi="Times New Roman"/>
          <w:sz w:val="18"/>
          <w:szCs w:val="18"/>
          <w:color w:val="auto"/>
        </w:rPr>
        <w:t>” means, with respect to any series, issue or class of Additional Second Priority Debt, all amounts owing pursuant to the terms of such Additional Second Priority Debt, including, without limitation, the obligation (including guarantee obligations) to pay principal, interest (including interest, fees and expenses that accrue after the commencement of an Insolvency or Liquidation Proceeding, regardless of whether such interest, fees or expenses are an allowed claim under such Insolvency or Liquidation Proceeding), letter of credit commissions, reimbursement obligations, charges, expenses, fees, attorneys costs, indemnities and other amounts payable by a Grantor under any Additional Second Priority Debt Document.</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Second Priority Debt Parties</w:t>
      </w:r>
      <w:r>
        <w:rPr>
          <w:rFonts w:ascii="Times New Roman" w:cs="Times New Roman" w:eastAsia="Times New Roman" w:hAnsi="Times New Roman"/>
          <w:sz w:val="18"/>
          <w:szCs w:val="18"/>
          <w:color w:val="auto"/>
        </w:rPr>
        <w:t>” means, with respect to any series, issue or class of Additional Second Priority Debt, the holders of such Indebtedness, the Representative with respect thereto, any trustee or agent therefor under any related Additional Second Priority Debt Documents and the beneficiaries of each indemnification obligation undertaken by the Borrower or any other Grantor under any related Additional Second Priority Debt Documents.</w:t>
      </w:r>
    </w:p>
    <w:p>
      <w:pPr>
        <w:spacing w:after="0" w:line="18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Senior Debt</w:t>
      </w:r>
      <w:r>
        <w:rPr>
          <w:rFonts w:ascii="Times New Roman" w:cs="Times New Roman" w:eastAsia="Times New Roman" w:hAnsi="Times New Roman"/>
          <w:sz w:val="18"/>
          <w:szCs w:val="18"/>
          <w:color w:val="auto"/>
        </w:rPr>
        <w:t xml:space="preserve">” means any Indebtedness that is issued or guaranteed by the Borrower and/or any Guarantor (other than Indebtedness constituting First Lien Credit Agreement Obligations, 2021 Indenture Obligations, 2024 Indenture Obligations or 2026 Indenture Obligations) which Indebtedness and Guarantees are secured by the Senior Collateral (or a portion thereof)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(but without regard to control of remedies) with or subordinate to the First Lien Credit Agreement Obligations, 2021 Indenture Obligations, 2024 Indenture Obligations or 2026 Indenture Obligations and on a senior basis to the Second Priority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Indebtedness is permitted to be incurred, secured and guaranteed on such basis by each then extant Senior Debt Document and Second Priority Debt Document and (ii) the Representative for the holders of such Indebtedness shall have (A) executed and delivered this Agreement as of the date hereof or become party to this Agreement pursuant to, and by satisfying the conditions set forth in, Section 8.09 hereof and (B) become a party to the Equal Priority Lien Intercreditor Agreement pursuant to, and by satisfying the conditions set forth in, Article IX thereof or, in the event of such Additional Senior Debt secured on a subordinate basis, such other Intercreditor Agreement as contemplated by the Senior Debt Documents. Additional Senior Debt shall include any Registered Equivalent Notes and Guarantees thereof by the Guarantors issued in exchange therefor.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Senior Debt Collateral Agent</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Senior Debt Documents</w:t>
      </w:r>
      <w:r>
        <w:rPr>
          <w:rFonts w:ascii="Times New Roman" w:cs="Times New Roman" w:eastAsia="Times New Roman" w:hAnsi="Times New Roman"/>
          <w:sz w:val="18"/>
          <w:szCs w:val="18"/>
          <w:color w:val="auto"/>
        </w:rPr>
        <w:t>” means, with respect to any series, issue or class of Additional Senior Debt, the promissory notes, indentures, credit agreements, the Senior Collateral Documents or other operative agreements evidencing or governing such Indebtedness or the liens securing such Indebtedness.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Senior Debt Facility</w:t>
      </w:r>
      <w:r>
        <w:rPr>
          <w:rFonts w:ascii="Times New Roman" w:cs="Times New Roman" w:eastAsia="Times New Roman" w:hAnsi="Times New Roman"/>
          <w:sz w:val="18"/>
          <w:szCs w:val="18"/>
          <w:color w:val="auto"/>
        </w:rPr>
        <w:t>” means each indenture, credit agreements or other governing agreement with respect to any Additional Senior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207"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Additional Senior Debt Obligations</w:t>
      </w:r>
      <w:r>
        <w:rPr>
          <w:rFonts w:ascii="Times New Roman" w:cs="Times New Roman" w:eastAsia="Times New Roman" w:hAnsi="Times New Roman"/>
          <w:sz w:val="17"/>
          <w:szCs w:val="17"/>
          <w:color w:val="auto"/>
        </w:rPr>
        <w:t>” means, with respect to any series, issue or class of Additional Senior Debt, all amounts owing pursuant to the terms of such Additional Senior Debt, including, without limitation, the obligation (including guarantee obligations) to pay principal, interest (including interest, fees and expenses that accrue after the commencement of an Insolvency or Liquidation Proceeding, regardless of whether such interest, fees or expenses are an allowed claim under such Insolvency or Liquidation Proceeding), letter of credit commissions, reimbursement obligations, charges, expenses, fees, attorneys costs, indemnities and other amounts payable by a Grantor under any Additional Senior Debt Document.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0980"/>
          </w:cols>
          <w:pgMar w:left="440" w:top="270" w:right="479" w:bottom="1440" w:gutter="0" w:footer="0" w:header="0"/>
        </w:sectPr>
      </w:pPr>
    </w:p>
    <w:bookmarkStart w:id="199" w:name="page200"/>
    <w:bookmarkEnd w:id="199"/>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Additional Senior Debt Parties</w:t>
      </w:r>
      <w:r>
        <w:rPr>
          <w:rFonts w:ascii="Times New Roman" w:cs="Times New Roman" w:eastAsia="Times New Roman" w:hAnsi="Times New Roman"/>
          <w:sz w:val="18"/>
          <w:szCs w:val="18"/>
          <w:color w:val="auto"/>
        </w:rPr>
        <w:t>” means, with respect to any series, issue or class of Additional Senior Debt, the holders of such Indebtedness, the Representative with respect thereto, any trustee or agent therefor under any related Additional Senior Debt Documents and the beneficiaries of each indemnification obligation undertaken by the Borrower or any Guarantor under any related Additional Senior Debt Documents.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means, with respect to any Person, the chief executive officer, the chief financial officer, principal accounting officer, the president, any vice president, treasurer, general counsel, secretary or another officer of such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the Bankruptcy Code and any similar federal, state or foreign law for the relief of debtors.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other day on which commercial banks in New York City are authorized or required by law to remain closed.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Debt</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Debt Parties</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Debt Representatives</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the Senior Collateral and the Second Priority Collateral.</w:t>
      </w:r>
    </w:p>
    <w:p>
      <w:pPr>
        <w:spacing w:after="0" w:line="225"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Collateral Agents</w:t>
      </w:r>
      <w:r>
        <w:rPr>
          <w:rFonts w:ascii="Times New Roman" w:cs="Times New Roman" w:eastAsia="Times New Roman" w:hAnsi="Times New Roman"/>
          <w:sz w:val="17"/>
          <w:szCs w:val="17"/>
          <w:color w:val="auto"/>
        </w:rPr>
        <w:t>” means the First Lien Credit Agreement Collateral Agent, the 2021 Notes Collateral Agent, the 2024 Notes Collateral Agent, the 2026 Notes Collateral Agent, each Additional Senior Debt Collateral Agent, the Initial Second Lien Collateral Agent, any collateral agent designated pursuant to any Additional Senior Debt Documents and any collateral agent designated pursuant to any Additional Second Priority Debt Documents.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the Senior Collateral Documents and the Second Priority Collateral Documents.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Facility</w:t>
      </w:r>
      <w:r>
        <w:rPr>
          <w:rFonts w:ascii="Times New Roman" w:cs="Times New Roman" w:eastAsia="Times New Roman" w:hAnsi="Times New Roman"/>
          <w:sz w:val="18"/>
          <w:szCs w:val="18"/>
          <w:color w:val="auto"/>
        </w:rPr>
        <w:t>” means any Senior Facility and any Second Priority Debt Facility.</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Second Priority Representative</w:t>
      </w:r>
      <w:r>
        <w:rPr>
          <w:rFonts w:ascii="Times New Roman" w:cs="Times New Roman" w:eastAsia="Times New Roman" w:hAnsi="Times New Roman"/>
          <w:sz w:val="18"/>
          <w:szCs w:val="18"/>
          <w:color w:val="auto"/>
        </w:rPr>
        <w:t>” means (i) the Initial Second Lien Collateral Agent, until such time as the Initial Second Lien Agreement ceases to be the only Second Priority Debt Facility under this Agreement and (ii) thereafter, the Second Priority Representative designated from time to time by the Second Priority Majority Representatives, in a notice to the Designated Senior Representative and the Borrower hereunder, as the “Designated Second Priority Representative” for purposes hereof.</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Senior Representative</w:t>
      </w:r>
      <w:r>
        <w:rPr>
          <w:rFonts w:ascii="Times New Roman" w:cs="Times New Roman" w:eastAsia="Times New Roman" w:hAnsi="Times New Roman"/>
          <w:sz w:val="18"/>
          <w:szCs w:val="18"/>
          <w:color w:val="auto"/>
        </w:rPr>
        <w:t>” means (i) if at any time there is only one Senior Representative for a Senior Facility with respect to which the Discharge of Senior Obligations has not occurred, such Senior Representative and (ii) at any time when clause (i) does not apply, the Controlling Collateral Agent (as defined in the Equal Priority Lien Intercreditor Agreement) at such time.</w:t>
      </w:r>
    </w:p>
    <w:p>
      <w:pPr>
        <w:spacing w:after="0" w:line="176"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Financing</w:t>
      </w:r>
      <w:r>
        <w:rPr>
          <w:rFonts w:ascii="Times New Roman" w:cs="Times New Roman" w:eastAsia="Times New Roman" w:hAnsi="Times New Roman"/>
          <w:sz w:val="18"/>
          <w:szCs w:val="18"/>
          <w:color w:val="auto"/>
        </w:rPr>
        <w:t>” has the meaning assigned to such term in Section 6.01.</w:t>
      </w:r>
    </w:p>
    <w:p>
      <w:pPr>
        <w:spacing w:after="0" w:line="158"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000"/>
          </w:cols>
          <w:pgMar w:left="440" w:top="270" w:right="459" w:bottom="1440" w:gutter="0" w:footer="0" w:header="0"/>
        </w:sectPr>
      </w:pPr>
    </w:p>
    <w:bookmarkStart w:id="200" w:name="page201"/>
    <w:bookmarkEnd w:id="200"/>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Discharge</w:t>
      </w:r>
      <w:r>
        <w:rPr>
          <w:rFonts w:ascii="Times New Roman" w:cs="Times New Roman" w:eastAsia="Times New Roman" w:hAnsi="Times New Roman"/>
          <w:sz w:val="18"/>
          <w:szCs w:val="18"/>
          <w:color w:val="auto"/>
        </w:rPr>
        <w:t>” means, with respect to any Debt Facility, the date on which such Debt Facility and the Senior Obligations or Second Priority Debt Obligations thereunder, as the case may be, are no longer secured by, or no longer required to be secured by, the Shared Collateral pursuant to the terms of the documentation governing such Debt Facility. The term “</w:t>
      </w:r>
      <w:r>
        <w:rPr>
          <w:rFonts w:ascii="Times New Roman" w:cs="Times New Roman" w:eastAsia="Times New Roman" w:hAnsi="Times New Roman"/>
          <w:sz w:val="18"/>
          <w:szCs w:val="18"/>
          <w:u w:val="single" w:color="auto"/>
          <w:color w:val="auto"/>
        </w:rPr>
        <w:t>Discharged</w:t>
      </w:r>
      <w:r>
        <w:rPr>
          <w:rFonts w:ascii="Times New Roman" w:cs="Times New Roman" w:eastAsia="Times New Roman" w:hAnsi="Times New Roman"/>
          <w:sz w:val="18"/>
          <w:szCs w:val="18"/>
          <w:color w:val="auto"/>
        </w:rPr>
        <w:t>” shall have a corresponding meaning.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 of Senior Obligations</w:t>
      </w:r>
      <w:r>
        <w:rPr>
          <w:rFonts w:ascii="Times New Roman" w:cs="Times New Roman" w:eastAsia="Times New Roman" w:hAnsi="Times New Roman"/>
          <w:sz w:val="18"/>
          <w:szCs w:val="18"/>
          <w:color w:val="auto"/>
        </w:rPr>
        <w:t>” means the date on which each Senior Facility has been Discharged.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Equal Priority Lien Intercreditor Agreement</w:t>
      </w:r>
      <w:r>
        <w:rPr>
          <w:rFonts w:ascii="Times New Roman" w:cs="Times New Roman" w:eastAsia="Times New Roman" w:hAnsi="Times New Roman"/>
          <w:sz w:val="18"/>
          <w:szCs w:val="18"/>
          <w:color w:val="auto"/>
        </w:rPr>
        <w:t>” has the meaning assigned to such term in the First Lien Credit Agreement.</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Credit Agreement</w:t>
      </w:r>
      <w:r>
        <w:rPr>
          <w:rFonts w:ascii="Times New Roman" w:cs="Times New Roman" w:eastAsia="Times New Roman" w:hAnsi="Times New Roman"/>
          <w:sz w:val="18"/>
          <w:szCs w:val="18"/>
          <w:color w:val="auto"/>
        </w:rPr>
        <w:t xml:space="preserve">” means the Credit Agreement dated as of October 21, 2021 by and among Holdings, Borrower, the other guarantors party thereto from time to time, the lenders party thereto from time to time, Bank of America, N.A., as administrative agent, collateral agent, swing line lender and an L/C issuer, and one or more other financing arrangements (including, without limitation, any guarantee agreements and security documents), in each case as such agreements may be amended (including any amendment and restatement thereof), supplemented or otherwise modified from time to time, including any agreement, indenture, credit facility, commercial paper facility or new agreement extending the maturity of, refinancing, replacing, consolidating or otherwise restructuring all or any portion of the Indebtedness under any such agreement or any successor or replacement agreement and whether by the same or any other agent, lender or group of lenders and whether or not increasing the amount of Indebtedness that may be incurred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 that the obligations in respect of any such other financing arrangement or agreement are secured by Liens on the Shared Collateral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securing the Senior Obligations, (b) that the collateral agent for any such other financing arrangement or agreement becomes a party to the Equal Priority Lien Intercreditor Agreement by executing and delivering a Collateral Agent Joinder Agreement (as defined in the Equal Priority Lien Intercreditor Agreement) and to this Agreement by executing and delivering a Joinder Agreement and (c) in the case of any refinancing or replacement, the Borrower designates such financing arrangement or agreement as the “Credit Agreement” (and not an Additional First Lien Obligation, as defined in the First Lien Intercreditor Agreement) under the Equal Priority Lien Intercreditor Agreement and as the “First Lien Credit Agreement” (and not Additional Senior Debt) hereunder.</w:t>
      </w:r>
    </w:p>
    <w:p>
      <w:pPr>
        <w:spacing w:after="0" w:line="19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Credit Agreement Collateral Agent</w:t>
      </w:r>
      <w:r>
        <w:rPr>
          <w:rFonts w:ascii="Times New Roman" w:cs="Times New Roman" w:eastAsia="Times New Roman" w:hAnsi="Times New Roman"/>
          <w:sz w:val="18"/>
          <w:szCs w:val="18"/>
          <w:color w:val="auto"/>
        </w:rPr>
        <w:t>” has the meaning assigned to such term in the introductory paragraph of this Agreement and shall include any successor Collateral Agent under the First Lien Credit Agreement.</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Credit Agreement Loan Documents</w:t>
      </w:r>
      <w:r>
        <w:rPr>
          <w:rFonts w:ascii="Times New Roman" w:cs="Times New Roman" w:eastAsia="Times New Roman" w:hAnsi="Times New Roman"/>
          <w:sz w:val="18"/>
          <w:szCs w:val="18"/>
          <w:color w:val="auto"/>
        </w:rPr>
        <w:t>” means the First Lien Credit Agreement and the other “Loan Documents” as defined in the First Lien Credit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Credit Agreement Obligations</w:t>
      </w:r>
      <w:r>
        <w:rPr>
          <w:rFonts w:ascii="Times New Roman" w:cs="Times New Roman" w:eastAsia="Times New Roman" w:hAnsi="Times New Roman"/>
          <w:sz w:val="18"/>
          <w:szCs w:val="18"/>
          <w:color w:val="auto"/>
        </w:rPr>
        <w:t>” means the “Obligations” as defined in the First Lien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Credit Agreement Secured Parties</w:t>
      </w:r>
      <w:r>
        <w:rPr>
          <w:rFonts w:ascii="Times New Roman" w:cs="Times New Roman" w:eastAsia="Times New Roman" w:hAnsi="Times New Roman"/>
          <w:sz w:val="18"/>
          <w:szCs w:val="18"/>
          <w:color w:val="auto"/>
        </w:rPr>
        <w:t>” means the “Secured Parties” as defined in the First Lien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Credit Agreement Security Agreement</w:t>
      </w:r>
      <w:r>
        <w:rPr>
          <w:rFonts w:ascii="Times New Roman" w:cs="Times New Roman" w:eastAsia="Times New Roman" w:hAnsi="Times New Roman"/>
          <w:sz w:val="18"/>
          <w:szCs w:val="18"/>
          <w:color w:val="auto"/>
        </w:rPr>
        <w:t>” means the “Security Agreement” as defined in the First Lien Credit Agreement.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means the Borrower, the Notes Co-Issuer, Holdings, the other Guarantors, and each of their respective Subsidiaries or direct or indirect parent company of the Borrower which has granted a security interest pursuant to any Collateral Document to secure any Secured Obligations. The Grantors existing on the date hereof are listed on the signature pages hereto as Grantors (including any Subsidiary which becomes a party to this Agreement as contemplated by Section 8.07).</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0980"/>
          </w:cols>
          <w:pgMar w:left="440" w:top="270" w:right="479" w:bottom="1440" w:gutter="0" w:footer="0" w:header="0"/>
        </w:sectPr>
      </w:pPr>
    </w:p>
    <w:bookmarkStart w:id="201" w:name="page202"/>
    <w:bookmarkEnd w:id="20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each Person that guarantees any Senior Obligations pursuant to any Senior Debt Documents.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has the meaning assigned to such term in the First Lien Credit Agreement, the 2021 Indenture, the 2024 Indenture, the 2026 Indenture or the Initial Second Lien Agreement, as applicable.</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Second Lien Agreement</w:t>
      </w:r>
      <w:r>
        <w:rPr>
          <w:rFonts w:ascii="Times New Roman" w:cs="Times New Roman" w:eastAsia="Times New Roman" w:hAnsi="Times New Roman"/>
          <w:sz w:val="18"/>
          <w:szCs w:val="18"/>
          <w:color w:val="auto"/>
        </w:rPr>
        <w:t xml:space="preserve">” means that certain [Indenture][Credit Agreement][Other Agreement], dated as of [          ], among the Borrower, [the Guarantors identified therein,] and [          ], as [trustee][administrative agent], as amended, restated, amended and restated, extended, supplemented or otherwise modified from time to time, together with any indentures, agreements and other documents as may be entered into in connection with any Refinancing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 the obligations in respect of any such Refinancing are secured by Liens on the Shared Collateral that rank junior to the Liens securing the Senior Obligations and (b) that the holders of any such Refinancing debt (or their agent on their behalf) shall bind themselves in writing to the terms of this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Second Lien Collateral Agent</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Second Lien Debt Documents</w:t>
      </w:r>
      <w:r>
        <w:rPr>
          <w:rFonts w:ascii="Times New Roman" w:cs="Times New Roman" w:eastAsia="Times New Roman" w:hAnsi="Times New Roman"/>
          <w:sz w:val="18"/>
          <w:szCs w:val="18"/>
          <w:color w:val="auto"/>
        </w:rPr>
        <w:t>” means the Initial Second Lien Agreement and the other related facility [“Documents”] as defined in the Initial Second Lien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Second Lien Obligations</w:t>
      </w:r>
      <w:r>
        <w:rPr>
          <w:rFonts w:ascii="Times New Roman" w:cs="Times New Roman" w:eastAsia="Times New Roman" w:hAnsi="Times New Roman"/>
          <w:sz w:val="18"/>
          <w:szCs w:val="18"/>
          <w:color w:val="auto"/>
        </w:rPr>
        <w:t>” means the [“Obligations”] as such term is defined in the Initial Second Lien Security Agreement.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Second Lien Secured Parties</w:t>
      </w:r>
      <w:r>
        <w:rPr>
          <w:rFonts w:ascii="Times New Roman" w:cs="Times New Roman" w:eastAsia="Times New Roman" w:hAnsi="Times New Roman"/>
          <w:sz w:val="18"/>
          <w:szCs w:val="18"/>
          <w:color w:val="auto"/>
        </w:rPr>
        <w:t>” means the Initial Second Lien Collateral Agent and the holders of the Initial Second Lien Obligations issued pursuant to the Initial Second Lien Agreement.</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Second Lien Security Agreement</w:t>
      </w:r>
      <w:r>
        <w:rPr>
          <w:rFonts w:ascii="Times New Roman" w:cs="Times New Roman" w:eastAsia="Times New Roman" w:hAnsi="Times New Roman"/>
          <w:sz w:val="18"/>
          <w:szCs w:val="18"/>
          <w:color w:val="auto"/>
        </w:rPr>
        <w:t>” means the [security][collateral] agreement, dated as of the date hereof, among the Borrower, the Initial Second Lien Collateral Agent and the other parties thereto, as amended, restated, amended and restated, extended, supplemented or otherwise modified from time to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or Liquidation Proceeding</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20" w:firstLine="419"/>
        <w:spacing w:after="0" w:line="261" w:lineRule="auto"/>
        <w:tabs>
          <w:tab w:leader="none" w:pos="104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case or proceeding commenced by or against the Borrower or any other Grantor under any Bankruptcy Law, any other proceeding for the reorganization, recapitalization or adjustment or marshalling of the assets or liabilities of the Borrower or any other Grantor, any receivership or assignment for the benefit of creditors relating to the Borrower or any other Grantor or any similar case or proceeding relative to the Borrower or any other Grantor or its creditors, as such, in each case whether or not voluntary;</w:t>
      </w:r>
    </w:p>
    <w:p>
      <w:pPr>
        <w:spacing w:after="0" w:line="71"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04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liquidation, dissolution, marshalling of assets or liabilities or other winding up of or relating to the Borrower or any other Grantor, in each case whether or not voluntary and whether or not involving bankruptcy or insolvency; or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0980"/>
          </w:cols>
          <w:pgMar w:left="440" w:top="270" w:right="479" w:bottom="1440" w:gutter="0" w:footer="0" w:header="0"/>
        </w:sectPr>
      </w:pPr>
    </w:p>
    <w:bookmarkStart w:id="202" w:name="page203"/>
    <w:bookmarkEnd w:id="202"/>
    <w:p>
      <w:pPr>
        <w:ind w:left="440" w:right="660" w:firstLine="419"/>
        <w:spacing w:after="0" w:line="282" w:lineRule="auto"/>
        <w:tabs>
          <w:tab w:leader="none" w:pos="104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proceeding of any type or nature in which substantially all claims of creditors of the Borrower or any other Grantor are determined and any payment or distribution is or may be made on account of such claims.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means a supplement to this Agreement in substantially the form of Annex II or Annex III hereof.</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UCC</w:t>
      </w:r>
      <w:r>
        <w:rPr>
          <w:rFonts w:ascii="Times New Roman" w:cs="Times New Roman" w:eastAsia="Times New Roman" w:hAnsi="Times New Roman"/>
          <w:sz w:val="18"/>
          <w:szCs w:val="18"/>
          <w:color w:val="auto"/>
        </w:rPr>
        <w:t>” means the Uniform Commercial Code as from time to time in effect in the State of New York.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has the meaning provided to such term in Section 8.08.</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Possessory Collateral</w:t>
      </w:r>
      <w:r>
        <w:rPr>
          <w:rFonts w:ascii="Times New Roman" w:cs="Times New Roman" w:eastAsia="Times New Roman" w:hAnsi="Times New Roman"/>
          <w:sz w:val="18"/>
          <w:szCs w:val="18"/>
          <w:color w:val="auto"/>
        </w:rPr>
        <w:t>” means any Shared Collateral in the possession or control of a Collateral Agent (or its agents or bailees), to the extent that possession or control thereof perfects a Lien thereon under the Uniform Commercial Code of any applicable jurisdiction. Possessory Collateral includes, without limitation, any Certificated Securities, Promissory Notes, Instruments, and Chattel Paper, in each case, delivered to or in the possession or control of any Collateral Agent under the terms of the Senior Collateral Documents or the Second Priority Collateral Documents.</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means the proceeds of any sale, collection or other liquidation of Shared Collateral and any payment or distribution made in respect of Shared Collateral in an Insolvency or Liquidation Proceeding and any amounts received by any Senior Representative or any Senior Secured Party from a Second Priority Debt Party in respect of Shared Collateral pursuant to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Event</w:t>
      </w:r>
      <w:r>
        <w:rPr>
          <w:rFonts w:ascii="Times New Roman" w:cs="Times New Roman" w:eastAsia="Times New Roman" w:hAnsi="Times New Roman"/>
          <w:sz w:val="18"/>
          <w:szCs w:val="18"/>
          <w:color w:val="auto"/>
        </w:rPr>
        <w:t>” has the meaning assigned to such term in Section 5.07.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w:t>
      </w:r>
      <w:r>
        <w:rPr>
          <w:rFonts w:ascii="Times New Roman" w:cs="Times New Roman" w:eastAsia="Times New Roman" w:hAnsi="Times New Roman"/>
          <w:sz w:val="18"/>
          <w:szCs w:val="18"/>
          <w:color w:val="auto"/>
        </w:rPr>
        <w:t>” has the meaning assigned to such term in Section 6.04.</w:t>
      </w:r>
    </w:p>
    <w:p>
      <w:pPr>
        <w:spacing w:after="0" w:line="225" w:lineRule="exact"/>
        <w:rPr>
          <w:sz w:val="20"/>
          <w:szCs w:val="20"/>
          <w:color w:val="auto"/>
        </w:rPr>
      </w:pPr>
    </w:p>
    <w:p>
      <w:pPr>
        <w:ind w:right="4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means, in respect of any Indebtedness, to refinance, extend, renew, refund, repay, prepay, redeem, purchase, defease, retire, restructure, amend, increase, modify, supplement or replace such Indebtedness, or to issue other Indebtedness or enter alternative financing arrangements in exchange or replacement for, such Indebtedness, in whole or in part, including by adding or replacing lenders, creditors, agents, borrowers and/or guarantors, and including, in each case, but not limited to, after the original instrument giving rise to such indebtedness has been terminated and including, in each case, through any credit agreement, indenture or other agreement. “</w:t>
      </w:r>
      <w:r>
        <w:rPr>
          <w:rFonts w:ascii="Times New Roman" w:cs="Times New Roman" w:eastAsia="Times New Roman" w:hAnsi="Times New Roman"/>
          <w:sz w:val="18"/>
          <w:szCs w:val="18"/>
          <w:u w:val="single" w:color="auto"/>
          <w:color w:val="auto"/>
        </w:rPr>
        <w:t>Refinanced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shall have correlative meanings.</w:t>
      </w:r>
    </w:p>
    <w:p>
      <w:pPr>
        <w:spacing w:after="0" w:line="18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Equivalent Notes</w:t>
      </w:r>
      <w:r>
        <w:rPr>
          <w:rFonts w:ascii="Times New Roman" w:cs="Times New Roman" w:eastAsia="Times New Roman" w:hAnsi="Times New Roman"/>
          <w:sz w:val="18"/>
          <w:szCs w:val="18"/>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E-9</w:t>
      </w:r>
    </w:p>
    <w:p>
      <w:pPr>
        <w:sectPr>
          <w:pgSz w:w="11900" w:h="16838" w:orient="portrait"/>
          <w:cols w:equalWidth="0" w:num="1">
            <w:col w:w="10980"/>
          </w:cols>
          <w:pgMar w:left="440" w:top="270" w:right="479" w:bottom="1440" w:gutter="0" w:footer="0" w:header="0"/>
        </w:sectPr>
      </w:pPr>
    </w:p>
    <w:bookmarkStart w:id="203" w:name="page204"/>
    <w:bookmarkEnd w:id="20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Replacement Senior Obligations</w:t>
      </w:r>
      <w:r>
        <w:rPr>
          <w:rFonts w:ascii="Times New Roman" w:cs="Times New Roman" w:eastAsia="Times New Roman" w:hAnsi="Times New Roman"/>
          <w:sz w:val="18"/>
          <w:szCs w:val="18"/>
          <w:color w:val="auto"/>
        </w:rPr>
        <w:t>” has the meaning assigned to such term in Section 8.10.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the Senior Representatives and the Second Priority Representatives.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 and any successor agency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Class Debt</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Class Debt Parties</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Class Debt Representative</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Collateral</w:t>
      </w:r>
      <w:r>
        <w:rPr>
          <w:rFonts w:ascii="Times New Roman" w:cs="Times New Roman" w:eastAsia="Times New Roman" w:hAnsi="Times New Roman"/>
          <w:sz w:val="18"/>
          <w:szCs w:val="18"/>
          <w:color w:val="auto"/>
        </w:rPr>
        <w:t>” means any “Collateral” as defined in any Initial Second Lien Debt Document or any other Second Priority Debt Document or any other assets of the Borrower or any other Grantor with respect to which a Lien is granted or purported to be granted pursuant to a Second Priority Collateral Document as security for any Second Priority Debt Obligation.</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Collateral Documents</w:t>
      </w:r>
      <w:r>
        <w:rPr>
          <w:rFonts w:ascii="Times New Roman" w:cs="Times New Roman" w:eastAsia="Times New Roman" w:hAnsi="Times New Roman"/>
          <w:sz w:val="18"/>
          <w:szCs w:val="18"/>
          <w:color w:val="auto"/>
        </w:rPr>
        <w:t>” means the Initial Second Lien Security Agreement and the other [“Collateral Documents”] as defined in the Initial Second Lien Agreement and each of the collateral agreements, security agreements and other instruments and documents executed and delivered by the Borrower or any other Grantor for purposes of providing collateral security for any Second Priority Debt Obligation.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Debt</w:t>
      </w:r>
      <w:r>
        <w:rPr>
          <w:rFonts w:ascii="Times New Roman" w:cs="Times New Roman" w:eastAsia="Times New Roman" w:hAnsi="Times New Roman"/>
          <w:sz w:val="18"/>
          <w:szCs w:val="18"/>
          <w:color w:val="auto"/>
        </w:rPr>
        <w:t>” means any Initial Second Lien Obligations and any Additional Second Priority Debt.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Debt Documents</w:t>
      </w:r>
      <w:r>
        <w:rPr>
          <w:rFonts w:ascii="Times New Roman" w:cs="Times New Roman" w:eastAsia="Times New Roman" w:hAnsi="Times New Roman"/>
          <w:sz w:val="18"/>
          <w:szCs w:val="18"/>
          <w:color w:val="auto"/>
        </w:rPr>
        <w:t>” means the Initial Second Lien Debt Documents and any Additional Second Priority Debt Documents.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Debt Facilities</w:t>
      </w:r>
      <w:r>
        <w:rPr>
          <w:rFonts w:ascii="Times New Roman" w:cs="Times New Roman" w:eastAsia="Times New Roman" w:hAnsi="Times New Roman"/>
          <w:sz w:val="18"/>
          <w:szCs w:val="18"/>
          <w:color w:val="auto"/>
        </w:rPr>
        <w:t>” means the Initial Second Lien Agreement and any Additional Second Priority Debt Facilities.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Debt Obligations</w:t>
      </w:r>
      <w:r>
        <w:rPr>
          <w:rFonts w:ascii="Times New Roman" w:cs="Times New Roman" w:eastAsia="Times New Roman" w:hAnsi="Times New Roman"/>
          <w:sz w:val="18"/>
          <w:szCs w:val="18"/>
          <w:color w:val="auto"/>
        </w:rPr>
        <w:t>” means the Initial Second Lien Obligations and any Additional Second Priority Debt Obligations.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Debt Parties</w:t>
      </w:r>
      <w:r>
        <w:rPr>
          <w:rFonts w:ascii="Times New Roman" w:cs="Times New Roman" w:eastAsia="Times New Roman" w:hAnsi="Times New Roman"/>
          <w:sz w:val="18"/>
          <w:szCs w:val="18"/>
          <w:color w:val="auto"/>
        </w:rPr>
        <w:t>” means the Initial Second Lien Secured Parties and any Additional Second Priority Debt Parties.</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Majority Representatives</w:t>
      </w:r>
      <w:r>
        <w:rPr>
          <w:rFonts w:ascii="Times New Roman" w:cs="Times New Roman" w:eastAsia="Times New Roman" w:hAnsi="Times New Roman"/>
          <w:sz w:val="18"/>
          <w:szCs w:val="18"/>
          <w:color w:val="auto"/>
        </w:rPr>
        <w:t>” means Second Priority Representatives representing at least a majority of the then aggregate amount of Second Priority Debt Obligations for borrowed money.</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Lien</w:t>
      </w:r>
      <w:r>
        <w:rPr>
          <w:rFonts w:ascii="Times New Roman" w:cs="Times New Roman" w:eastAsia="Times New Roman" w:hAnsi="Times New Roman"/>
          <w:sz w:val="18"/>
          <w:szCs w:val="18"/>
          <w:color w:val="auto"/>
        </w:rPr>
        <w:t>” means the Liens on the Second Priority Collateral in favor of Second Priority Debt Parties under Second Priority Collateral Documents.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Representative</w:t>
      </w:r>
      <w:r>
        <w:rPr>
          <w:rFonts w:ascii="Times New Roman" w:cs="Times New Roman" w:eastAsia="Times New Roman" w:hAnsi="Times New Roman"/>
          <w:sz w:val="18"/>
          <w:szCs w:val="18"/>
          <w:color w:val="auto"/>
        </w:rPr>
        <w:t>” means (i) in the case of the Initial Second Lien Obligations, the Initial Second Lien Collateral Agent and (ii) in the case of any Second Priority Debt Facility incurred after the date hereof, the Second Priority Debt Parties thereunder, the trustee, administrative agent, collateral agent, security agent or similar agent under such Second Priority Debt Facility that is named as the Representative in respect of such Second Priority Debt Facility in the applicable Joinder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E-10</w:t>
      </w:r>
    </w:p>
    <w:p>
      <w:pPr>
        <w:sectPr>
          <w:pgSz w:w="11900" w:h="16838" w:orient="portrait"/>
          <w:cols w:equalWidth="0" w:num="1">
            <w:col w:w="11020"/>
          </w:cols>
          <w:pgMar w:left="440" w:top="270" w:right="439" w:bottom="1440" w:gutter="0" w:footer="0" w:header="0"/>
        </w:sectPr>
      </w:pPr>
    </w:p>
    <w:bookmarkStart w:id="204" w:name="page205"/>
    <w:bookmarkEnd w:id="20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means the Senior Obligations and the Second Priority Debt Obligations.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the Senior Secured Parties and the Second Priority Debt Parties.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Class Debt</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Class Debt Parties</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Class Debt Representative</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Collateral</w:t>
      </w:r>
      <w:r>
        <w:rPr>
          <w:rFonts w:ascii="Times New Roman" w:cs="Times New Roman" w:eastAsia="Times New Roman" w:hAnsi="Times New Roman"/>
          <w:sz w:val="18"/>
          <w:szCs w:val="18"/>
          <w:color w:val="auto"/>
        </w:rPr>
        <w:t>” means any “Collateral” as defined in any First Lien Credit Agreement Loan Document or any other Senior Debt Document or any other assets of the Borrower or any other Grantor with respect to which a Lien is granted or purported to be granted pursuant to a Senior Collateral Document as security for any Senior Obligations.</w:t>
      </w:r>
    </w:p>
    <w:p>
      <w:pPr>
        <w:spacing w:after="0" w:line="176"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Collateral Documents</w:t>
      </w:r>
      <w:r>
        <w:rPr>
          <w:rFonts w:ascii="Times New Roman" w:cs="Times New Roman" w:eastAsia="Times New Roman" w:hAnsi="Times New Roman"/>
          <w:sz w:val="18"/>
          <w:szCs w:val="18"/>
          <w:color w:val="auto"/>
        </w:rPr>
        <w:t>” means the First Lien Credit Agreement Security Agreement and the other “Collateral Documents” as defined in the First Lien Credit Agreement, the 2021 Indenture Security Agreement, the 2024 Indenture Security Agreement, the 2026 Indenture Security Agreement and the other “Security Documents” as defined in the 2021 Indenture, the 2024 Indenture, the 2026 Indenture, the Equal Priority Lien Intercreditor Agreement (upon and after the initial execution and delivery thereof by the initial parties thereto) and each of the collateral agreements, security agreements and other instruments and documents executed and delivered by the Borrower or any other Grantor for purposes of providing collateral security for any Senior Obligation.</w:t>
      </w:r>
    </w:p>
    <w:p>
      <w:pPr>
        <w:spacing w:after="0" w:line="187"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Debt Documents</w:t>
      </w:r>
      <w:r>
        <w:rPr>
          <w:rFonts w:ascii="Times New Roman" w:cs="Times New Roman" w:eastAsia="Times New Roman" w:hAnsi="Times New Roman"/>
          <w:sz w:val="18"/>
          <w:szCs w:val="18"/>
          <w:color w:val="auto"/>
        </w:rPr>
        <w:t>” means the First Lien Credit Agreement Loan Documents, the 2021 Indenture Documents, the 2024 Indenture Documents, the 2026 Indenture Documents and any Additional Senior Debt Documents.</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Facilities</w:t>
      </w:r>
      <w:r>
        <w:rPr>
          <w:rFonts w:ascii="Times New Roman" w:cs="Times New Roman" w:eastAsia="Times New Roman" w:hAnsi="Times New Roman"/>
          <w:sz w:val="18"/>
          <w:szCs w:val="18"/>
          <w:color w:val="auto"/>
        </w:rPr>
        <w:t>” means the First Lien Credit Agreement, the 2021 Indenture, the 2021 Indenture Documents, the 2024 Indenture, the 2024 Indenture Documents, the 2026 Indenture, the 2026 Indenture Documents and any Additional Senior Debt Facilities.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Lien</w:t>
      </w:r>
      <w:r>
        <w:rPr>
          <w:rFonts w:ascii="Times New Roman" w:cs="Times New Roman" w:eastAsia="Times New Roman" w:hAnsi="Times New Roman"/>
          <w:sz w:val="18"/>
          <w:szCs w:val="18"/>
          <w:color w:val="auto"/>
        </w:rPr>
        <w:t>” means the Liens on the Senior Collateral in favor of the Senior Secured Parties under the Senior Collateral Documents.</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Obligations</w:t>
      </w:r>
      <w:r>
        <w:rPr>
          <w:rFonts w:ascii="Times New Roman" w:cs="Times New Roman" w:eastAsia="Times New Roman" w:hAnsi="Times New Roman"/>
          <w:sz w:val="18"/>
          <w:szCs w:val="18"/>
          <w:color w:val="auto"/>
        </w:rPr>
        <w:t>” means the First Lien Credit Agreement Obligations, the 2021 Indenture Obligations, the 2024 Indenture Obligations, the 2026 Indenture Obligations and any Additional Senior Debt Obligations.</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Representative</w:t>
      </w:r>
      <w:r>
        <w:rPr>
          <w:rFonts w:ascii="Times New Roman" w:cs="Times New Roman" w:eastAsia="Times New Roman" w:hAnsi="Times New Roman"/>
          <w:sz w:val="18"/>
          <w:szCs w:val="18"/>
          <w:color w:val="auto"/>
        </w:rPr>
        <w:t>” means (i) in the case of any First Lien Credit Agreement Obligations or the First Lien Credit Agreement Secured Parties, the First Lien Credit Agreement Collateral Agent, (ii) in the case of any 2021 Indenture Obligations or 2021 Indenture Secured Parties, the 2021 Notes Collateral Agent, (iii) in the case of any 2024 Indenture Obligations or 2024 Indenture Secured Parties, the 2024 Notes Collateral Agent, (iv) in the case of any 2026 Indenture Obligations or 2026 Indenture Secured Parties, the 2026 Notes Collateral Agent and (v) in the case of any Additional Senior Debt Facility and the Additional Senior Debt Parties thereunder, the trustee, administrative agent, collateral agent, security agent or similar agent under such Additional Senior Debt Facility that is named as the Representative in respect of such Additional Senior Debt Facility hereunder or in the applicable Joinder Agreement.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E-11</w:t>
      </w:r>
    </w:p>
    <w:p>
      <w:pPr>
        <w:sectPr>
          <w:pgSz w:w="11900" w:h="16838" w:orient="portrait"/>
          <w:cols w:equalWidth="0" w:num="1">
            <w:col w:w="10980"/>
          </w:cols>
          <w:pgMar w:left="440" w:top="270" w:right="479" w:bottom="1440" w:gutter="0" w:footer="0" w:header="0"/>
        </w:sectPr>
      </w:pPr>
    </w:p>
    <w:bookmarkStart w:id="205" w:name="page206"/>
    <w:bookmarkEnd w:id="205"/>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Senior Secured Parties</w:t>
      </w:r>
      <w:r>
        <w:rPr>
          <w:rFonts w:ascii="Times New Roman" w:cs="Times New Roman" w:eastAsia="Times New Roman" w:hAnsi="Times New Roman"/>
          <w:sz w:val="18"/>
          <w:szCs w:val="18"/>
          <w:color w:val="auto"/>
        </w:rPr>
        <w:t>” means the First Lien Credit Agreement Secured Parties, the 2021 Indenture Secured Parties, the 2024 Indenture Secured Parties, the 2026 Indenture Secured Parties and any Additional Senior Debt Parties.</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Shared Collateral</w:t>
      </w:r>
      <w:r>
        <w:rPr>
          <w:rFonts w:ascii="Times New Roman" w:cs="Times New Roman" w:eastAsia="Times New Roman" w:hAnsi="Times New Roman"/>
          <w:sz w:val="18"/>
          <w:szCs w:val="18"/>
          <w:color w:val="auto"/>
        </w:rPr>
        <w:t>” means, at any time, Collateral in which the holders of Senior Obligations under at least one Senior Facility (or their Representatives) and the holders of Second Priority Debt Obligations under at least one Second Priority Debt Facility (or their Representatives) hold a security interest at such time (or, in the case of the Senior Facilities, are deemed pursuant to Article II to hold a security interest). If, at any time, any portion of the Senior Collateral under one or more Senior Facilities does not constitute Second Priority Collateral under one or more Second Priority Debt Facilities, then such portion of such Senior Collateral shall constitute Shared Collateral only with respect to the Second Priority Debt Facilities for which it constitutes Second Priority Collateral and shall not constitute Shared Collateral for any Second Priority Debt Facility which does not have a security interest in such Collateral at such time.</w:t>
      </w:r>
    </w:p>
    <w:p>
      <w:pPr>
        <w:spacing w:after="0" w:line="18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(i) a majority of the shares of securities or other interests having ordinary voting power for the election of directors or other governing body (other than securities or interests having such power only by reason of the happening of a contingency) are at the time beneficially owned, (ii) more than half of the issued share capital is at the time beneficially owned or (iii) the management of which is otherwise controlled, directly or indirectly, through one or more intermediaries, or both, by such Person. Unless otherwise specified, all references herein to a “Subsidiary” or to “Subsidiaries” shall refer to a Subsidiary or Subsidiaries of the Borrower. For the avoidance of doubt, any entity that is owned at a 50.0% or less level (as described above) shall not be a “Subsidiary” for any purpose under this Agreement, regardless of whether such entity is consolidated on Holdings’, the Borrower’s or any Restricted Subsidiary’s financial statements.</w:t>
      </w:r>
    </w:p>
    <w:p>
      <w:pPr>
        <w:spacing w:after="0" w:line="19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unless otherwise specified, the Uniform Commercial Code as from time to time in effect in the State of New York.</w:t>
      </w:r>
    </w:p>
    <w:p>
      <w:pPr>
        <w:spacing w:after="0" w:line="162" w:lineRule="exact"/>
        <w:rPr>
          <w:sz w:val="20"/>
          <w:szCs w:val="20"/>
          <w:color w:val="auto"/>
        </w:rPr>
      </w:pPr>
    </w:p>
    <w:p>
      <w:pPr>
        <w:ind w:firstLine="991"/>
        <w:spacing w:after="0" w:line="269"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Terms Generally</w:t>
      </w:r>
      <w:r>
        <w:rPr>
          <w:rFonts w:ascii="Times New Roman" w:cs="Times New Roman" w:eastAsia="Times New Roman" w:hAnsi="Times New Roman"/>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“herein,” “hereof” and “hereunder,” and words of similar import, shall be construed to refer to this Agreement in its entirety and not to any particular provision hereof, (iv) all references herein to Articles, Sections and Annexes shall be construed to refer to Articles, Sections and Annexes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E-12</w:t>
      </w:r>
    </w:p>
    <w:p>
      <w:pPr>
        <w:sectPr>
          <w:pgSz w:w="11900" w:h="16838" w:orient="portrait"/>
          <w:cols w:equalWidth="0" w:num="1">
            <w:col w:w="10980"/>
          </w:cols>
          <w:pgMar w:left="440" w:top="270" w:right="47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Priorities and Agreements with Respect to Shared Collateral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2" w:lineRule="auto"/>
        <w:tabs>
          <w:tab w:leader="none" w:pos="123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date, time, manner or order of filing or recordation of any document or instrument or grant, attachment or perfection of any Liens granted to any Second Priority Representative or any Second Priority Debt Parties on the Shared Collateral or of any Liens granted to any Senior Representative or any other Senior Secured Party on the Shared Collateral (or any actual or alleged defect in any of the foregoing) and notwithstanding any provision of the UCC, any applicable law, any Second Priority Debt Document or any Senior Debt Document or any other circumstance whatsoever, each Second Priority Representative, on behalf of itself and each Second Priority Debt Party under its Second Priority Debt Facility, hereby agrees that (a) any Lien on the Shared Collateral securing or purporting to secure any Senior Obligations now or hereafter held by or on behalf of any Senior Representative or any other Senior Secured Party or other agent or trustee therefor, regardless of how acquired, whether by grant, statute, operation of law, subrogation or otherwise, shall have priority over and be senior in all respects and prior to any Lien on the Shared Collateral securing or purporting to secure any Second Priority Debt Obligations and (b) any Lien on the Shared Collateral securing or purporting to secure any Second Priority Debt Obligations now or hereafter held by or on behalf of any Second Priority Representative, any Second Priority Debt Parties or other agent or trustee therefor, regardless of how acquired, whether by grant, statute, operation of law, subrogation or otherwise, shall be junior and subordinate in all respects to all Liens on the Shared Collateral securing or purporting to secure any Senior Obligations. All Liens on the Shared Collateral securing or purporting to secure any Senior Obligations shall be and remain senior in all respects and prior to all Liens on the Shared Collateral securing any Second Priority Debt Obligations for all purposes, whether or not such Liens securing or purporting to secure any Senior Obligations are subordinated to any Lien securing any other obligation of the Borrower, any Grantor or any other Person or otherwise subordinated, voided, avoided, invalidated or lapsed.</w:t>
      </w:r>
    </w:p>
    <w:p>
      <w:pPr>
        <w:spacing w:after="0" w:line="195"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Nature of Senior Lender Claims</w:t>
      </w:r>
      <w:r>
        <w:rPr>
          <w:rFonts w:ascii="Times New Roman" w:cs="Times New Roman" w:eastAsia="Times New Roman" w:hAnsi="Times New Roman"/>
          <w:sz w:val="18"/>
          <w:szCs w:val="18"/>
          <w:color w:val="auto"/>
        </w:rPr>
        <w:t>. Each Second Priority Representative, on behalf of itself and each Second Priority Debt Party under its Second Priority Debt Facility, acknowledges that (a) a portion of the Senior Obligations is revolving in nature and that the amount thereof that may be outstanding at any time or from time to time may be increased or reduced and subsequently reborrowed, (b) the terms of the Senior Debt Documents and the Senior Obligations may be amended, amended and restated, supplemented or otherwise modified, and the Senior Obligations, or a portion thereof, may be Refinanced from time to time and (c) the aggregate amount of the Senior Obligations may be increased, in each case, without notice to or consent by the Second Priority Representatives or the Second Priority Debt Parties and without affecting the provisions hereof. The Lien priorities provided for in Section 2.01 shall not be altered or otherwise affected by any amendment, amendment and restatement, supplement or other modification, or any Refinancing, of either the Senior Obligations or the Second Priority Debt Obligations, or any portion thereof. As between the Borrower and the other Grantors and the Second Priority Debt Parties, the foregoing provisions will not limit or otherwise affect the obligations of the Borrower and the Grantors contained in any Second Priority Debt Document with respect to the incurrence of additional Senior Obligations.</w:t>
      </w:r>
    </w:p>
    <w:p>
      <w:pPr>
        <w:spacing w:after="0" w:line="194"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Prohibition on Contesting Liens</w:t>
      </w:r>
      <w:r>
        <w:rPr>
          <w:rFonts w:ascii="Times New Roman" w:cs="Times New Roman" w:eastAsia="Times New Roman" w:hAnsi="Times New Roman"/>
          <w:sz w:val="18"/>
          <w:szCs w:val="18"/>
          <w:color w:val="auto"/>
        </w:rPr>
        <w:t>. Each of the Second Priority Representatives, for itself and on behalf of each Second Priority Debt Party under its Second Priority Debt Facility, agrees that it shall not (and hereby waives any right to) contest or support any other Person in contesting, in any proceeding (including any Insolvency or Liquidation Proceeding), the validity, extent, perfection, priority or enforceability of any Lien securing any Senior Obligations held (or purported to be held) by or on behalf of any Senior Representative or any of the other Senior Secured Parties or other agent or trustee therefor in any Senior Collateral or the allowability of any claim or the amount thereof asserted by any Senior Secured Party with respect to any Senior Obligations, and each Senior Representative, for itself and on behalf of each Senior Secured Party under its Senior Facility, agrees that it shall not (and hereby waives any right to) contest or support any other Person in contesting, in any proceeding (including any Insolvency or Liquidation Proceeding), the validity, extent, perfection, priority or enforceability of any Lien securing any Second Priority Debt Obligations held (or purported to be held) by or on behalf of 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E-13</w:t>
      </w:r>
    </w:p>
    <w:p>
      <w:pPr>
        <w:sectPr>
          <w:pgSz w:w="11900" w:h="16838" w:orient="portrait"/>
          <w:cols w:equalWidth="0" w:num="1">
            <w:col w:w="11000"/>
          </w:cols>
          <w:pgMar w:left="440" w:top="270" w:right="459" w:bottom="1440" w:gutter="0" w:footer="0" w:header="0"/>
        </w:sectPr>
      </w:pPr>
    </w:p>
    <w:bookmarkStart w:id="207" w:name="page208"/>
    <w:bookmarkEnd w:id="207"/>
    <w:p>
      <w:pPr>
        <w:ind w:left="4" w:right="3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Priority Representative or any of the Second Priority Debt Parties in the Second Priority Collateral or the allowability of any claim or the amount thereof asserted by any Second Priority Debt Party with respect to any Second Priority Debt Obligations. Notwithstanding the foregoing, no provision in this Agreement shall be construed to prevent or impair the rights of any Senior Representative to enforce this Agreement (including the priority of the Liens securing the Senior Obligations as provided in Section 2.01) or any of the Senior Debt Documents.</w:t>
      </w:r>
    </w:p>
    <w:p>
      <w:pPr>
        <w:spacing w:after="0" w:line="180" w:lineRule="exact"/>
        <w:rPr>
          <w:sz w:val="20"/>
          <w:szCs w:val="20"/>
          <w:color w:val="auto"/>
        </w:rPr>
      </w:pPr>
    </w:p>
    <w:p>
      <w:pPr>
        <w:ind w:left="4" w:right="20" w:firstLine="991"/>
        <w:spacing w:after="0" w:line="269" w:lineRule="auto"/>
        <w:rPr>
          <w:sz w:val="20"/>
          <w:szCs w:val="20"/>
          <w:color w:val="auto"/>
        </w:rPr>
      </w:pPr>
      <w:r>
        <w:rPr>
          <w:rFonts w:ascii="Times New Roman" w:cs="Times New Roman" w:eastAsia="Times New Roman" w:hAnsi="Times New Roman"/>
          <w:sz w:val="17"/>
          <w:szCs w:val="17"/>
          <w:color w:val="auto"/>
        </w:rPr>
        <w:t xml:space="preserve">SECTION 2.04 </w:t>
      </w:r>
      <w:r>
        <w:rPr>
          <w:rFonts w:ascii="Times New Roman" w:cs="Times New Roman" w:eastAsia="Times New Roman" w:hAnsi="Times New Roman"/>
          <w:sz w:val="17"/>
          <w:szCs w:val="17"/>
          <w:u w:val="single" w:color="auto"/>
          <w:color w:val="auto"/>
        </w:rPr>
        <w:t>No Other Liens</w:t>
      </w:r>
      <w:r>
        <w:rPr>
          <w:rFonts w:ascii="Times New Roman" w:cs="Times New Roman" w:eastAsia="Times New Roman" w:hAnsi="Times New Roman"/>
          <w:sz w:val="17"/>
          <w:szCs w:val="17"/>
          <w:color w:val="auto"/>
        </w:rPr>
        <w:t>. The parties hereto agree that, so long as the Discharge of Senior Obligations has not occurred, none of the Grantors shall, or shall permit any of its subsidiaries to, grant or permit any Lien on any asset to secure any Second Priority Debt Obligation unless it has granted, or concurrently therewith grants, a Lien on such asset to secure the Senior Obligations. If any Second Priority Representative or any Second Priority Debt Party shall hold any Lien on any assets or property of any Grantor securing any Second Priority Debt Obligations that are not also subject to the Liens securing all Senior Obligations under the Senior Collateral Documents, such Second Priority Representative or Second Priority Debt Party</w:t>
      </w:r>
    </w:p>
    <w:p>
      <w:pPr>
        <w:spacing w:after="0" w:line="3" w:lineRule="exact"/>
        <w:rPr>
          <w:sz w:val="20"/>
          <w:szCs w:val="20"/>
          <w:color w:val="auto"/>
        </w:rPr>
      </w:pPr>
    </w:p>
    <w:p>
      <w:pPr>
        <w:ind w:left="4" w:hanging="4"/>
        <w:spacing w:after="0" w:line="251" w:lineRule="auto"/>
        <w:tabs>
          <w:tab w:leader="none" w:pos="21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notify the Designated Senior Representative promptly upon becoming aware thereof and, unless such Grantor shall promptly grant a similar Lien on such assets or property to each Senior Representative as security for the Senior Obligations, shall assign such Lien to the Designated Senior Representative as security for the Senior Obligations for the benefit of the Senior Secured Parties (but may retain a junior Lien on such assets or property subject to the terms hereof) and (ii) until such assignment or such grant of a similar Lien to each Senior Representative, shall be deemed to hold and have held such Lien for the benefit of each Senior Representative and the other Senior Secured Parties as security for the Senior Obligations (in accordance with the Lien priorities set forth herein). To the extent that the provisions of the third and second immediately preceding sentences of this Section 2.04 are not complied with for any reason, without limiting any other right or remedy available to any Senior Representative or any other Senior Secured Party, each Second Priority Representative agrees, for itself and on behalf of the other Second Priority Debt Parties, that any amounts received by or distributed to any Second Priority Debt Party pursuant to or as a result of any Lien granted in contravention of this Section 2.04 shall be subject to Section 4.02.</w:t>
      </w:r>
    </w:p>
    <w:p>
      <w:pPr>
        <w:spacing w:after="0" w:line="193"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Perfection of Liens</w:t>
      </w:r>
      <w:r>
        <w:rPr>
          <w:rFonts w:ascii="Times New Roman" w:cs="Times New Roman" w:eastAsia="Times New Roman" w:hAnsi="Times New Roman"/>
          <w:sz w:val="18"/>
          <w:szCs w:val="18"/>
          <w:color w:val="auto"/>
        </w:rPr>
        <w:t>. Except for the limited agreements of the Senior Representatives pursuant to Section 5.05 hereof, none of the Senior Representatives or the Senior Secured Parties shall be responsible for perfecting and maintaining the perfection of Liens with respect to the Shared Collateral for the benefit of the Second Priority Representatives or the Second Priority Debt Parties. The provisions of this Agreement are intended solely to govern the respective Lien priorities as between the Senior Secured Parties and the Second Priority Debt Parties and shall not impose on the Senior Representatives, the Senior Secured Parties, the Second Priority Representatives, the Second Priority Debt Parties or any agent or trustee therefor any obligations in respect of the disposition of Proceeds of any Shared Collateral which would conflict with prior perfected claims therein in favor of any other Person or any order or decree of any court or governmental authority or any applicable law.</w:t>
      </w:r>
    </w:p>
    <w:p>
      <w:pPr>
        <w:spacing w:after="0" w:line="189" w:lineRule="exact"/>
        <w:rPr>
          <w:sz w:val="20"/>
          <w:szCs w:val="20"/>
          <w:color w:val="auto"/>
        </w:rPr>
      </w:pPr>
    </w:p>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Certain Cash Collateral</w:t>
      </w:r>
      <w:r>
        <w:rPr>
          <w:rFonts w:ascii="Times New Roman" w:cs="Times New Roman" w:eastAsia="Times New Roman" w:hAnsi="Times New Roman"/>
          <w:sz w:val="18"/>
          <w:szCs w:val="18"/>
          <w:color w:val="auto"/>
        </w:rPr>
        <w:t>. Notwithstanding anything in this Agreement or any other Senior Debt Documents or Second Priority Debt Documents to the contrary, collateral consisting of cash and cash equivalents pledged to secure First Lien Credit Agreement Obligations consisting of reimbursement obligations in respect of Letters of Credit or otherwise held by the First Lien Collateral Agent pursuant to Section 2.03(g), 2.17 or Article 8 of the First Lien Credit Agreement (or any equivalent successor provision) shall be applied as specified in the First Lien Credit Agreement and will not constitute Shared Collateral.</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E-14</w:t>
      </w:r>
    </w:p>
    <w:p>
      <w:pPr>
        <w:sectPr>
          <w:pgSz w:w="11900" w:h="16838" w:orient="portrait"/>
          <w:cols w:equalWidth="0" w:num="1">
            <w:col w:w="11004"/>
          </w:cols>
          <w:pgMar w:left="436" w:top="270" w:right="459" w:bottom="1440" w:gutter="0" w:footer="0" w:header="0"/>
        </w:sectPr>
      </w:pPr>
    </w:p>
    <w:bookmarkStart w:id="208" w:name="page209"/>
    <w:bookmarkEnd w:id="208"/>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Enforcement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Exercise of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80" w:firstLine="987"/>
        <w:spacing w:after="0" w:line="276" w:lineRule="auto"/>
        <w:tabs>
          <w:tab w:leader="none" w:pos="1240"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the Discharge of Senior Obligations has not occurred, whether or not any Insolvency or Liquidation Proceeding has been commenced by or against the Borrower or any other Grantor, (i) neither any Second Priority Representative nor any Second Priority Debt Party will</w:t>
      </w:r>
    </w:p>
    <w:p>
      <w:pPr>
        <w:ind w:left="4" w:hanging="4"/>
        <w:spacing w:after="0" w:line="250" w:lineRule="auto"/>
        <w:tabs>
          <w:tab w:leader="none" w:pos="25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or seek to exercise any rights or remedies (including setoff or recoupment) with respect to any Shared Collateral in respect of any Second Priority Debt Obligations, or institute any action or proceeding with respect to such rights or remedies (including any action of foreclosure), (y) contest, protest or object to any foreclosure proceeding or action brought with respect to the Shared Collateral or any other Senior Collateral by any Senior Representative or any Senior Secured Party in respect of the Senior Obligations, the exercise of any right by any Senior Representative or any Senior Secured Party (or any agent or sub-agent on their behalf) in respect of the Senior Obligations under any lockbox agreement, control agreement, landlord waiver or bailee’s letter or similar agreement or arrangement to which any Senior Representative or any Senior Secured Party either is a party or may have rights as a third party beneficiary, or any other exercise by any such party of any rights and remedies relating to the Shared Collateral under the Senior Debt Documents or otherwise in respect of the Senior Collateral or the Senior Obligations, or (z) object to the forbearance by the Senior Secured Parties from bringing or pursuing any foreclosure proceeding or action or any other exercise of any rights or remedies relating to the Shared Collateral in respect of Senior Obligations and (ii) the Senior Representatives and the Senior Secured Parties shall have the exclusive right to enforce rights, exercise remedies (including setoff or recoupment and the right to credit bid their debt) and make determinations regarding the release, disposition or restrictions with respect to the Shared Collateral without any consultation with or the consent of any Second Priority Representative or any Second Priority Debt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in any Insolvency or Liquidation Proceeding commenced by or against the Borrower or any other Grantor, any Second Priority Representative may file a claim, proof of claim or statement of interest with respect to the Second Priority Debt Obligations under its Second Priority Debt Facility in a manner consistent with the terms of this Agreement, (B) any Second Priority Representative may take any action (not adverse to the prior Liens on the Shared Collateral securing the Senior Obligations or the rights of the Senior Representatives or the Senior Secured Parties to exercise remedies in respect thereof) in order to create, prove, perfect, preserve or protect (but not enforce) its rights in, and perfection and priority of its Lien on, the Shared Collateral, (C) any Second Priority Representative and the Second Priority Debt Parties may exercise their rights and remedies as unsecured creditors, to the limited extent provided in Section 5.04, (D) the Second Priority Debt Parties may exercise the rights and remedies provided for in this Agreement with respect to seeking adequate protection in any Insolvency or Liquidation Proceeding, and (E) the Second Priority Debt Parties may file any necessary or appropriate responsive or defensive pleadings in opposition to any motion, claim, adversary proceeding or other pleading made by any person objecting to or otherwise seeking the disallowance of the claims of the Second Priority Debt Parties or the avoidance of any Second Priority Lien to the extent not inconsistent with the terms of this Agreement. In exercising rights and remedies with respect to the Senior Collateral, the Senior Representatives and the Senior Secured Parties may enforce the provisions of the Senior Debt Documents and exercise remedies thereunder, all in such order and in such manner as they may determine in the exercise of their sole discretion. Such exercise and enforcement shall include the rights of an agent appointed by them to sell or otherwise dispose of Shared Collateral upon foreclosure, to incur expenses in connection with such sale or disposition and to exercise all the rights and remedies of a secured lender under the Uniform Commercial Code of any applicable jurisdiction and of a secured creditor under Bankruptcy Laws of any applicable jurisdiction.</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E-15</w:t>
      </w:r>
    </w:p>
    <w:p>
      <w:pPr>
        <w:sectPr>
          <w:pgSz w:w="11900" w:h="16838" w:orient="portrait"/>
          <w:cols w:equalWidth="0" w:num="1">
            <w:col w:w="11004"/>
          </w:cols>
          <w:pgMar w:left="436" w:top="270" w:right="459" w:bottom="1440" w:gutter="0" w:footer="0" w:header="0"/>
        </w:sectPr>
      </w:pPr>
    </w:p>
    <w:bookmarkStart w:id="209" w:name="page210"/>
    <w:bookmarkEnd w:id="209"/>
    <w:p>
      <w:pPr>
        <w:ind w:right="40" w:firstLine="987"/>
        <w:spacing w:after="0" w:line="254" w:lineRule="auto"/>
        <w:tabs>
          <w:tab w:leader="none" w:pos="124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the Discharge of Senior Obligations has not occurred, except as expressly provided in the proviso in clause (ii) of Section 3.01(a), each Second Priority Representative, on behalf of itself and each Second Priority Debt Party under its Second Priority Debt Facility, agrees that it will not take or receive any Shared Collateral or any Proceeds of Shared Collateral in connection with the exercise of any right or remedy (including setoff or recoupment) with respect to any Shared Collateral in respect of Second Priority Debt Obligations. Without limiting the generality of the foregoing, unless and until the Discharge of Senior Obligations has occurred, except as expressly provided in the proviso in clause (ii) of</w:t>
      </w:r>
    </w:p>
    <w:p>
      <w:pPr>
        <w:spacing w:after="0" w:line="3"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3.01(a), the sole right of the Second Priority Representatives and the Second Priority Debt Parties with respect to the Shared Collateral is to hold a Lien on the Shared Collateral in respect of Second Priority Debt Obligations pursuant to the Second Priority Debt Documents for the period and to the extent granted therein and to receive a share of the Proceeds thereof, if any, after the Discharge of Senior Obligations has occurred.</w:t>
      </w:r>
    </w:p>
    <w:p>
      <w:pPr>
        <w:spacing w:after="0" w:line="185"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proviso in clause (ii) of Section 3.01(a), (i) each Second Priority Representative, for itself and on behalf of each Second Priority Debt Party under its Second Priority Debt Facility, agrees that neither such Second Priority Representative nor any such Second Priority Debt Party will take any action that would hinder or delay any exercise of remedies undertaken by any Senior Representative or any Senior Secured Party with respect to the Shared Collateral under the Senior Debt Documents, including any sale, lease, exchange, transfer or other disposition of the Shared Collateral, whether by foreclosure or otherwise, and (ii) each Second Priority Representative, for itself and on behalf of each Second Priority Debt Party under its Second Priority Debt Facility, hereby waives any and all rights it or any such Second Priority Debt Party may have as a junior lien creditor or otherwise to object to the manner in which the Senior Representatives or the Senior Secured Parties seek to enforce or collect the Senior Obligations or the Liens granted on any of the Senior Collateral, regardless of whether any action or failure to act by or on behalf of any Senior Representative or any other Senior Secured Party is adverse to the interests of the Second Priority Debt Parties.</w:t>
      </w:r>
    </w:p>
    <w:p>
      <w:pPr>
        <w:spacing w:after="0" w:line="188" w:lineRule="exact"/>
        <w:rPr>
          <w:rFonts w:ascii="Times New Roman" w:cs="Times New Roman" w:eastAsia="Times New Roman" w:hAnsi="Times New Roman"/>
          <w:sz w:val="18"/>
          <w:szCs w:val="18"/>
          <w:color w:val="auto"/>
        </w:rPr>
      </w:pPr>
    </w:p>
    <w:p>
      <w:pPr>
        <w:jc w:val="both"/>
        <w:ind w:right="400" w:firstLine="987"/>
        <w:spacing w:after="0" w:line="266" w:lineRule="auto"/>
        <w:tabs>
          <w:tab w:leader="none" w:pos="124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Second Priority Representative hereby acknowledges and agrees that no covenant, agreement or restriction contained in any Second Priority Debt Document shall be deemed to restrict in any way the rights and remedies of the Senior Representatives or the Senior Secured Parties with respect to the Senior Collateral as set forth in this Agreement and the Senior Debt Documents.</w:t>
      </w:r>
    </w:p>
    <w:p>
      <w:pPr>
        <w:spacing w:after="0" w:line="175" w:lineRule="exact"/>
        <w:rPr>
          <w:rFonts w:ascii="Times New Roman" w:cs="Times New Roman" w:eastAsia="Times New Roman" w:hAnsi="Times New Roman"/>
          <w:sz w:val="18"/>
          <w:szCs w:val="18"/>
          <w:color w:val="auto"/>
        </w:rPr>
      </w:pPr>
    </w:p>
    <w:p>
      <w:pPr>
        <w:ind w:firstLine="987"/>
        <w:spacing w:after="0" w:line="269" w:lineRule="auto"/>
        <w:tabs>
          <w:tab w:leader="none" w:pos="1236"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Section 3.01(a), the Designated Senior Representative shall have the exclusive right to exercise any right or remedy with respect to the Shared Collateral and shall have the exclusive right to determine and direct the time, method and place for exercising such right or remedy or conducting any proceeding with respect thereto. Following the Discharge of Senior Obligations, the Designated Second Priority Representative who may be instructed by the Second Priority Majority Representatives shall have the exclusive right to exercise any right or remedy with respect to the Collateral, and the Designated Second Priority Representative who may be instructed by the Second Priority Majority Representatives shall have the exclusive right to direct the time, method and place of exercising or conducting any proceeding for the exercise of any right or remedy available to the Second Priority Debt Parties with respect to the Collateral, or of exercising or directing the exercise of any trust or power conferred on the Second Priority Representatives, or for the taking of any other action authorized by the Second Priority Collateral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nothing in this Section 3.01(e) shall impair the right of any Second Priority Representative or other agent or trustee acting on behalf of the Second Priority Debt Parties to take such actions with respect to the Collateral after the Discharge of Senior Obligations as may be otherwise required or authorized pursuant to any intercreditor agreement governing the Second Priority Debt Parties or the Second Priority Debt Obligations.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E-16</w:t>
      </w:r>
    </w:p>
    <w:p>
      <w:pPr>
        <w:sectPr>
          <w:pgSz w:w="11900" w:h="16838" w:orient="portrait"/>
          <w:cols w:equalWidth="0" w:num="1">
            <w:col w:w="10980"/>
          </w:cols>
          <w:pgMar w:left="440" w:top="270" w:right="479" w:bottom="1440" w:gutter="0" w:footer="0" w:header="0"/>
        </w:sectPr>
      </w:pPr>
    </w:p>
    <w:bookmarkStart w:id="210" w:name="page211"/>
    <w:bookmarkEnd w:id="210"/>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Subject to the proviso in clause (ii) of Section 3.01(a), each Second Priority Representative, on behalf of itself and each Second Priority Debt Party under its Second Priority Debt Facility, agrees that, unless and until the Discharge of Senior Obligations has occurred, it will not commence, or join with any Person (other than the Senior Secured Parties and the Senior Representatives upon the request of the Designated Senior Representative) in commencing, any enforcement, collection, execution, levy or foreclosure action or proceeding with respect to any Lien held by it in the Shared Collateral under any of the Second Priority Debt Documents or otherwise in respect of the Second Priority Debt Obligations.</w:t>
      </w:r>
    </w:p>
    <w:p>
      <w:pPr>
        <w:spacing w:after="0" w:line="18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Actions upon Breach</w:t>
      </w:r>
      <w:r>
        <w:rPr>
          <w:rFonts w:ascii="Times New Roman" w:cs="Times New Roman" w:eastAsia="Times New Roman" w:hAnsi="Times New Roman"/>
          <w:sz w:val="18"/>
          <w:szCs w:val="18"/>
          <w:color w:val="auto"/>
        </w:rPr>
        <w:t>. Should any Second Priority Representative or any Second Priority Debt Party, contrary to this Agreement, in any way take, attempt to take or threaten to take any action with respect to the Shared Collateral (including any attempt to realize upon or enforce any remedy with respect to this Agreement) or fail to take any action required by this Agreement, any Senior Representative or other Senior Secured Party (in its or their own name or in the name of the Borrower or any other Grantor) or the Borrower may obtain relief against such Second Priority Representative or such Second Priority Debt Party by injunction, specific performance or other appropriate equitable relief. Each Second Priority Representative, on behalf of itself and each Second Priority Debt Party under its Second Priority Debt Facility, hereby (i) agrees that the Senior Secured Parties’ damages from the actions of the Second Priority Representatives or any Second Priority Debt Party may at that time be difficult to ascertain and may be irreparable and waives any defense that the Borrower, any other Grantor or the Senior Secured Parties cannot demonstrate damage or be made whole by the awarding of damages and (ii) irrevocably waives any defense based on the adequacy of a remedy at law and any other defense that might be asserted to bar the remedy of specific performance in any action that may be brought by any Senior Representative or any other Senior Secured Party.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Payments</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After an event of default under any Senior Debt Document has occurred and until such event of default is cured or waived, so long as the Discharge of Senior Obligations has not occurred, the Shared Collateral or Proceeds thereof received in connection with the sale or other disposition of, or collection on, such Shared Collateral upon the exercise of remedies and any distribution made in respect of any Shared Collateral in any Insolvency or Liquidation Proceeding, including any adequate protection payments and other court approved payments made to the Secured Parties in such proceeding, other than any adequate protection payments received by Second Priority Debt Party pursuant to Section 6.03 of this Agreement shall be applied to the Senior Obligations in such order as specified in the relevant Senior Debt Documents (including the Equal Priority Lien Intercreditor Agreement) until the Discharge of Senior Obligations has occurred. Upon the Discharge of Senior Obligations, each applicable Senior Representative shall deliver promptly to the Designated Second Priority Representative any Shared Collateral or Proceeds thereof held by it in the same form as received, with any necessary endorsements, or as a court of competent jurisdiction may otherwise direct, to be applied by the Designated Second Priority Representative to the Second Priority Debt Obligations in such order as specified in the relevant Second Priority Debt Documents.</w:t>
      </w:r>
    </w:p>
    <w:p>
      <w:pPr>
        <w:spacing w:after="0" w:line="19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Payments Over</w:t>
      </w:r>
      <w:r>
        <w:rPr>
          <w:rFonts w:ascii="Times New Roman" w:cs="Times New Roman" w:eastAsia="Times New Roman" w:hAnsi="Times New Roman"/>
          <w:sz w:val="18"/>
          <w:szCs w:val="18"/>
          <w:color w:val="auto"/>
        </w:rPr>
        <w:t>. Unless and until the Discharge of Senior Obligations has occurred, any Shared Collateral or Proceeds thereof received by any Second Priority Representative or any Second Priority Debt Party in connection with the exercise of any right or remedy (including setoff or recoupment) relating to the Shared Collateral or any distribution made in respect of any Shared Collateral in any Insolvency or Liquidation Proceeding, in contravention of this Agreement or otherwise, shall be segregated and held in trust for the benefit of and forthwith paid over to the Designated Senior Representative for the benefit of the Senior Secured Parties in the same form as received, with any necessary endorsements, or as a court of competent jurisdiction may otherwise direct. The Designated Senior Representative is hereby authorized to make any such endorsements as agent for each of the Second Priority Representatives or any such Second Priority Debt Party. This authorization is coupled with an interest and is irrevocable.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E-17</w:t>
      </w:r>
    </w:p>
    <w:p>
      <w:pPr>
        <w:sectPr>
          <w:pgSz w:w="11900" w:h="16838" w:orient="portrait"/>
          <w:cols w:equalWidth="0" w:num="1">
            <w:col w:w="11000"/>
          </w:cols>
          <w:pgMar w:left="440" w:top="270" w:right="45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3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Second Priority Representative, for itself and on behalf of each Second Priority Debt Party under its Second Priority Debt Facility, agrees that, in the event of a sale, transfer or other disposition of any specified item of Shared Collateral (including all or substantially all of the equity interests of any subsidiary of the Borrower) the Liens granted to the Second Priority Representatives and the Second Priority Debt Parties upon such Shared Collateral to secure Second Priority Debt Obligations shall terminate and be released, automatically and without any further action, concurrently with the termination and release of all Liens granted upon such Shared Collateral to secure Senior Obligations. Upon delivery to a Second Priority Representative of an Officer’s Certificate stating that any such termination and release of Liens securing the Senior Obligations has become effective (or shall become effective concurrently with such termination and release of the Liens granted to the Second Priority Debt Parties and the Second Priority Representatives) and any necessary or proper instruments of termination or release prepared by the Borrower or any other Grantor, such Second Priority Representative will promptly execute, deliver or acknowledge, at the Borrower’s or the other Grantor’s sole cost and expense, such instruments to evidence such termination and release of the Liens. Nothing in this Section 5.01(a) will be deemed to affect any agreement of a Second Priority Representative, for itself and on behalf of the Second Priority Debt Parties under its Second Priority Debt Facility, to release the Liens on the Second Priority Collateral as set forth in the relevant Second Priority Debt Documents.</w:t>
      </w:r>
    </w:p>
    <w:p>
      <w:pPr>
        <w:spacing w:after="0" w:line="189"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Second Priority Representative, for itself and on behalf of each Second Priority Debt Party under its Second Priority Debt Facility, hereby irrevocably constitutes and appoints the Designated Senior Representative and any officer or agent of the Designated Senior Representative, with full power of substitution, as its true and lawful attorney-in-fact with full irrevocable power and authority in the place and stead of such Second Priority Representative or such Second Priority Debt Party or in the Designated Senior Representative’s own name, from time to time in the Designated Senior Representative’s discretion, for the purpose of carrying out the terms of Section 5.01(a), to take any and all appropriate action and to execute any and all documents and instruments that may be necessary or desirable to accomplish the purposes of Section 5.01(a), including any termination statements, endorsements or other instruments of transfer or release.</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and until the Discharge of Senior Obligations has occurred, each Second Priority Representative, for itself and on behalf of each Second Priority Debt Party under its Second Priority Debt Facility, hereby consents to the application whether prior to or after an event of default under any Senior Debt Document of proceeds of Shared Collateral to the repayment of Senior Obligations pursuant to the Senior Debt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5.01(c) shall be construed to prevent or impair the rights of the Second Priority Representatives or the Second Priority Debt Parties to receive proceeds in connection with the Second Priority Debt Obligations not otherwise in contravention of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E-18</w:t>
      </w:r>
    </w:p>
    <w:p>
      <w:pPr>
        <w:sectPr>
          <w:pgSz w:w="11900" w:h="16838" w:orient="portrait"/>
          <w:cols w:equalWidth="0" w:num="1">
            <w:col w:w="11000"/>
          </w:cols>
          <w:pgMar w:left="440" w:top="270" w:right="459" w:bottom="1440" w:gutter="0" w:footer="0" w:header="0"/>
        </w:sectPr>
      </w:pPr>
    </w:p>
    <w:bookmarkStart w:id="212" w:name="page213"/>
    <w:bookmarkEnd w:id="212"/>
    <w:p>
      <w:pPr>
        <w:ind w:left="4" w:right="40" w:firstLine="987"/>
        <w:spacing w:after="0" w:line="253" w:lineRule="auto"/>
        <w:tabs>
          <w:tab w:leader="none" w:pos="125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any Second Priority Collateral Document, in the event the terms of a Senior Collateral Document and a Second Priority Collateral Document each require any Grantor (i) to make payment in respect of any item of Shared Collateral, (ii) to deliver or afford control over any item of Shared Collateral to, or deposit any item of Shared Collateral with, (iii) to register ownership of any item of Shared Collateral in the name of or make an assignment of ownership of any Shared Collateral or the rights thereunder to, (iv) cause any securities intermediary, commodity intermediary or other Person acting in a similar capacity to agree to comply, in respect of any item of Shared Collateral, with instructions or orders from, or to treat, in respect of any item of Shared Collateral, as the entitlement holder, (v) hold any item of Shared Collateral in trust for (to the extent such item of Shared Collateral cannot be held in trust for multiple parties under applicable law), (vi) obtain the agreement of a bailee or other third party to hold any item of Shared Collateral for the benefit of or subject to the control of or, in respect of any item of Shared Collateral, to follow the instructions of or (vii) obtain the agreement of a landlord with respect to access to leased premises where any item of Shared Collateral is located or waivers or subordination of rights with respect to any item of Shared Collateral in favor of, in any case, both the Designated Senior Representative and any Second Priority Representative or Second Priority Debt Party, such Grantor may, until the applicable Discharge of Senior Obligations has occurred, comply with such requirement under the applicable Second Priority Collateral Document as it relates to such Shared Collateral by taking any of the actions set forth above only with respect to, or in favor of, the Designated Senior Representative.</w:t>
      </w:r>
    </w:p>
    <w:p>
      <w:pPr>
        <w:spacing w:after="0" w:line="187"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Insurance and Condemnation Awards</w:t>
      </w:r>
      <w:r>
        <w:rPr>
          <w:rFonts w:ascii="Times New Roman" w:cs="Times New Roman" w:eastAsia="Times New Roman" w:hAnsi="Times New Roman"/>
          <w:sz w:val="18"/>
          <w:szCs w:val="18"/>
          <w:color w:val="auto"/>
        </w:rPr>
        <w:t>. Unless and until the Discharge of Senior Obligations has occurred, the Designated Senior Representative and the Senior Secured Parties shall have the sole and exclusive right, subject to the rights of the Grantors under the Senior Debt Documents, (a) to adjust settlement for any insurance policy covering the Shared Collateral in the event of any loss thereunder and (b) to approve any award granted in any condemnation or similar proceeding affecting the Shared Collateral. Unless and until the Discharge of Senior Obligations has occurred, all proceeds of any such policy and any such award, if in respect of the Shared Collateral, shall be paid (i) first, prior to the occurrence of the Discharge of Senior Obligations, to the Designated Senior Representative for the benefit of Senior Secured Parties pursuant to the terms of the Senior Debt Documents, (ii) second, after the occurrence of the Discharge of Senior Obligations, to the Designated Second Priority Representative for the benefit of the Second Priority Debt Parties pursuant to the terms of the applicable Second Priority Debt Documents and (iii) third, if no Second Priority Debt Obligations or Senior Obligations are outstanding, to the owner of the subject property, such other Person as may be entitled thereto or as a court of competent jurisdiction may otherwise direct. If any Second Priority Representative or any Second Priority Debt Party shall, at any time, receive any proceeds of any such insurance policy or any such award in contravention of this Agreement, it shall pay such proceeds over to the Designated Senior Representative in accordance with the terms of Section 4.02.</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Amendments to Debt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firstLine="987"/>
        <w:spacing w:after="0" w:line="282" w:lineRule="auto"/>
        <w:tabs>
          <w:tab w:leader="none" w:pos="124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Documents may be amended, restated, supplemented or otherwise modified in accordance with their terms, and the Indebtedness under the Senior Debt Documents may be Refinanced, in each case, without the consent of any Second Priority Debt Party.</w:t>
      </w:r>
    </w:p>
    <w:p>
      <w:pPr>
        <w:spacing w:after="0" w:line="161" w:lineRule="exact"/>
        <w:rPr>
          <w:rFonts w:ascii="Times New Roman" w:cs="Times New Roman" w:eastAsia="Times New Roman" w:hAnsi="Times New Roman"/>
          <w:sz w:val="18"/>
          <w:szCs w:val="18"/>
          <w:color w:val="auto"/>
        </w:rPr>
      </w:pPr>
    </w:p>
    <w:p>
      <w:pPr>
        <w:ind w:left="4" w:right="120" w:firstLine="987"/>
        <w:spacing w:after="0" w:line="257" w:lineRule="auto"/>
        <w:tabs>
          <w:tab w:leader="none" w:pos="1247"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Senior Representatives, no Second Priority Debt Document may be amended, restated, supplemented or otherwise modified, or entered into, and no Indebtedness under the Second Priority Debt Documents may be Refinanced, to the extent such amendment, restatement, supplement or modification or Refinancing, or the terms of such new Second Priority Debt Document, would</w:t>
      </w:r>
    </w:p>
    <w:p>
      <w:pPr>
        <w:spacing w:after="0" w:line="1"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1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the provisions of this Agreement, (ii) change to earlier dates any scheduled dates for payment of principal (including the final maturity date) or of interest on Indebtedness under such Second Priority Debt Document or (iii) reduce the capacity to incur Indebtedness for borrowed money constituting Senior Obligations to an amount less than the aggregate principal amount of term loans or outstanding notes and aggregate principal amount of revolving commitments, in each case, under the Senior Debt Documents on the day of any such amendment, restatement, supplement, modification or Refinancing.</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E-19</w:t>
      </w:r>
    </w:p>
    <w:p>
      <w:pPr>
        <w:sectPr>
          <w:pgSz w:w="11900" w:h="16838" w:orient="portrait"/>
          <w:cols w:equalWidth="0" w:num="1">
            <w:col w:w="11004"/>
          </w:cols>
          <w:pgMar w:left="436" w:top="270" w:right="459" w:bottom="1440" w:gutter="0" w:footer="0" w:header="0"/>
        </w:sectPr>
      </w:pPr>
    </w:p>
    <w:bookmarkStart w:id="213" w:name="page214"/>
    <w:bookmarkEnd w:id="213"/>
    <w:p>
      <w:pPr>
        <w:ind w:left="-40" w:right="140" w:firstLine="987"/>
        <w:spacing w:after="0" w:line="266" w:lineRule="auto"/>
        <w:tabs>
          <w:tab w:leader="none" w:pos="119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Second Priority Representative, for itself and on behalf of each Second Priority Debt Party under its Second Priority Debt Facility, agrees that the Grantors may cause each Second Priority Collateral Document under its Second Priority Debt Facility to include the following language (or language to similar effect reasonably approved by the Designated Senior Representative):</w:t>
      </w:r>
    </w:p>
    <w:p>
      <w:pPr>
        <w:spacing w:after="0" w:line="68" w:lineRule="exact"/>
        <w:rPr>
          <w:sz w:val="20"/>
          <w:szCs w:val="20"/>
          <w:color w:val="auto"/>
        </w:rPr>
      </w:pPr>
    </w:p>
    <w:p>
      <w:pPr>
        <w:ind w:left="400" w:right="20"/>
        <w:spacing w:after="0" w:line="253" w:lineRule="auto"/>
        <w:rPr>
          <w:sz w:val="20"/>
          <w:szCs w:val="20"/>
          <w:color w:val="auto"/>
        </w:rPr>
      </w:pPr>
      <w:r>
        <w:rPr>
          <w:rFonts w:ascii="Times New Roman" w:cs="Times New Roman" w:eastAsia="Times New Roman" w:hAnsi="Times New Roman"/>
          <w:sz w:val="18"/>
          <w:szCs w:val="18"/>
          <w:color w:val="auto"/>
        </w:rPr>
        <w:t>“Notwithstanding anything herein to the contrary, (i) the liens and security interests granted to the [Second Priority Representative] pursuant to this Agreement are expressly subject and subordinate to the liens and security interests granted in favor of the Senior Secured Parties (as defined in the Junior Priority Lien Intercreditor Agreement referred to below), including liens and security interests granted to Bank of America, N.A., as collateral agent, pursuant to or in connection with the First Lien Credit Agreement, dated as of October 21, 2021, among Holdings, the Borrower, the other guarantors from time to time party thereto, the lenders from time to time party thereto, Bank of America, N.A., as administrative agent, collateral agent, swing line lender and an L/C issuer, and the other parties thereto, as further amended, restated, amended and restated, extended, supplemented or otherwise modified from time to time and (ii) the exercise of any right or remedy by the [Second Priority Representative] hereunder is subject to the limitations and provisions of the Junior Priority Lien Intercreditor Agreement dated as of [    ] (as amended, restated, supplemented or otherwise modified from time to time, the “</w:t>
      </w:r>
      <w:r>
        <w:rPr>
          <w:rFonts w:ascii="Times New Roman" w:cs="Times New Roman" w:eastAsia="Times New Roman" w:hAnsi="Times New Roman"/>
          <w:sz w:val="18"/>
          <w:szCs w:val="18"/>
          <w:u w:val="single" w:color="auto"/>
          <w:color w:val="auto"/>
        </w:rPr>
        <w:t>Junior Priority Lien Intercreditor Agreement</w:t>
      </w:r>
      <w:r>
        <w:rPr>
          <w:rFonts w:ascii="Times New Roman" w:cs="Times New Roman" w:eastAsia="Times New Roman" w:hAnsi="Times New Roman"/>
          <w:sz w:val="18"/>
          <w:szCs w:val="18"/>
          <w:color w:val="auto"/>
        </w:rPr>
        <w:t>”), among Bank of America, N.A., as First Lien Credit Agreement Collateral Agent, Wilmington Trust, National Association, as Notes Collateral Agent, [    ], as Initial Second Lien Collateral Agent, Holdings, the Borrower and its subsidiaries and affiliated entities party thereto. In the event of any conflict between the terms of the Junior Priority Lien Intercreditor Agreement and the terms of this Agreement, the terms of the Junior Priority Lien Intercreditor Agreement shall govern.”</w:t>
      </w:r>
    </w:p>
    <w:p>
      <w:pPr>
        <w:spacing w:after="0" w:line="187" w:lineRule="exact"/>
        <w:rPr>
          <w:sz w:val="20"/>
          <w:szCs w:val="20"/>
          <w:color w:val="auto"/>
        </w:rPr>
      </w:pPr>
    </w:p>
    <w:p>
      <w:pPr>
        <w:ind w:left="-40" w:firstLine="987"/>
        <w:spacing w:after="0" w:line="253" w:lineRule="auto"/>
        <w:tabs>
          <w:tab w:leader="none" w:pos="120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each applicable Senior Representative and/or the Senior Secured Parties enter into any amendment, waiver or consent in respect of any of the Senior Collateral Documents for the purpose of adding to or deleting from, or waiving or consenting to any departures from any provisions of, any Senior Collateral Document or changing in any manner the rights of the Senior Representatives, the Senior Secured Parties, the Borrower or any other Grantor thereunder (including the release of any Liens in Senior Collateral) in a manner that is applicable to all Senior Facilities, then such amendment, waiver or consent shall apply automatically to any comparable provision of each comparable Second Priority Collateral Document without the consent of any Second Priority Representative or any Second Priority Debt Party and without any action by any Second Priority Representative, the Borrower or any other Grantor;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no such amendment, waiver or consent shall (A) remove assets subject to the Second Priority Liens or release any such Liens, except to the extent that such release is permitted or required by Section 5.01(a) and provided that there is a concurrent release of the corresponding Senior Liens or (B) amend, modify or otherwise affect the rights or duties of any Second Priority Representative in its role as Second Priority Representative without its prior written consent and (ii) written notice of such amendment, waiver or consent shall have been given to each Second Priority Representative within 10 Business Days after the effectiveness of such amendment, waiver or consent.</w:t>
      </w:r>
    </w:p>
    <w:p>
      <w:pPr>
        <w:spacing w:after="0" w:line="189" w:lineRule="exact"/>
        <w:rPr>
          <w:rFonts w:ascii="Times New Roman" w:cs="Times New Roman" w:eastAsia="Times New Roman" w:hAnsi="Times New Roman"/>
          <w:sz w:val="18"/>
          <w:szCs w:val="18"/>
          <w:color w:val="auto"/>
        </w:rPr>
      </w:pPr>
    </w:p>
    <w:p>
      <w:pPr>
        <w:jc w:val="both"/>
        <w:ind w:left="-40" w:right="220" w:firstLine="987"/>
        <w:spacing w:after="0" w:line="266" w:lineRule="auto"/>
        <w:tabs>
          <w:tab w:leader="none" w:pos="119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deliver to each of the Designated Senior Representative and the Designated Second Priority Representative copies of (i) any amendments, supplements or other modifications to the Senior Debt Documents or the Second Priority Debt Documents and (ii) any new Senior Debt Documents or Second Priority Debt Documents promptly after effectiveness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E-20</w:t>
      </w:r>
    </w:p>
    <w:p>
      <w:pPr>
        <w:sectPr>
          <w:pgSz w:w="11900" w:h="16838" w:orient="portrait"/>
          <w:cols w:equalWidth="0" w:num="1">
            <w:col w:w="10920"/>
          </w:cols>
          <w:pgMar w:left="480" w:top="270" w:right="499" w:bottom="1440" w:gutter="0" w:footer="0" w:header="0"/>
        </w:sectPr>
      </w:pPr>
    </w:p>
    <w:bookmarkStart w:id="214" w:name="page215"/>
    <w:bookmarkEnd w:id="214"/>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5.04 </w:t>
      </w:r>
      <w:r>
        <w:rPr>
          <w:rFonts w:ascii="Times New Roman" w:cs="Times New Roman" w:eastAsia="Times New Roman" w:hAnsi="Times New Roman"/>
          <w:sz w:val="18"/>
          <w:szCs w:val="18"/>
          <w:u w:val="single" w:color="auto"/>
          <w:color w:val="auto"/>
        </w:rPr>
        <w:t>Rights as Unsecured Creditors</w:t>
      </w:r>
      <w:r>
        <w:rPr>
          <w:rFonts w:ascii="Times New Roman" w:cs="Times New Roman" w:eastAsia="Times New Roman" w:hAnsi="Times New Roman"/>
          <w:sz w:val="18"/>
          <w:szCs w:val="18"/>
          <w:color w:val="auto"/>
        </w:rPr>
        <w:t>. The Second Priority Representatives and the Second Priority Debt Parties may exercise rights and remedies as unsecured creditors against the Borrower and any other Grantor in accordance with the terms of the Second Priority Debt Documents and applicable law so long as such rights and remedies do not violate, or are not otherwise inconsistent with, any provision of this Agreement (including any provision prohibiting or restricting the Second Priority Debt Parties from taking various actions or making various objections). Nothing in this Agreement shall prohibit the receipt by any Second Priority Representative or any Second Priority Debt Party of the required payments of principal, premium, interest, fees and other amounts due under the Second Priority Debt Documents so long as such receipt is not the direct or indirect result of the exercise by a Second Priority Representative or any Second Priority Debt Party of rights or remedies in respect of Shared Collateral in contravention of this Agreement. In the event any Second Priority Representative or any Second Priority Debt Party becomes a judgment lien creditor in respect of Shared Collateral as a result of its enforcement of its rights as an unsecured creditor in respect of Second Priority Debt Obligations, such judgment lien shall be subordinated to the Liens securing Senior Obligations on the same basis as the other Liens securing the Second Priority Debt Obligations are so subordinated to such Liens securing Senior Obligations under this Agreement. Nothing in this Agreement shall impair or otherwise adversely affect any rights or remedies the Senior Representatives or the Senior Secured Parties may have with respect to the Senior Collateral.</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Bailment for Perfection of Security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Possessory Collateral shall be delivered to the Designated Senior Representative and by accepting such Possessory Collateral such Designated Senior Representative agrees to hold any Shared Collateral constituting Possessory Collateral that is part of the Collateral in its possession or control (or in the possession or control of its agents or bailees) as gratuitous bailee for the benefit of the Second Priority Representatives and any assignee solely for the purpose of perfecting the security interest granted in such Possessory Collateral, if any, pursuant to the applicable Second Priority Collateral Documents, in each case, subject to the terms and conditions of this Section 5.05.</w:t>
      </w:r>
    </w:p>
    <w:p>
      <w:pPr>
        <w:spacing w:after="0" w:line="183"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herein, until the Discharge of Senior Obligations has occurred, the Senior Representatives and the Senior Secured Parties shall be entitled to deal with the Possessory Collateral in accordance with the terms of the Senior Debt Documents as if the Liens under the Second Priority Collateral Documents did not exist. The rights of the Second Priority Representatives and the Second Priority Debt Parties with respect to the Possessory Collateral shall at all times be subject to the terms of this Agreement.</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Representatives and the Senior Secured Parties shall have no obligation whatsoever to the Second Priority Representatives or any Second Priority Debt Party to assure that any of the Possessory Collateral is genuine or owned by the Grantors or to protect or preserve rights or benefits of any Person or any rights pertaining to the Shared Collateral, except as expressly set forth in this Section 5.05. The duties or responsibilities of the Senior Representatives under this Section 5.05 shall be limited solely to holding or controlling the Shared Collateral and the related Liens referred to in paragraphs (a) and (b) of this Section 5.05 as sub-agent and gratuitous bailee for the relevant Second Priority Representative for purposes of perfecting the Lien held by such Second Priority Representative.</w:t>
      </w:r>
    </w:p>
    <w:p>
      <w:pPr>
        <w:spacing w:after="0" w:line="187"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Representatives shall not have by reason of the Second Priority Collateral Documents or this Agreement, or any other document, a fiduciary relationship in respect of any Second Priority Representative or any Second Priority Debt Party, and each, Second Priority Representative, for itself and on behalf of each Second Priority Debt Party under its Second Priority Debt Facility, hereby waives and releases the Senior Representatives from all claims and liabilities arising pursuant to the Senior Representatives’ roles under this Section 5.05 as sub-agents and gratuitous bailees with respect to the Shared Collateral.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E-21</w:t>
      </w:r>
    </w:p>
    <w:p>
      <w:pPr>
        <w:sectPr>
          <w:pgSz w:w="11900" w:h="16838" w:orient="portrait"/>
          <w:cols w:equalWidth="0" w:num="1">
            <w:col w:w="11000"/>
          </w:cols>
          <w:pgMar w:left="440" w:top="270" w:right="459" w:bottom="1440" w:gutter="0" w:footer="0" w:header="0"/>
        </w:sectPr>
      </w:pPr>
    </w:p>
    <w:bookmarkStart w:id="215" w:name="page216"/>
    <w:bookmarkEnd w:id="215"/>
    <w:p>
      <w:pPr>
        <w:ind w:right="20" w:firstLine="987"/>
        <w:spacing w:after="0" w:line="253" w:lineRule="auto"/>
        <w:tabs>
          <w:tab w:leader="none" w:pos="12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Discharge of Senior Obligations, each applicable Senior Representative shall, at the Grantors’ sole cost and expense, (i) (A) deliver to the Designated Second Priority Representative, to the extent that it is legally permitted to do so, all Shared Collateral, including all proceeds thereof, held or controlled by such Senior Representative or any of its agents or bailees, including the transfer of possession and control, as applicable, of the Possessory Collateral, together with any necessary endorsements and notices to depositary banks, securities intermediaries and commodities intermediaries, and assign its rights under any landlord waiver or bailee’s letter or any similar agreement or arrangement granting it rights or access to Shared Collateral, or (B) direct and deliver such Shared Collateral as a court of competent jurisdiction may otherwise direct, (ii) notify any applicable insurance carrier that it is no longer entitled to be a loss payee or additional insured under the insurance policies of any Grantor issued by such insurance carrier and (iii) notify any governmental authority involved in any condemnation or similar proceeding involving any Grantor that the Designated Second Priority Representative is entitled to approve any awards granted in such proceeding. The Borrower and the other Grantors shall take such further action as is required to effectuate the transfer contemplated hereby and shall indemnify each Senior Representative for loss or damage suffered by such Senior Representative as a result of such transfer, except for loss or damage suffered by any such Person as a result of its own willful misconduct, gross negligence or bad faith. The Senior Representatives have no obligations to follow instructions from any Second Priority Representative or any other Second Priority Debt Party in contravention of this Agreement.</w:t>
      </w:r>
    </w:p>
    <w:p>
      <w:pPr>
        <w:spacing w:after="0" w:line="187" w:lineRule="exact"/>
        <w:rPr>
          <w:rFonts w:ascii="Times New Roman" w:cs="Times New Roman" w:eastAsia="Times New Roman" w:hAnsi="Times New Roman"/>
          <w:sz w:val="18"/>
          <w:szCs w:val="18"/>
          <w:color w:val="auto"/>
        </w:rPr>
      </w:pPr>
    </w:p>
    <w:p>
      <w:pPr>
        <w:ind w:firstLine="987"/>
        <w:spacing w:after="0" w:line="258" w:lineRule="auto"/>
        <w:tabs>
          <w:tab w:leader="none" w:pos="121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Senior Representatives nor any of the other Senior Secured Parties shall be required to marshal any present or future collateral security for any obligations of the Borrower or any Subsidiary to any Senior Representative or any Senior Secured Party under the Senior Debt Documents or any Second Priority Debt Party or any assurance of payment in respect thereof, or to resort to such collateral security or other assurances of payment in any particular order, and all of their rights in respect of such collateral security or any assurance of payment in respect thereof shall be cumulative and in addition to all other rights, however existing or arising.</w:t>
      </w:r>
    </w:p>
    <w:p>
      <w:pPr>
        <w:spacing w:after="0" w:line="183"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When Discharge of Senior Obligations Deemed To Not Have Occurred</w:t>
      </w:r>
      <w:r>
        <w:rPr>
          <w:rFonts w:ascii="Times New Roman" w:cs="Times New Roman" w:eastAsia="Times New Roman" w:hAnsi="Times New Roman"/>
          <w:sz w:val="18"/>
          <w:szCs w:val="18"/>
          <w:color w:val="auto"/>
        </w:rPr>
        <w:t>. If, at any time substantially concurrently with or after the occurrence of the Discharge of Senior Obligations, the Borrower or any Subsidiary consummates any Refinancing of any Senior Obligations, then such Discharge of Senior Obligations shall automatically be deemed not to have occurred for all purposes of this Agreement (other than with respect to any actions taken prior to the date of such designation as a result of the occurrence of such first Discharge of Senior Obligations) and the applicable agreement governing such Senior Obligations shall automatically be treated as a Senior Debt Document for all purposes of this Agreement, including for purposes of the Lien priorities and rights in respect of Shared Collateral set forth herein and the agent, representative or trustee for the holders of such Senior Obligations shall be the Senior Representative for all purposes of this Agreement. Upon receipt of notice of such incurrence (including the identity of the new Senior Representative), each Second Priority Representative (including the Designated Second Priority Representative) shall promptly (a) enter into such documents and agreements, including amendments or supplements to this Agreement, as the Borrower or such new Senior Representative shall reasonably request in writing in order to provide the new Senior Representative the rights of a Senior Representative contemplated hereby, (b) deliver to such Senior Representative, to the extent that it is legally permitted to do so, all Shared Collateral, including all proceeds thereof, held or controlled by such Second Priority Representative or any of its agents or bailees, including the transfer of possession and control, as applicable, of the Possessory Collateral, together with any necessary endorsements and notices to depositary banks, securities intermediaries and commodities intermediaries, and assign its rights under any landlord waiver or bailee’s letter or any similar agreement or arrangement granting it rights or access to Shared Collateral, (c) notify any applicable insurance carrier that it is no longer entitled to be a loss payee or additional insured under the insurance policies of any Grantor issued by such insurance carrier and (d) notify any governmental authority involved in any condemnation or similar proceeding involving a Grantor that the new Senior Representative is entitled to approve any awards granted in such proceeding.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E-22</w:t>
      </w:r>
    </w:p>
    <w:p>
      <w:pPr>
        <w:sectPr>
          <w:pgSz w:w="11900" w:h="16838" w:orient="portrait"/>
          <w:cols w:equalWidth="0" w:num="1">
            <w:col w:w="11000"/>
          </w:cols>
          <w:pgMar w:left="440" w:top="270" w:right="459" w:bottom="1440" w:gutter="0" w:footer="0" w:header="0"/>
        </w:sectPr>
      </w:pPr>
    </w:p>
    <w:bookmarkStart w:id="216" w:name="page217"/>
    <w:bookmarkEnd w:id="216"/>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5.07 </w:t>
      </w:r>
      <w:r>
        <w:rPr>
          <w:rFonts w:ascii="Times New Roman" w:cs="Times New Roman" w:eastAsia="Times New Roman" w:hAnsi="Times New Roman"/>
          <w:sz w:val="18"/>
          <w:szCs w:val="18"/>
          <w:u w:val="single" w:color="auto"/>
          <w:color w:val="auto"/>
        </w:rPr>
        <w:t>Purchase Right</w:t>
      </w:r>
      <w:r>
        <w:rPr>
          <w:rFonts w:ascii="Times New Roman" w:cs="Times New Roman" w:eastAsia="Times New Roman" w:hAnsi="Times New Roman"/>
          <w:sz w:val="18"/>
          <w:szCs w:val="18"/>
          <w:color w:val="auto"/>
        </w:rPr>
        <w:t>. Without prejudice to the enforcement of the Senior Secured Parties remedies, the Senior Secured Parties agree that following (a) the acceleration of all Senior Obligations in accordance with the terms of the Senior Debt Documents or (b) the commencement of an Insolvency or Liquidation Proceeding (each, a “</w:t>
      </w:r>
      <w:r>
        <w:rPr>
          <w:rFonts w:ascii="Times New Roman" w:cs="Times New Roman" w:eastAsia="Times New Roman" w:hAnsi="Times New Roman"/>
          <w:sz w:val="18"/>
          <w:szCs w:val="18"/>
          <w:u w:val="single" w:color="auto"/>
          <w:color w:val="auto"/>
        </w:rPr>
        <w:t>Purchase Event</w:t>
      </w:r>
      <w:r>
        <w:rPr>
          <w:rFonts w:ascii="Times New Roman" w:cs="Times New Roman" w:eastAsia="Times New Roman" w:hAnsi="Times New Roman"/>
          <w:sz w:val="18"/>
          <w:szCs w:val="18"/>
          <w:color w:val="auto"/>
        </w:rPr>
        <w:t>”), within thirty (30) days of the Purchase Event, one or more of the Second Priority Debt Parties may request, and the Senior Secured Parties hereby offer the Second Priority Debt Parties the option, to purchase all, but not less than all, of the aggregate amount of outstanding Senior Obligations outstanding at the time of purchase and all undrawn amounts under outstanding Letters of Credit at par, plus any premium that would be applicable upon prepayment of the Senior Obligations and accrued and unpaid interest, fees and expenses without warranty or representation or recourse (except for representations and warranties required to be made by assigning lenders pursuant to the Assignment and Assumption (as such term is defined in the First Lien Credit Agreement)). If such right is exercised, the parties shall endeavor to close promptly thereafter but in any event within ten (10) Business Days of the request. If one or more of the Second Priority Debt Parties exercise such purchase right, it shall be exercised pursuant to documentation mutually acceptable to each of the selling Senior Secured Parties and the purchasing Second Priority Debt Parties. If none of the Second Priority Debt Parties timely exercise such right, the Senior Secured Parties shall have no further obligations pursuant to this Section 5.07 for such Purchase Event and may take any further actions in their sole discretion in accordance with the Senior Debt Documents and this Agreement.</w:t>
      </w:r>
    </w:p>
    <w:p>
      <w:pPr>
        <w:spacing w:after="0" w:line="1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Insolvency or Liquidation Proceedings.</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7"/>
          <w:szCs w:val="17"/>
          <w:color w:val="auto"/>
        </w:rPr>
        <w:t xml:space="preserve">SECTION 6.01 </w:t>
      </w:r>
      <w:r>
        <w:rPr>
          <w:rFonts w:ascii="Times New Roman" w:cs="Times New Roman" w:eastAsia="Times New Roman" w:hAnsi="Times New Roman"/>
          <w:sz w:val="17"/>
          <w:szCs w:val="17"/>
          <w:u w:val="single" w:color="auto"/>
          <w:color w:val="auto"/>
        </w:rPr>
        <w:t>Financing Issues</w:t>
      </w:r>
      <w:r>
        <w:rPr>
          <w:rFonts w:ascii="Times New Roman" w:cs="Times New Roman" w:eastAsia="Times New Roman" w:hAnsi="Times New Roman"/>
          <w:sz w:val="17"/>
          <w:szCs w:val="17"/>
          <w:color w:val="auto"/>
        </w:rPr>
        <w:t>. Until the Discharge of Senior Obligations has occurred, if the Borrower or any other Grantor shall be subject to any Insolvency or Liquidation Proceeding and any Senior Representative or any Senior Secured Party shall desire to consent (or not object) to the sale, use or lease of cash or other collateral under Section 363 of the Bankruptcy Code or any similar provision of any other Bankruptcy Law or to consent (or not object) to the Borrower’s or any other Grantor’s obtaining financing under Section 364 of the Bankruptcy Code or any similar provision of any other Bankruptcy Law (“</w:t>
      </w:r>
      <w:r>
        <w:rPr>
          <w:rFonts w:ascii="Times New Roman" w:cs="Times New Roman" w:eastAsia="Times New Roman" w:hAnsi="Times New Roman"/>
          <w:sz w:val="17"/>
          <w:szCs w:val="17"/>
          <w:u w:val="single" w:color="auto"/>
          <w:color w:val="auto"/>
        </w:rPr>
        <w:t>DIP Financing</w:t>
      </w:r>
      <w:r>
        <w:rPr>
          <w:rFonts w:ascii="Times New Roman" w:cs="Times New Roman" w:eastAsia="Times New Roman" w:hAnsi="Times New Roman"/>
          <w:sz w:val="17"/>
          <w:szCs w:val="17"/>
          <w:color w:val="auto"/>
        </w:rPr>
        <w:t xml:space="preserve">”), then each Second Priority Representative, for itself and on behalf of each Second Priority Debt Party under its Second Priority Debt Facility, agrees that it will raise no objection to and will not otherwise contest (a) such sale, use or lease of such cash or other collateral, unless each Senior Representative shall oppose or object to such use of cash collateral (in which case, no Second Priority Representative nor any other Second Priority Debt Party shall seek any relief in connection therewith that is inconsistent with the relief being sought by the Senior Secured Parties); and/or (b) such DIP Financing, unless each Senior Representative shall oppose or object to such DIP Financing, and, except to the extent permitted by the proviso in clause (ii) of Section 3.01(a) and Section 6.03, will not request adequate protection or any other relief in connection therewith and, to the extent the Liens securing any Senior Obligations are subordinated or </w:t>
      </w:r>
      <w:r>
        <w:rPr>
          <w:rFonts w:ascii="Times New Roman" w:cs="Times New Roman" w:eastAsia="Times New Roman" w:hAnsi="Times New Roman"/>
          <w:sz w:val="17"/>
          <w:szCs w:val="17"/>
          <w:u w:val="single" w:color="auto"/>
          <w:color w:val="auto"/>
        </w:rPr>
        <w:t>pari passu</w:t>
      </w:r>
      <w:r>
        <w:rPr>
          <w:rFonts w:ascii="Times New Roman" w:cs="Times New Roman" w:eastAsia="Times New Roman" w:hAnsi="Times New Roman"/>
          <w:sz w:val="17"/>
          <w:szCs w:val="17"/>
          <w:color w:val="auto"/>
        </w:rPr>
        <w:t xml:space="preserve"> with such DIP Financing, will subordinate (and will be deemed hereunder to have subordinated) its Liens in the Shared Collateral to (x) such DIP Financing (and all obligations relating thereto) on the same basis as the Liens securing the Second Priority Debt Obligations are so subordinated to Liens securing Senior Obligations under this Agreement,</w:t>
      </w:r>
    </w:p>
    <w:p>
      <w:pPr>
        <w:spacing w:after="0" w:line="10" w:lineRule="exact"/>
        <w:rPr>
          <w:sz w:val="20"/>
          <w:szCs w:val="20"/>
          <w:color w:val="auto"/>
        </w:rPr>
      </w:pPr>
    </w:p>
    <w:p>
      <w:pPr>
        <w:jc w:val="both"/>
        <w:ind w:left="4" w:right="120" w:hanging="4"/>
        <w:spacing w:after="0" w:line="253" w:lineRule="auto"/>
        <w:tabs>
          <w:tab w:leader="none" w:pos="25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adequate protection Liens provided to the Senior Secured Parties, and (z) to any “carve-out” for professional and United States Trustee fees agreed to by the Senior Representatives. Each Second Priority Representative, for itself and on behalf of each Second Priority Debt Party under its Second Priority Debt Facility, further agrees that it will raise no objection to and will not otherwise contest (1) any motion for relief from the automatic stay or from any injunction against foreclosure or enforcement in respect of Senior Obligations made by any Senior Representative or any other Senior Secured Party; (2) any exercise by any Senior Secured Party of</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E-23</w:t>
      </w:r>
    </w:p>
    <w:p>
      <w:pPr>
        <w:sectPr>
          <w:pgSz w:w="11900" w:h="16838" w:orient="portrait"/>
          <w:cols w:equalWidth="0" w:num="1">
            <w:col w:w="11004"/>
          </w:cols>
          <w:pgMar w:left="436" w:top="270"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 to credit bid Senior Obligations at any sale in foreclosure of Senior Collateral or in any Insolvency or Liquidation Proceeding under</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363(k) of the Bankruptcy Code or any similar provision of any other Bankruptcy Law; (3) any other request for judicial relief made in any court by any Senior Secured Party relating to the lawful enforcement of any Lien on Senior Collateral; or (4) any order relating to a sale or other disposition of assets of any Grantor (including under Section 363 of the Bankruptcy Code, any other provision of the Bankruptcy Code, or any similar provision of any other Bankruptcy Law) to which any Senior Representative has consented or not objected, provided that the Liens securing the Senior Obligations and the Second Priority Debt Obligations will attach to the proceeds of the sale on the same basis of priority as the Liens on the Shared Collateral securing the Senior Obligations rank to the Liens on the Shared Collateral securing the Second Priority Debt Obligations pursuant to this Agreement. Each Second Priority Representative, for itself and on behalf of each Second Priority Debt Party under its Second Priority Debt Facility, agrees that notice received two Business Days prior to the entry of an order approving such usage of cash or other collateral and/or approving such DIP Financing shall be adequate notice.</w:t>
      </w:r>
    </w:p>
    <w:p>
      <w:pPr>
        <w:spacing w:after="0" w:line="193"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Relief from the Automatic Stay</w:t>
      </w:r>
      <w:r>
        <w:rPr>
          <w:rFonts w:ascii="Times New Roman" w:cs="Times New Roman" w:eastAsia="Times New Roman" w:hAnsi="Times New Roman"/>
          <w:sz w:val="18"/>
          <w:szCs w:val="18"/>
          <w:color w:val="auto"/>
        </w:rPr>
        <w:t>. Until the Discharge of Senior Obligations has occurred, each Second Priority Representative, for itself and on behalf of each Second Priority Debt Party under its Second Priority Debt Facility, agrees that none of them shall seek relief from the automatic stay or any other stay in any Insolvency or Liquidation Proceeding or take any action in derogation thereof, in each case in respect of any Shared Collateral, without the prior written consent of the Designated Senior Representative.</w:t>
      </w:r>
    </w:p>
    <w:p>
      <w:pPr>
        <w:spacing w:after="0" w:line="180"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Adequate Protection</w:t>
      </w:r>
      <w:r>
        <w:rPr>
          <w:rFonts w:ascii="Times New Roman" w:cs="Times New Roman" w:eastAsia="Times New Roman" w:hAnsi="Times New Roman"/>
          <w:sz w:val="18"/>
          <w:szCs w:val="18"/>
          <w:color w:val="auto"/>
        </w:rPr>
        <w:t>. Each Second Priority Representative, for itself and on behalf of each Second Priority Debt Party under its Second Priority Debt Facility, agrees that none of them shall object, contest or support any other Person objecting to or contesting (a) any request by any Senior Representative or any Senior Secured Parties for adequate protection, (b) any objection by any Senior Representative or any Senior Secured Parties to any motion, relief, action or proceeding based on any Senior Representative’s or Senior Secured Party’s claiming a lack of adequate protection or (c) the allowance and/or payment of interest, fees, expenses or other amounts of any Senior Representative or any other Senior Secured Party under Section 506(b) of the Bankruptcy Code or any similar provision of the Bankruptcy Code or any other Bankruptcy Law or otherwise (for this purpose ignoring all claims and Liens held by the Second Priority Debt Parties). Notwithstanding anything contained in this Section 6.03 or in Section 6.01, in any Insolvency or Liquidation Proceeding, (i) if the Senior Secured Parties (or any subset thereof) are granted adequate protection in the form of a Lien on additional collateral or superpriority claims in connection with any DIP Financing or use of cash collateral under Section 363 or 364 of the Bankruptcy Code, as applicable, or any similar provision of any other Bankruptcy Law, then each Second Priority Representative, for itself and on behalf of each Second Priority Debt Party under its Second Priority Debt Facility, may seek or request adequate protection in the form of a Lien on such additional collateral and/or a superpriority claim, which Lien and/or superpriority claim (as applicable) are subordinated to the Liens securing and providing adequate protection for, and all claims with respect to, the Senior Obligations and such DIP Financing (and all obligations relating thereto) on the same basis as the other Liens securing and claims with respect to the Second Priority Debt Obligations are so subordinated to the Liens securing and claims with respect to the Senior Obligations under this Agreement, (ii) in the event any Second Priority Representatives, for themselves and on behalf of the Second Priority Debt Parties under their Second Priority Debt Facilities, seek or request adequate protection and such adequate protection is granted (in each instance, to the extent such grant is otherwise permissible under the terms and conditions of this Agreement) in the form of (as applicable) a Lien on additional or replacement collateral and/or a superpriority administrative expense claim, then such Second Priority Representatives, for themselves and on behalf of each Second Priority Debt Party under their Second Priority Debt Facilities, agree that each Senior Representative shall also be granted a senior Lien on such additional or replacement collateral and/or a senior superpriority administrative expense claim as security and adequate protection for the Senior Obligations and that any Lien on such additional or replacement collateral securing and/or any superpriority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E-24</w:t>
      </w:r>
    </w:p>
    <w:p>
      <w:pPr>
        <w:sectPr>
          <w:pgSz w:w="11900" w:h="16838" w:orient="portrait"/>
          <w:cols w:equalWidth="0" w:num="1">
            <w:col w:w="11000"/>
          </w:cols>
          <w:pgMar w:left="440" w:top="270" w:right="459" w:bottom="1440" w:gutter="0" w:footer="0" w:header="0"/>
        </w:sectPr>
      </w:pPr>
    </w:p>
    <w:bookmarkStart w:id="218" w:name="page219"/>
    <w:bookmarkEnd w:id="218"/>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expense claim or providing adequate protection for the Second Priority Debt Obligations shall be subordinated to the Liens on such collateral securing the Senior Obligations and any such DIP Financing (and all obligations relating thereto) and any other Liens granted to the Senior Secured Parties as adequate protection on the same basis as the other Liens securing the Second Priority Debt Obligations are so subordinated to such Liens securing Senior Obligations under this Agreement (and, to the extent the Senior Secured Parties are not granted such adequate protection in such form, or in the form of payments in the amount of current post-petition fees and expenses, and/or other cash payments, any amounts recovered by or distributed to any Second Priority Debt Party pursuant to or as a result of any Lien on such additional or replacement collateral so granted to the Second Priority Debt Parties shall be subject to Section 4.02), and (iii) in the event any Second Priority Representatives, for themselves and on behalf of the Second Priority Debt Parties under their Second Priority Debt Facilities, seek or request adequate protection and such adequate protection is granted (in each instance, to the extent such grant is otherwise permissible under the terms and conditions of this Agreement) in the form of a superpriority claim, then such Second Priority Representatives, for themselves and on behalf of each Second Priority Debt Party under their Second Priority Debt Facilities, agree that each Senior Representative shall also be granted adequate protection in the form of a superpriority claim, which superpriority claim shall be senior to the superpriority claim of the Second Priority Debt Parties (and, to the extent the Senior Secured Parties are not granted such adequate protection in such form, any amounts recovered by or distributed to any Second Priority Debt Party pursuant to or as a result of any such superpriority claim so granted to the Second Priority Debt Parties shall be subject to Section 4.02).</w:t>
      </w:r>
    </w:p>
    <w:p>
      <w:pPr>
        <w:spacing w:after="0" w:line="19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Preference Issues</w:t>
      </w:r>
      <w:r>
        <w:rPr>
          <w:rFonts w:ascii="Times New Roman" w:cs="Times New Roman" w:eastAsia="Times New Roman" w:hAnsi="Times New Roman"/>
          <w:sz w:val="18"/>
          <w:szCs w:val="18"/>
          <w:color w:val="auto"/>
        </w:rPr>
        <w:t>. If any Senior Secured Party is required in any Insolvency or Liquidation Proceeding or otherwise to disgorge, turn over or otherwise pay any amount to the estate of the Borrower or any other Grantor (or any trustee, receiver or similar Person therefor), because the payment of such amount was declared to be, or avoided as, fraudulent or preferential in any respect or for any other reason, any amount (a “</w:t>
      </w:r>
      <w:r>
        <w:rPr>
          <w:rFonts w:ascii="Times New Roman" w:cs="Times New Roman" w:eastAsia="Times New Roman" w:hAnsi="Times New Roman"/>
          <w:sz w:val="18"/>
          <w:szCs w:val="18"/>
          <w:u w:val="single" w:color="auto"/>
          <w:color w:val="auto"/>
        </w:rPr>
        <w:t>Recovery</w:t>
      </w:r>
      <w:r>
        <w:rPr>
          <w:rFonts w:ascii="Times New Roman" w:cs="Times New Roman" w:eastAsia="Times New Roman" w:hAnsi="Times New Roman"/>
          <w:sz w:val="18"/>
          <w:szCs w:val="18"/>
          <w:color w:val="auto"/>
        </w:rPr>
        <w:t>”), whether received as proceeds of security, enforcement of any right of setoff, recoupment or otherwise, then the Senior Obligations shall be reinstated to the extent of such Recovery and deemed to be outstanding as if such payment had not occurred and the Senior Secured Parties shall be entitled to the benefits of this Agreement until a Discharge of Senior Obligations with respect to all such recovered amounts. If this Agreement shall have been terminated prior to such Recovery, this Agreement shall be reinstated in full force and effect, and such prior termination shall not diminish, release, discharge, impair or otherwise affect the obligations of the parties hereto. Each Second Priority Representative, for itself and on behalf of each Second Priority Debt Party under its Second Priority Debt Facility, hereby agrees that none of them shall be entitled to benefit from any avoidance action affecting or otherwise relating to any distribution or allocation made in accordance with this Agreement, whether by preference or otherwise, it being understood and agreed that the benefit of such avoidance action otherwise allocable to them shall instead be allocated and turned over for application in accordance with the priorities set forth in this Agreement.</w:t>
      </w:r>
    </w:p>
    <w:p>
      <w:pPr>
        <w:spacing w:after="0" w:line="190"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Separate Grants of Security and Separate Classifications</w:t>
      </w:r>
      <w:r>
        <w:rPr>
          <w:rFonts w:ascii="Times New Roman" w:cs="Times New Roman" w:eastAsia="Times New Roman" w:hAnsi="Times New Roman"/>
          <w:sz w:val="18"/>
          <w:szCs w:val="18"/>
          <w:color w:val="auto"/>
        </w:rPr>
        <w:t>. Each Second Priority Representative, for itself and on behalf of each Second Priority Debt Party under its Second Priority Debt Facility, acknowledges and agrees that (a) the grants of Liens pursuant to the Senior Collateral Documents and the Second Priority Collateral Documents constitute separate and distinct grants of Liens and (b) because of, among other things, their differing rights in the Shared Collateral, the Second Priority Debt Obligations are fundamentally different from the Senior Obligations and must be separately classified in any plan of reorganization or similar dispositive restructuring plan proposed, confirmed, or adopted in an Insolvency or Liquidation Proceeding. To further effectuate the intent of the parties as provided in the immediately preceding sentence, if it is held that any claims of the Senior Secured Parties and the Second Priority Debt Parties in respect of the Shared Collateral constitute a single class of claims (rather than separate classes of senior and junior secured claims), then each Second Priority Representative, for itself and on behalf of each Second Priority Debt Party under its Second Priority Debt Facility, hereby</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E-25</w:t>
      </w:r>
    </w:p>
    <w:p>
      <w:pPr>
        <w:sectPr>
          <w:pgSz w:w="11900" w:h="16838" w:orient="portrait"/>
          <w:cols w:equalWidth="0" w:num="1">
            <w:col w:w="10960"/>
          </w:cols>
          <w:pgMar w:left="440" w:top="270" w:right="499" w:bottom="1440" w:gutter="0" w:footer="0" w:header="0"/>
        </w:sectPr>
      </w:pPr>
    </w:p>
    <w:bookmarkStart w:id="219" w:name="page220"/>
    <w:bookmarkEnd w:id="219"/>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acknowledges and agrees that all distributions shall be made as if there were separate classes of senior and junior secured claims against the Grantors in respect of the Shared Collateral, with the effect being that, to the extent that the aggregate value of the Shared Collateral is sufficient (for this purpose ignoring all claims held by the Second Priority Debt Parties), the Senior Secured Parties shall be entitled to receive, in addition to amounts distributed to them in respect of principal, pre-petition interest and other claims, all amounts owing in respect of post-petition interest, fees, and expenses (whether or not allowed or allowable) before any distribution is made in respect of the Second Priority Debt Obligations, and each Second Priority Representative, for itself and on behalf of each Second Priority Debt Party under its Second Priority Debt Facility, hereby acknowledges and agrees to turn over to the Designated Senior Representative amounts otherwise received or receivable by them to the extent necessary to effectuate the intent of this sentence, even if such turnover has the effect of reducing the claim or recovery of the Second Priority Debt Parties.</w:t>
      </w:r>
    </w:p>
    <w:p>
      <w:pPr>
        <w:spacing w:after="0" w:line="19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No Waivers of Rights of Senior Secured Parties</w:t>
      </w:r>
      <w:r>
        <w:rPr>
          <w:rFonts w:ascii="Times New Roman" w:cs="Times New Roman" w:eastAsia="Times New Roman" w:hAnsi="Times New Roman"/>
          <w:sz w:val="18"/>
          <w:szCs w:val="18"/>
          <w:color w:val="auto"/>
        </w:rPr>
        <w:t>. Nothing contained herein shall, except as expressly provided herein, prohibit or in any way limit any Senior Representative or any other Senior Secured Party from objecting in any Insolvency or Liquidation Proceeding or otherwise to any action taken by any Second Priority Debt Party, including the seeking by any Second Priority Debt Party of adequate protection or the assertion by any Second Priority Debt Party of any of its rights and remedies under the Second Priority Debt Documents or otherwise.</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This Agreement, which the parties hereto expressly acknowledge is a “subordination agreement” under Section 510(a) of the Bankruptcy Code or any similar provision of any other Bankruptcy Law, shall be effective before, during and after the commencement of any Insolvency or Liquidation Proceeding. The relative rights as to the Shared Collateral and proceeds thereof shall continue after the commencement of any Insolvency or Liquidation Proceeding on the same basis as prior to the date of the petition therefor, subject to any court order approving the financing of, or use of cash collateral by, any Grantor. All references herein to any Grantor shall include such Grantor as a debtor-in-possession and any receiver or trustee for such Grantor.</w:t>
      </w:r>
    </w:p>
    <w:p>
      <w:pPr>
        <w:spacing w:after="0" w:line="18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Other Matters</w:t>
      </w:r>
      <w:r>
        <w:rPr>
          <w:rFonts w:ascii="Times New Roman" w:cs="Times New Roman" w:eastAsia="Times New Roman" w:hAnsi="Times New Roman"/>
          <w:sz w:val="18"/>
          <w:szCs w:val="18"/>
          <w:color w:val="auto"/>
        </w:rPr>
        <w:t xml:space="preserve">. To the extent that any Second Priority Representative or any Second Priority Debt Party has or acquires rights under Section 363 or Section 364 of the Bankruptcy Code or any similar provision of any other Bankruptcy Law with respect to any of the Shared Collateral, such Second Priority Representative, on behalf of itself and each Second Priority Debt Party under its Second Priority Debt Facility, or such Second Priority Debt Party agrees not to assert any such rights without the prior written consent of each Senior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requested by any Senior Representative, such Second Priority Representative shall timely exercise such rights in the manner requested by the Senior Representatives (acting unanimously), including any rights to payments in respect of such rights.</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506(c) Claims</w:t>
      </w:r>
      <w:r>
        <w:rPr>
          <w:rFonts w:ascii="Times New Roman" w:cs="Times New Roman" w:eastAsia="Times New Roman" w:hAnsi="Times New Roman"/>
          <w:sz w:val="18"/>
          <w:szCs w:val="18"/>
          <w:color w:val="auto"/>
        </w:rPr>
        <w:t>. Until the Discharge of Senior Obligations has occurred, each Second Priority Representative, on behalf of itself and each Second Priority Debt Party under its Second Priority Debt Facility, agrees that it will not assert or enforce any claim under Section 506(c) of the Bankruptcy Code or any similar provision of any other Bankruptcy Law senior to or on a parity with the Liens securing the Senior Obligations for costs or expenses of preserving or disposing of any Shared Collateral.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E-26</w:t>
      </w:r>
    </w:p>
    <w:p>
      <w:pPr>
        <w:sectPr>
          <w:pgSz w:w="11900" w:h="16838" w:orient="portrait"/>
          <w:cols w:equalWidth="0" w:num="1">
            <w:col w:w="10980"/>
          </w:cols>
          <w:pgMar w:left="440" w:top="270" w:right="479" w:bottom="1440" w:gutter="0" w:footer="0" w:header="0"/>
        </w:sectPr>
      </w:pPr>
    </w:p>
    <w:bookmarkStart w:id="220" w:name="page221"/>
    <w:bookmarkEnd w:id="22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Reorganization Securities; Plan 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any Insolvency or Liquidation Proceeding, debt obligations of the reorganized debtor secured by Liens upon any property of the reorganized debtor are distributed, pursuant to a plan of reorganization or similar dispositive restructuring plan, on account of both the Senior Obligations and the Second Priority Debt Obligations, then, to the extent the debt obligations distributed on account of the Senior Obligations and on account of the Second Priority Debt Obligations are secured by Liens upon the same assets or property, the provisions of this Agreement will survive the distribution of such debt obligations pursuant to such plan and will apply with like effect to the Liens securing such debt obligations.</w:t>
      </w:r>
    </w:p>
    <w:p>
      <w:pPr>
        <w:spacing w:after="0" w:line="183" w:lineRule="exact"/>
        <w:rPr>
          <w:rFonts w:ascii="Times New Roman" w:cs="Times New Roman" w:eastAsia="Times New Roman" w:hAnsi="Times New Roman"/>
          <w:sz w:val="18"/>
          <w:szCs w:val="18"/>
          <w:color w:val="auto"/>
        </w:rPr>
      </w:pPr>
    </w:p>
    <w:p>
      <w:pPr>
        <w:ind w:right="320" w:firstLine="987"/>
        <w:spacing w:after="0" w:line="261" w:lineRule="auto"/>
        <w:tabs>
          <w:tab w:leader="none" w:pos="124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Second Priority Debt Party (whether in the capacity of a secured or an unsecured creditor) may otherwise directly or indirectly propose, support or vote in favor of any plan of reorganization or similar dispositive restructuring plan that is inconsistent with the priorities or other provisions of this Agreement, other than with the prior written consent of the Designated Senior Representative or to the extent any such plan is proposed or supported by the number of Senior Secured Parties required under Section 1126(c) of the Bankruptcy Code.</w:t>
      </w:r>
    </w:p>
    <w:p>
      <w:pPr>
        <w:spacing w:after="0" w:line="180"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Section 1111(b) of the Bankruptcy Code</w:t>
      </w:r>
      <w:r>
        <w:rPr>
          <w:rFonts w:ascii="Times New Roman" w:cs="Times New Roman" w:eastAsia="Times New Roman" w:hAnsi="Times New Roman"/>
          <w:sz w:val="18"/>
          <w:szCs w:val="18"/>
          <w:color w:val="auto"/>
        </w:rPr>
        <w:t>. Each Second Priority Representative, for itself and on behalf of each Second Priority Debt Party under its Second Priority Debt Facility, shall not object to, oppose, support any objection, or take any other action to impede, the right of any Senior Secured Party to make an election under Section 1111(b)(2) of the Bankruptcy Code or any similar provision of any other Bankruptcy Law. Each Second Priority Representative, for itself and on behalf of each Second Priority Debt Party under its Second Priority Debt Facility, waives any claim it may hereafter have against any senior claimholder arising out of the election by any Senior Secured Party of the application of Section 1111(b)(2) of the Bankruptcy Code or any similar provision of any other Bankruptcy Law.</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Reliance; Etc.</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All loans and other extensions of credit made or deemed made on and after the date hereof by the Senior Secured Parties to the Borrower or any Subsidiary shall be deemed to have been given and made in reliance upon this Agreement. Each Second Priority Representative, on behalf of itself and each Second Priority Debt Party under its Second Priority Debt Facility, acknowledges that it and such Second Priority Debt Parties have, independently and without reliance on any Senior Representative or other Senior Secured Party, and based on documents and information deemed by them appropriate, made their own credit analysis and decision to enter into the Second Priority Debt Documents to which they are party or by which they are bound, this Agreement and the transactions contemplated hereby and thereby, and they will continue to make their own credit decisions in taking or not taking any action under the Second Priority Debt Documents or this Agreement.</w:t>
      </w:r>
    </w:p>
    <w:p>
      <w:pPr>
        <w:spacing w:after="0" w:line="189" w:lineRule="exact"/>
        <w:rPr>
          <w:sz w:val="20"/>
          <w:szCs w:val="20"/>
          <w:color w:val="auto"/>
        </w:rPr>
      </w:pPr>
    </w:p>
    <w:p>
      <w:pPr>
        <w:ind w:right="1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No Warranties or Liability</w:t>
      </w:r>
      <w:r>
        <w:rPr>
          <w:rFonts w:ascii="Times New Roman" w:cs="Times New Roman" w:eastAsia="Times New Roman" w:hAnsi="Times New Roman"/>
          <w:sz w:val="18"/>
          <w:szCs w:val="18"/>
          <w:color w:val="auto"/>
        </w:rPr>
        <w:t>. Each Second Priority Representative, on behalf of itself and each Second Priority Debt Party under its Second Priority Debt Facility, acknowledges and agrees that neither any Senior Representative nor any other Senior Secured Party has made any express or implied representation or warranty, including with respect to the execution, validity, legality, completeness, collectability or enforceability of any of the Senior Debt Documents, the ownership of any Shared Collateral or the perfection or priority of any Liens thereon. The Senior Secured Parties will be entitled to manage and supervise their respective loans and extensions of credit under the Senior Debt Documents in accordance with law and as they may otherwise, in their sole discretion, deem appropriate, and the Senior Secured Parties may manage their loans and extensions of credit without regard to any rights or interests that the Second Priority Representatives and the Second Priority Debt Parties have in the Shared Collateral or otherwise, except as otherwise provided in this Agreement. Neither any Senior Representative nor any other Senior Secured Party shall have any duty to any Second Priority Representative or Second Priority Debt Party to act or refrain from acting in a manner that allows, or results in, the occurrence or continuance of an event of default or default under any agreement with the Borrower or any Subsidiary</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E-27</w:t>
      </w:r>
    </w:p>
    <w:p>
      <w:pPr>
        <w:sectPr>
          <w:pgSz w:w="11900" w:h="16838" w:orient="portrait"/>
          <w:cols w:equalWidth="0" w:num="1">
            <w:col w:w="11000"/>
          </w:cols>
          <w:pgMar w:left="440" w:top="270" w:right="459" w:bottom="1440" w:gutter="0" w:footer="0" w:header="0"/>
        </w:sectPr>
      </w:pPr>
    </w:p>
    <w:bookmarkStart w:id="221" w:name="page222"/>
    <w:bookmarkEnd w:id="22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the Second Priority Debt Documents), regardless of any knowledge thereof that they may have or be charged with. Except as expressly set forth in this Agreement, the Senior Representatives, the Senior Secured Parties, the Second Priority Representatives and the Second Priority Debt Parties have not otherwise made to each other, nor do they hereby make to each other, any warranties, express or implied, nor do they assume any liability to each other with respect to (a) the enforceability, validity, value or collectability of any of the Senior Obligations, the Second Priority Debt Obligations or any guarantee or security which may have been granted to any of them in connection therewith, (b) any Grantor’s title to or right to transfer any of the Shared Collateral or (c) any other matter except as expressly set forth in this Agreement.</w:t>
      </w:r>
    </w:p>
    <w:p>
      <w:pPr>
        <w:spacing w:after="0" w:line="187"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Obligations Unconditional</w:t>
      </w:r>
      <w:r>
        <w:rPr>
          <w:rFonts w:ascii="Times New Roman" w:cs="Times New Roman" w:eastAsia="Times New Roman" w:hAnsi="Times New Roman"/>
          <w:sz w:val="17"/>
          <w:szCs w:val="17"/>
          <w:color w:val="auto"/>
        </w:rPr>
        <w:t>. All rights, interests, agreements and obligations of the Senior Representatives, the Senior Secured Parties, the Second Priority Representatives and the Second Priority Debt Parties hereunder shall remain in full force and effect irrespective of:</w:t>
      </w:r>
    </w:p>
    <w:p>
      <w:pPr>
        <w:spacing w:after="0" w:line="140" w:lineRule="exact"/>
        <w:rPr>
          <w:sz w:val="20"/>
          <w:szCs w:val="20"/>
          <w:color w:val="auto"/>
        </w:rPr>
      </w:pPr>
    </w:p>
    <w:p>
      <w:pPr>
        <w:ind w:left="1240" w:hanging="253"/>
        <w:spacing w:after="0"/>
        <w:tabs>
          <w:tab w:leader="none" w:pos="12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any Senior Debt Document or any Second Priority Debt Document;</w:t>
      </w:r>
    </w:p>
    <w:p>
      <w:pPr>
        <w:spacing w:after="0" w:line="22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terms of, all or any of the Senior Obligations or Second Priority Debt Obligations, or any amendment or waiver or other modification, including any increase in the amount thereof, whether by course of conduct or otherwise, of the terms of the First Lien Credit Agreement or any other Senior Debt Document or of the terms of the Initial Second Lien Agreement or any other Second Priority Debt Document;</w:t>
      </w:r>
    </w:p>
    <w:p>
      <w:pPr>
        <w:spacing w:after="0" w:line="179"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of any security interest in any Shared Collateral or any other collateral or any amendment, waiver or other modification, whether in writing or by course of conduct or otherwise, of all or any of the Senior Obligations or Second Priority Debt Obligations or any guarantee thereof;</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any Insolvency or Liquidation Proceeding in respect of the Borrower or any other Grantor; or</w:t>
      </w:r>
    </w:p>
    <w:p>
      <w:pPr>
        <w:spacing w:after="0" w:line="225" w:lineRule="exact"/>
        <w:rPr>
          <w:rFonts w:ascii="Times New Roman" w:cs="Times New Roman" w:eastAsia="Times New Roman" w:hAnsi="Times New Roman"/>
          <w:sz w:val="18"/>
          <w:szCs w:val="18"/>
          <w:color w:val="auto"/>
        </w:rPr>
      </w:pPr>
    </w:p>
    <w:p>
      <w:pPr>
        <w:ind w:right="220" w:firstLine="987"/>
        <w:spacing w:after="0" w:line="266" w:lineRule="auto"/>
        <w:tabs>
          <w:tab w:leader="none" w:pos="123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circumstances that otherwise might constitute a defense available to (i) the Borrower or any other Grantor in respect of the Senior Obligations (other than the Discharge of Senior Obligations subject to Sections 5.06 and 6.04) or (ii) any Second Priority Representative or Second Priority Debt Party in respect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Subject to Section 8.22, in the event of any conflict between the provisions of this Agreement and the provisions of any Senior Debt Document or any Second Priority Debt Document, the provisions of this Agreement shall govern. Notwithstanding the foregoing, the relative rights and obligations of the Senior Representatives and the Senior Secured Parties (as amongst themselves) with respect to any Senior Collateral shall be governed by the terms of the Equal Priority Lien Intercreditor Agreement and in the event of any conflict between the Equal Priority Lien Intercreditor Agreement and this Agreement as to such relative rights and obligations, the provisions of the Equal Priority Lien Intercreditor Agreement shall control.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E-28</w:t>
      </w:r>
    </w:p>
    <w:p>
      <w:pPr>
        <w:sectPr>
          <w:pgSz w:w="11900" w:h="16838" w:orient="portrait"/>
          <w:cols w:equalWidth="0" w:num="1">
            <w:col w:w="11000"/>
          </w:cols>
          <w:pgMar w:left="440" w:top="270" w:right="459" w:bottom="1440" w:gutter="0" w:footer="0" w:header="0"/>
        </w:sectPr>
      </w:pPr>
    </w:p>
    <w:bookmarkStart w:id="222" w:name="page223"/>
    <w:bookmarkEnd w:id="222"/>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8.02 </w:t>
      </w:r>
      <w:r>
        <w:rPr>
          <w:rFonts w:ascii="Times New Roman" w:cs="Times New Roman" w:eastAsia="Times New Roman" w:hAnsi="Times New Roman"/>
          <w:sz w:val="18"/>
          <w:szCs w:val="18"/>
          <w:u w:val="single" w:color="auto"/>
          <w:color w:val="auto"/>
        </w:rPr>
        <w:t>Continuing Nature of this Agreement; Severability</w:t>
      </w:r>
      <w:r>
        <w:rPr>
          <w:rFonts w:ascii="Times New Roman" w:cs="Times New Roman" w:eastAsia="Times New Roman" w:hAnsi="Times New Roman"/>
          <w:sz w:val="18"/>
          <w:szCs w:val="18"/>
          <w:color w:val="auto"/>
        </w:rPr>
        <w:t>. Subject to Section 5.06 and Section 6.04, this Agreement shall continue to be effective until the Discharge of Senior Obligations shall have occurred. This is a continuing agreement of Lien subordination, and the Senior Secured Parties may continue, at any time and without notice to the Second Priority Representatives or any Second Priority Debt Party, to extend credit and other financial accommodations and lend monies to or for the benefit of the Borrower or any Subsidiary constituting Senior Obligations in reliance hereon. The terms of this Agreement shall survive and continue in full force and effect in any Insolvency or Liquidation Proceeding. Any provision of this Agreement that is prohibited or unenforceable in any jurisdiction shall not invalidate the remaining provisions hereof, and any such prohibition or unenforceability in any jurisdiction shall not invalidate or render unenforceable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55" w:lineRule="auto"/>
        <w:tabs>
          <w:tab w:leader="none" w:pos="12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paragraph (b) of this Section,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188"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25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in writing signed by each Representative (in each case, acting in accordance with the documents governing the applicable Debt Facility) and the Borrower.</w:t>
      </w:r>
    </w:p>
    <w:p>
      <w:pPr>
        <w:spacing w:after="0" w:line="161" w:lineRule="exact"/>
        <w:rPr>
          <w:rFonts w:ascii="Times New Roman" w:cs="Times New Roman" w:eastAsia="Times New Roman" w:hAnsi="Times New Roman"/>
          <w:sz w:val="18"/>
          <w:szCs w:val="18"/>
          <w:color w:val="auto"/>
        </w:rPr>
      </w:pPr>
    </w:p>
    <w:p>
      <w:pPr>
        <w:jc w:val="both"/>
        <w:ind w:left="4" w:right="80" w:firstLine="987"/>
        <w:spacing w:after="0" w:line="261" w:lineRule="auto"/>
        <w:tabs>
          <w:tab w:leader="none" w:pos="12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without the consent of any Secured Party, any Representative may become a party hereto by execution and delivery of a Joinder Agreement in accordance with Section 8.09 of this Agreement and upon such execution and delivery, such Representative and the Secured Parties and Senior Obligations or Second Priority Debt Obligations of the Debt Facility for which such Representative is acting shall be subject to the terms hereof.</w:t>
      </w:r>
    </w:p>
    <w:p>
      <w:pPr>
        <w:spacing w:after="0" w:line="180" w:lineRule="exact"/>
        <w:rPr>
          <w:sz w:val="20"/>
          <w:szCs w:val="20"/>
          <w:color w:val="auto"/>
        </w:rPr>
      </w:pPr>
    </w:p>
    <w:p>
      <w:pPr>
        <w:ind w:left="4" w:right="40" w:firstLine="991"/>
        <w:spacing w:after="0" w:line="276" w:lineRule="auto"/>
        <w:rPr>
          <w:sz w:val="20"/>
          <w:szCs w:val="20"/>
          <w:color w:val="auto"/>
        </w:rPr>
      </w:pPr>
      <w:r>
        <w:rPr>
          <w:rFonts w:ascii="Times New Roman" w:cs="Times New Roman" w:eastAsia="Times New Roman" w:hAnsi="Times New Roman"/>
          <w:sz w:val="17"/>
          <w:szCs w:val="17"/>
          <w:color w:val="auto"/>
        </w:rPr>
        <w:t xml:space="preserve">SECTION 8.04 </w:t>
      </w:r>
      <w:r>
        <w:rPr>
          <w:rFonts w:ascii="Times New Roman" w:cs="Times New Roman" w:eastAsia="Times New Roman" w:hAnsi="Times New Roman"/>
          <w:sz w:val="17"/>
          <w:szCs w:val="17"/>
          <w:u w:val="single" w:color="auto"/>
          <w:color w:val="auto"/>
        </w:rPr>
        <w:t>Information Concerning Financial Condition of the Borrower and the Subsidiaries</w:t>
      </w:r>
      <w:r>
        <w:rPr>
          <w:rFonts w:ascii="Times New Roman" w:cs="Times New Roman" w:eastAsia="Times New Roman" w:hAnsi="Times New Roman"/>
          <w:sz w:val="17"/>
          <w:szCs w:val="17"/>
          <w:color w:val="auto"/>
        </w:rPr>
        <w:t>. The Senior Representatives, the Senior Secured Parties, the Second Priority Representatives and the Second Priority Debt Parties shall each be responsible for keeping themselves informed of</w:t>
      </w:r>
    </w:p>
    <w:p>
      <w:pPr>
        <w:spacing w:after="0" w:line="1" w:lineRule="exact"/>
        <w:rPr>
          <w:sz w:val="20"/>
          <w:szCs w:val="20"/>
          <w:color w:val="auto"/>
        </w:rPr>
      </w:pPr>
    </w:p>
    <w:p>
      <w:pPr>
        <w:ind w:left="244" w:hanging="244"/>
        <w:spacing w:after="0"/>
        <w:tabs>
          <w:tab w:leader="none" w:pos="24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Borrower and the Subsidiaries and all endorsers or guarantors of the Senior Obligations or the Second Priority Debt</w:t>
      </w:r>
    </w:p>
    <w:p>
      <w:pPr>
        <w:spacing w:after="0" w:line="9"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and (b) all other circumstances bearing upon the risk of nonpayment of the Senior Obligations or the Second Priority Debt Obligations. The Senior Representatives, the Senior Secured Parties, the Second Priority Representatives and the Second Priority Debt Parties shall have no duty to advise any other party hereunder of information known to it or them regarding such condition or any such circumstances or otherwise. In the event that any Senior Representative, any Senior Secured Party, any Second Priority Representative or any Second Priority Debt Party, in its sole discretion, undertakes at any time or from time to time to provide any such information to any other party, it shall be under no obligation to (i) make, and the Senior Representatives, the Senior Secured Parties, the Second Priority Representatives and the Second Priority Debt Parties shall not make or be deemed to have made, any express or implied representation or warranty, including with respect to the accuracy, completeness, truthfulness or validity of any such information so provided, (ii) provide any additional information or to provide any such information on any subsequent occasion, (iii) undertake any investigation or (iv) disclose any information that, pursuant to accepted or reasonable commercial finance practices, such party wishes to maintain confidential or is otherwise required to maintain confidential.</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E-29</w:t>
      </w:r>
    </w:p>
    <w:p>
      <w:pPr>
        <w:sectPr>
          <w:pgSz w:w="11900" w:h="16838" w:orient="portrait"/>
          <w:cols w:equalWidth="0" w:num="1">
            <w:col w:w="11004"/>
          </w:cols>
          <w:pgMar w:left="436" w:top="270" w:right="459" w:bottom="1440" w:gutter="0" w:footer="0" w:header="0"/>
        </w:sectPr>
      </w:pPr>
    </w:p>
    <w:bookmarkStart w:id="223" w:name="page224"/>
    <w:bookmarkEnd w:id="223"/>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8.05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Each Second Priority Representative, on behalf of itself and each Second Priority Debt Party under its Second Priority Debt Facility, hereby waives any rights of subrogation it may acquire as a result of any payment hereunder until the Discharge of Senior Obligations has occurred.</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 Except as otherwise provided herein, all payments received by the Senior Secured Parties may be applied, reversed and reapplied, in whole or in part, to such part of the Senior Obligations as the Senior Secured Parties, in their sole discretion, deem appropriate, consistent with the terms of the Senior Debt Documents. Except as otherwise provided herein, each Second Priority Representative, on behalf of itself and each Second Priority Debt Party under its Second Priority Debt Facility, assents to any such extension or postponement of the time of payment of the Senior Obligations or any part thereof and to any other indulgence with respect thereto, to any substitution, exchange or release of any security that may at any time secure any part of the Senior Obligations and to the addition or release of any other Person primarily or secondarily liable therefor.</w:t>
      </w:r>
    </w:p>
    <w:p>
      <w:pPr>
        <w:spacing w:after="0" w:line="189"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Additional Grantors</w:t>
      </w:r>
      <w:r>
        <w:rPr>
          <w:rFonts w:ascii="Times New Roman" w:cs="Times New Roman" w:eastAsia="Times New Roman" w:hAnsi="Times New Roman"/>
          <w:sz w:val="18"/>
          <w:szCs w:val="18"/>
          <w:color w:val="auto"/>
        </w:rPr>
        <w:t>. The Borrower agrees that, if any Subsidiary shall become a Grantor after the date hereof, it will promptly cause such Subsidiary to become party hereto by executing and delivering an instrument in the form of Annex I. Upon such execution and delivery, such Subsidiary will become a Grantor hereunder with the same force and effect as if originally named as a Grantor herein. The execution and delivery of such instrument shall not require the consent of any other party hereunder, and will be acknowledged by the Designated Second Priority Representative and the Designated Senior Representative. The rights and obligations of each Grantor hereunder shall remain in full force and effect notwithstanding the addition of any new Grantor as a party to this Agreement.</w:t>
      </w:r>
    </w:p>
    <w:p>
      <w:pPr>
        <w:spacing w:after="0" w:line="187"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Dealings with Grantors</w:t>
      </w:r>
      <w:r>
        <w:rPr>
          <w:rFonts w:ascii="Times New Roman" w:cs="Times New Roman" w:eastAsia="Times New Roman" w:hAnsi="Times New Roman"/>
          <w:sz w:val="18"/>
          <w:szCs w:val="18"/>
          <w:color w:val="auto"/>
        </w:rPr>
        <w:t>. Upon any application or demand by the Borrower or any Grantor to any Representative to take or permit any action under any of the provisions of this Agreement or under any Collateral Document (if such action is subject to the provisions hereof), at the request of such Representative, the Borrower or such Grantor, as appropriate, shall furnish to such Representative a certificate of an Authorized Officer (an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stating that all conditions precedent, if any, provided for in this Agreement or such Collateral Document, as the case may be, relating to the proposed action have been complied with, except that in the case of any such application or demand as to which the furnishing of such documents is specifically required by any provision of this Agreement or any Collateral Document relating to such particular application or demand, no additional certificate or opinion need be furnished.</w:t>
      </w:r>
    </w:p>
    <w:p>
      <w:pPr>
        <w:spacing w:after="0" w:line="189"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Additional Debt Facilities</w:t>
      </w:r>
      <w:r>
        <w:rPr>
          <w:rFonts w:ascii="Times New Roman" w:cs="Times New Roman" w:eastAsia="Times New Roman" w:hAnsi="Times New Roman"/>
          <w:sz w:val="18"/>
          <w:szCs w:val="18"/>
          <w:color w:val="auto"/>
        </w:rPr>
        <w:t>. To the extent, but only to the extent, permitted by the provisions of the then extant Senior Debt Documents and Second Priority Debt Documents, the Borrower may incur or issue and sell one or more series or classes of Additional Second Priority Debt and one or more series or classes of Additional Senior Debt. Any such additional class or series of Second Priority Debt (the “</w:t>
      </w:r>
      <w:r>
        <w:rPr>
          <w:rFonts w:ascii="Times New Roman" w:cs="Times New Roman" w:eastAsia="Times New Roman" w:hAnsi="Times New Roman"/>
          <w:sz w:val="18"/>
          <w:szCs w:val="18"/>
          <w:u w:val="single" w:color="auto"/>
          <w:color w:val="auto"/>
        </w:rPr>
        <w:t>Second Priority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Class Debt</w:t>
      </w:r>
      <w:r>
        <w:rPr>
          <w:rFonts w:ascii="Times New Roman" w:cs="Times New Roman" w:eastAsia="Times New Roman" w:hAnsi="Times New Roman"/>
          <w:sz w:val="18"/>
          <w:szCs w:val="18"/>
          <w:color w:val="auto"/>
        </w:rPr>
        <w:t>”) may be secured by a second priority, subordinated Lien on Shared Collateral, in each case under and pursuant to the relevant Second Priority Collateral Documents for such Second Priority Class Debt, if and subject to the condition that the Representative of any such Second Priority Class Debt (each, a “</w:t>
      </w:r>
      <w:r>
        <w:rPr>
          <w:rFonts w:ascii="Times New Roman" w:cs="Times New Roman" w:eastAsia="Times New Roman" w:hAnsi="Times New Roman"/>
          <w:sz w:val="18"/>
          <w:szCs w:val="18"/>
          <w:u w:val="single" w:color="auto"/>
          <w:color w:val="auto"/>
        </w:rPr>
        <w:t>Second Priority Class Debt Representative</w:t>
      </w:r>
      <w:r>
        <w:rPr>
          <w:rFonts w:ascii="Times New Roman" w:cs="Times New Roman" w:eastAsia="Times New Roman" w:hAnsi="Times New Roman"/>
          <w:sz w:val="18"/>
          <w:szCs w:val="18"/>
          <w:color w:val="auto"/>
        </w:rPr>
        <w:t>”), acting on behalf of the holders of such Second Priority Class Debt (such Representative and holders in respect of any Second Priority Class Debt being referred to as the “</w:t>
      </w:r>
      <w:r>
        <w:rPr>
          <w:rFonts w:ascii="Times New Roman" w:cs="Times New Roman" w:eastAsia="Times New Roman" w:hAnsi="Times New Roman"/>
          <w:sz w:val="18"/>
          <w:szCs w:val="18"/>
          <w:u w:val="single" w:color="auto"/>
          <w:color w:val="auto"/>
        </w:rPr>
        <w:t>Second Priority Class Debt Parties</w:t>
      </w:r>
      <w:r>
        <w:rPr>
          <w:rFonts w:ascii="Times New Roman" w:cs="Times New Roman" w:eastAsia="Times New Roman" w:hAnsi="Times New Roman"/>
          <w:sz w:val="18"/>
          <w:szCs w:val="18"/>
          <w:color w:val="auto"/>
        </w:rPr>
        <w:t>”), becomes a party to this Agreement by satisfying conditions (i) through (iii), as applicable, of the immediately succeeding paragraph. Any such additional class or series of Senior Facilities (the “</w:t>
      </w:r>
      <w:r>
        <w:rPr>
          <w:rFonts w:ascii="Times New Roman" w:cs="Times New Roman" w:eastAsia="Times New Roman" w:hAnsi="Times New Roman"/>
          <w:sz w:val="18"/>
          <w:szCs w:val="18"/>
          <w:u w:val="single" w:color="auto"/>
          <w:color w:val="auto"/>
        </w:rPr>
        <w:t>Senior Class Debt</w:t>
      </w:r>
      <w:r>
        <w:rPr>
          <w:rFonts w:ascii="Times New Roman" w:cs="Times New Roman" w:eastAsia="Times New Roman" w:hAnsi="Times New Roman"/>
          <w:sz w:val="18"/>
          <w:szCs w:val="18"/>
          <w:color w:val="auto"/>
        </w:rPr>
        <w:t>”; and the Senior Class Debt and Second Priority Class Debt, collectively, the “</w:t>
      </w:r>
      <w:r>
        <w:rPr>
          <w:rFonts w:ascii="Times New Roman" w:cs="Times New Roman" w:eastAsia="Times New Roman" w:hAnsi="Times New Roman"/>
          <w:sz w:val="18"/>
          <w:szCs w:val="18"/>
          <w:u w:val="single" w:color="auto"/>
          <w:color w:val="auto"/>
        </w:rPr>
        <w:t>Class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E-30</w:t>
      </w:r>
    </w:p>
    <w:p>
      <w:pPr>
        <w:sectPr>
          <w:pgSz w:w="11900" w:h="16838" w:orient="portrait"/>
          <w:cols w:equalWidth="0" w:num="1">
            <w:col w:w="11000"/>
          </w:cols>
          <w:pgMar w:left="440" w:top="270" w:right="459" w:bottom="1440" w:gutter="0" w:footer="0" w:header="0"/>
        </w:sectPr>
      </w:pPr>
    </w:p>
    <w:bookmarkStart w:id="224" w:name="page225"/>
    <w:bookmarkEnd w:id="224"/>
    <w:p>
      <w:pPr>
        <w:ind w:left="4"/>
        <w:spacing w:after="0" w:line="268"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w:t>
      </w:r>
      <w:r>
        <w:rPr>
          <w:rFonts w:ascii="Times New Roman" w:cs="Times New Roman" w:eastAsia="Times New Roman" w:hAnsi="Times New Roman"/>
          <w:sz w:val="17"/>
          <w:szCs w:val="17"/>
          <w:color w:val="auto"/>
        </w:rPr>
        <w:t>”) may be secured by a senior Lien on Shared Collateral, in each case under and pursuant to the relevant Senior Collateral Documents, if and subject to the condition that the Representative of any such Senior Class Debt (each, a “</w:t>
      </w:r>
      <w:r>
        <w:rPr>
          <w:rFonts w:ascii="Times New Roman" w:cs="Times New Roman" w:eastAsia="Times New Roman" w:hAnsi="Times New Roman"/>
          <w:sz w:val="17"/>
          <w:szCs w:val="17"/>
          <w:u w:val="single" w:color="auto"/>
          <w:color w:val="auto"/>
        </w:rPr>
        <w:t>Senior Class Debt Representative</w:t>
      </w:r>
      <w:r>
        <w:rPr>
          <w:rFonts w:ascii="Times New Roman" w:cs="Times New Roman" w:eastAsia="Times New Roman" w:hAnsi="Times New Roman"/>
          <w:sz w:val="17"/>
          <w:szCs w:val="17"/>
          <w:color w:val="auto"/>
        </w:rPr>
        <w:t>”; and the Senior Class Debt Representatives and Second Priority Class Debt Representatives, collectively, the “</w:t>
      </w:r>
      <w:r>
        <w:rPr>
          <w:rFonts w:ascii="Times New Roman" w:cs="Times New Roman" w:eastAsia="Times New Roman" w:hAnsi="Times New Roman"/>
          <w:sz w:val="17"/>
          <w:szCs w:val="17"/>
          <w:u w:val="single" w:color="auto"/>
          <w:color w:val="auto"/>
        </w:rPr>
        <w:t>Class Debt Representatives</w:t>
      </w:r>
      <w:r>
        <w:rPr>
          <w:rFonts w:ascii="Times New Roman" w:cs="Times New Roman" w:eastAsia="Times New Roman" w:hAnsi="Times New Roman"/>
          <w:sz w:val="17"/>
          <w:szCs w:val="17"/>
          <w:color w:val="auto"/>
        </w:rPr>
        <w:t>”), acting on behalf of the holders of such Senior Class Debt (such Representative and holders in respect of any such Senior Class Debt being referred to as the “</w:t>
      </w:r>
      <w:r>
        <w:rPr>
          <w:rFonts w:ascii="Times New Roman" w:cs="Times New Roman" w:eastAsia="Times New Roman" w:hAnsi="Times New Roman"/>
          <w:sz w:val="17"/>
          <w:szCs w:val="17"/>
          <w:u w:val="single" w:color="auto"/>
          <w:color w:val="auto"/>
        </w:rPr>
        <w:t>Senior Class Debt Parties</w:t>
      </w:r>
      <w:r>
        <w:rPr>
          <w:rFonts w:ascii="Times New Roman" w:cs="Times New Roman" w:eastAsia="Times New Roman" w:hAnsi="Times New Roman"/>
          <w:sz w:val="17"/>
          <w:szCs w:val="17"/>
          <w:color w:val="auto"/>
        </w:rPr>
        <w:t>; and the Senior Class Debt Parties and Second Priority Class Debt Parties, collectively, the “</w:t>
      </w:r>
      <w:r>
        <w:rPr>
          <w:rFonts w:ascii="Times New Roman" w:cs="Times New Roman" w:eastAsia="Times New Roman" w:hAnsi="Times New Roman"/>
          <w:sz w:val="17"/>
          <w:szCs w:val="17"/>
          <w:u w:val="single" w:color="auto"/>
          <w:color w:val="auto"/>
        </w:rPr>
        <w:t>Class Debt Parties</w:t>
      </w:r>
      <w:r>
        <w:rPr>
          <w:rFonts w:ascii="Times New Roman" w:cs="Times New Roman" w:eastAsia="Times New Roman" w:hAnsi="Times New Roman"/>
          <w:sz w:val="17"/>
          <w:szCs w:val="17"/>
          <w:color w:val="auto"/>
        </w:rPr>
        <w:t>”), becomes a party, as applicable, to (x) the Equal Priority Lien Intercreditor Agreement pursuant to Article IX thereof or, in the event of such Additional Senior Debt secured on a subordinate basis, such other Intercreditor Agreement as contemplated by the Senior Debt Documents and (y) this Agreement by satisfying the conditions set forth in clauses</w:t>
      </w:r>
    </w:p>
    <w:p>
      <w:pPr>
        <w:spacing w:after="0" w:line="2" w:lineRule="exact"/>
        <w:rPr>
          <w:sz w:val="20"/>
          <w:szCs w:val="20"/>
          <w:color w:val="auto"/>
        </w:rPr>
      </w:pPr>
    </w:p>
    <w:p>
      <w:pPr>
        <w:ind w:left="224" w:hanging="224"/>
        <w:spacing w:after="0"/>
        <w:tabs>
          <w:tab w:leader="none" w:pos="22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(iii), as applicable, of the immediately succeeding paragraph. In order for a Class Debt Representative to become a party to this Agreement:</w:t>
      </w:r>
    </w:p>
    <w:p>
      <w:pPr>
        <w:spacing w:after="0" w:line="206" w:lineRule="exact"/>
        <w:rPr>
          <w:rFonts w:ascii="Times New Roman" w:cs="Times New Roman" w:eastAsia="Times New Roman" w:hAnsi="Times New Roman"/>
          <w:sz w:val="18"/>
          <w:szCs w:val="18"/>
          <w:color w:val="auto"/>
        </w:rPr>
      </w:pPr>
    </w:p>
    <w:p>
      <w:pPr>
        <w:ind w:left="4" w:right="140" w:firstLine="987"/>
        <w:spacing w:after="0" w:line="256" w:lineRule="auto"/>
        <w:tabs>
          <w:tab w:leader="none" w:pos="124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Class Debt Representative shall have executed and delivered a Joinder Agreement substantially in the form of Annex II (if such Representative is a Second Priority Class Debt Representative) or Annex III (if such Representative is a Senior Class Debt Representative) (with such changes as may be reasonably approved by the Designated Senior Representative and such Class Debt Representative) pursuant to which it becomes a Representative hereunder, and the Class Debt in respect of which such Class Debt Representative is the Representative constitutes Additional Senior Debt Obligations or Additional Second Priority Debt Obligations, as applicable, and the related Class Debt Parties become subject hereto and bound hereby as Additional Senior Debt Parties or Additional Second Priority Debt Parties, as applicable;</w:t>
      </w:r>
    </w:p>
    <w:p>
      <w:pPr>
        <w:spacing w:after="0" w:line="187"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 shall have delivered to the Designated Senior Representative an Officer’s Certificate identifying the obligations to be designated as Additional Senior Debt Obligations or Additional Second Priority Debt Obligations, as applicable, and the initial aggregate principal amount or face amount thereof and certifying that such obligations are permitted to be incurred and secured (I) in the case of Additional Senior Debt Obligations, on a senior basis under each of the then extant Senior Debt Documents and (II) in the case of Additional Second Priority Debt Obligations, on a junior basis under each of the then extant Second Priority Debt Documents and (b) if requested, shall have delivered true and complete copies of each of the Second Priority Debt Documents or Senior Debt Documents, as applicable, relating to such Class Debt, certified as being true and correct by an authorized officer of the Borrower; and</w:t>
      </w:r>
    </w:p>
    <w:p>
      <w:pPr>
        <w:spacing w:after="0" w:line="188" w:lineRule="exact"/>
        <w:rPr>
          <w:rFonts w:ascii="Times New Roman" w:cs="Times New Roman" w:eastAsia="Times New Roman" w:hAnsi="Times New Roman"/>
          <w:sz w:val="18"/>
          <w:szCs w:val="18"/>
          <w:color w:val="auto"/>
        </w:rPr>
      </w:pPr>
    </w:p>
    <w:p>
      <w:pPr>
        <w:ind w:left="4" w:right="300" w:firstLine="987"/>
        <w:spacing w:after="0" w:line="266" w:lineRule="auto"/>
        <w:tabs>
          <w:tab w:leader="none" w:pos="124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Priority Debt Documents or Senior Debt Documents, as applicable, relating to such Class Debt shall provide that each Class Debt Party with respect to such Class Debt will be subject to and bound by the provisions of this Agreement in its capacity as a holder of such Class Debt.</w:t>
      </w:r>
    </w:p>
    <w:p>
      <w:pPr>
        <w:spacing w:after="0" w:line="176"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Refinancings</w:t>
      </w:r>
      <w:r>
        <w:rPr>
          <w:rFonts w:ascii="Times New Roman" w:cs="Times New Roman" w:eastAsia="Times New Roman" w:hAnsi="Times New Roman"/>
          <w:sz w:val="18"/>
          <w:szCs w:val="18"/>
          <w:color w:val="auto"/>
        </w:rPr>
        <w:t>. The Senior Obligations and the Second Priority Debt may be increased, refinanced or replaced, in whole or in part, in each case, without notice to, or the consent (except to the extent a consent is otherwise required to permit the refinancing transaction under any Senior Debt Document or any Second Priority Debt Document) of any Senior Representative or any Secured Party, all without affecting the Lien priorities provided for herein or the other provisions hereof, so long as permitted by the terms of each Senior Debt Document and Second Priority Debt Document. Each Second Priority Representative hereby agrees that at the request of the Borrower in connection with refinancing or replacement of Senior Obligations (“</w:t>
      </w:r>
      <w:r>
        <w:rPr>
          <w:rFonts w:ascii="Times New Roman" w:cs="Times New Roman" w:eastAsia="Times New Roman" w:hAnsi="Times New Roman"/>
          <w:sz w:val="18"/>
          <w:szCs w:val="18"/>
          <w:u w:val="single" w:color="auto"/>
          <w:color w:val="auto"/>
        </w:rPr>
        <w:t>Replacement Senior Obligations</w:t>
      </w:r>
      <w:r>
        <w:rPr>
          <w:rFonts w:ascii="Times New Roman" w:cs="Times New Roman" w:eastAsia="Times New Roman" w:hAnsi="Times New Roman"/>
          <w:sz w:val="18"/>
          <w:szCs w:val="18"/>
          <w:color w:val="auto"/>
        </w:rPr>
        <w:t>”) it will enter into an agreement in form and substance reasonably acceptable to such Second Priority Representative with the agent for the Replacement Senior Obligations containing terms and conditions substantially similar to the terms and conditions of this Agreement.</w:t>
      </w:r>
    </w:p>
    <w:p>
      <w:pPr>
        <w:spacing w:after="0" w:line="192"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Consent to Jurisdiction; Waivers</w:t>
      </w:r>
      <w:r>
        <w:rPr>
          <w:rFonts w:ascii="Times New Roman" w:cs="Times New Roman" w:eastAsia="Times New Roman" w:hAnsi="Times New Roman"/>
          <w:sz w:val="18"/>
          <w:szCs w:val="18"/>
          <w:color w:val="auto"/>
        </w:rPr>
        <w:t>. Each Representative, on behalf of itself and the Secured Parties of the Debt Facility for which it is acting, irrevocably and unconditionally: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E-31</w:t>
      </w:r>
    </w:p>
    <w:p>
      <w:pPr>
        <w:sectPr>
          <w:pgSz w:w="11900" w:h="16838" w:orient="portrait"/>
          <w:cols w:equalWidth="0" w:num="1">
            <w:col w:w="10964"/>
          </w:cols>
          <w:pgMar w:left="436" w:top="270" w:right="499" w:bottom="1440" w:gutter="0" w:footer="0" w:header="0"/>
        </w:sectPr>
      </w:pPr>
    </w:p>
    <w:bookmarkStart w:id="225" w:name="page226"/>
    <w:bookmarkEnd w:id="225"/>
    <w:p>
      <w:pPr>
        <w:ind w:right="80" w:firstLine="987"/>
        <w:spacing w:after="0" w:line="266" w:lineRule="auto"/>
        <w:tabs>
          <w:tab w:leader="none" w:pos="12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submits for itself and its property in any legal action or proceeding relating to this Agreement and the Collateral Documents, or for recognition and enforcement of any judgment in respect thereof, to the exclusive jurisdiction of the courts of the State of New York or the United States of America located in the Borough of Manhattan, City of New York, and appellate courts from any thereof;</w:t>
      </w:r>
    </w:p>
    <w:p>
      <w:pPr>
        <w:spacing w:after="0" w:line="175" w:lineRule="exact"/>
        <w:rPr>
          <w:rFonts w:ascii="Times New Roman" w:cs="Times New Roman" w:eastAsia="Times New Roman" w:hAnsi="Times New Roman"/>
          <w:sz w:val="18"/>
          <w:szCs w:val="18"/>
          <w:color w:val="auto"/>
        </w:rPr>
      </w:pPr>
    </w:p>
    <w:p>
      <w:pPr>
        <w:ind w:right="260" w:firstLine="987"/>
        <w:spacing w:after="0" w:line="266" w:lineRule="auto"/>
        <w:tabs>
          <w:tab w:leader="none" w:pos="124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and agrees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in any such action or proceeding may be effected by mailing a copy thereof by registered or certified mail (or any substantially similar form of mail), postage prepaid, to such Person (or its Representative) at the address referred to in Section 8.12;</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of any other party hereto (or any Secured Party) to effect service of process in any other manner permitted by law; and</w:t>
      </w:r>
    </w:p>
    <w:p>
      <w:pPr>
        <w:spacing w:after="0" w:line="161" w:lineRule="exact"/>
        <w:rPr>
          <w:rFonts w:ascii="Times New Roman" w:cs="Times New Roman" w:eastAsia="Times New Roman" w:hAnsi="Times New Roman"/>
          <w:sz w:val="18"/>
          <w:szCs w:val="18"/>
          <w:color w:val="auto"/>
        </w:rPr>
      </w:pPr>
    </w:p>
    <w:p>
      <w:pPr>
        <w:ind w:right="500" w:firstLine="987"/>
        <w:spacing w:after="0" w:line="282" w:lineRule="auto"/>
        <w:tabs>
          <w:tab w:leader="none" w:pos="12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8.11 any special, exemplary, punitive or consequential damages.</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provided for or permitted hereunder shall be in writing (including electronic mail) and shall be sent: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if to the Borrower or any Grantor, to the Borrower, at its address at: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Medline Borrower, 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 Lakes Dr.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Northfield, IL 60093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Michael Drazin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Electronic Mail: [Email address]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Medline Borrower, 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 Lakes Dr.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Northfield, IL 60093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Alex Liberman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Electronic Mail: [Email address]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Brian Gluck, Brian Steinhardt and Adam Moss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[Telephone]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Facsimile: [Facsimile]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E-32</w:t>
      </w:r>
    </w:p>
    <w:p>
      <w:pPr>
        <w:sectPr>
          <w:pgSz w:w="11900" w:h="16838" w:orient="portrait"/>
          <w:cols w:equalWidth="0" w:num="1">
            <w:col w:w="11000"/>
          </w:cols>
          <w:pgMar w:left="440" w:top="270" w:right="459" w:bottom="1440" w:gutter="0" w:footer="0" w:header="0"/>
        </w:sectPr>
      </w:pPr>
    </w:p>
    <w:bookmarkStart w:id="226" w:name="page227"/>
    <w:bookmarkEnd w:id="2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if to the First Lien Credit Agreement Collateral Agent, to it at: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Mail Code: TX2-984-03-26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Building 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2380 Performance Dr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Richardson, TX 75082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Gavin Shak</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 [Telephone]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Facsimile: [Facsimile]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Milbank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Michael Bellucci</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[Telephone]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if to the 2021 Notes Collateral Agent, the 2024 Notes Collateral Agent or the 2026 Notes Collateral Agent, to it at: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Global Capital Markets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50 South Sixth Street, Suite 1290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Facsimile No.: [Facsimile]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Medline Borrower, LP Notes Administrator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if to the Initial Second Lien Collateral Agent, to it at:</w:t>
      </w:r>
    </w:p>
    <w:p>
      <w:pPr>
        <w:spacing w:after="0" w:line="11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74"/>
              </w:rPr>
              <w:t>[ </w:t>
            </w:r>
          </w:p>
        </w:tc>
        <w:tc>
          <w:tcPr>
            <w:tcW w:w="8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Attention: [ </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74"/>
              </w:rPr>
              <w:t>[ </w:t>
            </w:r>
          </w:p>
        </w:tc>
        <w:tc>
          <w:tcPr>
            <w:tcW w:w="8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1"/>
              </w:rPr>
              <w:t>Telephone: [ 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Facsimile: [ </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ind w:left="1420"/>
        <w:spacing w:after="0"/>
        <w:tabs>
          <w:tab w:leader="none" w:pos="2900" w:val="left"/>
        </w:tabs>
        <w:rPr>
          <w:sz w:val="20"/>
          <w:szCs w:val="20"/>
          <w:color w:val="auto"/>
        </w:rPr>
      </w:pPr>
      <w:r>
        <w:rPr>
          <w:rFonts w:ascii="Times New Roman" w:cs="Times New Roman" w:eastAsia="Times New Roman" w:hAnsi="Times New Roman"/>
          <w:sz w:val="18"/>
          <w:szCs w:val="18"/>
          <w:color w:val="auto"/>
        </w:rPr>
        <w:t>Electronic mail: [ </w:t>
        <w:tab/>
        <w: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if to any other Representative, to it at the address specified by it in the Joinder Agreement delivered by it pursuant to Section 8.09.</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Unless otherwise specifically provided herein, any notice or other communication herein required or permitted to be given shall be in writing and, may be personally served, telecopied, electronically mailed or sent by courier service or U.S. mail and shall be deemed to have been given when delivered in person or by courier service, upon receipt of a telecopy or electronic mail or upon receipt via U.S. mail (registered or certified, with postage prepaid and properly addressed). For the purposes hereof, the addresses of the parties hereto shall be as set forth above or, as to each party, at such other address as may be designated by such party in a written notice to all of the other parties.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E-33</w:t>
      </w:r>
    </w:p>
    <w:p>
      <w:pPr>
        <w:sectPr>
          <w:pgSz w:w="11900" w:h="16838" w:orient="portrait"/>
          <w:cols w:equalWidth="0" w:num="1">
            <w:col w:w="10960"/>
          </w:cols>
          <w:pgMar w:left="440" w:top="270" w:right="499" w:bottom="1440" w:gutter="0" w:footer="0" w:header="0"/>
        </w:sectPr>
      </w:pPr>
    </w:p>
    <w:bookmarkStart w:id="227" w:name="page228"/>
    <w:bookmarkEnd w:id="227"/>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Senior Representative, on behalf of itself and each Senior Secured Party under the Senior Facility for which it is acting, each Second Priority Representative, on behalf of itself, and each Second Priority Debt Party under its Second Priority Debt Facility, agrees that it will take such further action and shall execute and deliver such additional documents and instruments (in recordable form, if requested) as the other parties hereto may reasonably request to effectuate the terms of, and the Lien priorities contemplated by,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400" w:firstLine="436"/>
        <w:spacing w:after="0" w:line="317" w:lineRule="auto"/>
        <w:tabs>
          <w:tab w:leader="none" w:pos="735" w:val="left"/>
        </w:tabs>
        <w:numPr>
          <w:ilvl w:val="0"/>
          <w:numId w:val="2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THIS AGREEMENT AND THE RIGHTS AND OBLIGATIONS OF THE PARTIES UNDER THIS AGREEMENT SHALL BE GOVERNED BY, AND CONSTRUED AND INTERPRETED IN ACCORDANCE WITH, THE LAW OF THE STATE OF NEW YORK.</w:t>
      </w:r>
    </w:p>
    <w:p>
      <w:pPr>
        <w:spacing w:after="0" w:line="131" w:lineRule="exact"/>
        <w:rPr>
          <w:rFonts w:ascii="Times New Roman" w:cs="Times New Roman" w:eastAsia="Times New Roman" w:hAnsi="Times New Roman"/>
          <w:sz w:val="17"/>
          <w:szCs w:val="17"/>
          <w:b w:val="1"/>
          <w:bCs w:val="1"/>
          <w:color w:val="auto"/>
        </w:rPr>
      </w:pPr>
    </w:p>
    <w:p>
      <w:pPr>
        <w:ind w:right="280" w:firstLine="436"/>
        <w:spacing w:after="0" w:line="286" w:lineRule="auto"/>
        <w:tabs>
          <w:tab w:leader="none" w:pos="725"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EACH PARTY HERETO HEREBY IRREVOCABLY AND UNCONDITIONALLY WAIVES TRIAL BY JURY IN ANY LEGAL ACTION OR PROCEEDING RELATING TO THIS AGREEMENT AND FOR ANY COUNTERCLAIM THEREIN.</w:t>
      </w:r>
    </w:p>
    <w:p>
      <w:pPr>
        <w:spacing w:after="0" w:line="15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Binding on Successors and Assigns</w:t>
      </w:r>
      <w:r>
        <w:rPr>
          <w:rFonts w:ascii="Times New Roman" w:cs="Times New Roman" w:eastAsia="Times New Roman" w:hAnsi="Times New Roman"/>
          <w:sz w:val="18"/>
          <w:szCs w:val="18"/>
          <w:color w:val="auto"/>
        </w:rPr>
        <w:t>. This Agreement shall be binding upon the Senior Representatives, the Senior Secured Parties, the Second Priority Representatives, the Second Priority Debt Parties, the Borrower, the other Grantors party hereto and their respective successors and assigns.</w:t>
      </w:r>
    </w:p>
    <w:p>
      <w:pPr>
        <w:spacing w:after="0" w:line="176"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Section Titles</w:t>
      </w:r>
      <w:r>
        <w:rPr>
          <w:rFonts w:ascii="Times New Roman" w:cs="Times New Roman" w:eastAsia="Times New Roman" w:hAnsi="Times New Roman"/>
          <w:sz w:val="18"/>
          <w:szCs w:val="18"/>
          <w:color w:val="auto"/>
        </w:rPr>
        <w:t>. The section titles contained in this Agreement are and shall be without substantive meaning or content of any kind whatsoever and are not a part of this Agreement.</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8.17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when so executed shall be deemed to be an original and all of which when taken together shall constitute one and the same instrument. Any signature to this Agreement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For the avoidance of doubt, the foregoing also applies to any amendment, extension or renewal of this Agreement. Each of the parties hereto represents and warrants to the other parties hereto that it has the corporate capacity and authority to execute this Agreement through electronic means and there are no restrictions for doing so in such party’s constitutive documents.</w:t>
      </w:r>
    </w:p>
    <w:p>
      <w:pPr>
        <w:spacing w:after="0" w:line="19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8.18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By its signature, each Person executing this Agreement on behalf of a party hereto represents and warrants to the other parties hereto that it is duly authorized to execute this Agreement.</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8.19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lien priorities set forth in this Agreement and the rights and benefits hereunder in respect of such lien priorities shall inure solely to the benefit of the Senior Representatives, the Senior Secured Parties, the Second Priority Representatives and the Second Priority Debt Parties and the Borrowers and the Grantors, and their respective permitted successors and assigns, and no other Person shall have or be entitled to assert such rights. Nothing in this Agreement is intended to or shall impair the obligations of the Borrower or any other Grantor, which are absolute and unconditional, to pay the Senior Obligations and the Second Priority Debt Obligations as and when the same shall become due and payable in accordance with their terms.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E-34</w:t>
      </w:r>
    </w:p>
    <w:p>
      <w:pPr>
        <w:sectPr>
          <w:pgSz w:w="11900" w:h="16838" w:orient="portrait"/>
          <w:cols w:equalWidth="0" w:num="1">
            <w:col w:w="10980"/>
          </w:cols>
          <w:pgMar w:left="440" w:top="270" w:right="479" w:bottom="1440" w:gutter="0" w:footer="0" w:header="0"/>
        </w:sectPr>
      </w:pPr>
    </w:p>
    <w:bookmarkStart w:id="228" w:name="page229"/>
    <w:bookmarkEnd w:id="22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8.20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shall become effective when executed and delivered by the parties hereto.</w:t>
      </w:r>
    </w:p>
    <w:p>
      <w:pPr>
        <w:spacing w:after="0" w:line="225" w:lineRule="exact"/>
        <w:rPr>
          <w:sz w:val="20"/>
          <w:szCs w:val="20"/>
          <w:color w:val="auto"/>
        </w:rPr>
      </w:pPr>
    </w:p>
    <w:p>
      <w:pPr>
        <w:ind w:right="20" w:firstLine="991"/>
        <w:spacing w:after="0" w:line="269" w:lineRule="auto"/>
        <w:rPr>
          <w:sz w:val="20"/>
          <w:szCs w:val="20"/>
          <w:color w:val="auto"/>
        </w:rPr>
      </w:pPr>
      <w:r>
        <w:rPr>
          <w:rFonts w:ascii="Times New Roman" w:cs="Times New Roman" w:eastAsia="Times New Roman" w:hAnsi="Times New Roman"/>
          <w:sz w:val="17"/>
          <w:szCs w:val="17"/>
          <w:color w:val="auto"/>
        </w:rPr>
        <w:t xml:space="preserve">SECTION 8.21 </w:t>
      </w:r>
      <w:r>
        <w:rPr>
          <w:rFonts w:ascii="Times New Roman" w:cs="Times New Roman" w:eastAsia="Times New Roman" w:hAnsi="Times New Roman"/>
          <w:sz w:val="17"/>
          <w:szCs w:val="17"/>
          <w:u w:val="single" w:color="auto"/>
          <w:color w:val="auto"/>
        </w:rPr>
        <w:t>Collateral Agent and Representative</w:t>
      </w:r>
      <w:r>
        <w:rPr>
          <w:rFonts w:ascii="Times New Roman" w:cs="Times New Roman" w:eastAsia="Times New Roman" w:hAnsi="Times New Roman"/>
          <w:sz w:val="17"/>
          <w:szCs w:val="17"/>
          <w:color w:val="auto"/>
        </w:rPr>
        <w:t>. It is understood and agreed that (a) the First Lien Credit Agreement Collateral Agent is entering into this Agreement in its capacity as administrative agent and collateral agent under the First Lien Credit Agreement and the provisions of Article 9 of the First Lien Credit Agreement applicable to the Agents (as defined therein) thereunder shall also apply to the First Lien Credit Agreement Collateral Agent hereunder, (b) the 2021 Notes Collateral Agent is entering into this Agreement in its capacity as collateral agent under the 2021 Indenture and the provisions of Articles 7 and 13 of the 2021 Indenture applicable to the 2021 Notes Collateral Agent thereunder shall also apply to the 2021 Notes Collateral Agent hereunder, (c) the 2024 Notes Collateral Agent is entering into this Agreement in its capacity as collateral agent under the 2024 Indenture and the provisions of Articles 7 and 13 of the 2024 Indenture applicable to the 2024 Notes Collateral Agent thereunder shall also apply to the 2024 Notes Collateral Agent hereunder, (d) the 2026 Notes Collateral Agent is entering into this Agreement in its capacity as collateral agent under the 2026 Indenture and the provisions of Articles 7 and 13 of the 2026 Indenture applicable to the 2026 Notes Collateral Agent thereunder shall also apply to the 2026 Notes Collateral Agent hereunder and (e) the Initial Second Lien Collateral Agent is entering into this Agreement in its capacity as administrative agent and collateral agent under the Initial Second Lien Agreement and the provisions of Article [ ] of the Initial Second Lien Agreement applicable to the [Agents] (as defined therein) thereunder shall also apply to the Initial Second Lien Collateral Agent hereunder.</w:t>
      </w:r>
    </w:p>
    <w:p>
      <w:pPr>
        <w:spacing w:after="0" w:line="17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8.22 </w:t>
      </w:r>
      <w:r>
        <w:rPr>
          <w:rFonts w:ascii="Times New Roman" w:cs="Times New Roman" w:eastAsia="Times New Roman" w:hAnsi="Times New Roman"/>
          <w:sz w:val="18"/>
          <w:szCs w:val="18"/>
          <w:u w:val="single" w:color="auto"/>
          <w:color w:val="auto"/>
        </w:rPr>
        <w:t>Relative Rights</w:t>
      </w:r>
      <w:r>
        <w:rPr>
          <w:rFonts w:ascii="Times New Roman" w:cs="Times New Roman" w:eastAsia="Times New Roman" w:hAnsi="Times New Roman"/>
          <w:sz w:val="18"/>
          <w:szCs w:val="18"/>
          <w:color w:val="auto"/>
        </w:rPr>
        <w:t>. Notwithstanding anything in this Agreement to the contrary (except to the extent contemplated by Sections 5.01(a), 5.01(d) or 5.03(d)), nothing in this Agreement is intended to or will (a) amend, waive or otherwise modify the provisions of the First Lien Credit Agreement, any other Senior Debt Document, the Initial Second Lien Agreement or any other Second Priority Debt Documents, (b) change the relative priorities of the Senior Obligations or the Liens granted under the Senior Collateral Documents on the Shared Collateral (or any other assets) as among the Senior Secured Parties, (c) otherwise change the relative rights of the Senior Secured Parties in respect of the Shared Collateral as among such Senior Secured Parties or (d) obligate the Borrower or any Grantor to take any action, or fail to take any action, that would otherwise constitute a breach of, or default under, the First Lien Credit Agreement, any other Senior Debt Document, the Initial Second Lien Agreement or any other Second Priority Debt Document.</w:t>
      </w:r>
    </w:p>
    <w:p>
      <w:pPr>
        <w:spacing w:after="0" w:line="19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8.23 </w:t>
      </w:r>
      <w:r>
        <w:rPr>
          <w:rFonts w:ascii="Times New Roman" w:cs="Times New Roman" w:eastAsia="Times New Roman" w:hAnsi="Times New Roman"/>
          <w:sz w:val="18"/>
          <w:szCs w:val="18"/>
          <w:u w:val="single" w:color="auto"/>
          <w:color w:val="auto"/>
        </w:rPr>
        <w:t>Survival of Agreement</w:t>
      </w:r>
      <w:r>
        <w:rPr>
          <w:rFonts w:ascii="Times New Roman" w:cs="Times New Roman" w:eastAsia="Times New Roman" w:hAnsi="Times New Roman"/>
          <w:sz w:val="18"/>
          <w:szCs w:val="18"/>
          <w:color w:val="auto"/>
        </w:rPr>
        <w:t>. All covenants, agreements, representations and warranties made by any party in this Agreement shall be considered to have been relied upon by the other parties hereto and shall survive the execution and delivery of this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E-35</w:t>
      </w:r>
    </w:p>
    <w:p>
      <w:pPr>
        <w:sectPr>
          <w:pgSz w:w="11900" w:h="16838" w:orient="portrait"/>
          <w:cols w:equalWidth="0" w:num="1">
            <w:col w:w="10980"/>
          </w:cols>
          <w:pgMar w:left="440" w:top="270" w:right="479" w:bottom="1440" w:gutter="0" w:footer="0" w:header="0"/>
        </w:sectPr>
      </w:pPr>
    </w:p>
    <w:bookmarkStart w:id="229" w:name="page230"/>
    <w:bookmarkEnd w:id="22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First Lien Credit Agreement Collateral Agent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2021 Notes Collateral Agent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2024 Notes Collateral Agent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2026 Notes Collateral Agent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E-36</w:t>
      </w:r>
    </w:p>
    <w:p>
      <w:pPr>
        <w:sectPr>
          <w:pgSz w:w="11900" w:h="16838" w:orient="portrait"/>
          <w:cols w:equalWidth="0" w:num="1">
            <w:col w:w="10920"/>
          </w:cols>
          <w:pgMar w:left="440" w:top="270" w:right="539" w:bottom="1440" w:gutter="0" w:footer="0" w:header="0"/>
        </w:sectPr>
      </w:pPr>
    </w:p>
    <w:bookmarkStart w:id="230" w:name="page231"/>
    <w:bookmarkEnd w:id="230"/>
    <w:p>
      <w:pPr>
        <w:ind w:left="5720" w:hanging="109"/>
        <w:spacing w:after="0"/>
        <w:tabs>
          <w:tab w:leader="none" w:pos="5720" w:val="left"/>
        </w:tabs>
        <w:numPr>
          <w:ilvl w:val="0"/>
          <w:numId w:val="2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color w:val="auto"/>
        </w:rPr>
        <w:t>, as Initial Second Lien Collateral Agent</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MEDLINE BORROWER,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MEDLINE INTERMEDIATE,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[SUBSIDIARY GUARANTORS]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E-37</w:t>
      </w:r>
    </w:p>
    <w:p>
      <w:pPr>
        <w:sectPr>
          <w:pgSz w:w="11900" w:h="16838" w:orient="portrait"/>
          <w:cols w:equalWidth="0" w:num="1">
            <w:col w:w="9019"/>
          </w:cols>
          <w:pgMar w:left="1440" w:top="266" w:right="1440" w:bottom="1440" w:gutter="0" w:footer="0" w:header="0"/>
        </w:sectPr>
      </w:pPr>
    </w:p>
    <w:bookmarkStart w:id="231" w:name="page232"/>
    <w:bookmarkEnd w:id="231"/>
    <w:p>
      <w:pPr>
        <w:ind w:left="102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w:t>
      </w:r>
    </w:p>
    <w:p>
      <w:pPr>
        <w:spacing w:after="0" w:line="225" w:lineRule="exact"/>
        <w:rPr>
          <w:sz w:val="20"/>
          <w:szCs w:val="20"/>
          <w:color w:val="auto"/>
        </w:rPr>
      </w:pPr>
    </w:p>
    <w:p>
      <w:pPr>
        <w:spacing w:after="0"/>
        <w:tabs>
          <w:tab w:leader="none" w:pos="3120" w:val="left"/>
          <w:tab w:leader="none" w:pos="9640" w:val="left"/>
        </w:tabs>
        <w:rPr>
          <w:sz w:val="20"/>
          <w:szCs w:val="20"/>
          <w:color w:val="auto"/>
        </w:rPr>
      </w:pPr>
      <w:r>
        <w:rPr>
          <w:rFonts w:ascii="Times New Roman" w:cs="Times New Roman" w:eastAsia="Times New Roman" w:hAnsi="Times New Roman"/>
          <w:sz w:val="18"/>
          <w:szCs w:val="18"/>
          <w:color w:val="auto"/>
        </w:rPr>
        <w:t xml:space="preserve">SUPPLEMENT NO. [  ] dated as of [    </w:t>
        <w:tab/>
        <w:t xml:space="preserve">], to the JUNIOR PRIORITY LIEN INTERCREDITOR AGREEMENT dated as of [    </w:t>
      </w:r>
      <w:r>
        <w:rPr>
          <w:sz w:val="20"/>
          <w:szCs w:val="20"/>
          <w:color w:val="auto"/>
        </w:rPr>
        <w:tab/>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Junior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Priority Lien Intercreditor Agreement</w:t>
      </w:r>
      <w:r>
        <w:rPr>
          <w:rFonts w:ascii="Times New Roman" w:cs="Times New Roman" w:eastAsia="Times New Roman" w:hAnsi="Times New Roman"/>
          <w:sz w:val="18"/>
          <w:szCs w:val="18"/>
          <w:color w:val="auto"/>
        </w:rPr>
        <w:t>”), among Medline Intermediate, LP, a Delaware limited partnership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Medline Borrower, LP,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partnership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certain subsidiaries and affiliates of the Borrower (together with the Borrower and Holdings,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Bank of America, N.A., as First Lien Credit Agreement Collateral Agent under the First Lien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 as 2021 Notes Collateral Agent under the 2021 Indenture, Wilmington Trust, National Association, as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Collateral Agent under the 2024 Indenture, Wilmington Trust, National Association, as 2026 Notes Collateral Agent under the 2026 Indenture,</w:t>
      </w:r>
    </w:p>
    <w:p>
      <w:pPr>
        <w:spacing w:after="0" w:line="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as Initial Second Lien Collateral Agent under the Initial Second Lien Agreement, and the additional Representatives from time to time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ind w:right="400" w:firstLine="436"/>
        <w:spacing w:after="0" w:line="282" w:lineRule="auto"/>
        <w:tabs>
          <w:tab w:leader="none" w:pos="73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herein and not otherwise defined herein shall have the meanings assigned to such terms in the Junior Priority Lien Intercreditor Agreement.</w:t>
      </w:r>
    </w:p>
    <w:p>
      <w:pPr>
        <w:spacing w:after="0" w:line="161" w:lineRule="exact"/>
        <w:rPr>
          <w:rFonts w:ascii="Times New Roman" w:cs="Times New Roman" w:eastAsia="Times New Roman" w:hAnsi="Times New Roman"/>
          <w:sz w:val="18"/>
          <w:szCs w:val="18"/>
          <w:color w:val="auto"/>
        </w:rPr>
      </w:pPr>
    </w:p>
    <w:p>
      <w:pPr>
        <w:ind w:right="100" w:firstLine="436"/>
        <w:spacing w:after="0" w:line="255" w:lineRule="auto"/>
        <w:tabs>
          <w:tab w:leader="none" w:pos="72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Grantors have entered into the Junior Priority Lien Intercreditor Agreement. Pursuant to the First Lien Credit Agreement, the Initial Second Lien Agreement, certain Additional Senior Debt Documents and certain Additional Second Priority Debt Documents, certain newly acquired or organized Subsidiaries of the Borrower are required to enter into the Junior Priority Lien Intercreditor Agreement. Section 8.07 of the Junior Priority Lien Intercreditor Agreement provides that such Subsidiaries may become party to the Junior Priority Lien Intercreditor Agreement by execution and delivery of an instrument in the form of this Supplement. The undersigned Subsidiary (the “</w:t>
      </w:r>
      <w:r>
        <w:rPr>
          <w:rFonts w:ascii="Times New Roman" w:cs="Times New Roman" w:eastAsia="Times New Roman" w:hAnsi="Times New Roman"/>
          <w:sz w:val="18"/>
          <w:szCs w:val="18"/>
          <w:u w:val="single" w:color="auto"/>
          <w:color w:val="auto"/>
        </w:rPr>
        <w:t>New Grantor</w:t>
      </w:r>
      <w:r>
        <w:rPr>
          <w:rFonts w:ascii="Times New Roman" w:cs="Times New Roman" w:eastAsia="Times New Roman" w:hAnsi="Times New Roman"/>
          <w:sz w:val="18"/>
          <w:szCs w:val="18"/>
          <w:color w:val="auto"/>
        </w:rPr>
        <w:t>”) is executing this Supplement in accordance with the requirements of the First Lien Credit Agreement, the Initial Second Lien Agreement, the Additional Second Priority Debt Documents and Additional Senior Debt Documents.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Designated Senior Representative and the New Grantor agree as follows:</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SECTION 1 In accordance with Section 8.07 of the Junior Priority Lien Intercreditor Agreement, the New Grantor by its signature below becomes a Grantor under the Junior Priority Lien Intercreditor Agreement with the same force and effect as if originally named therein as a Grantor, and the New Grantor hereby agrees to all the terms and provisions of the Junior Priority Lien Intercreditor Agreement applicable to it as a Grantor thereunder. Each reference to a “Grantor” in the Junior Priority Lien Intercreditor Agreement shall be deemed to include the New Grantor. The Junior Priority Lien Intercreditor Agreement is hereby incorporated herein by reference.</w:t>
      </w:r>
    </w:p>
    <w:p>
      <w:pPr>
        <w:spacing w:after="0" w:line="183"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SECTION 2 The New Grantor represents and warrants to the Designated Senior Representative and the other Secured Parties that this Supplement has been duly authorized, executed and delivered by it and constitutes its legal, valid and binding obligation, enforceable against it in accordance with its terms, except as such enforceability may be limited by Bankruptcy Laws and by general principles of equity.</w:t>
      </w:r>
    </w:p>
    <w:p>
      <w:pPr>
        <w:spacing w:after="0" w:line="176" w:lineRule="exact"/>
        <w:rPr>
          <w:sz w:val="20"/>
          <w:szCs w:val="20"/>
          <w:color w:val="auto"/>
        </w:rPr>
      </w:pPr>
    </w:p>
    <w:p>
      <w:pPr>
        <w:jc w:val="both"/>
        <w:ind w:right="360" w:firstLine="991"/>
        <w:spacing w:after="0" w:line="261" w:lineRule="auto"/>
        <w:rPr>
          <w:sz w:val="20"/>
          <w:szCs w:val="20"/>
          <w:color w:val="auto"/>
        </w:rPr>
      </w:pPr>
      <w:r>
        <w:rPr>
          <w:rFonts w:ascii="Times New Roman" w:cs="Times New Roman" w:eastAsia="Times New Roman" w:hAnsi="Times New Roman"/>
          <w:sz w:val="18"/>
          <w:szCs w:val="18"/>
          <w:color w:val="auto"/>
        </w:rPr>
        <w:t>SECTION 3 This Supplement may be executed in counterparts, each of which shall constitute an original, but all of which when taken together shall constitute a single contract. This Supplement shall become effective when the Designated Senior Representative shall have received a counterpart of this Supplement that bears the signature of the New Grantor. Delivery of an executed signature page to this Supplement by facsimile transmission or other electronic method shall be as effective as delivery of a manually signed counterpart of this Supplement.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4 Except as expressly supplemented hereby, the Junior Priority Lien Intercreditor Agreement shall remain in full force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1020"/>
          </w:cols>
          <w:pgMar w:left="440" w:top="270" w:right="439" w:bottom="1440" w:gutter="0" w:footer="0" w:header="0"/>
        </w:sectPr>
      </w:pPr>
    </w:p>
    <w:bookmarkStart w:id="232" w:name="page233"/>
    <w:bookmarkEnd w:id="232"/>
    <w:p>
      <w:pPr>
        <w:ind w:right="1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 THIS SUPPLEMENT SHALL BE GOVERNED BY, AND CONSTRUED IN ACCORDANCE WITH, THE LAWS OF THE STATE OF NEW YORK.</w:t>
      </w:r>
    </w:p>
    <w:p>
      <w:pPr>
        <w:spacing w:after="0" w:line="15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SECTION 6 In case any one or more of the provisions contained in this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Junior Priority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83"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SECTION 7 All communications and notices hereunder shall be in writing and given as provided in Section 8.12 of the Junior Priority Lien Intercreditor Agreement. All communications and notices hereunder to the New Grantor shall be given to it in care of the Borrower as specified in the Junior Priority Lien Intercreditor Agreement.</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SECTION 8 The Borrower agrees to reimburse the Designated Senior Representative for its reasonable out-of-pocket expenses in connection with this Supplement, including the reasonable fees, other charges and disbursements of counsel for the Designated Senior Representative as required by the applicable Senior Debt Documents.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0980"/>
          </w:cols>
          <w:pgMar w:left="440" w:top="266" w:right="479" w:bottom="1440" w:gutter="0" w:footer="0" w:header="0"/>
        </w:sectPr>
      </w:pPr>
    </w:p>
    <w:bookmarkStart w:id="233" w:name="page234"/>
    <w:bookmarkEnd w:id="23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New Grantor, and the Designated Senior Representative have duly executed this Supplement to the Junior Priority Lien Intercreditor Agreement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NEW GRANTOR]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by: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80"/>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40" w:type="dxa"/>
            <w:vAlign w:val="bottom"/>
          </w:tcPr>
          <w:p>
            <w:pPr>
              <w:spacing w:after="0"/>
              <w:rPr>
                <w:sz w:val="18"/>
                <w:szCs w:val="18"/>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84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 Designated Senior Representative</w:t>
            </w:r>
          </w:p>
        </w:tc>
      </w:tr>
      <w:tr>
        <w:trPr>
          <w:trHeight w:val="43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r>
        <w:trPr>
          <w:trHeight w:val="205"/>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40" w:type="dxa"/>
            <w:vAlign w:val="bottom"/>
            <w:gridSpan w:val="2"/>
          </w:tcPr>
          <w:p>
            <w:pPr>
              <w:jc w:val="right"/>
              <w:ind w:right="3470"/>
              <w:spacing w:after="0" w:line="205" w:lineRule="exact"/>
              <w:rPr>
                <w:sz w:val="20"/>
                <w:szCs w:val="20"/>
                <w:color w:val="auto"/>
              </w:rPr>
            </w:pPr>
            <w:r>
              <w:rPr>
                <w:rFonts w:ascii="Times New Roman" w:cs="Times New Roman" w:eastAsia="Times New Roman" w:hAnsi="Times New Roman"/>
                <w:sz w:val="18"/>
                <w:szCs w:val="18"/>
                <w:color w:val="auto"/>
                <w:w w:val="95"/>
              </w:rPr>
              <w:t>Name:</w:t>
            </w:r>
          </w:p>
        </w:tc>
      </w:tr>
      <w:tr>
        <w:trPr>
          <w:trHeight w:val="234"/>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80" w:type="dxa"/>
            <w:vAlign w:val="bottom"/>
            <w:gridSpan w:val="3"/>
          </w:tcPr>
          <w:p>
            <w:pPr>
              <w:jc w:val="right"/>
              <w:ind w:right="357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80"/>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4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84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as Designated Second Priority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0920"/>
          </w:cols>
          <w:pgMar w:left="440" w:top="270" w:right="539" w:bottom="1440" w:gutter="0" w:footer="0" w:header="0"/>
        </w:sectPr>
      </w:pPr>
    </w:p>
    <w:bookmarkStart w:id="234" w:name="page235"/>
    <w:bookmarkEnd w:id="234"/>
    <w:p>
      <w:pPr>
        <w:ind w:left="102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II</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[FORM OF] REPRESENTATIVE SUPPLEMENT NO. [ ] dated as of [    ] to the JUNIOR PRIORITY LIEN INTERCREDITOR AGREEMENT dated as of [    ] (the “</w:t>
      </w:r>
      <w:r>
        <w:rPr>
          <w:rFonts w:ascii="Times New Roman" w:cs="Times New Roman" w:eastAsia="Times New Roman" w:hAnsi="Times New Roman"/>
          <w:sz w:val="18"/>
          <w:szCs w:val="18"/>
          <w:u w:val="single" w:color="auto"/>
          <w:color w:val="auto"/>
        </w:rPr>
        <w:t>Junior Priority Lien Intercreditor Agreement</w:t>
      </w:r>
      <w:r>
        <w:rPr>
          <w:rFonts w:ascii="Times New Roman" w:cs="Times New Roman" w:eastAsia="Times New Roman" w:hAnsi="Times New Roman"/>
          <w:sz w:val="18"/>
          <w:szCs w:val="18"/>
          <w:color w:val="auto"/>
        </w:rPr>
        <w:t>”), Medline Intermediate, LP, a Delaware limited partnership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Medline Borrower, LP, a Delaware limited partnership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certain subsidiaries and affiliates of the Borrower (together with the Borrower and Holdings, the “</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BANK OF AMERICA, N.A., as First Lien Credit Agreement Collateral Agent under the First Lien Credit Agreement, WILMINGTON TRUST, NATIONAL ASSOCIATION, as 2021 Notes Collateral Agent under the 2021 Indenture, WILMINGTON TRUST, NATIONAL ASSOCIATION, as 2024 Notes Collateral Agent under the 2024 Indenture, WILMINGTON TRUST, NATIONAL ASSOCIATION, as 2026 Notes Collateral Agent under the 2026 Indenture, [    ], as Initial Second Lien Collateral Agent under the Initial Second Lien Agreement, and the additional Representatives from time to time party thereto.</w:t>
      </w:r>
    </w:p>
    <w:p>
      <w:pPr>
        <w:spacing w:after="0" w:line="192" w:lineRule="exact"/>
        <w:rPr>
          <w:sz w:val="20"/>
          <w:szCs w:val="20"/>
          <w:color w:val="auto"/>
        </w:rPr>
      </w:pPr>
    </w:p>
    <w:p>
      <w:pPr>
        <w:ind w:right="420" w:firstLine="436"/>
        <w:spacing w:after="0" w:line="282" w:lineRule="auto"/>
        <w:tabs>
          <w:tab w:leader="none" w:pos="73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herein but not otherwise defined herein shall have the meanings assigned to such terms in the Junior Priority Lien Intercreditor Agreement.</w:t>
      </w:r>
    </w:p>
    <w:p>
      <w:pPr>
        <w:spacing w:after="0" w:line="161" w:lineRule="exact"/>
        <w:rPr>
          <w:rFonts w:ascii="Times New Roman" w:cs="Times New Roman" w:eastAsia="Times New Roman" w:hAnsi="Times New Roman"/>
          <w:sz w:val="18"/>
          <w:szCs w:val="18"/>
          <w:color w:val="auto"/>
        </w:rPr>
      </w:pPr>
    </w:p>
    <w:p>
      <w:pPr>
        <w:ind w:right="20" w:firstLine="436"/>
        <w:spacing w:after="0" w:line="253" w:lineRule="auto"/>
        <w:tabs>
          <w:tab w:leader="none" w:pos="72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ability of the Borrower to incur Second Priority Class Debt after the date of the Junior Priority Lien Intercreditor Agreement and to secure such Second Priority Class Debt with the Second Priority Lien and to have such Second Priority Class Debt guaranteed by the Grantors, in each case under and pursuant to the Second Priority Collateral Documents relating thereto, the Second Priority Class Debt Representative in respect of such Second Priority Class Debt is required to become a Representative under, and such Second Priority Class Debt and the Second Priority Class Debt Parties in respect thereof are required to become subject to and bound by, the Junior Priority Lien Intercreditor Agreement. Section 8.09 of the Junior Priority Lien Intercreditor Agreement provides that such Second Priority Class Debt Representative may become a Representative under, and such Second Priority Class Debt and such Second Priority Class Debt Parties may become subject to and bound by, the Junior Priority Lien Intercreditor Agreement as Additional Second Priority Debt Obligations and Additional Second Priority Debt Parties, respectively, pursuant to the execution and delivery by the Second Priority Class Debt Representative of an instrument in the form of this Representative Supplement and the satisfaction of the other conditions set forth in Section 8.09 of the Junior Priority Lien Intercreditor Agreement. The undersigned Second Priority Class Debt Representative (the “</w:t>
      </w:r>
      <w:r>
        <w:rPr>
          <w:rFonts w:ascii="Times New Roman" w:cs="Times New Roman" w:eastAsia="Times New Roman" w:hAnsi="Times New Roman"/>
          <w:sz w:val="18"/>
          <w:szCs w:val="18"/>
          <w:u w:val="single" w:color="auto"/>
          <w:color w:val="auto"/>
        </w:rPr>
        <w:t>New Representative</w:t>
      </w:r>
      <w:r>
        <w:rPr>
          <w:rFonts w:ascii="Times New Roman" w:cs="Times New Roman" w:eastAsia="Times New Roman" w:hAnsi="Times New Roman"/>
          <w:sz w:val="18"/>
          <w:szCs w:val="18"/>
          <w:color w:val="auto"/>
        </w:rPr>
        <w:t>”) is executing this Supplement in accordance with the requirements of the Senior Debt Documents and the Second Priority Debt Documents.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Designated Senior Representative and the New Representative agree as follows:</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SECTION 1 In accordance with Section 8.09 of the Junior Priority Lien Intercreditor Agreement, the New Representative by its signature below becomes a Representative under, and the related Second Priority Class Debt and Second Priority Class Debt Parties become subject to and bound by, the Junior Priority Lien Intercreditor Agreement as Additional Second Priority Debt Obligations and Additional Second Priority Debt Parties, respectively, with the same force and effect as if the New Representative had originally been named therein as a Representative, and the New Representative, on behalf of itself and such Second Priority Class Debt Parties, hereby agrees to all the terms and provisions of the Junior Priority Lien Intercreditor Agreement applicable to it as a Second Priority Representative and to the Second Priority Class Debt Parties that it represents as Second Priority Debt Parties. Each reference to a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Second Priority Representative</w:t>
      </w:r>
      <w:r>
        <w:rPr>
          <w:rFonts w:ascii="Times New Roman" w:cs="Times New Roman" w:eastAsia="Times New Roman" w:hAnsi="Times New Roman"/>
          <w:sz w:val="18"/>
          <w:szCs w:val="18"/>
          <w:color w:val="auto"/>
        </w:rPr>
        <w:t>” in the Junior Priority Lien Intercreditor Agreement shall be deemed to include the New Representative. The Junior Priority Lien Intercreditor Agreement is hereby incorporated herein by reference.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0"/>
          </w:cols>
          <w:pgMar w:left="440" w:top="270" w:right="439" w:bottom="1440" w:gutter="0" w:footer="0" w:header="0"/>
        </w:sectPr>
      </w:pPr>
    </w:p>
    <w:bookmarkStart w:id="235" w:name="page236"/>
    <w:bookmarkEnd w:id="23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The New Representative represents and warrants to the Designated Senior Representative and the other Secured Parties that</w:t>
      </w:r>
    </w:p>
    <w:p>
      <w:pPr>
        <w:spacing w:after="0" w:line="27" w:lineRule="exact"/>
        <w:rPr>
          <w:sz w:val="20"/>
          <w:szCs w:val="20"/>
          <w:color w:val="auto"/>
        </w:rPr>
      </w:pPr>
    </w:p>
    <w:p>
      <w:pPr>
        <w:ind w:left="4" w:right="180" w:hanging="4"/>
        <w:spacing w:after="0" w:line="253" w:lineRule="auto"/>
        <w:tabs>
          <w:tab w:leader="none" w:pos="21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and authority to enter into this Representative Supplement, in its capacity as [agent] [trustee], (ii) this Representative Supplement has been duly authorized, executed and delivered by it and constitutes its legal, valid and binding obligation, enforceable against it in accordance with the terms of such Agreement and (iii) the Second Priority Debt Documents relating to such Second Priority Class Debt provide that, upon the New Representative’s entry into this Agreement, the Second Priority Class Debt Parties in respect of such Second Priority Class Debt will be subject to and bound by the provisions of the Junior Priority Lien Intercreditor Agreement as Second Priority Debt Parties.</w:t>
      </w:r>
    </w:p>
    <w:p>
      <w:pPr>
        <w:spacing w:after="0" w:line="187"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SECTION 3 This Representative Supplement may be executed in counterparts, each of which shall constitute an original, but all of which when taken together shall constitute a single contract. This Representative Supplement shall become effective when the Designated Senior Representative shall have received a counterpart of this Representative Supplement that bears the signature of the New Representative. Delivery of an executed signature page to this Representative Supplement by facsimile transmission or other electronic method shall be effective as delivery of a manually signed counterpart of this Representative Supplement.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4 Except as expressly supplemented hereby, the Junior Priority Lien Intercreditor Agreement shall remain in full force and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effect.</w:t>
      </w:r>
    </w:p>
    <w:p>
      <w:pPr>
        <w:spacing w:after="0" w:line="203" w:lineRule="exact"/>
        <w:rPr>
          <w:sz w:val="20"/>
          <w:szCs w:val="20"/>
          <w:color w:val="auto"/>
        </w:rPr>
      </w:pPr>
    </w:p>
    <w:p>
      <w:pPr>
        <w:ind w:left="4"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5 THIS REPRESENTATIVE SUPPLEMENT SHALL BE GOVERNED BY, AND CONSTRUED IN ACCORDANCE WITH, THE LAWS OF THE STATE OF NEW YORK.</w:t>
      </w:r>
    </w:p>
    <w:p>
      <w:pPr>
        <w:spacing w:after="0" w:line="159" w:lineRule="exact"/>
        <w:rPr>
          <w:sz w:val="20"/>
          <w:szCs w:val="20"/>
          <w:color w:val="auto"/>
        </w:rPr>
      </w:pPr>
    </w:p>
    <w:p>
      <w:pPr>
        <w:ind w:left="4" w:right="140" w:firstLine="991"/>
        <w:spacing w:after="0" w:line="256" w:lineRule="auto"/>
        <w:rPr>
          <w:sz w:val="20"/>
          <w:szCs w:val="20"/>
          <w:color w:val="auto"/>
        </w:rPr>
      </w:pPr>
      <w:r>
        <w:rPr>
          <w:rFonts w:ascii="Times New Roman" w:cs="Times New Roman" w:eastAsia="Times New Roman" w:hAnsi="Times New Roman"/>
          <w:sz w:val="18"/>
          <w:szCs w:val="18"/>
          <w:color w:val="auto"/>
        </w:rPr>
        <w:t>SECTION 6 In case any one or more of the provisions contained in this Representative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Junior Priority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87"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SECTION 7 All communications and notices hereunder shall be in writing and given as provided in Section 8.12 of the Junior Priority Lien Intercreditor Agreement. All communications and notices hereunder to the New Representative shall be given to it at the address set forth below its signature hereto.</w:t>
      </w:r>
    </w:p>
    <w:p>
      <w:pPr>
        <w:spacing w:after="0" w:line="176" w:lineRule="exact"/>
        <w:rPr>
          <w:sz w:val="20"/>
          <w:szCs w:val="20"/>
          <w:color w:val="auto"/>
        </w:rPr>
      </w:pPr>
    </w:p>
    <w:p>
      <w:pPr>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t>SECTION 8 The Borrower agrees to reimburse the Designated Senior Representative for its reasonable out-of-pocket expenses in connection with this Representative Supplement, including the reasonable fees, other charges and disbursements of counsel for the Designated Senior Representative as required by the applicable Senior Debt Documents.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0984"/>
          </w:cols>
          <w:pgMar w:left="436" w:top="270" w:right="479" w:bottom="1440" w:gutter="0" w:footer="0" w:header="0"/>
        </w:sectPr>
      </w:pPr>
    </w:p>
    <w:bookmarkStart w:id="236" w:name="page237"/>
    <w:bookmarkEnd w:id="236"/>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New Representative and the Designated Senior Representative have duly executed this Representative Supplement to the Junior Priority Lien Intercreditor Agreement as of the day and year first above written.</w:t>
      </w:r>
    </w:p>
    <w:p>
      <w:pPr>
        <w:spacing w:after="0" w:line="189"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3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[NAME OF NEW REPRESENTATIVE],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as [    </w:t>
            </w:r>
          </w:p>
        </w:tc>
        <w:tc>
          <w:tcPr>
            <w:tcW w:w="17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6"/>
              </w:rPr>
              <w:t>] for the holders of [ 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360" w:type="dxa"/>
            <w:vAlign w:val="bottom"/>
          </w:tcPr>
          <w:p>
            <w:pPr>
              <w:spacing w:after="0"/>
              <w:rPr>
                <w:sz w:val="17"/>
                <w:szCs w:val="17"/>
                <w:color w:val="auto"/>
              </w:rPr>
            </w:pPr>
          </w:p>
        </w:tc>
        <w:tc>
          <w:tcPr>
            <w:tcW w:w="1900" w:type="dxa"/>
            <w:vAlign w:val="bottom"/>
            <w:tcBorders>
              <w:top w:val="single" w:sz="8" w:color="auto"/>
            </w:tcBorders>
            <w:gridSpan w:val="5"/>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34"/>
        </w:trPr>
        <w:tc>
          <w:tcPr>
            <w:tcW w:w="8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Address for notices: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40" w:type="dxa"/>
            <w:vAlign w:val="bottom"/>
            <w:tcBorders>
              <w:bottom w:val="single" w:sz="8" w:color="auto"/>
            </w:tcBorders>
            <w:gridSpan w:val="3"/>
          </w:tcPr>
          <w:p>
            <w:pPr>
              <w:spacing w:after="0"/>
              <w:rPr>
                <w:sz w:val="18"/>
                <w:szCs w:val="18"/>
                <w:color w:val="auto"/>
              </w:rPr>
            </w:pPr>
          </w:p>
        </w:tc>
        <w:tc>
          <w:tcPr>
            <w:tcW w:w="220" w:type="dxa"/>
            <w:vAlign w:val="bottom"/>
            <w:tcBorders>
              <w:bottom w:val="single" w:sz="8" w:color="auto"/>
            </w:tcBorders>
            <w:gridSpan w:val="2"/>
          </w:tcPr>
          <w:p>
            <w:pPr>
              <w:spacing w:after="0"/>
              <w:rPr>
                <w:sz w:val="18"/>
                <w:szCs w:val="18"/>
                <w:color w:val="auto"/>
              </w:rPr>
            </w:pPr>
          </w:p>
        </w:tc>
        <w:tc>
          <w:tcPr>
            <w:tcW w:w="152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3"/>
        </w:trPr>
        <w:tc>
          <w:tcPr>
            <w:tcW w:w="740" w:type="dxa"/>
            <w:vAlign w:val="bottom"/>
            <w:tcBorders>
              <w:bottom w:val="single" w:sz="8" w:color="auto"/>
            </w:tcBorders>
            <w:gridSpan w:val="3"/>
          </w:tcPr>
          <w:p>
            <w:pPr>
              <w:spacing w:after="0"/>
              <w:rPr>
                <w:sz w:val="19"/>
                <w:szCs w:val="19"/>
                <w:color w:val="auto"/>
              </w:rPr>
            </w:pPr>
          </w:p>
        </w:tc>
        <w:tc>
          <w:tcPr>
            <w:tcW w:w="220" w:type="dxa"/>
            <w:vAlign w:val="bottom"/>
            <w:tcBorders>
              <w:bottom w:val="single" w:sz="8" w:color="auto"/>
            </w:tcBorders>
            <w:gridSpan w:val="2"/>
          </w:tcPr>
          <w:p>
            <w:pPr>
              <w:spacing w:after="0"/>
              <w:rPr>
                <w:sz w:val="19"/>
                <w:szCs w:val="19"/>
                <w:color w:val="auto"/>
              </w:rPr>
            </w:pPr>
          </w:p>
        </w:tc>
        <w:tc>
          <w:tcPr>
            <w:tcW w:w="1520" w:type="dxa"/>
            <w:vAlign w:val="bottom"/>
            <w:tcBorders>
              <w:bottom w:val="single" w:sz="8" w:color="auto"/>
            </w:tcBorders>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83"/>
        </w:trPr>
        <w:tc>
          <w:tcPr>
            <w:tcW w:w="248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auto"/>
              </w:rPr>
              <w:t xml:space="preserve">Attention of:                          </w:t>
            </w:r>
          </w:p>
        </w:tc>
        <w:tc>
          <w:tcPr>
            <w:tcW w:w="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w w:val="99"/>
              </w:rPr>
              <w:t> </w:t>
            </w:r>
          </w:p>
        </w:tc>
      </w:tr>
      <w:tr>
        <w:trPr>
          <w:trHeight w:val="20"/>
        </w:trPr>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82"/>
              </w:rPr>
              <w:t>Telecopy:  </w:t>
            </w:r>
          </w:p>
        </w:tc>
        <w:tc>
          <w:tcPr>
            <w:tcW w:w="14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 </w:t>
            </w:r>
          </w:p>
        </w:tc>
      </w:tr>
      <w:tr>
        <w:trPr>
          <w:trHeight w:val="47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13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ind w:left="6620"/>
        <w:spacing w:after="0"/>
        <w:rPr>
          <w:sz w:val="20"/>
          <w:szCs w:val="20"/>
          <w:color w:val="auto"/>
        </w:rPr>
      </w:pPr>
      <w:r>
        <w:rPr>
          <w:rFonts w:ascii="Times New Roman" w:cs="Times New Roman" w:eastAsia="Times New Roman" w:hAnsi="Times New Roman"/>
          <w:sz w:val="18"/>
          <w:szCs w:val="18"/>
          <w:color w:val="auto"/>
        </w:rPr>
        <w:t>as Designated Senior Representative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20"/>
          </w:cols>
          <w:pgMar w:left="440" w:top="270" w:right="439" w:bottom="1440" w:gutter="0" w:footer="0" w:header="0"/>
        </w:sectPr>
      </w:pPr>
    </w:p>
    <w:bookmarkStart w:id="237" w:name="page238"/>
    <w:bookmarkEnd w:id="23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Acknowledged by: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MEDLINE BORROWER,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MEDLINE INTERMEDIATE, LP</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[SUBSIDIARY GUARANTORS]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9019"/>
          </w:cols>
          <w:pgMar w:left="1440" w:top="270" w:right="1440"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 to the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Representative Supplement to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Junior Priority Lien Intercreditor Agreement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Grantors</w:t>
      </w:r>
    </w:p>
    <w:p>
      <w:pPr>
        <w:spacing w:after="0" w:line="225" w:lineRule="exact"/>
        <w:rPr>
          <w:sz w:val="20"/>
          <w:szCs w:val="20"/>
          <w:color w:val="auto"/>
        </w:rPr>
      </w:pPr>
    </w:p>
    <w:p>
      <w:pPr>
        <w:jc w:val="center"/>
        <w:ind w:right="1020"/>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[          </w:t>
        <w:tab/>
        <w:t>]</w:t>
      </w:r>
    </w:p>
    <w:p>
      <w:pPr>
        <w:spacing w:after="0" w:line="15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0020"/>
          </w:cols>
          <w:pgMar w:left="1440" w:top="270" w:right="4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III</w:t>
      </w:r>
    </w:p>
    <w:p>
      <w:pPr>
        <w:spacing w:after="0" w:line="225"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[FORM OF] REPRESENTATIVE SUPPLEMENT NO. [  ] dated as of [        ] to the JUNIOR PRIORITY LIEN INTERCREDITOR AGREEMENT dated as of [    ] (the “</w:t>
      </w:r>
      <w:r>
        <w:rPr>
          <w:rFonts w:ascii="Times New Roman" w:cs="Times New Roman" w:eastAsia="Times New Roman" w:hAnsi="Times New Roman"/>
          <w:sz w:val="18"/>
          <w:szCs w:val="18"/>
          <w:u w:val="single" w:color="auto"/>
          <w:color w:val="auto"/>
        </w:rPr>
        <w:t>Junior Priority Lien Intercreditor Agreement</w:t>
      </w:r>
      <w:r>
        <w:rPr>
          <w:rFonts w:ascii="Times New Roman" w:cs="Times New Roman" w:eastAsia="Times New Roman" w:hAnsi="Times New Roman"/>
          <w:sz w:val="18"/>
          <w:szCs w:val="18"/>
          <w:color w:val="auto"/>
        </w:rPr>
        <w:t>”), among Medline Intermediate, LP, a Delaware limited partnership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Medline Borrower, LP, a Delaware limited partnership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certain subsidiaries and affiliates of the Borrower (together with the Borrower and Holdings, the “</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BANK OF AMERICA, N.A., as First Lien Credit Agreement Collateral Agent under the First Lien Credit Agreement, WILMINGTON TRUST, NATIONAL ASSOCIATION, as 2021 Notes Collateral Agent under the 2021Indenture, WILMINGTON TRUST, NATIONAL ASSOCIATION, as 2024 Notes Collateral Agent under the 2024 Indenture, WILMINGTON TRUST, NATIONAL ASSOCIATION, as 2026 Notes Collateral Agent under the 2026 Indenture, [    ], as Initial Second Lien Collateral Agent under the Initial Second Lien Agreement, and the additional Representatives from time to time party thereto.</w:t>
      </w:r>
    </w:p>
    <w:p>
      <w:pPr>
        <w:spacing w:after="0" w:line="192" w:lineRule="exact"/>
        <w:rPr>
          <w:sz w:val="20"/>
          <w:szCs w:val="20"/>
          <w:color w:val="auto"/>
        </w:rPr>
      </w:pPr>
    </w:p>
    <w:p>
      <w:pPr>
        <w:ind w:left="4" w:right="420" w:firstLine="436"/>
        <w:spacing w:after="0" w:line="282" w:lineRule="auto"/>
        <w:tabs>
          <w:tab w:leader="none" w:pos="73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herein but not otherwise defined herein shall have the meanings assigned to such terms in the Junior Priority Lien Intercreditor Agreement.</w:t>
      </w:r>
    </w:p>
    <w:p>
      <w:pPr>
        <w:spacing w:after="0" w:line="161" w:lineRule="exact"/>
        <w:rPr>
          <w:rFonts w:ascii="Times New Roman" w:cs="Times New Roman" w:eastAsia="Times New Roman" w:hAnsi="Times New Roman"/>
          <w:sz w:val="18"/>
          <w:szCs w:val="18"/>
          <w:color w:val="auto"/>
        </w:rPr>
      </w:pPr>
    </w:p>
    <w:p>
      <w:pPr>
        <w:ind w:left="4" w:right="80" w:firstLine="436"/>
        <w:spacing w:after="0" w:line="253" w:lineRule="auto"/>
        <w:tabs>
          <w:tab w:leader="none" w:pos="72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ability of the Borrower to incur Senior Class Debt after the date of the Junior Priority Lien Intercreditor Agreement and to secure such Senior Class Debt with the Senior Lien and to have such Senior Class Debt guaranteed by the Grantors on a senior basis, in each case under and pursuant to the Senior Collateral Documents relating thereto, the Senior Class Debt Representative in respect of such Senior Class Debt is required to become a Representative under, and such Senior Class Debt and the Senior Class Debt Parties in respect thereof are required to become subject to and bound by, the Junior Priority Lien Intercreditor Agreement. Section 8.09 of the Junior Priority Lien Intercreditor Agreement provides that such Senior Class Debt Representative may become a Representative under, and such Senior Class Debt and such Senior Class Debt Parties may become subject to and bound by, the Junior Priority Lien Intercreditor Agreement as Additional Senior Debt Obligations and Additional Senior Debt Parties, respectively, pursuant to the execution and delivery by the Senior Class Debt Representative of an instrument in the form of this Representative Supplement and the satisfaction of the other conditions set forth in Section 8.09 of the Junior Priority Lien Intercreditor Agreement. The undersigned Senior Class Debt Representative (the “</w:t>
      </w:r>
      <w:r>
        <w:rPr>
          <w:rFonts w:ascii="Times New Roman" w:cs="Times New Roman" w:eastAsia="Times New Roman" w:hAnsi="Times New Roman"/>
          <w:sz w:val="18"/>
          <w:szCs w:val="18"/>
          <w:u w:val="single" w:color="auto"/>
          <w:color w:val="auto"/>
        </w:rPr>
        <w:t>New Representative</w:t>
      </w:r>
      <w:r>
        <w:rPr>
          <w:rFonts w:ascii="Times New Roman" w:cs="Times New Roman" w:eastAsia="Times New Roman" w:hAnsi="Times New Roman"/>
          <w:sz w:val="18"/>
          <w:szCs w:val="18"/>
          <w:color w:val="auto"/>
        </w:rPr>
        <w:t>”) is executing this Supplement in accordance with the requirements of the Senior Debt Documents and the Second Priority Debt Documents.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Accordingly, the Designated Senior Representative and the New Representative agree as follows:</w:t>
      </w:r>
    </w:p>
    <w:p>
      <w:pPr>
        <w:spacing w:after="0" w:line="225" w:lineRule="exact"/>
        <w:rPr>
          <w:sz w:val="20"/>
          <w:szCs w:val="20"/>
          <w:color w:val="auto"/>
        </w:rPr>
      </w:pPr>
    </w:p>
    <w:p>
      <w:pPr>
        <w:ind w:left="4" w:right="120" w:firstLine="991"/>
        <w:spacing w:after="0" w:line="254" w:lineRule="auto"/>
        <w:rPr>
          <w:sz w:val="20"/>
          <w:szCs w:val="20"/>
          <w:color w:val="auto"/>
        </w:rPr>
      </w:pPr>
      <w:r>
        <w:rPr>
          <w:rFonts w:ascii="Times New Roman" w:cs="Times New Roman" w:eastAsia="Times New Roman" w:hAnsi="Times New Roman"/>
          <w:sz w:val="18"/>
          <w:szCs w:val="18"/>
          <w:color w:val="auto"/>
        </w:rPr>
        <w:t>SECTION 1 In accordance with Section 8.09 of the Junior Priority Lien Intercreditor Agreement, the New Representative by its signature below becomes a Representative under, and the related Senior Class Debt and Senior Class Debt Parties become subject to and bound by, the Junior Priority Lien Intercreditor Agreement as Additional Senior Debt Obligations and Additional Senior Debt Parties, respectively, with the same force and effect as if the New Representative had originally been named therein as a Representative, and the New Representative, on behalf of itself and such Senior Class Debt Parties, hereby agrees to all the terms and provisions of the Junior Priority Lien Intercreditor Agreement applicable to it as a Senior Representative and to the Senior Class Debt Parties that it represents as Senior Secured Parties. Each reference to a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in the Junior Priority Lien Intercreditor Agreement shall be deemed to include the New Representative. The Junior Priority Lien Intercreditor Agreement is hereby incorporated herein by reference.</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2 The New Representative represents and warrants to the Designated Senior Representative and the other Secured Parties that</w:t>
      </w:r>
    </w:p>
    <w:p>
      <w:pPr>
        <w:spacing w:after="0" w:line="27" w:lineRule="exact"/>
        <w:rPr>
          <w:sz w:val="20"/>
          <w:szCs w:val="20"/>
          <w:color w:val="auto"/>
        </w:rPr>
      </w:pPr>
    </w:p>
    <w:p>
      <w:pPr>
        <w:ind w:left="4" w:right="60" w:hanging="4"/>
        <w:spacing w:after="0" w:line="253" w:lineRule="auto"/>
        <w:tabs>
          <w:tab w:leader="none" w:pos="21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and authority to enter into this Representative Supplement, in its capacity as [agent] [trustee] under [describe new facility], (ii) this Representative Supplement has been duly authorized, executed and delivered by it and constitutes its legal, valid and binding obligation, enforceable against it in accordance with the terms of such Agreement and (iii) the Senior Debt Documents relating to such Senior Class Debt provide that, upon the New Representative’s entry into this Agreement, the Senior Class Debt Parties in respect of such Senior Class Debt will be subject to and bound by the provisions of the Junior Priority Lien Intercreditor Agreement as Senior Secured Parties.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1024"/>
          </w:cols>
          <w:pgMar w:left="436" w:top="270" w:right="439" w:bottom="1440" w:gutter="0" w:footer="0" w:header="0"/>
        </w:sectPr>
      </w:pPr>
    </w:p>
    <w:bookmarkStart w:id="240" w:name="page241"/>
    <w:bookmarkEnd w:id="240"/>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This Representative Supplement may be executed in counterparts, each of which shall constitute an original, but all of which when taken together shall constitute a single contract. This Representative Supplement shall become effective when the Designated Senior Representative shall have received a counterpart of this Representative Supplement that bears the signature of the New Representative. Delivery of an executed signature page to this Representative Supplement by facsimile transmission or other electronic method shall be effective as delivery of a manually signed counterpart of this Representative Supplement.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4 Except as expressly supplemented hereby, the Junior Priority Lien Intercreditor Agreement shall remain in full force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203"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5 THIS REPRESENTATIVE SUPPLEMENT SHALL BE GOVERNED BY, AND CONSTRUED IN ACCORDANCE WITH, THE LAWS OF THE STATE OF NEW YORK.</w:t>
      </w:r>
    </w:p>
    <w:p>
      <w:pPr>
        <w:spacing w:after="0" w:line="159"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SECTION 6 In case any one or more of the provisions contained in this Representative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Junior Priority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SECTION 7 All communications and notices hereunder shall be in writing and given as provided in Section 8.12 of the Junior Priority Lien Intercreditor Agreement. All communications and notices hereunder to the New Representative shall be given to it at the address set forth below its signature hereto.</w:t>
      </w:r>
    </w:p>
    <w:p>
      <w:pPr>
        <w:spacing w:after="0" w:line="176"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SECTION 8 The Borrower agrees to reimburse the Designated Senior Representative for its reasonable out-of-pocket expenses in connection with this Representative Supplement, including the reasonable fees, other charges and disbursements of counsel for the Designated Senior Representative as required by the applicable Senior Debt Documents.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III-2</w:t>
      </w:r>
    </w:p>
    <w:p>
      <w:pPr>
        <w:sectPr>
          <w:pgSz w:w="11900" w:h="16838" w:orient="portrait"/>
          <w:cols w:equalWidth="0" w:num="1">
            <w:col w:w="10980"/>
          </w:cols>
          <w:pgMar w:left="440" w:top="270" w:right="479" w:bottom="1440" w:gutter="0" w:footer="0" w:header="0"/>
        </w:sectPr>
      </w:pPr>
    </w:p>
    <w:bookmarkStart w:id="241" w:name="page242"/>
    <w:bookmarkEnd w:id="241"/>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New Representative and the Designated Senior Representative have duly executed this Representative Supplement to the Junior Priority Lien Intercreditor Agreement as of the day and year first above written.</w:t>
      </w:r>
    </w:p>
    <w:p>
      <w:pPr>
        <w:spacing w:after="0" w:line="189"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3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[NAME OF NEW REPRESENTATIVE],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as [    </w:t>
            </w:r>
          </w:p>
        </w:tc>
        <w:tc>
          <w:tcPr>
            <w:tcW w:w="17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6"/>
              </w:rPr>
              <w:t>] for the holders of [ 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360" w:type="dxa"/>
            <w:vAlign w:val="bottom"/>
          </w:tcPr>
          <w:p>
            <w:pPr>
              <w:spacing w:after="0"/>
              <w:rPr>
                <w:sz w:val="17"/>
                <w:szCs w:val="17"/>
                <w:color w:val="auto"/>
              </w:rPr>
            </w:pPr>
          </w:p>
        </w:tc>
        <w:tc>
          <w:tcPr>
            <w:tcW w:w="1900" w:type="dxa"/>
            <w:vAlign w:val="bottom"/>
            <w:tcBorders>
              <w:top w:val="single" w:sz="8" w:color="auto"/>
            </w:tcBorders>
            <w:gridSpan w:val="5"/>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34"/>
        </w:trPr>
        <w:tc>
          <w:tcPr>
            <w:tcW w:w="8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Address for notices: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740" w:type="dxa"/>
            <w:vAlign w:val="bottom"/>
            <w:tcBorders>
              <w:bottom w:val="single" w:sz="8" w:color="auto"/>
            </w:tcBorders>
            <w:gridSpan w:val="3"/>
          </w:tcPr>
          <w:p>
            <w:pPr>
              <w:spacing w:after="0"/>
              <w:rPr>
                <w:sz w:val="24"/>
                <w:szCs w:val="24"/>
                <w:color w:val="auto"/>
              </w:rPr>
            </w:pPr>
          </w:p>
        </w:tc>
        <w:tc>
          <w:tcPr>
            <w:tcW w:w="220" w:type="dxa"/>
            <w:vAlign w:val="bottom"/>
            <w:tcBorders>
              <w:bottom w:val="single" w:sz="8" w:color="auto"/>
            </w:tcBorders>
            <w:gridSpan w:val="2"/>
          </w:tcPr>
          <w:p>
            <w:pPr>
              <w:spacing w:after="0"/>
              <w:rPr>
                <w:sz w:val="24"/>
                <w:szCs w:val="24"/>
                <w:color w:val="auto"/>
              </w:rPr>
            </w:pPr>
          </w:p>
        </w:tc>
        <w:tc>
          <w:tcPr>
            <w:tcW w:w="152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3"/>
        </w:trPr>
        <w:tc>
          <w:tcPr>
            <w:tcW w:w="740" w:type="dxa"/>
            <w:vAlign w:val="bottom"/>
            <w:tcBorders>
              <w:bottom w:val="single" w:sz="8" w:color="auto"/>
            </w:tcBorders>
            <w:gridSpan w:val="3"/>
          </w:tcPr>
          <w:p>
            <w:pPr>
              <w:spacing w:after="0"/>
              <w:rPr>
                <w:sz w:val="19"/>
                <w:szCs w:val="19"/>
                <w:color w:val="auto"/>
              </w:rPr>
            </w:pPr>
          </w:p>
        </w:tc>
        <w:tc>
          <w:tcPr>
            <w:tcW w:w="220" w:type="dxa"/>
            <w:vAlign w:val="bottom"/>
            <w:tcBorders>
              <w:bottom w:val="single" w:sz="8" w:color="auto"/>
            </w:tcBorders>
            <w:gridSpan w:val="2"/>
          </w:tcPr>
          <w:p>
            <w:pPr>
              <w:spacing w:after="0"/>
              <w:rPr>
                <w:sz w:val="19"/>
                <w:szCs w:val="19"/>
                <w:color w:val="auto"/>
              </w:rPr>
            </w:pPr>
          </w:p>
        </w:tc>
        <w:tc>
          <w:tcPr>
            <w:tcW w:w="1520" w:type="dxa"/>
            <w:vAlign w:val="bottom"/>
            <w:tcBorders>
              <w:bottom w:val="single" w:sz="8" w:color="auto"/>
            </w:tcBorders>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83"/>
        </w:trPr>
        <w:tc>
          <w:tcPr>
            <w:tcW w:w="248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auto"/>
              </w:rPr>
              <w:t xml:space="preserve">Attention of:                          </w:t>
            </w:r>
          </w:p>
        </w:tc>
        <w:tc>
          <w:tcPr>
            <w:tcW w:w="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w w:val="99"/>
              </w:rPr>
              <w:t> </w:t>
            </w:r>
          </w:p>
        </w:tc>
      </w:tr>
      <w:tr>
        <w:trPr>
          <w:trHeight w:val="20"/>
        </w:trPr>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82"/>
              </w:rPr>
              <w:t>Telecopy:  </w:t>
            </w:r>
          </w:p>
        </w:tc>
        <w:tc>
          <w:tcPr>
            <w:tcW w:w="14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 </w:t>
            </w:r>
          </w:p>
        </w:tc>
      </w:tr>
      <w:tr>
        <w:trPr>
          <w:trHeight w:val="47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13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ind w:left="6620"/>
        <w:spacing w:after="0"/>
        <w:rPr>
          <w:sz w:val="20"/>
          <w:szCs w:val="20"/>
          <w:color w:val="auto"/>
        </w:rPr>
      </w:pPr>
      <w:r>
        <w:rPr>
          <w:rFonts w:ascii="Times New Roman" w:cs="Times New Roman" w:eastAsia="Times New Roman" w:hAnsi="Times New Roman"/>
          <w:sz w:val="18"/>
          <w:szCs w:val="18"/>
          <w:color w:val="auto"/>
        </w:rPr>
        <w:t>as Designated Senior Representative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III-3</w:t>
      </w:r>
    </w:p>
    <w:p>
      <w:pPr>
        <w:sectPr>
          <w:pgSz w:w="11900" w:h="16838" w:orient="portrait"/>
          <w:cols w:equalWidth="0" w:num="1">
            <w:col w:w="11020"/>
          </w:cols>
          <w:pgMar w:left="440" w:top="270" w:right="439" w:bottom="1440" w:gutter="0" w:footer="0" w:header="0"/>
        </w:sectPr>
      </w:pPr>
    </w:p>
    <w:bookmarkStart w:id="242" w:name="page243"/>
    <w:bookmarkEnd w:id="24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Acknowledged by: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MEDLINE BORROWER,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MEDLINE INTERMEDIATE, LP</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[SUBSIDIARY GUARANTORS]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III-4</w:t>
      </w:r>
    </w:p>
    <w:p>
      <w:pPr>
        <w:sectPr>
          <w:pgSz w:w="11900" w:h="16838" w:orient="portrait"/>
          <w:cols w:equalWidth="0" w:num="1">
            <w:col w:w="9019"/>
          </w:cols>
          <w:pgMar w:left="1440" w:top="270" w:right="1440" w:bottom="1440" w:gutter="0" w:footer="0" w:header="0"/>
        </w:sectPr>
      </w:pPr>
    </w:p>
    <w:bookmarkStart w:id="243" w:name="page244"/>
    <w:bookmarkEnd w:id="24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9019"/>
          </w:cols>
          <w:pgMar w:left="1440" w:top="270" w:right="1440"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[FORM OF ABL/FIXED ASSET INTERCREDITOR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[Attached.]</w:t>
      </w:r>
    </w:p>
    <w:p>
      <w:pPr>
        <w:spacing w:after="0" w:line="15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0020"/>
          </w:cols>
          <w:pgMar w:left="1440" w:top="270" w:right="4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AGREED FORM</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ABL INTERCREDITOR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ind w:left="4240"/>
        <w:spacing w:after="0"/>
        <w:tabs>
          <w:tab w:leader="none" w:pos="4680" w:val="left"/>
        </w:tabs>
        <w:rPr>
          <w:sz w:val="20"/>
          <w:szCs w:val="20"/>
          <w:color w:val="auto"/>
        </w:rPr>
      </w:pPr>
      <w:r>
        <w:rPr>
          <w:rFonts w:ascii="Times New Roman" w:cs="Times New Roman" w:eastAsia="Times New Roman" w:hAnsi="Times New Roman"/>
          <w:sz w:val="18"/>
          <w:szCs w:val="18"/>
          <w:color w:val="auto"/>
        </w:rPr>
        <w:t xml:space="preserve">[    </w:t>
        <w:tab/>
        <w:t>]</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 xml:space="preserve">[         ],    </w:t>
      </w:r>
    </w:p>
    <w:p>
      <w:pPr>
        <w:spacing w:after="0" w:line="2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as ABL Facility Agent,</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as Equal Priority Collateral Agent and Intercreditor Agent,</w:t>
      </w:r>
    </w:p>
    <w:p>
      <w:pPr>
        <w:spacing w:after="0" w:line="21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as Cash Flow Facility Agent,</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2021 Notes Collateral Agent,</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2024 Notes Collateral Agent,</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2026 Notes Collateral Agent,</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MEDLINE INTERMEDIATE, LP,</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MEDLINE BORROWER, LP,</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The Subsidiaries of the Borrower Named Herein</w:t>
      </w:r>
    </w:p>
    <w:p>
      <w:pPr>
        <w:sectPr>
          <w:pgSz w:w="11900" w:h="16838" w:orient="portrait"/>
          <w:cols w:equalWidth="0" w:num="1">
            <w:col w:w="10020"/>
          </w:cols>
          <w:pgMar w:left="1440" w:top="266" w:right="439" w:bottom="1440" w:gutter="0" w:footer="0" w:header="0"/>
        </w:sectPr>
      </w:pPr>
    </w:p>
    <w:bookmarkStart w:id="246" w:name="page247"/>
    <w:bookmarkEnd w:id="2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   Construction; Certain 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PRIORITIES AND AGREEMENTS WITH RESPECT TO COLLATERAL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2.01   Priority of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2.02   Actions With Respect to Collateral; Prohibition on Contesting Liens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2.03   No Duties of Senior Representative; Provision of Notice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2.04   No Interference; Payment Over; Avoidance Issues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2.05   Automatic Release of Junior Liens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2.06   Certain Agreements With Respect to Bankruptcy or Insolvency or Liquidation Proceedings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2.08   Entry Upon Premises by the ABL Facility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Refinancings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2.11   Amendments to Collateral Documents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2.12   Possessory Collateral Agent as Gratuitous Bailee/Agent for Perfection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2.13   Tracing of and Priorities in Proceeds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EXISTENCE AND AMOUNTS OF LIENS AND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CONSENT OF GRANTORS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5.02   Representations and Warranties of Each Representative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Waivers; Amendment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6.03   Parties in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6.04   Survival of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6.07   Governing Law; Jurisdiction; Consent to Service of Process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6.08   WAIVER OF JURY TRIAL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6.09</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Headings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64"/>
        </w:trPr>
        <w:tc>
          <w:tcPr>
            <w:tcW w:w="1380" w:type="dxa"/>
            <w:vAlign w:val="bottom"/>
          </w:tcPr>
          <w:p>
            <w:pPr>
              <w:spacing w:after="0"/>
              <w:rPr>
                <w:sz w:val="24"/>
                <w:szCs w:val="24"/>
                <w:color w:val="auto"/>
              </w:rPr>
            </w:pPr>
          </w:p>
        </w:tc>
        <w:tc>
          <w:tcPr>
            <w:tcW w:w="930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247" w:name="page248"/>
    <w:bookmarkEnd w:id="2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Conflicts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Provisions Solely to Define Relative Rights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Agent Capacities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6.13</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6.14</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Joinder Requirements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6.15</w:t>
            </w: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Intercreditor Agreements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8"/>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EXHIBITS</w:t>
            </w:r>
          </w:p>
        </w:tc>
        <w:tc>
          <w:tcPr>
            <w:tcW w:w="5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2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EXHIBIT A</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Joinder Agreement (Other Equal Priority Obligations)</w:t>
            </w:r>
          </w:p>
        </w:tc>
        <w:tc>
          <w:tcPr>
            <w:tcW w:w="2540" w:type="dxa"/>
            <w:vAlign w:val="bottom"/>
          </w:tcPr>
          <w:p>
            <w:pPr>
              <w:spacing w:after="0"/>
              <w:rPr>
                <w:sz w:val="24"/>
                <w:szCs w:val="24"/>
                <w:color w:val="auto"/>
              </w:rPr>
            </w:pPr>
          </w:p>
        </w:tc>
      </w:tr>
      <w:tr>
        <w:trPr>
          <w:trHeight w:val="21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EXHIBIT B</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Joinder Agreement (Junior Priority Obligations)</w:t>
            </w:r>
          </w:p>
        </w:tc>
        <w:tc>
          <w:tcPr>
            <w:tcW w:w="2540" w:type="dxa"/>
            <w:vAlign w:val="bottom"/>
          </w:tcPr>
          <w:p>
            <w:pPr>
              <w:spacing w:after="0"/>
              <w:rPr>
                <w:sz w:val="18"/>
                <w:szCs w:val="18"/>
                <w:color w:val="auto"/>
              </w:rPr>
            </w:pPr>
          </w:p>
        </w:tc>
      </w:tr>
      <w:tr>
        <w:trPr>
          <w:trHeight w:val="234"/>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EXHIBIT C</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Joinder Agreement (ABL Obligations)</w:t>
            </w:r>
          </w:p>
        </w:tc>
        <w:tc>
          <w:tcPr>
            <w:tcW w:w="2540" w:type="dxa"/>
            <w:vAlign w:val="bottom"/>
          </w:tcPr>
          <w:p>
            <w:pPr>
              <w:spacing w:after="0"/>
              <w:rPr>
                <w:sz w:val="20"/>
                <w:szCs w:val="20"/>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378" w:right="499" w:bottom="1440" w:gutter="0" w:footer="0" w:header="0"/>
        </w:sectPr>
      </w:pPr>
    </w:p>
    <w:bookmarkStart w:id="248" w:name="page249"/>
    <w:bookmarkEnd w:id="24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ABL INTERCREDITOR AGREEMENT, dated as of [      ] (as amended, restated, supplemented or otherwise modified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among [      ], as administrative agent under the ABL Credit Agreement and as collateral agent for the ABL Facility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referred to herein (together with its successors and co-agents in substantially the same capacity as may from time to time be appointed, the “</w:t>
      </w:r>
      <w:r>
        <w:rPr>
          <w:rFonts w:ascii="Times New Roman" w:cs="Times New Roman" w:eastAsia="Times New Roman" w:hAnsi="Times New Roman"/>
          <w:sz w:val="18"/>
          <w:szCs w:val="18"/>
          <w:b w:val="1"/>
          <w:bCs w:val="1"/>
          <w:i w:val="1"/>
          <w:iCs w:val="1"/>
          <w:color w:val="auto"/>
        </w:rPr>
        <w:t>ABL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Agent</w:t>
      </w:r>
      <w:r>
        <w:rPr>
          <w:rFonts w:ascii="Times New Roman" w:cs="Times New Roman" w:eastAsia="Times New Roman" w:hAnsi="Times New Roman"/>
          <w:sz w:val="18"/>
          <w:szCs w:val="18"/>
          <w:color w:val="auto"/>
        </w:rPr>
        <w:t>”), BANK OF AMERICA, N.A., as Equal Priority Collateral Agent and Intercreditor Agent (each, as defined below), BANK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N.A., as administrative agent under the Cash Flow Credit Agreement and as collateral agent for the Cash Flow Facility Secured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herein (together with its successors and co-agents in substantially the same capacity as may from time to time be appointed, the “</w:t>
      </w:r>
      <w:r>
        <w:rPr>
          <w:rFonts w:ascii="Times New Roman" w:cs="Times New Roman" w:eastAsia="Times New Roman" w:hAnsi="Times New Roman"/>
          <w:sz w:val="18"/>
          <w:szCs w:val="18"/>
          <w:b w:val="1"/>
          <w:bCs w:val="1"/>
          <w:i w:val="1"/>
          <w:iCs w:val="1"/>
          <w:color w:val="auto"/>
        </w:rPr>
        <w:t>Cash Flow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Agent</w:t>
      </w:r>
      <w:r>
        <w:rPr>
          <w:rFonts w:ascii="Times New Roman" w:cs="Times New Roman" w:eastAsia="Times New Roman" w:hAnsi="Times New Roman"/>
          <w:sz w:val="18"/>
          <w:szCs w:val="18"/>
          <w:color w:val="auto"/>
        </w:rPr>
        <w:t>”), WILMINGTON TRUST, NATIONAL ASSOCIATION, in its capacity as Notes Collateral Agent under and as defined in the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referred to herein (together with its successors and co-agents in substantially the same capacity as may from time to time be appointed,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2021 Notes Collateral Agent</w:t>
      </w:r>
      <w:r>
        <w:rPr>
          <w:rFonts w:ascii="Times New Roman" w:cs="Times New Roman" w:eastAsia="Times New Roman" w:hAnsi="Times New Roman"/>
          <w:sz w:val="17"/>
          <w:szCs w:val="17"/>
          <w:color w:val="auto"/>
        </w:rPr>
        <w:t>”), WILMINGTON TRUST, NATIONAL ASSOCIATION, in its capacity as Notes Collateral Agent under and as defined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2024 Indenture referred to herein (together with its successors and co-agents in substantially the same capacity as may from time to time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appointed, the “</w:t>
      </w:r>
      <w:r>
        <w:rPr>
          <w:rFonts w:ascii="Times New Roman" w:cs="Times New Roman" w:eastAsia="Times New Roman" w:hAnsi="Times New Roman"/>
          <w:sz w:val="18"/>
          <w:szCs w:val="18"/>
          <w:b w:val="1"/>
          <w:bCs w:val="1"/>
          <w:i w:val="1"/>
          <w:iCs w:val="1"/>
          <w:color w:val="auto"/>
        </w:rPr>
        <w:t>2024 Notes Collateral Agent</w:t>
      </w:r>
      <w:r>
        <w:rPr>
          <w:rFonts w:ascii="Times New Roman" w:cs="Times New Roman" w:eastAsia="Times New Roman" w:hAnsi="Times New Roman"/>
          <w:sz w:val="18"/>
          <w:szCs w:val="18"/>
          <w:color w:val="auto"/>
        </w:rPr>
        <w:t>”), WILMINGTON TRUST, NATIONAL ASSOCIATION, in its capacity as Notes Collateral Agent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as defined in the 2026 Indenture referred to herein (together with its successors and co-agents in substantially the same capacity as may from time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be appointed, the “</w:t>
      </w:r>
      <w:r>
        <w:rPr>
          <w:rFonts w:ascii="Times New Roman" w:cs="Times New Roman" w:eastAsia="Times New Roman" w:hAnsi="Times New Roman"/>
          <w:sz w:val="18"/>
          <w:szCs w:val="18"/>
          <w:b w:val="1"/>
          <w:bCs w:val="1"/>
          <w:i w:val="1"/>
          <w:iCs w:val="1"/>
          <w:color w:val="auto"/>
        </w:rPr>
        <w:t>2026 Notes Collateral Agent</w:t>
      </w:r>
      <w:r>
        <w:rPr>
          <w:rFonts w:ascii="Times New Roman" w:cs="Times New Roman" w:eastAsia="Times New Roman" w:hAnsi="Times New Roman"/>
          <w:sz w:val="18"/>
          <w:szCs w:val="18"/>
          <w:color w:val="auto"/>
        </w:rPr>
        <w:t>”), MEDLINE INTERMEDIATE, LP (“</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MEDLINE BORROWER, LP,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partnership (together with its successors and assigns,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the Subsidiaries of the Borrower party hereto and each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from time to time party hereto.</w:t>
      </w:r>
    </w:p>
    <w:p>
      <w:pPr>
        <w:spacing w:after="0" w:line="20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Reference is made to (i) the [Describe ABL Credit Agreement], dated as of the date hereof (as amended, restated, supplemented, replaced, refinanced or otherwise modified from time to time, the “</w:t>
      </w:r>
      <w:r>
        <w:rPr>
          <w:rFonts w:ascii="Times New Roman" w:cs="Times New Roman" w:eastAsia="Times New Roman" w:hAnsi="Times New Roman"/>
          <w:sz w:val="18"/>
          <w:szCs w:val="18"/>
          <w:b w:val="1"/>
          <w:bCs w:val="1"/>
          <w:i w:val="1"/>
          <w:iCs w:val="1"/>
          <w:color w:val="auto"/>
        </w:rPr>
        <w:t>ABL Credit Agreement</w:t>
      </w:r>
      <w:r>
        <w:rPr>
          <w:rFonts w:ascii="Times New Roman" w:cs="Times New Roman" w:eastAsia="Times New Roman" w:hAnsi="Times New Roman"/>
          <w:sz w:val="18"/>
          <w:szCs w:val="18"/>
          <w:color w:val="auto"/>
        </w:rPr>
        <w:t>”), among the Borrower, the other guarantors party thereto from time to time, the lenders and other parties party thereto from time to time and the ABL Facility Agent, (ii) the Credit Agreement, dated as of October 21, 2021 (as amended, restated, supplemented, replaced, refinanced or otherwise modified from time to time, the “</w:t>
      </w:r>
      <w:r>
        <w:rPr>
          <w:rFonts w:ascii="Times New Roman" w:cs="Times New Roman" w:eastAsia="Times New Roman" w:hAnsi="Times New Roman"/>
          <w:sz w:val="18"/>
          <w:szCs w:val="18"/>
          <w:b w:val="1"/>
          <w:bCs w:val="1"/>
          <w:i w:val="1"/>
          <w:iCs w:val="1"/>
          <w:color w:val="auto"/>
        </w:rPr>
        <w:t>Cash Flow Credit Agreement</w:t>
      </w:r>
      <w:r>
        <w:rPr>
          <w:rFonts w:ascii="Times New Roman" w:cs="Times New Roman" w:eastAsia="Times New Roman" w:hAnsi="Times New Roman"/>
          <w:sz w:val="18"/>
          <w:szCs w:val="18"/>
          <w:color w:val="auto"/>
        </w:rPr>
        <w:t>”), among Holdings, the Borrower, the other guarantors party thereto from time to time, the lenders and other parties party thereto from time to time and the Cash Flow Facility Agent, (iii) the Indenture, dated as of October 15, 2021, governing the 3.875% Senior Secured Notes due 2029 (as amended, restated, supplemented, replaced, refinanced or otherwise modified from time to time, the “</w:t>
      </w:r>
      <w:r>
        <w:rPr>
          <w:rFonts w:ascii="Times New Roman" w:cs="Times New Roman" w:eastAsia="Times New Roman" w:hAnsi="Times New Roman"/>
          <w:sz w:val="18"/>
          <w:szCs w:val="18"/>
          <w:b w:val="1"/>
          <w:bCs w:val="1"/>
          <w:i w:val="1"/>
          <w:iCs w:val="1"/>
          <w:color w:val="auto"/>
        </w:rPr>
        <w:t>2021 Indenture</w:t>
      </w:r>
      <w:r>
        <w:rPr>
          <w:rFonts w:ascii="Times New Roman" w:cs="Times New Roman" w:eastAsia="Times New Roman" w:hAnsi="Times New Roman"/>
          <w:sz w:val="18"/>
          <w:szCs w:val="18"/>
          <w:color w:val="auto"/>
        </w:rPr>
        <w:t>”), among the Borrower, Medline Co-Issuer, Inc., a Delaware corporation (the “</w:t>
      </w:r>
      <w:r>
        <w:rPr>
          <w:rFonts w:ascii="Times New Roman" w:cs="Times New Roman" w:eastAsia="Times New Roman" w:hAnsi="Times New Roman"/>
          <w:sz w:val="18"/>
          <w:szCs w:val="18"/>
          <w:b w:val="1"/>
          <w:bCs w:val="1"/>
          <w:i w:val="1"/>
          <w:iCs w:val="1"/>
          <w:color w:val="auto"/>
        </w:rPr>
        <w:t>Notes Co-Issuer</w:t>
      </w:r>
      <w:r>
        <w:rPr>
          <w:rFonts w:ascii="Times New Roman" w:cs="Times New Roman" w:eastAsia="Times New Roman" w:hAnsi="Times New Roman"/>
          <w:sz w:val="18"/>
          <w:szCs w:val="18"/>
          <w:color w:val="auto"/>
        </w:rPr>
        <w:t>”), Holdings, the other guarantors party thereto, Wilmington Trust, National Association, as trustee, and the 2021 Notes Collateral Agent, (iv) the Indenture, dated as of March 27, 2024, governing the 6.250% Senior Secured Notes due 2029 (as amended, restated, supplemented, replaced, refinanced or otherwise modified from time to time, the “</w:t>
      </w:r>
      <w:r>
        <w:rPr>
          <w:rFonts w:ascii="Times New Roman" w:cs="Times New Roman" w:eastAsia="Times New Roman" w:hAnsi="Times New Roman"/>
          <w:sz w:val="18"/>
          <w:szCs w:val="18"/>
          <w:b w:val="1"/>
          <w:bCs w:val="1"/>
          <w:i w:val="1"/>
          <w:iCs w:val="1"/>
          <w:color w:val="auto"/>
        </w:rPr>
        <w:t>2024 Indenture</w:t>
      </w:r>
      <w:r>
        <w:rPr>
          <w:rFonts w:ascii="Times New Roman" w:cs="Times New Roman" w:eastAsia="Times New Roman" w:hAnsi="Times New Roman"/>
          <w:sz w:val="18"/>
          <w:szCs w:val="18"/>
          <w:color w:val="auto"/>
        </w:rPr>
        <w:t>”), among the Borrower, the Notes Co-Issuer, Holdings, the other guarantors party thereto, Wilmington Trust, National Association, as trustee, and the 2024 Notes Collateral Agent, (v) the Indenture, dated as of May 28, 2026, governing the 5.000% Senior Secured Notes due 2031 and 5.250% Senior Secured Notes due 2033 (as amended, restated, supplemented, replaced, refinanced or otherwise modified from time to time, the “</w:t>
      </w:r>
      <w:r>
        <w:rPr>
          <w:rFonts w:ascii="Times New Roman" w:cs="Times New Roman" w:eastAsia="Times New Roman" w:hAnsi="Times New Roman"/>
          <w:sz w:val="18"/>
          <w:szCs w:val="18"/>
          <w:b w:val="1"/>
          <w:bCs w:val="1"/>
          <w:i w:val="1"/>
          <w:iCs w:val="1"/>
          <w:color w:val="auto"/>
        </w:rPr>
        <w:t>2026 Indenture</w:t>
      </w:r>
      <w:r>
        <w:rPr>
          <w:rFonts w:ascii="Times New Roman" w:cs="Times New Roman" w:eastAsia="Times New Roman" w:hAnsi="Times New Roman"/>
          <w:sz w:val="18"/>
          <w:szCs w:val="18"/>
          <w:color w:val="auto"/>
        </w:rPr>
        <w:t>”), among the Borrower, the Notes Co-Issuer, Holdings, the other guarantors party thereto, Wilmington Trust, National Association, as trustee, and the 2026 Notes Collateral Agent and (vi) the Equal Priority Lien Intercreditor Agreement, dated as of October 21, 2021 (as supplemented by Collateral Agent Joinder Agreement No. 1, dated as of March 27, 2024, and Collateral Agent Joinder Agreement No. 2, dated as of May 28, 2026, and as further amended, restated, replaced, supplemented or otherwise modified from time to time, the “</w:t>
      </w:r>
      <w:r>
        <w:rPr>
          <w:rFonts w:ascii="Times New Roman" w:cs="Times New Roman" w:eastAsia="Times New Roman" w:hAnsi="Times New Roman"/>
          <w:sz w:val="18"/>
          <w:szCs w:val="18"/>
          <w:b w:val="1"/>
          <w:bCs w:val="1"/>
          <w:i w:val="1"/>
          <w:iCs w:val="1"/>
          <w:color w:val="auto"/>
        </w:rPr>
        <w:t>Equal Priority Intercreditor Agreement</w:t>
      </w:r>
      <w:r>
        <w:rPr>
          <w:rFonts w:ascii="Times New Roman" w:cs="Times New Roman" w:eastAsia="Times New Roman" w:hAnsi="Times New Roman"/>
          <w:sz w:val="18"/>
          <w:szCs w:val="18"/>
          <w:color w:val="auto"/>
        </w:rPr>
        <w:t>”), by and among the Intercreditor Agent, the Cash Flow Facility Agent, the 2021 Notes Collateral Agent, the 2024 Notes Collateral Agent, the 2026 Notes Collateral Agent, Holdings, the Borrower and the other parties party thereto from time to time.</w:t>
      </w:r>
    </w:p>
    <w:p>
      <w:pPr>
        <w:sectPr>
          <w:pgSz w:w="11900" w:h="16838" w:orient="portrait"/>
          <w:cols w:equalWidth="0" w:num="1">
            <w:col w:w="11000"/>
          </w:cols>
          <w:pgMar w:left="440" w:top="270" w:right="459" w:bottom="1440" w:gutter="0" w:footer="0" w:header="0"/>
        </w:sectPr>
      </w:pPr>
    </w:p>
    <w:bookmarkStart w:id="249" w:name="page250"/>
    <w:bookmarkEnd w:id="249"/>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governs the relationship between the ABL Facility Secured Parties, on the one hand, and the Non-ABL Secured Parties, on the other hand, with respect to the Collateral. In addition, it is understood and agreed that not all of the Secured Parties may have security interests in all of the Collateral and nothing in this Agreement is intended to give rights to any Person in any Collateral in which such Person (or their Representative or Collateral Agent) does not otherwise have a security interest.</w:t>
      </w:r>
    </w:p>
    <w:p>
      <w:pPr>
        <w:spacing w:after="0" w:line="180"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In consideration of the mutual agreements herein contained and other good and valuable consideration, the receipt and sufficiency of which are hereby acknowledged, the parties hereto hereby agree as follows:</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1.01 Construction; Certain Defined Terms.</w:t>
      </w:r>
    </w:p>
    <w:p>
      <w:pPr>
        <w:spacing w:after="0" w:line="225" w:lineRule="exact"/>
        <w:rPr>
          <w:sz w:val="20"/>
          <w:szCs w:val="20"/>
          <w:color w:val="auto"/>
        </w:rPr>
      </w:pPr>
    </w:p>
    <w:p>
      <w:pPr>
        <w:ind w:left="4" w:firstLine="987"/>
        <w:spacing w:after="0" w:line="266" w:lineRule="auto"/>
        <w:tabs>
          <w:tab w:leader="none" w:pos="1240" w:val="left"/>
        </w:tabs>
        <w:numPr>
          <w:ilvl w:val="1"/>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Capitalized terms used but not otherwise defined herein have the meanings set forth in the ABL Credit Agreement, the Cash Flow Credit Agreement, the 2021 Indenture, the 2024 Indenture and the 2026 Indenture, as applicable, with the ABL Credit Agreement controlling in the event of discrepancies (and, in the event of any discrepancy between the Cash Flow Credit Agreement and either the 2021 Indenture, the 2024 Indenture or the 2026 Indenture, with the Cash Flow Credit Agreement controlling), or, if defined in the New York UCC, the meanings specified therein (including as if such terms were capitalized in Article 8 or 9 of the UCC, as the context may require, the following terms: “</w:t>
      </w:r>
      <w:r>
        <w:rPr>
          <w:rFonts w:ascii="Times New Roman" w:cs="Times New Roman" w:eastAsia="Times New Roman" w:hAnsi="Times New Roman"/>
          <w:sz w:val="17"/>
          <w:szCs w:val="17"/>
          <w:b w:val="1"/>
          <w:bCs w:val="1"/>
          <w:i w:val="1"/>
          <w:iCs w:val="1"/>
          <w:color w:val="auto"/>
        </w:rPr>
        <w:t>Account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Chattel Paper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Commercial Tort Claim</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Commodities Account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Deposit Accounts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Document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Electronic Chattel Paper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Equipment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Fixture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General Intangible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Goods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Instruments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Inventory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Investment Property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Letter-of-Credit Right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Securities Account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Entitlement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Supporting Obligation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Tangible Chattel Paper</w:t>
      </w:r>
      <w:r>
        <w:rPr>
          <w:rFonts w:ascii="Times New Roman" w:cs="Times New Roman" w:eastAsia="Times New Roman" w:hAnsi="Times New Roman"/>
          <w:sz w:val="17"/>
          <w:szCs w:val="17"/>
          <w:color w:val="auto"/>
        </w:rPr>
        <w:t>”). The definitions of terms herein shall apply equally to the singular and plural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w:t>
      </w:r>
    </w:p>
    <w:p>
      <w:pPr>
        <w:spacing w:after="0" w:line="9" w:lineRule="exact"/>
        <w:rPr>
          <w:rFonts w:ascii="Times New Roman" w:cs="Times New Roman" w:eastAsia="Times New Roman" w:hAnsi="Times New Roman"/>
          <w:sz w:val="17"/>
          <w:szCs w:val="17"/>
          <w:color w:val="auto"/>
        </w:rPr>
      </w:pPr>
    </w:p>
    <w:p>
      <w:pPr>
        <w:ind w:left="4" w:right="20" w:hanging="4"/>
        <w:spacing w:after="0" w:line="253" w:lineRule="auto"/>
        <w:tabs>
          <w:tab w:leader="none" w:pos="31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words of similar import, shall be construed to refer to this Agreement in its entirety and not to any particular provision hereof, (iv) all references herein to Articles, Sections and Exhibits shall be construed to refer to Articles, Sections and Exhibits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w:t>
      </w:r>
    </w:p>
    <w:p>
      <w:pPr>
        <w:spacing w:after="0" w:line="18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following capitalized terms have the meanings specified below:</w:t>
      </w:r>
    </w:p>
    <w:p>
      <w:pPr>
        <w:spacing w:after="0" w:line="2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2021 Indenture Obligations</w:t>
      </w:r>
      <w:r>
        <w:rPr>
          <w:rFonts w:ascii="Times New Roman" w:cs="Times New Roman" w:eastAsia="Times New Roman" w:hAnsi="Times New Roman"/>
          <w:sz w:val="18"/>
          <w:szCs w:val="18"/>
          <w:color w:val="auto"/>
        </w:rPr>
        <w:t>” means the “Initial Additional Equal Priority Obligations” as defined in the Equal Priority Intercreditor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ind w:left="4" w:right="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2024 Indenture Obligations</w:t>
      </w:r>
      <w:r>
        <w:rPr>
          <w:rFonts w:ascii="Times New Roman" w:cs="Times New Roman" w:eastAsia="Times New Roman" w:hAnsi="Times New Roman"/>
          <w:sz w:val="18"/>
          <w:szCs w:val="18"/>
          <w:color w:val="auto"/>
        </w:rPr>
        <w:t>” means the “Secured Obligations” as such term is defined in the Security Agreement, dated as of March 27, 2024, among the Borrower, the Notes Co-Issuer, the 2024 Notes Collateral Agent and the other parties thereto, as amended, restated, amended and restated, extended, supplemented or otherwise modified from time to time.</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50" w:name="page251"/>
    <w:bookmarkEnd w:id="250"/>
    <w:p>
      <w:pPr>
        <w:ind w:right="22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2026 Indenture Obligations</w:t>
      </w:r>
      <w:r>
        <w:rPr>
          <w:rFonts w:ascii="Times New Roman" w:cs="Times New Roman" w:eastAsia="Times New Roman" w:hAnsi="Times New Roman"/>
          <w:sz w:val="18"/>
          <w:szCs w:val="18"/>
          <w:color w:val="auto"/>
        </w:rPr>
        <w:t>” means the “Secured Obligations” as such term is defined in the Security Agreement, dated as of May 28, 2026, among the Borrower, the Notes Co-Issuer, the 2026 Notes Collateral Agent and the other parties thereto, as amended, restated, amended and restated, extended, supplemented or otherwise modified from time to time.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ABL Credit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ABL Facility</w:t>
      </w:r>
      <w:r>
        <w:rPr>
          <w:rFonts w:ascii="Times New Roman" w:cs="Times New Roman" w:eastAsia="Times New Roman" w:hAnsi="Times New Roman"/>
          <w:sz w:val="18"/>
          <w:szCs w:val="18"/>
          <w:color w:val="auto"/>
        </w:rPr>
        <w:t>” means (i) the ABL Credit Agreement, as amended, restated, supplemented, waived, replaced (whether or not upon termination, and whether with the original lenders or otherwise), restructured, repaid, refunded, refinanced or otherwise modified from time to time after the date hereof, including any agreement or indenture extending the maturity thereof, refinancing, replacing or otherwise restructuring all or any portion of the indebtedness under such agreement or agreements or indenture or indentures or any successor or replacement agreement or agreements or indenture or indentures or increasing the amount loaned or issued thereunder or altering the maturity thereof (except to the extent any such refinancing, replacement or restructuring is designated by the Borrower to not be included in the definition of “ABL Facility”), and (ii) whether or not the facility referred to in clause (i) remains outstanding, if designated by the Borrower to be included in the definition of “ABL Facility” and subject to the satisfaction of the requirements set forth in Section 6.14, one or more (A) debt facilities or commercial paper facilities, providing for revolving credit loans, term loans,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 as amended, supplemented, modified, extended, restructured, renewed, refinanced, restated, replaced or refunded in whole or in part from time to time.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ABL Facility Agent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ABL Facility Collateral Agreement</w:t>
      </w:r>
      <w:r>
        <w:rPr>
          <w:rFonts w:ascii="Times New Roman" w:cs="Times New Roman" w:eastAsia="Times New Roman" w:hAnsi="Times New Roman"/>
          <w:sz w:val="18"/>
          <w:szCs w:val="18"/>
          <w:color w:val="auto"/>
        </w:rPr>
        <w:t>” means the Security Agreement dated as of the date hereof, among the Grantors (as defined therein) and the ABL Facility Agent, as amended, modified, supplemented, replaced or restated from time to time.</w:t>
      </w:r>
    </w:p>
    <w:p>
      <w:pPr>
        <w:spacing w:after="0" w:line="155" w:lineRule="exact"/>
        <w:rPr>
          <w:sz w:val="20"/>
          <w:szCs w:val="20"/>
          <w:color w:val="auto"/>
        </w:rPr>
      </w:pPr>
    </w:p>
    <w:p>
      <w:pPr>
        <w:ind w:right="2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ABL Facility Collateral Documents</w:t>
      </w:r>
      <w:r>
        <w:rPr>
          <w:rFonts w:ascii="Times New Roman" w:cs="Times New Roman" w:eastAsia="Times New Roman" w:hAnsi="Times New Roman"/>
          <w:sz w:val="18"/>
          <w:szCs w:val="18"/>
          <w:color w:val="auto"/>
        </w:rPr>
        <w:t>” means the ABL Facility Collateral Agreement and any other documents now existing or entered into after the date hereof that create Liens on any assets or properties of any Grantor to secure any ABL Obligations.</w:t>
      </w:r>
    </w:p>
    <w:p>
      <w:pPr>
        <w:spacing w:after="0" w:line="155"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ABL Facility Documents</w:t>
      </w:r>
      <w:r>
        <w:rPr>
          <w:rFonts w:ascii="Times New Roman" w:cs="Times New Roman" w:eastAsia="Times New Roman" w:hAnsi="Times New Roman"/>
          <w:sz w:val="18"/>
          <w:szCs w:val="18"/>
          <w:color w:val="auto"/>
        </w:rPr>
        <w:t>” means the ABL Facility, the ABL Facility Collateral Documents and the other “Loan Documents” (or any other similar term) as defined in the ABL Facility.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ABL Facility Secured Parties</w:t>
      </w:r>
      <w:r>
        <w:rPr>
          <w:rFonts w:ascii="Times New Roman" w:cs="Times New Roman" w:eastAsia="Times New Roman" w:hAnsi="Times New Roman"/>
          <w:sz w:val="18"/>
          <w:szCs w:val="18"/>
          <w:color w:val="auto"/>
        </w:rPr>
        <w:t>” means the “Secured Parties” (or any other similar term) as defined in the ABL Facility.</w:t>
      </w:r>
    </w:p>
    <w:p>
      <w:pPr>
        <w:spacing w:after="0" w:line="225"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ABL Obligations</w:t>
      </w:r>
      <w:r>
        <w:rPr>
          <w:rFonts w:ascii="Times New Roman" w:cs="Times New Roman" w:eastAsia="Times New Roman" w:hAnsi="Times New Roman"/>
          <w:sz w:val="18"/>
          <w:szCs w:val="18"/>
          <w:color w:val="auto"/>
        </w:rPr>
        <w:t>” means all “Obligations” (as such term is defined in the ABL Facility) (or any other similar term), and all other obligations to pay principal, premium, if any, and interest, fees and expenses (including any interest, fees, and expenses accruing after the commencement of any Insolvency or Liquidation Proceeding, regardless of whether allowed or allowable in such proceeding) when due and payable, and all other amounts due or to become due under or in connection with the ABL Facility Documents and the performance of all other Obligations of the obligors thereunder to the lenders and agents under the ABL Facility Documents, according to the respective terms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251" w:name="page252"/>
    <w:bookmarkEnd w:id="25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ABL Priority Collateral</w:t>
      </w:r>
      <w:r>
        <w:rPr>
          <w:rFonts w:ascii="Times New Roman" w:cs="Times New Roman" w:eastAsia="Times New Roman" w:hAnsi="Times New Roman"/>
          <w:sz w:val="18"/>
          <w:szCs w:val="18"/>
          <w:color w:val="auto"/>
        </w:rPr>
        <w:t>” means all Collateral consisting of the following:</w:t>
      </w:r>
    </w:p>
    <w:p>
      <w:pPr>
        <w:spacing w:after="0" w:line="135" w:lineRule="exact"/>
        <w:rPr>
          <w:sz w:val="20"/>
          <w:szCs w:val="20"/>
          <w:color w:val="auto"/>
        </w:rPr>
      </w:pPr>
    </w:p>
    <w:p>
      <w:pPr>
        <w:ind w:left="960" w:right="720" w:hanging="532"/>
        <w:spacing w:after="0" w:line="282" w:lineRule="auto"/>
        <w:tabs>
          <w:tab w:leader="none" w:pos="9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(other than to the extent constituting identifiable proceeds of Non-ABL Priority Collateral), Chattel Paper and Payment Intangibles;</w:t>
      </w:r>
    </w:p>
    <w:p>
      <w:pPr>
        <w:spacing w:after="0" w:line="67"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Accounts (and all balances, cash, checks and other negotiable instruments, funds and other evidences of payment held therein), Securities Accounts (and all balances, cash, checks, securities, securities entitlements, financial asset and instruments (whether negotiable or otherwise), funds and other evidences of payment held therein), and Commodity Accounts (and all balances, cash, checks, securities, securities entitlements, financial asset and instruments (whether negotiable or otherwise), other than a Deposit Account, Securities Account or Commodities Account containing exclusively identifiable proceeds of Non-ABL Priority Collateral;</w:t>
      </w:r>
    </w:p>
    <w:p>
      <w:pPr>
        <w:spacing w:after="0" w:line="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w:t>
      </w:r>
    </w:p>
    <w:p>
      <w:pPr>
        <w:spacing w:after="0" w:line="130" w:lineRule="exact"/>
        <w:rPr>
          <w:rFonts w:ascii="Times New Roman" w:cs="Times New Roman" w:eastAsia="Times New Roman" w:hAnsi="Times New Roman"/>
          <w:sz w:val="18"/>
          <w:szCs w:val="18"/>
          <w:color w:val="auto"/>
        </w:rPr>
      </w:pPr>
    </w:p>
    <w:p>
      <w:pPr>
        <w:ind w:left="960" w:right="20" w:hanging="532"/>
        <w:spacing w:after="0" w:line="258" w:lineRule="auto"/>
        <w:tabs>
          <w:tab w:leader="none" w:pos="9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evidencing, governing, securing or otherwise reasonably related to any of the foregoing, all Documents, General Intangibles, Instruments, Investment Property (other than Equity Interests), Commercial Tort Claims, Letters of Credit, Letter-of-Credit Rights and Supporting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any of the foregoing also evidence, govern, secure or otherwise reasonably relate to any Non-ABL Priority Collateral, only that portion that evidences, governs, secures or primarily relates to ABL Priority Collateral shall constitute ABL Priority Collateral;</w:t>
      </w:r>
    </w:p>
    <w:p>
      <w:pPr>
        <w:spacing w:after="0" w:line="88" w:lineRule="exact"/>
        <w:rPr>
          <w:rFonts w:ascii="Times New Roman" w:cs="Times New Roman" w:eastAsia="Times New Roman" w:hAnsi="Times New Roman"/>
          <w:sz w:val="18"/>
          <w:szCs w:val="18"/>
          <w:color w:val="auto"/>
        </w:rPr>
      </w:pPr>
    </w:p>
    <w:p>
      <w:pPr>
        <w:ind w:left="960" w:right="520" w:hanging="532"/>
        <w:spacing w:after="0" w:line="282" w:lineRule="auto"/>
        <w:tabs>
          <w:tab w:leader="none" w:pos="9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records and documents related to the foregoing (including databases, customer lists and other records, whether tangible or electronic, which contain any information relating to any of the foregoing); and</w:t>
      </w:r>
    </w:p>
    <w:p>
      <w:pPr>
        <w:spacing w:after="0" w:line="67"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and products of any or all of the foregoing in whatever form received, including proceeds of business interruption and other insurance and claims against third parties.</w:t>
      </w:r>
    </w:p>
    <w:p>
      <w:pPr>
        <w:spacing w:after="0" w:line="157" w:lineRule="exact"/>
        <w:rPr>
          <w:rFonts w:ascii="Times New Roman" w:cs="Times New Roman" w:eastAsia="Times New Roman" w:hAnsi="Times New Roman"/>
          <w:sz w:val="18"/>
          <w:szCs w:val="18"/>
          <w:color w:val="auto"/>
        </w:rPr>
      </w:pPr>
    </w:p>
    <w:p>
      <w:pPr>
        <w:ind w:left="980" w:right="28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ABL Priority Possessory Collateral</w:t>
      </w:r>
      <w:r>
        <w:rPr>
          <w:rFonts w:ascii="Times New Roman" w:cs="Times New Roman" w:eastAsia="Times New Roman" w:hAnsi="Times New Roman"/>
          <w:sz w:val="18"/>
          <w:szCs w:val="18"/>
          <w:color w:val="auto"/>
        </w:rPr>
        <w:t>” means ABL Priority Collateral that is Possessory Collateral.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Junior Collateral Agent</w:t>
      </w:r>
      <w:r>
        <w:rPr>
          <w:rFonts w:ascii="Times New Roman" w:cs="Times New Roman" w:eastAsia="Times New Roman" w:hAnsi="Times New Roman"/>
          <w:sz w:val="18"/>
          <w:szCs w:val="18"/>
          <w:color w:val="auto"/>
        </w:rPr>
        <w:t>” means (a) with respect to the ABL Priority Collateral, the Intercreditor Agent and (b) with respect to the Non-ABL Priority Collateral, the ABL Facility Agent.</w:t>
      </w:r>
    </w:p>
    <w:p>
      <w:pPr>
        <w:spacing w:after="0" w:line="155" w:lineRule="exact"/>
        <w:rPr>
          <w:sz w:val="20"/>
          <w:szCs w:val="20"/>
          <w:color w:val="auto"/>
        </w:rPr>
      </w:pPr>
    </w:p>
    <w:p>
      <w:pPr>
        <w:ind w:right="4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Possessory Collateral Agent</w:t>
      </w:r>
      <w:r>
        <w:rPr>
          <w:rFonts w:ascii="Times New Roman" w:cs="Times New Roman" w:eastAsia="Times New Roman" w:hAnsi="Times New Roman"/>
          <w:sz w:val="18"/>
          <w:szCs w:val="18"/>
          <w:color w:val="auto"/>
        </w:rPr>
        <w:t>” means (a) with respect to ABL Priority Possessory Collateral, the ABL Facility Agent and (b) with respect to Non-ABL Priority Possessory Collateral, the Intercreditor Agent.</w:t>
      </w:r>
    </w:p>
    <w:p>
      <w:pPr>
        <w:spacing w:after="0" w:line="15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Senior Collateral Agent</w:t>
      </w:r>
      <w:r>
        <w:rPr>
          <w:rFonts w:ascii="Times New Roman" w:cs="Times New Roman" w:eastAsia="Times New Roman" w:hAnsi="Times New Roman"/>
          <w:sz w:val="18"/>
          <w:szCs w:val="18"/>
          <w:color w:val="auto"/>
        </w:rPr>
        <w:t>” means (a) with respect to the ABL Priority Collateral, the ABL Facility Agent and (b) with respect to the Non-ABL Priority Collateral, the Intercreditor Agent.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252" w:name="page253"/>
    <w:bookmarkEnd w:id="25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means Title 11 of the United States Code, as amended, modified or supplemented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the Bankruptcy Code and any similar federal, state or foreign law for the relief of debtors.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that is not a Saturday, Sunday or other day that is a legal holiday under the laws of the State of New York or on which banking institutions in the State of New York are required or authorized by law or other governmental action to close.</w:t>
      </w:r>
    </w:p>
    <w:p>
      <w:pPr>
        <w:spacing w:after="0" w:line="15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Flow Collateral Agreement</w:t>
      </w:r>
      <w:r>
        <w:rPr>
          <w:rFonts w:ascii="Times New Roman" w:cs="Times New Roman" w:eastAsia="Times New Roman" w:hAnsi="Times New Roman"/>
          <w:sz w:val="18"/>
          <w:szCs w:val="18"/>
          <w:color w:val="auto"/>
        </w:rPr>
        <w:t>” means the Security Agreement, dated as of October 21, 2021, among the Grantors (as defined therein) and the Cash Flow Facility Agent, as amended, modified, supplemented, replaced or restated from time to time.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Flow Credit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Flow Facility Documents</w:t>
      </w:r>
      <w:r>
        <w:rPr>
          <w:rFonts w:ascii="Times New Roman" w:cs="Times New Roman" w:eastAsia="Times New Roman" w:hAnsi="Times New Roman"/>
          <w:sz w:val="18"/>
          <w:szCs w:val="18"/>
          <w:color w:val="auto"/>
        </w:rPr>
        <w:t>” means the Cash Flow Credit Agreement and the other “Loan Documents” as defined in the Cash Flow Credit Agreement.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Flow Facility Secured Parties</w:t>
      </w:r>
      <w:r>
        <w:rPr>
          <w:rFonts w:ascii="Times New Roman" w:cs="Times New Roman" w:eastAsia="Times New Roman" w:hAnsi="Times New Roman"/>
          <w:sz w:val="18"/>
          <w:szCs w:val="18"/>
          <w:color w:val="auto"/>
        </w:rPr>
        <w:t>” means the “Secured Parties” as defined in the Cash Flow Credit Agreement.</w:t>
      </w:r>
    </w:p>
    <w:p>
      <w:pPr>
        <w:spacing w:after="0" w:line="225"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Flow Obligations</w:t>
      </w:r>
      <w:r>
        <w:rPr>
          <w:rFonts w:ascii="Times New Roman" w:cs="Times New Roman" w:eastAsia="Times New Roman" w:hAnsi="Times New Roman"/>
          <w:sz w:val="18"/>
          <w:szCs w:val="18"/>
          <w:color w:val="auto"/>
        </w:rPr>
        <w:t>” means all “Obligations” (as such term is defined in the Cash Flow Credit Agreement), and all other obligations to pay principal, premium, if any, and interest, fees and expenses (including any interest, fees and expenses accruing after the commencement of any Insolvency or Liquidation Proceeding, regardless of whether allowed or allowable in such proceeding) when due and payable, and all other amounts due or to become due under or in connection with the Cash Flow Facility Documents and the performance of all other Obligations of the obligors thereunder to the lenders and agents under the Cash Flow Facility Documents, according to the respective terms thereof.</w:t>
      </w:r>
    </w:p>
    <w:p>
      <w:pPr>
        <w:spacing w:after="0" w:line="17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Management Obligations</w:t>
      </w:r>
      <w:r>
        <w:rPr>
          <w:rFonts w:ascii="Times New Roman" w:cs="Times New Roman" w:eastAsia="Times New Roman" w:hAnsi="Times New Roman"/>
          <w:sz w:val="18"/>
          <w:szCs w:val="18"/>
          <w:color w:val="auto"/>
        </w:rPr>
        <w:t>” means, with respect to any Person, all obligations, whether now owing or hereafter arising, of such Person in respect of cash management services including collections, treasury management services (including controlled disbursement, overdraft, automated clearing house fund transfer services, return items, electronic funds transfer services and interstate depository network services), foreign exchange facilities, credit card processing services, demand deposits, payroll, trust or operating account relationships, commercial credit cards, merchant cards or lines of credit, purchase or debit cards, non-card e-payables services, supply chain finance services (including trade payable services and supplier accounts receivable and drafts/bills of exchange purchases) and other cash management services, including electronic funds transfer services, lockbox services, stop payment services and wire transfer services, including any obligations of the type referred to in the definition of under any “Cash Management Agreement” in the ABL Credit Agreement and the Cash Flow Credit Agreement.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has the meaning set forth in the definition of Senior Obligations.</w:t>
      </w:r>
    </w:p>
    <w:p>
      <w:pPr>
        <w:spacing w:after="0" w:line="225"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w:t>
      </w:r>
      <w:r>
        <w:rPr>
          <w:rFonts w:ascii="Times New Roman" w:cs="Times New Roman" w:eastAsia="Times New Roman" w:hAnsi="Times New Roman"/>
          <w:sz w:val="18"/>
          <w:szCs w:val="18"/>
          <w:color w:val="auto"/>
        </w:rPr>
        <w:t>” means all assets and properties subject to, or purported to be subject to, Liens in favor of any Secured Party created by any of the ABL Facility Collateral Documents, the Equal Priority Collateral Documents or the Junior Priority Collateral Documents, as applicable, to secure the ABL Obligations or any Non-ABL Obligations, as applicable, and which shall in any event with respect to any Series of Obligations exclude “Excluded Assets” (or any analogous term) under and as defined in the applicable ABL Facility Documents and Non-ABL Documents in respect of such Series of Obligations.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253" w:name="page254"/>
    <w:bookmarkEnd w:id="253"/>
    <w:p>
      <w:pPr>
        <w:ind w:right="160" w:firstLine="991"/>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Collateral Agent</w:t>
      </w:r>
      <w:r>
        <w:rPr>
          <w:rFonts w:ascii="Times New Roman" w:cs="Times New Roman" w:eastAsia="Times New Roman" w:hAnsi="Times New Roman"/>
          <w:sz w:val="17"/>
          <w:szCs w:val="17"/>
          <w:color w:val="auto"/>
        </w:rPr>
        <w:t>” means the ABL Facility Agent (or, as the context may require, any additional Collateral Agent for any ABL Facility under clause (ii) of the definition of “ABL Facility”) and each Non-ABL Collateral Agent or any or all of the foregoing, as the context may require.</w:t>
      </w:r>
    </w:p>
    <w:p>
      <w:pPr>
        <w:spacing w:after="0" w:line="132" w:lineRule="exact"/>
        <w:rPr>
          <w:sz w:val="20"/>
          <w:szCs w:val="20"/>
          <w:color w:val="auto"/>
        </w:rPr>
      </w:pPr>
    </w:p>
    <w:p>
      <w:pPr>
        <w:ind w:right="4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Comparable Junior Collateral Document</w:t>
      </w:r>
      <w:r>
        <w:rPr>
          <w:rFonts w:ascii="Times New Roman" w:cs="Times New Roman" w:eastAsia="Times New Roman" w:hAnsi="Times New Roman"/>
          <w:sz w:val="18"/>
          <w:szCs w:val="18"/>
          <w:color w:val="auto"/>
        </w:rPr>
        <w:t>” means, in relation to any Senior Collateral subject to any Lien created under any Senior Collateral Document, those Junior Collateral Documents that create a Lien on the same Collateral, granted by the same Grantor.</w:t>
      </w:r>
    </w:p>
    <w:p>
      <w:pPr>
        <w:spacing w:after="0" w:line="155" w:lineRule="exact"/>
        <w:rPr>
          <w:sz w:val="20"/>
          <w:szCs w:val="20"/>
          <w:color w:val="auto"/>
        </w:rPr>
      </w:pPr>
    </w:p>
    <w:p>
      <w:pPr>
        <w:ind w:right="2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means, except for purposes of Section 2.12 hereof, the possession, directly or indirectly, of the power to direct or cause the direction of the management or policies of a person, whether through the ownership of voting securities, by contract or otherwise, and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shall have meanings correlative thereto.</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DIP Financing</w:t>
      </w:r>
      <w:r>
        <w:rPr>
          <w:rFonts w:ascii="Times New Roman" w:cs="Times New Roman" w:eastAsia="Times New Roman" w:hAnsi="Times New Roman"/>
          <w:sz w:val="18"/>
          <w:szCs w:val="18"/>
          <w:color w:val="auto"/>
        </w:rPr>
        <w:t>” has the meaning set forth in Section 2.06(b)(i).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DIP Financing Liens</w:t>
      </w:r>
      <w:r>
        <w:rPr>
          <w:rFonts w:ascii="Times New Roman" w:cs="Times New Roman" w:eastAsia="Times New Roman" w:hAnsi="Times New Roman"/>
          <w:sz w:val="18"/>
          <w:szCs w:val="18"/>
          <w:color w:val="auto"/>
        </w:rPr>
        <w:t>” has the meaning set forth in Section 2.06(b)(i). “</w:t>
      </w:r>
      <w:r>
        <w:rPr>
          <w:rFonts w:ascii="Times New Roman" w:cs="Times New Roman" w:eastAsia="Times New Roman" w:hAnsi="Times New Roman"/>
          <w:sz w:val="18"/>
          <w:szCs w:val="18"/>
          <w:b w:val="1"/>
          <w:bCs w:val="1"/>
          <w:i w:val="1"/>
          <w:iCs w:val="1"/>
          <w:color w:val="auto"/>
        </w:rPr>
        <w:t>DIP Lenders</w:t>
      </w:r>
      <w:r>
        <w:rPr>
          <w:rFonts w:ascii="Times New Roman" w:cs="Times New Roman" w:eastAsia="Times New Roman" w:hAnsi="Times New Roman"/>
          <w:sz w:val="18"/>
          <w:szCs w:val="18"/>
          <w:color w:val="auto"/>
        </w:rPr>
        <w:t>” has the meaning set forth in Section 2.06(b)(i).</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Discharge</w:t>
      </w:r>
      <w:r>
        <w:rPr>
          <w:rFonts w:ascii="Times New Roman" w:cs="Times New Roman" w:eastAsia="Times New Roman" w:hAnsi="Times New Roman"/>
          <w:sz w:val="18"/>
          <w:szCs w:val="18"/>
          <w:color w:val="auto"/>
        </w:rPr>
        <w:t>” means, with respect to any Obligations, except to the extent otherwise provided herein with respect to the reinstatement or continuation of any such Obligations (including in Section 2.04(c) and Section 2.07), the payment in full in cash (except for contingent indemnities and cost and reimbursement obligations to the extent no claim has been made) of all such Obligations then outstanding, if any, and, with respect to letters of credit or letter of credit guaranties outstanding under the agreements or instruments (collectively, the “</w:t>
      </w:r>
      <w:r>
        <w:rPr>
          <w:rFonts w:ascii="Times New Roman" w:cs="Times New Roman" w:eastAsia="Times New Roman" w:hAnsi="Times New Roman"/>
          <w:sz w:val="18"/>
          <w:szCs w:val="18"/>
          <w:b w:val="1"/>
          <w:bCs w:val="1"/>
          <w:i w:val="1"/>
          <w:iCs w:val="1"/>
          <w:color w:val="auto"/>
        </w:rPr>
        <w:t>Relevant Instruments</w:t>
      </w:r>
      <w:r>
        <w:rPr>
          <w:rFonts w:ascii="Times New Roman" w:cs="Times New Roman" w:eastAsia="Times New Roman" w:hAnsi="Times New Roman"/>
          <w:sz w:val="18"/>
          <w:szCs w:val="18"/>
          <w:color w:val="auto"/>
        </w:rPr>
        <w:t xml:space="preserve">”) governing such Obligations, delivery of cash collateral, backstop letters of credit or other accommodations in respect thereof in a manner consistent with such agreement or instrument, in each case after or concurrently with the termination of all commitments to extend credit thereunder, and the termination of all commitments of “secured parties” under the Relevant Instruments;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Discharge of ABL Obligations shall not be deemed to have occurred if such payments are made in connection with the proceeds of other ABL Obligations that constitute an exchange or replacement for or refinancing of such ABL Obligations in accordance with Section 2.10, (ii) the Discharge of Equal Priority Obligations shall not be deemed to have occurred if such payments are made with the proceeds of other Equal Priority Obligations that constitute an exchange or replacement for or a refinancing of such Equal Priority Obligations in accordance with Section 2.10, and (iii) the Discharge of Junior Priority Obligations shall not be deemed to have occurred if such payments are made with the proceeds of other Junior Priority Obligations that constitute an exchange or replacement for or a refinancing of such Junior Priority Obligations in accordance with Section 2.10. In the event any Obligations are modified and such Obligations are paid over time or otherwise modified, in each case, pursuant to Section 1129 of the Bankruptcy Code (or any similar provision of any other applicable Bankruptcy Law), such Obligations shall be deemed to be discharged when the final payment is made, in cash, in respect of such indebtedness and any obligations pursuant to such new or modified indebtedness shall have been satisfied. The term “</w:t>
      </w:r>
      <w:r>
        <w:rPr>
          <w:rFonts w:ascii="Times New Roman" w:cs="Times New Roman" w:eastAsia="Times New Roman" w:hAnsi="Times New Roman"/>
          <w:sz w:val="18"/>
          <w:szCs w:val="18"/>
          <w:b w:val="1"/>
          <w:bCs w:val="1"/>
          <w:i w:val="1"/>
          <w:iCs w:val="1"/>
          <w:color w:val="auto"/>
        </w:rPr>
        <w:t>Discharged</w:t>
      </w:r>
      <w:r>
        <w:rPr>
          <w:rFonts w:ascii="Times New Roman" w:cs="Times New Roman" w:eastAsia="Times New Roman" w:hAnsi="Times New Roman"/>
          <w:sz w:val="18"/>
          <w:szCs w:val="18"/>
          <w:color w:val="auto"/>
        </w:rPr>
        <w:t>” shall have a corresponding meaning.</w:t>
      </w:r>
    </w:p>
    <w:p>
      <w:pPr>
        <w:spacing w:after="0" w:line="193"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Equal Priority Cash Management Obligations</w:t>
      </w:r>
      <w:r>
        <w:rPr>
          <w:rFonts w:ascii="Times New Roman" w:cs="Times New Roman" w:eastAsia="Times New Roman" w:hAnsi="Times New Roman"/>
          <w:sz w:val="18"/>
          <w:szCs w:val="18"/>
          <w:color w:val="auto"/>
        </w:rPr>
        <w:t>” means any Cash Management Obligations secured by any Collateral under any Equal Priority Collateral Documents.</w:t>
      </w:r>
    </w:p>
    <w:p>
      <w:pPr>
        <w:spacing w:after="0" w:line="155"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Equal Priority Intercreditor Agreement</w:t>
      </w:r>
      <w:r>
        <w:rPr>
          <w:rFonts w:ascii="Times New Roman" w:cs="Times New Roman" w:eastAsia="Times New Roman" w:hAnsi="Times New Roman"/>
          <w:sz w:val="18"/>
          <w:szCs w:val="18"/>
          <w:color w:val="auto"/>
        </w:rPr>
        <w:t>” has the meaning set forth in the preamble or any replacement thereof otherwise entered into in compliance with the Equal Priority Documents governing the relationship among the Equal Priority Secured Parties.</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66" w:right="519" w:bottom="1440" w:gutter="0" w:footer="0" w:header="0"/>
        </w:sectPr>
      </w:pPr>
    </w:p>
    <w:bookmarkStart w:id="254" w:name="page255"/>
    <w:bookmarkEnd w:id="254"/>
    <w:p>
      <w:pPr>
        <w:ind w:left="4" w:right="2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Equal Priority Collateral Agent</w:t>
      </w:r>
      <w:r>
        <w:rPr>
          <w:rFonts w:ascii="Times New Roman" w:cs="Times New Roman" w:eastAsia="Times New Roman" w:hAnsi="Times New Roman"/>
          <w:sz w:val="18"/>
          <w:szCs w:val="18"/>
          <w:color w:val="auto"/>
        </w:rPr>
        <w:t>” means the Controlling Collateral Agent (as defined in the Equal Priority Lien Intercreditor Agreement). For purposes of this Agreement, the ABL Facility Agent may treat Bank of America, N.A., as the Equal Priority Collateral Agent until notified in writing by the Borrower that another representative has become the Equal Priority Collateral Agent.</w:t>
      </w:r>
    </w:p>
    <w:p>
      <w:pPr>
        <w:spacing w:after="0" w:line="171" w:lineRule="exact"/>
        <w:rPr>
          <w:sz w:val="20"/>
          <w:szCs w:val="20"/>
          <w:color w:val="auto"/>
        </w:rPr>
      </w:pPr>
    </w:p>
    <w:p>
      <w:pPr>
        <w:ind w:left="4" w:right="1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Equal Priority Collateral Documents</w:t>
      </w:r>
      <w:r>
        <w:rPr>
          <w:rFonts w:ascii="Times New Roman" w:cs="Times New Roman" w:eastAsia="Times New Roman" w:hAnsi="Times New Roman"/>
          <w:sz w:val="18"/>
          <w:szCs w:val="18"/>
          <w:color w:val="auto"/>
        </w:rPr>
        <w:t>” means any documents now existing or entered into after the date hereof that create Liens on any assets or properties of any Grantor to secure any Equal Priority Obligations.</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Equal Priority Documents</w:t>
      </w:r>
      <w:r>
        <w:rPr>
          <w:rFonts w:ascii="Times New Roman" w:cs="Times New Roman" w:eastAsia="Times New Roman" w:hAnsi="Times New Roman"/>
          <w:sz w:val="18"/>
          <w:szCs w:val="18"/>
          <w:color w:val="auto"/>
        </w:rPr>
        <w:t>” means (a) the Cash Flow Facility Documents, (b) the Security Documents (as defined in the 2021 Indenture),</w:t>
      </w:r>
    </w:p>
    <w:p>
      <w:pPr>
        <w:spacing w:after="0" w:line="31" w:lineRule="exact"/>
        <w:rPr>
          <w:sz w:val="20"/>
          <w:szCs w:val="20"/>
          <w:color w:val="auto"/>
        </w:rPr>
      </w:pPr>
    </w:p>
    <w:p>
      <w:pPr>
        <w:ind w:left="4" w:right="40" w:hanging="4"/>
        <w:spacing w:after="0" w:line="255" w:lineRule="auto"/>
        <w:tabs>
          <w:tab w:leader="none" w:pos="24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Documents (as defined in the 2024 Indenture), (d) the Security Documents (as defined in the 2026 Indenture), (e) the Other Equal Priority Documents and (f) each agreement, document or instrument providing for or evidencing an Equal Priority Hedging Obligation or Equal Priority Cash Management Obligation.</w:t>
      </w:r>
    </w:p>
    <w:p>
      <w:pPr>
        <w:spacing w:after="0" w:line="18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Equal Priority Hedging Obligations</w:t>
      </w:r>
      <w:r>
        <w:rPr>
          <w:rFonts w:ascii="Times New Roman" w:cs="Times New Roman" w:eastAsia="Times New Roman" w:hAnsi="Times New Roman"/>
          <w:sz w:val="18"/>
          <w:szCs w:val="18"/>
          <w:color w:val="auto"/>
        </w:rPr>
        <w:t>” means any Swap Contract secured by any Collateral under any Equal Priority Collateral</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Documents.</w:t>
      </w:r>
    </w:p>
    <w:p>
      <w:pPr>
        <w:spacing w:after="0" w:line="203" w:lineRule="exact"/>
        <w:rPr>
          <w:sz w:val="20"/>
          <w:szCs w:val="20"/>
          <w:color w:val="auto"/>
        </w:rPr>
      </w:pPr>
    </w:p>
    <w:p>
      <w:pPr>
        <w:ind w:left="4" w:right="34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Equal Priority Obligations</w:t>
      </w:r>
      <w:r>
        <w:rPr>
          <w:rFonts w:ascii="Times New Roman" w:cs="Times New Roman" w:eastAsia="Times New Roman" w:hAnsi="Times New Roman"/>
          <w:sz w:val="18"/>
          <w:szCs w:val="18"/>
          <w:color w:val="auto"/>
        </w:rPr>
        <w:t>” means (a) the Cash Flow Obligations, (b) the 2021 Indenture Obligations, (c) the 2024 Indenture Obligations, (d) the 2026 Indenture Obligations, (e) each Series of Other Equal Priority Obligations, and (f) any other Equal Priority Hedging Obligations and Equal Priority Cash Management Obligations (which shall be deemed to be part of the Series of Other Equal Priority Obligations to which they relate to the extent provided in the applicable Other Equal Priority Documents).</w:t>
      </w:r>
    </w:p>
    <w:p>
      <w:pPr>
        <w:spacing w:after="0" w:line="176"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Equal Priority Representatives</w:t>
      </w:r>
      <w:r>
        <w:rPr>
          <w:rFonts w:ascii="Times New Roman" w:cs="Times New Roman" w:eastAsia="Times New Roman" w:hAnsi="Times New Roman"/>
          <w:sz w:val="17"/>
          <w:szCs w:val="17"/>
          <w:color w:val="auto"/>
        </w:rPr>
        <w:t>” means (a) in the case of the Cash Flow Obligations, the Cash Flow Facility Agent, (b) in the case of the 2021 Indenture Obligations, the 2021 Notes Collateral Agent, (c) in the case of the 2024 Indenture Obligations, the 2024 Notes Collateral Agent, (d) in the case of the 2026 Indenture Obligations, the 2026 Notes Collateral Agent, and (e) in the case of any Series of Other Equal Priority Obligations, the Other Equal Priority Representative with respect thereto. The term “Equal Priority Representatives” shall include the Equal Priority Collateral Agent.</w:t>
      </w:r>
    </w:p>
    <w:p>
      <w:pPr>
        <w:spacing w:after="0" w:line="161" w:lineRule="exact"/>
        <w:rPr>
          <w:sz w:val="20"/>
          <w:szCs w:val="20"/>
          <w:color w:val="auto"/>
        </w:rPr>
      </w:pPr>
    </w:p>
    <w:p>
      <w:pPr>
        <w:ind w:left="4" w:right="4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Equal Priority Secured Parties</w:t>
      </w:r>
      <w:r>
        <w:rPr>
          <w:rFonts w:ascii="Times New Roman" w:cs="Times New Roman" w:eastAsia="Times New Roman" w:hAnsi="Times New Roman"/>
          <w:sz w:val="18"/>
          <w:szCs w:val="18"/>
          <w:color w:val="auto"/>
        </w:rPr>
        <w:t>” means (a) the Cash Flow Facility Secured Parties, (b) the Initial Additional Equal Priority Secured Parties (as defined in the Equal Priority Intercreditor Agreement) and (c) the Other Equal Priority Secured Parties, including the Equal Priority Representatives.</w:t>
      </w:r>
    </w:p>
    <w:p>
      <w:pPr>
        <w:spacing w:after="0" w:line="171" w:lineRule="exact"/>
        <w:rPr>
          <w:sz w:val="20"/>
          <w:szCs w:val="20"/>
          <w:color w:val="auto"/>
        </w:rPr>
      </w:pPr>
    </w:p>
    <w:p>
      <w:pPr>
        <w:ind w:left="4" w:right="40" w:firstLine="99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Event of Default</w:t>
      </w:r>
      <w:r>
        <w:rPr>
          <w:rFonts w:ascii="Times New Roman" w:cs="Times New Roman" w:eastAsia="Times New Roman" w:hAnsi="Times New Roman"/>
          <w:sz w:val="17"/>
          <w:szCs w:val="17"/>
          <w:color w:val="auto"/>
        </w:rPr>
        <w:t>” means an “Event of Default” under and as defined in the ABL Facility, the Cash Flow Credit Agreement, the 2021 Indenture, the 2024 Indenture, the 2026 Indenture, any Other Equal Priority Document and/or any Junior Priority Document, as the context may require.</w:t>
      </w:r>
    </w:p>
    <w:p>
      <w:pPr>
        <w:spacing w:after="0" w:line="132" w:lineRule="exact"/>
        <w:rPr>
          <w:sz w:val="20"/>
          <w:szCs w:val="20"/>
          <w:color w:val="auto"/>
        </w:rPr>
      </w:pPr>
    </w:p>
    <w:p>
      <w:pPr>
        <w:ind w:left="4" w:right="5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Grantor</w:t>
      </w:r>
      <w:r>
        <w:rPr>
          <w:rFonts w:ascii="Times New Roman" w:cs="Times New Roman" w:eastAsia="Times New Roman" w:hAnsi="Times New Roman"/>
          <w:sz w:val="18"/>
          <w:szCs w:val="18"/>
          <w:color w:val="auto"/>
        </w:rPr>
        <w:t>” means Holdings, the Borrower and each Subsidiary of the Borrower (including any subsidiary borrowers) that shall have granted any Lien in favor of any Collateral Agent on any of its assets or properties to secure any of the Secured Obligations.</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 w:right="20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Insolvency or Liquidation Proceeding</w:t>
      </w:r>
      <w:r>
        <w:rPr>
          <w:rFonts w:ascii="Times New Roman" w:cs="Times New Roman" w:eastAsia="Times New Roman" w:hAnsi="Times New Roman"/>
          <w:sz w:val="18"/>
          <w:szCs w:val="18"/>
          <w:color w:val="auto"/>
        </w:rPr>
        <w:t>” means (a) any case or proceeding commenced by or against the Borrower or any other Grantor under the Bankruptcy Code or any other Bankruptcy Law, any other case or proceeding for the reorganization, recapitalization or adjustment or marshalling of the assets or liabilities of the Borrower or any other Grantor, any receivership or assignment for the benefit of creditors relating to the Borrower or any other Grantor or any similar case or proceeding relative to the Borrower or any other Grantor or its creditors, as such, in each case whether or not voluntary; (b) any</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255" w:name="page256"/>
    <w:bookmarkEnd w:id="255"/>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liquidation, dissolution, marshalling of assets or liabilities or other winding up of or relating to the Borrower or any other Grantor, in each case whether or not voluntary and whether or not involving bankruptcy or insolvency (except for any voluntary liquidation, dissolution or other winding up to the extent permitted by the applicable ABL Facility Documents and Non-ABL Documents); or (c) any other case or proceeding of any type or nature in which substantially all claims of creditors of the Borrower or any other Grantor are determined and any payment or distribution is or may be made on account of such claims.</w:t>
      </w:r>
    </w:p>
    <w:p>
      <w:pPr>
        <w:spacing w:after="0" w:line="17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Intercreditor Agent</w:t>
      </w:r>
      <w:r>
        <w:rPr>
          <w:rFonts w:ascii="Times New Roman" w:cs="Times New Roman" w:eastAsia="Times New Roman" w:hAnsi="Times New Roman"/>
          <w:sz w:val="18"/>
          <w:szCs w:val="18"/>
          <w:color w:val="auto"/>
        </w:rPr>
        <w:t>” means (a) prior to the incurrence of any Junior Priority Obligations, the Equal Priority Collateral Agent, and</w:t>
      </w:r>
    </w:p>
    <w:p>
      <w:pPr>
        <w:spacing w:after="0" w:line="31" w:lineRule="exact"/>
        <w:rPr>
          <w:sz w:val="20"/>
          <w:szCs w:val="20"/>
          <w:color w:val="auto"/>
        </w:rPr>
      </w:pPr>
    </w:p>
    <w:p>
      <w:pPr>
        <w:ind w:left="4" w:hanging="4"/>
        <w:spacing w:after="0" w:line="252" w:lineRule="auto"/>
        <w:tabs>
          <w:tab w:leader="none" w:pos="25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incurrence of any Junior Priority Obligations, (i) until the Discharge of Equal Priority Obligations, the Non-ABL Collateral Agent acting on behalf of both the Equal Priority Secured Parties and the Junior Priority Secured Parties as a single class or such other agent or trustee as is designated to act on behalf of such parties for purposes of this Agreement pursuant to the Junior Lien Intercreditor Agreement and (ii) following the Discharge of each Series of Equal Priority Obligations, the Junior Priority Acting Collateral Agent acting on behalf of the Junior Priority Secured Parties. For purposes of this Agreement, the ABL Facility Agent may treat the Equal Priority Collateral Agent as the Intercreditor Agent until notified in writing by the Borrower that another representative has become the Intercreditor Agent.</w:t>
      </w:r>
    </w:p>
    <w:p>
      <w:pPr>
        <w:spacing w:after="0" w:line="186" w:lineRule="exact"/>
        <w:rPr>
          <w:sz w:val="20"/>
          <w:szCs w:val="20"/>
          <w:color w:val="auto"/>
        </w:rPr>
      </w:pPr>
    </w:p>
    <w:p>
      <w:pPr>
        <w:ind w:left="4" w:right="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Joinder Agreement</w:t>
      </w:r>
      <w:r>
        <w:rPr>
          <w:rFonts w:ascii="Times New Roman" w:cs="Times New Roman" w:eastAsia="Times New Roman" w:hAnsi="Times New Roman"/>
          <w:sz w:val="18"/>
          <w:szCs w:val="18"/>
          <w:color w:val="auto"/>
        </w:rPr>
        <w:t xml:space="preserve">” means an agreement in form and substance substantially similar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B or C hereto, pursuant to which any Other Equal Priority Secured Parties, Junior Priority Secured Parties or other ABL Facility Secured Parties, either directly or through their respective applicable Representatives, become a party hereto in accordance with Section 6.14 hereof.</w:t>
      </w:r>
    </w:p>
    <w:p>
      <w:pPr>
        <w:spacing w:after="0" w:line="171" w:lineRule="exact"/>
        <w:rPr>
          <w:sz w:val="20"/>
          <w:szCs w:val="20"/>
          <w:color w:val="auto"/>
        </w:rPr>
      </w:pPr>
    </w:p>
    <w:p>
      <w:pPr>
        <w:ind w:left="4" w:right="1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Claims</w:t>
      </w:r>
      <w:r>
        <w:rPr>
          <w:rFonts w:ascii="Times New Roman" w:cs="Times New Roman" w:eastAsia="Times New Roman" w:hAnsi="Times New Roman"/>
          <w:sz w:val="18"/>
          <w:szCs w:val="18"/>
          <w:color w:val="auto"/>
        </w:rPr>
        <w:t>” means (a) with respect to the ABL Priority Collateral, each Series of Non-ABL Obligations secured by such Collateral and (b) with respect to the Non-ABL Priority Collateral, the ABL Obligations secured by such Collateral.</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Collateral</w:t>
      </w:r>
      <w:r>
        <w:rPr>
          <w:rFonts w:ascii="Times New Roman" w:cs="Times New Roman" w:eastAsia="Times New Roman" w:hAnsi="Times New Roman"/>
          <w:sz w:val="18"/>
          <w:szCs w:val="18"/>
          <w:color w:val="auto"/>
        </w:rPr>
        <w:t>” means, with respect to any Obligations, the Collateral in respect of which such Obligations constitute Junior Claims.</w:t>
      </w:r>
    </w:p>
    <w:p>
      <w:pPr>
        <w:spacing w:after="0" w:line="225" w:lineRule="exact"/>
        <w:rPr>
          <w:sz w:val="20"/>
          <w:szCs w:val="20"/>
          <w:color w:val="auto"/>
        </w:rPr>
      </w:pPr>
    </w:p>
    <w:p>
      <w:pPr>
        <w:ind w:left="4" w:right="34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Collateral Agent</w:t>
      </w:r>
      <w:r>
        <w:rPr>
          <w:rFonts w:ascii="Times New Roman" w:cs="Times New Roman" w:eastAsia="Times New Roman" w:hAnsi="Times New Roman"/>
          <w:sz w:val="18"/>
          <w:szCs w:val="18"/>
          <w:color w:val="auto"/>
        </w:rPr>
        <w:t>” means (a) with respect to the Non-ABL Priority Collateral, the ABL Facility Agent (or, as the context may require, any additional Collateral Agent for any ABL Facility under clause (ii) of the definition of “ABL Facility”) and (b) with respect to the ABL Priority Collateral, the Intercreditor Agent (or, as the context may require, any other Collateral Agent acting on behalf of any Series of Non-ABL Obligations).</w:t>
      </w:r>
    </w:p>
    <w:p>
      <w:pPr>
        <w:spacing w:after="0" w:line="176" w:lineRule="exact"/>
        <w:rPr>
          <w:sz w:val="20"/>
          <w:szCs w:val="20"/>
          <w:color w:val="auto"/>
        </w:rPr>
      </w:pPr>
    </w:p>
    <w:p>
      <w:pPr>
        <w:ind w:left="4" w:right="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Collateral Documents</w:t>
      </w:r>
      <w:r>
        <w:rPr>
          <w:rFonts w:ascii="Times New Roman" w:cs="Times New Roman" w:eastAsia="Times New Roman" w:hAnsi="Times New Roman"/>
          <w:sz w:val="18"/>
          <w:szCs w:val="18"/>
          <w:color w:val="auto"/>
        </w:rPr>
        <w:t>” means (a) with respect to the Non-ABL Obligations, the ABL Facility Collateral Documents and (b) with respect to the ABL Obligations, the Non-ABL Collateral Documents.</w:t>
      </w:r>
    </w:p>
    <w:p>
      <w:pPr>
        <w:spacing w:after="0" w:line="155" w:lineRule="exact"/>
        <w:rPr>
          <w:sz w:val="20"/>
          <w:szCs w:val="20"/>
          <w:color w:val="auto"/>
        </w:rPr>
      </w:pPr>
    </w:p>
    <w:p>
      <w:pPr>
        <w:ind w:left="4" w:right="1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Lien Intercreditor Agreement</w:t>
      </w:r>
      <w:r>
        <w:rPr>
          <w:rFonts w:ascii="Times New Roman" w:cs="Times New Roman" w:eastAsia="Times New Roman" w:hAnsi="Times New Roman"/>
          <w:sz w:val="18"/>
          <w:szCs w:val="18"/>
          <w:color w:val="auto"/>
        </w:rPr>
        <w:t>” means an intercreditor agreement entered into in compliance with the Equal Priority Documents and the Junior Priority Documents governing the relationship between the Equal Priority Secured Parties, on the one hand, and the Junior Priority Secured Parties, on the other hand.</w:t>
      </w:r>
    </w:p>
    <w:p>
      <w:pPr>
        <w:spacing w:after="0" w:line="171" w:lineRule="exact"/>
        <w:rPr>
          <w:sz w:val="20"/>
          <w:szCs w:val="20"/>
          <w:color w:val="auto"/>
        </w:rPr>
      </w:pPr>
    </w:p>
    <w:p>
      <w:pPr>
        <w:ind w:left="4" w:right="2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Obligations</w:t>
      </w:r>
      <w:r>
        <w:rPr>
          <w:rFonts w:ascii="Times New Roman" w:cs="Times New Roman" w:eastAsia="Times New Roman" w:hAnsi="Times New Roman"/>
          <w:sz w:val="18"/>
          <w:szCs w:val="18"/>
          <w:color w:val="auto"/>
        </w:rPr>
        <w:t>” means (a) with respect to ABL Obligations (to the extent such Obligations are secured by the ABL Priority Collateral), the Non-ABL Obligations and (b) with respect to the Non-ABL Obligations (to the extent such Obligations are secured by the Non-ABL Priority Collateral), the ABL Obligations.</w:t>
      </w:r>
    </w:p>
    <w:p>
      <w:pPr>
        <w:spacing w:after="0" w:line="1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256" w:name="page257"/>
    <w:bookmarkEnd w:id="256"/>
    <w:p>
      <w:pPr>
        <w:ind w:right="28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Junior Priority Acting Collateral Agent</w:t>
      </w:r>
      <w:r>
        <w:rPr>
          <w:rFonts w:ascii="Times New Roman" w:cs="Times New Roman" w:eastAsia="Times New Roman" w:hAnsi="Times New Roman"/>
          <w:sz w:val="18"/>
          <w:szCs w:val="18"/>
          <w:color w:val="auto"/>
        </w:rPr>
        <w:t>” means the agent or trustee as is designated “Designated Second Priority Representative” (or equivalent term) after the date hereof under the Junior Lien Intercreditor Agreement.</w:t>
      </w:r>
    </w:p>
    <w:p>
      <w:pPr>
        <w:spacing w:after="0" w:line="15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Priority Collateral Agent</w:t>
      </w:r>
      <w:r>
        <w:rPr>
          <w:rFonts w:ascii="Times New Roman" w:cs="Times New Roman" w:eastAsia="Times New Roman" w:hAnsi="Times New Roman"/>
          <w:sz w:val="18"/>
          <w:szCs w:val="18"/>
          <w:color w:val="auto"/>
        </w:rPr>
        <w:t>” means with respect to any Series of Junior Priority Obligations, any Junior Priority Representative that acts in the capacity of a collateral agent with respect thereto.</w:t>
      </w:r>
    </w:p>
    <w:p>
      <w:pPr>
        <w:spacing w:after="0" w:line="15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Priority Collateral Documents</w:t>
      </w:r>
      <w:r>
        <w:rPr>
          <w:rFonts w:ascii="Times New Roman" w:cs="Times New Roman" w:eastAsia="Times New Roman" w:hAnsi="Times New Roman"/>
          <w:sz w:val="18"/>
          <w:szCs w:val="18"/>
          <w:color w:val="auto"/>
        </w:rPr>
        <w:t>” means any documents now existing or entered into after the date hereof that create Liens on any assets or properties of any Grantor to secure any Junior Priority Obligations.</w:t>
      </w:r>
    </w:p>
    <w:p>
      <w:pPr>
        <w:spacing w:after="0" w:line="155"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Priority Documents</w:t>
      </w:r>
      <w:r>
        <w:rPr>
          <w:rFonts w:ascii="Times New Roman" w:cs="Times New Roman" w:eastAsia="Times New Roman" w:hAnsi="Times New Roman"/>
          <w:sz w:val="18"/>
          <w:szCs w:val="18"/>
          <w:color w:val="auto"/>
        </w:rPr>
        <w:t>” means each of the agreements, documents and instruments providing for, evidencing or securing any Junior Priority Obligations and any other related document or instrument executed or delivered pursuant to any Junior Priority Document at any time or otherwise evidencing or securing any indebtedness arising under any Junior Priority Obligations.</w:t>
      </w:r>
    </w:p>
    <w:p>
      <w:pPr>
        <w:spacing w:after="0" w:line="171" w:lineRule="exact"/>
        <w:rPr>
          <w:sz w:val="20"/>
          <w:szCs w:val="20"/>
          <w:color w:val="auto"/>
        </w:rPr>
      </w:pPr>
    </w:p>
    <w:p>
      <w:pPr>
        <w:ind w:right="3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Priority Obligations</w:t>
      </w:r>
      <w:r>
        <w:rPr>
          <w:rFonts w:ascii="Times New Roman" w:cs="Times New Roman" w:eastAsia="Times New Roman" w:hAnsi="Times New Roman"/>
          <w:sz w:val="18"/>
          <w:szCs w:val="18"/>
          <w:color w:val="auto"/>
        </w:rPr>
        <w:t xml:space="preserve">” means any indebtedness or Obligations of the Grantors that are to be secured by a Lien on the Collateral junior to the Liens thereon securing the outstanding Series of Equal Priority Obligations and are designated by the Borrower as Junior Priority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requirements set forth in Section 6.14 shall have been satisfied.</w:t>
      </w:r>
    </w:p>
    <w:p>
      <w:pPr>
        <w:spacing w:after="0" w:line="171"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Priority Representative</w:t>
      </w:r>
      <w:r>
        <w:rPr>
          <w:rFonts w:ascii="Times New Roman" w:cs="Times New Roman" w:eastAsia="Times New Roman" w:hAnsi="Times New Roman"/>
          <w:sz w:val="18"/>
          <w:szCs w:val="18"/>
          <w:color w:val="auto"/>
        </w:rPr>
        <w:t>” means, with respect to any Series of Junior Priority Obligations or any separate facility within such Series, the Person elected, designated or appointed as the administrative agent, trustee or other representative of such Series or facility by or on behalf of the holders of such Series or facility, and its respective successors in substantially the same capacity as may from time to time be appointed. The term “Junior Priority Representative” shall include any applicable Junior Priority Collateral Agent as the context may require.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Priority Secured Parties</w:t>
      </w:r>
      <w:r>
        <w:rPr>
          <w:rFonts w:ascii="Times New Roman" w:cs="Times New Roman" w:eastAsia="Times New Roman" w:hAnsi="Times New Roman"/>
          <w:sz w:val="18"/>
          <w:szCs w:val="18"/>
          <w:color w:val="auto"/>
        </w:rPr>
        <w:t>” means the Persons holding Junior Priority Obligations, including the Junior Priority Representatives.</w:t>
      </w:r>
    </w:p>
    <w:p>
      <w:pPr>
        <w:spacing w:after="0" w:line="225"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Representative</w:t>
      </w:r>
      <w:r>
        <w:rPr>
          <w:rFonts w:ascii="Times New Roman" w:cs="Times New Roman" w:eastAsia="Times New Roman" w:hAnsi="Times New Roman"/>
          <w:sz w:val="18"/>
          <w:szCs w:val="18"/>
          <w:color w:val="auto"/>
        </w:rPr>
        <w:t>” means (a) with respect to the Non-ABL Priority Collateral, the ABL Facility Agent (and any additional Collateral Agent for any ABL Facility under clause (ii) of the definition of “ABL Facility”) and (b) with respect to the ABL Priority Collateral, each Non-ABL Representative.</w:t>
      </w:r>
    </w:p>
    <w:p>
      <w:pPr>
        <w:spacing w:after="0" w:line="171" w:lineRule="exact"/>
        <w:rPr>
          <w:sz w:val="20"/>
          <w:szCs w:val="20"/>
          <w:color w:val="auto"/>
        </w:rPr>
      </w:pPr>
    </w:p>
    <w:p>
      <w:pPr>
        <w:ind w:right="5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Secured Parties</w:t>
      </w:r>
      <w:r>
        <w:rPr>
          <w:rFonts w:ascii="Times New Roman" w:cs="Times New Roman" w:eastAsia="Times New Roman" w:hAnsi="Times New Roman"/>
          <w:sz w:val="18"/>
          <w:szCs w:val="18"/>
          <w:color w:val="auto"/>
        </w:rPr>
        <w:t>” means (a) with respect to the Non-ABL Priority Collateral, the ABL Facility Secured Parties and (b) with respect to the ABL Priority Collateral, the Non-ABL Secured Parties.</w:t>
      </w:r>
    </w:p>
    <w:p>
      <w:pPr>
        <w:spacing w:after="0" w:line="155" w:lineRule="exact"/>
        <w:rPr>
          <w:sz w:val="20"/>
          <w:szCs w:val="20"/>
          <w:color w:val="auto"/>
        </w:rPr>
      </w:pPr>
    </w:p>
    <w:p>
      <w:pPr>
        <w:jc w:val="both"/>
        <w:ind w:right="1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with respect to any asset, pledge, hypothecation, assignment, deposit arrangement, encumbrance, lien (statutory or other), charge, or preference, priority or other security interest or preferential arrangement of any kind or nature whatsoever (including any conditional sale or other title retention agreement, and any Financing Lease having substantially the same economic effect as any of the foregoing).</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York UCC</w:t>
      </w:r>
      <w:r>
        <w:rPr>
          <w:rFonts w:ascii="Times New Roman" w:cs="Times New Roman" w:eastAsia="Times New Roman" w:hAnsi="Times New Roman"/>
          <w:sz w:val="18"/>
          <w:szCs w:val="18"/>
          <w:color w:val="auto"/>
        </w:rPr>
        <w:t>” means the Uniform Commercial Code as from time to time in effect in the State of New York.</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257" w:name="page258"/>
    <w:bookmarkEnd w:id="257"/>
    <w:p>
      <w:pPr>
        <w:ind w:right="2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Non-ABL Collateral Agent</w:t>
      </w:r>
      <w:r>
        <w:rPr>
          <w:rFonts w:ascii="Times New Roman" w:cs="Times New Roman" w:eastAsia="Times New Roman" w:hAnsi="Times New Roman"/>
          <w:sz w:val="18"/>
          <w:szCs w:val="18"/>
          <w:color w:val="auto"/>
        </w:rPr>
        <w:t>” means each of the Equal Priority Collateral Agent, the Cash Flow Facility Agent, the 2021 Notes Collateral Agent, the 2024 Notes Collateral Agent, the 2026 Notes Collateral Agent, each Other Equal Priority Collateral Agent, the Junior Priority Acting Collateral Agent, each Junior Priority Collateral Agent and the Intercreditor Agent, or any or all of the foregoing, as the context may require.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Non-ABL Collateral Documents</w:t>
      </w:r>
      <w:r>
        <w:rPr>
          <w:rFonts w:ascii="Times New Roman" w:cs="Times New Roman" w:eastAsia="Times New Roman" w:hAnsi="Times New Roman"/>
          <w:sz w:val="18"/>
          <w:szCs w:val="18"/>
          <w:color w:val="auto"/>
        </w:rPr>
        <w:t>” means the Equal Priority Collateral Documents and the Junior Priority Collateral Documents.</w:t>
      </w:r>
    </w:p>
    <w:p>
      <w:pPr>
        <w:spacing w:after="0" w:line="225" w:lineRule="exact"/>
        <w:rPr>
          <w:sz w:val="20"/>
          <w:szCs w:val="20"/>
          <w:color w:val="auto"/>
        </w:rPr>
      </w:pPr>
    </w:p>
    <w:p>
      <w:pPr>
        <w:jc w:val="both"/>
        <w:ind w:right="1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Non-ABL Documents</w:t>
      </w:r>
      <w:r>
        <w:rPr>
          <w:rFonts w:ascii="Times New Roman" w:cs="Times New Roman" w:eastAsia="Times New Roman" w:hAnsi="Times New Roman"/>
          <w:sz w:val="18"/>
          <w:szCs w:val="18"/>
          <w:color w:val="auto"/>
        </w:rPr>
        <w:t>” means the Equal Priority Documents, the Junior Priority Documents and any intercreditor agreements or other arrangements among Non-ABL Secured Parties or Non-ABL Representatives (including, with respect to the Equal Priority Secured Parties, the Equal Priority Intercreditor Agreement).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Non-ABL Obligations</w:t>
      </w:r>
      <w:r>
        <w:rPr>
          <w:rFonts w:ascii="Times New Roman" w:cs="Times New Roman" w:eastAsia="Times New Roman" w:hAnsi="Times New Roman"/>
          <w:sz w:val="18"/>
          <w:szCs w:val="18"/>
          <w:color w:val="auto"/>
        </w:rPr>
        <w:t>” means the Equal Priority Obligations and Junior Priority Obligations.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Non-ABL Priority Collateral</w:t>
      </w:r>
      <w:r>
        <w:rPr>
          <w:rFonts w:ascii="Times New Roman" w:cs="Times New Roman" w:eastAsia="Times New Roman" w:hAnsi="Times New Roman"/>
          <w:sz w:val="18"/>
          <w:szCs w:val="18"/>
          <w:color w:val="auto"/>
        </w:rPr>
        <w:t>” means all Collateral, other than ABL Priority Collateral.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Non-ABL Priority Possessory Collateral</w:t>
      </w:r>
      <w:r>
        <w:rPr>
          <w:rFonts w:ascii="Times New Roman" w:cs="Times New Roman" w:eastAsia="Times New Roman" w:hAnsi="Times New Roman"/>
          <w:sz w:val="18"/>
          <w:szCs w:val="18"/>
          <w:color w:val="auto"/>
        </w:rPr>
        <w:t>” means Non-ABL Priority Collateral that is Possessory Collateral.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Non-ABL Representatives</w:t>
      </w:r>
      <w:r>
        <w:rPr>
          <w:rFonts w:ascii="Times New Roman" w:cs="Times New Roman" w:eastAsia="Times New Roman" w:hAnsi="Times New Roman"/>
          <w:sz w:val="18"/>
          <w:szCs w:val="18"/>
          <w:color w:val="auto"/>
        </w:rPr>
        <w:t>” means the Equal Priority Representatives and the Junior Priority Representatives.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Non-ABL Secured Parties</w:t>
      </w:r>
      <w:r>
        <w:rPr>
          <w:rFonts w:ascii="Times New Roman" w:cs="Times New Roman" w:eastAsia="Times New Roman" w:hAnsi="Times New Roman"/>
          <w:sz w:val="18"/>
          <w:szCs w:val="18"/>
          <w:color w:val="auto"/>
        </w:rPr>
        <w:t>” means the Equal Priority Secured Parties and the Junior Priority Secured Parties.</w:t>
      </w:r>
    </w:p>
    <w:p>
      <w:pPr>
        <w:spacing w:after="0" w:line="22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Obligations</w:t>
      </w:r>
      <w:r>
        <w:rPr>
          <w:rFonts w:ascii="Times New Roman" w:cs="Times New Roman" w:eastAsia="Times New Roman" w:hAnsi="Times New Roman"/>
          <w:sz w:val="18"/>
          <w:szCs w:val="18"/>
          <w:color w:val="auto"/>
        </w:rPr>
        <w:t>” means any principal, interest, fees, expenses (including any interest, fees or expenses accruing after the commencement of any Insolvency or Liquidation Proceeding, regardless of whether allowed or allowable in such proceeding), penalties, indemnifications, reimbursements (including reimbursement obligations with respect to letters of credit and bankers’ acceptances), damages and other liabilities payable under the documentation governing any indebtedness.</w:t>
      </w:r>
    </w:p>
    <w:p>
      <w:pPr>
        <w:spacing w:after="0" w:line="176" w:lineRule="exact"/>
        <w:rPr>
          <w:sz w:val="20"/>
          <w:szCs w:val="20"/>
          <w:color w:val="auto"/>
        </w:rPr>
      </w:pPr>
    </w:p>
    <w:p>
      <w:pPr>
        <w:jc w:val="both"/>
        <w:ind w:right="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Equal Priority Collateral Agent</w:t>
      </w:r>
      <w:r>
        <w:rPr>
          <w:rFonts w:ascii="Times New Roman" w:cs="Times New Roman" w:eastAsia="Times New Roman" w:hAnsi="Times New Roman"/>
          <w:sz w:val="18"/>
          <w:szCs w:val="18"/>
          <w:color w:val="auto"/>
        </w:rPr>
        <w:t>” means, with respect to any Series of Other Equal Priority Obligations, any Other Equal Priority Representative that acts in the capacity of a collateral agent with respect thereto (including the 2021 Notes Collateral Agent, the 2024 Notes Collateral Agent and the 2026 Notes Collateral Agent).</w:t>
      </w:r>
    </w:p>
    <w:p>
      <w:pPr>
        <w:spacing w:after="0" w:line="171" w:lineRule="exact"/>
        <w:rPr>
          <w:sz w:val="20"/>
          <w:szCs w:val="20"/>
          <w:color w:val="auto"/>
        </w:rPr>
      </w:pPr>
    </w:p>
    <w:p>
      <w:pPr>
        <w:ind w:right="8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Equal Priority Documents</w:t>
      </w:r>
      <w:r>
        <w:rPr>
          <w:rFonts w:ascii="Times New Roman" w:cs="Times New Roman" w:eastAsia="Times New Roman" w:hAnsi="Times New Roman"/>
          <w:sz w:val="18"/>
          <w:szCs w:val="18"/>
          <w:color w:val="auto"/>
        </w:rPr>
        <w:t>” means each of the agreements, documents and instruments providing for, evidencing or securing any Other Equal Priority Obligations (including the 2021 Indenture, the 2024 Indenture and the 2026 Indenture) and any other related document or instrument executed or delivered pursuant to any Other Equal Priority Document at any time or otherwise evidencing or securing any indebtedness arising under any Other Equal Priority Document.</w:t>
      </w:r>
    </w:p>
    <w:p>
      <w:pPr>
        <w:spacing w:after="0" w:line="176"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Equal Priority Obligations</w:t>
      </w:r>
      <w:r>
        <w:rPr>
          <w:rFonts w:ascii="Times New Roman" w:cs="Times New Roman" w:eastAsia="Times New Roman" w:hAnsi="Times New Roman"/>
          <w:sz w:val="18"/>
          <w:szCs w:val="18"/>
          <w:color w:val="auto"/>
        </w:rPr>
        <w:t xml:space="preserve">” means (a) all “Additional Equal Priority Obligations” as defined in the Equal Priority Intercreditor Agreement, (b) if the Junior Lien Intercreditor Agreement has been entered into, all “Additional Senior Debt Obligations” (or any other similar term) as defined in the Junior Lien Intercreditor Agreement and (c) in any event, any indebtedness or Obligations (other than Cash Flow Obligations) of the Grantors that are to be secured with a Lien pari passu with the Liens on the Collateral securing the outstanding Series of Equal Priority Obligations and are designated by the Borrower as Other Equal Priority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of clauses (a), (b), and (c), the requirements set forth in Section 6.14 shall have been satisfied.</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66" w:right="519" w:bottom="1440" w:gutter="0" w:footer="0" w:header="0"/>
        </w:sectPr>
      </w:pPr>
    </w:p>
    <w:bookmarkStart w:id="258" w:name="page259"/>
    <w:bookmarkEnd w:id="258"/>
    <w:p>
      <w:pPr>
        <w:ind w:right="40" w:firstLine="99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Other Equal Priority Representative</w:t>
      </w:r>
      <w:r>
        <w:rPr>
          <w:rFonts w:ascii="Times New Roman" w:cs="Times New Roman" w:eastAsia="Times New Roman" w:hAnsi="Times New Roman"/>
          <w:sz w:val="18"/>
          <w:szCs w:val="18"/>
          <w:color w:val="auto"/>
        </w:rPr>
        <w:t>” means, with respect to any Series of Other Equal Priority Obligations or any separate facility within such Series, the Person elected, designated or appointed as the administrative agent, trustee or other authorized representative of such Series or facility by or on behalf of the holders of such Series or facility, and its respective successors in substantially the same capacity as may from time to time be appointed.</w:t>
      </w:r>
    </w:p>
    <w:p>
      <w:pPr>
        <w:spacing w:after="0" w:line="176"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Equal Priority Secured Parties</w:t>
      </w:r>
      <w:r>
        <w:rPr>
          <w:rFonts w:ascii="Times New Roman" w:cs="Times New Roman" w:eastAsia="Times New Roman" w:hAnsi="Times New Roman"/>
          <w:sz w:val="18"/>
          <w:szCs w:val="18"/>
          <w:color w:val="auto"/>
        </w:rPr>
        <w:t>” means the Persons holding Other Equal Priority Obligations, including the Other Equal Priority Representatives.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Remedies</w:t>
      </w:r>
      <w:r>
        <w:rPr>
          <w:rFonts w:ascii="Times New Roman" w:cs="Times New Roman" w:eastAsia="Times New Roman" w:hAnsi="Times New Roman"/>
          <w:sz w:val="18"/>
          <w:szCs w:val="18"/>
          <w:color w:val="auto"/>
        </w:rPr>
        <w:t>” means, with respect to any Junior Obligations:</w:t>
      </w:r>
    </w:p>
    <w:p>
      <w:pPr>
        <w:spacing w:after="0" w:line="121" w:lineRule="exact"/>
        <w:rPr>
          <w:sz w:val="20"/>
          <w:szCs w:val="20"/>
          <w:color w:val="auto"/>
        </w:rPr>
      </w:pPr>
    </w:p>
    <w:p>
      <w:pPr>
        <w:ind w:left="980" w:right="20" w:firstLine="408"/>
        <w:spacing w:after="0" w:line="282" w:lineRule="auto"/>
        <w:tabs>
          <w:tab w:leader="none" w:pos="159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claim, proof of claim, or statement of interest with respect to such Obligations; provided that an Insolvency or Liquidation Proceeding has been commenced by or against any Grantor;</w:t>
      </w:r>
    </w:p>
    <w:p>
      <w:pPr>
        <w:spacing w:after="0" w:line="53"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64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action (not adverse to the Liens securing Senior Obligations, the priority status thereof, or the rights of the Applicable Senior Collateral Agent or any of the Senior Secured Parties to exercise rights, powers, and/or remedies in respect thereof) in order to create, perfect, preserve or protect (but not enforce) its Lien on any of the Collateral;</w:t>
      </w:r>
    </w:p>
    <w:p>
      <w:pPr>
        <w:spacing w:after="0" w:line="67"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9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any necessary or appropriate responsive or defensive pleadings in opposition to any motion, claim, adversary proceeding or other pleading made by any person objecting to or otherwise seeking the disallowance of the claims or Liens of the Junior Secured Parties, including any claims secured by the Junior Collateral, in each case in accordance with the terms of this Agreement;</w:t>
      </w:r>
    </w:p>
    <w:p>
      <w:pPr>
        <w:spacing w:after="0" w:line="67" w:lineRule="exact"/>
        <w:rPr>
          <w:rFonts w:ascii="Times New Roman" w:cs="Times New Roman" w:eastAsia="Times New Roman" w:hAnsi="Times New Roman"/>
          <w:sz w:val="18"/>
          <w:szCs w:val="18"/>
          <w:color w:val="auto"/>
        </w:rPr>
      </w:pPr>
    </w:p>
    <w:p>
      <w:pPr>
        <w:jc w:val="both"/>
        <w:ind w:left="980" w:right="220" w:firstLine="408"/>
        <w:spacing w:after="0" w:line="266" w:lineRule="auto"/>
        <w:tabs>
          <w:tab w:leader="none" w:pos="168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any pleadings, objections, motions or agreements which assert rights or interests available to unsecured creditors of the Grantors arising under either any Insolvency or Liquidation Proceeding or applicable non-bankruptcy law, in each case to the extent not inconsistent with the terms of this Agreement or applicable law (including the bankruptcy laws of any applicable jurisdiction);</w:t>
      </w:r>
    </w:p>
    <w:p>
      <w:pPr>
        <w:spacing w:after="0" w:line="67"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3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on any Plan of Reorganization, filing any proof of claim, making other filings and making any arguments, obligations, and motions (including in support of or opposition to, as applicable, the confirmation or approval of any Plan of Reorganization) that are, in each case, in a manner that is in accordance with the terms of this Agreement (including Section 2.06);</w:t>
      </w:r>
    </w:p>
    <w:p>
      <w:pPr>
        <w:spacing w:after="0" w:line="67" w:lineRule="exact"/>
        <w:rPr>
          <w:rFonts w:ascii="Times New Roman" w:cs="Times New Roman" w:eastAsia="Times New Roman" w:hAnsi="Times New Roman"/>
          <w:sz w:val="18"/>
          <w:szCs w:val="18"/>
          <w:color w:val="auto"/>
        </w:rPr>
      </w:pPr>
    </w:p>
    <w:p>
      <w:pPr>
        <w:ind w:left="980" w:firstLine="408"/>
        <w:spacing w:after="0" w:line="256" w:lineRule="auto"/>
        <w:tabs>
          <w:tab w:leader="none" w:pos="168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ABL Obligations, in each case to the extent provided under the ABL Facility Documents, (A) the exercise of rights by the ABL Facility Agent upon the occurrence of a “Cash Dominion Triggering Event” (or any other similar term) as defined in the ABL Credit Agreement of the type provided in the ABL Credit Agreement, including, without limitation, the notification of depository institutions or any other Person to deliver proceeds of ABL Priority Collateral to the ABL Facility Agent and the application of such proceeds pursuant to the provisions of the ABL Facility Documents, (B) the consent by the ABL Facility Agent to a disposition by any Grantor of any of the ABL Priority Collateral, (C) the reduction of advance rates or sub-limits by the ABL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259" w:name="page260"/>
    <w:bookmarkEnd w:id="259"/>
    <w:p>
      <w:pPr>
        <w:ind w:left="980"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Facility Agent, (D) the change in eligibility criteria for components of the borrowing base under the ABL Credit Agreement by the ABL Facility Agent, (E) the cessation of lending pursuant to the provisions of the ABL Facility Documents, including upon the occurrence of a default or the existence of an over-advance or (F) the imposition of “Reserves” (or any other similar term) as defined in the ABL Credit Agreement by the ABL Facility Agent; and</w:t>
      </w:r>
    </w:p>
    <w:p>
      <w:pPr>
        <w:spacing w:after="0" w:line="7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(vii) for clarification purposes, making demand for payment or accelerating the maturity of such Obligations.</w:t>
      </w:r>
    </w:p>
    <w:p>
      <w:pPr>
        <w:spacing w:after="0" w:line="221" w:lineRule="exact"/>
        <w:rPr>
          <w:sz w:val="20"/>
          <w:szCs w:val="20"/>
          <w:color w:val="auto"/>
        </w:rPr>
      </w:pPr>
    </w:p>
    <w:p>
      <w:pPr>
        <w:ind w:right="6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55" w:lineRule="exact"/>
        <w:rPr>
          <w:sz w:val="20"/>
          <w:szCs w:val="20"/>
          <w:color w:val="auto"/>
        </w:rPr>
      </w:pPr>
    </w:p>
    <w:p>
      <w:pPr>
        <w:ind w:right="5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of Reorganization</w:t>
      </w:r>
      <w:r>
        <w:rPr>
          <w:rFonts w:ascii="Times New Roman" w:cs="Times New Roman" w:eastAsia="Times New Roman" w:hAnsi="Times New Roman"/>
          <w:sz w:val="18"/>
          <w:szCs w:val="18"/>
          <w:color w:val="auto"/>
        </w:rPr>
        <w:t>” means any plan of reorganization, plan of liquidation, agreement for composition, or other type of plan of arrangement or restructuring proposed in or in connection with any Insolvency or Liquidation Proceeding.</w:t>
      </w:r>
    </w:p>
    <w:p>
      <w:pPr>
        <w:spacing w:after="0" w:line="155" w:lineRule="exact"/>
        <w:rPr>
          <w:sz w:val="20"/>
          <w:szCs w:val="20"/>
          <w:color w:val="auto"/>
        </w:rPr>
      </w:pPr>
    </w:p>
    <w:p>
      <w:pPr>
        <w:ind w:right="8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Possessory Collateral</w:t>
      </w:r>
      <w:r>
        <w:rPr>
          <w:rFonts w:ascii="Times New Roman" w:cs="Times New Roman" w:eastAsia="Times New Roman" w:hAnsi="Times New Roman"/>
          <w:sz w:val="18"/>
          <w:szCs w:val="18"/>
          <w:color w:val="auto"/>
        </w:rPr>
        <w:t>” means the Collateral in the possession or control of any Collateral Agent (or its agents or bailees), to the extent that possession or control thereof perfects a Lien thereon under the Uniform Commercial Code of any jurisdiction or otherwise. Possessory Collateral includes, without limitation, any certificated Equity Interests, Promissory Notes, Instruments, Chattel Paper, Deposit Accounts and Securities Accounts, in each case, delivered to or in the possession or under control of any Collateral Agent under the terms of the ABL Facility Collateral Documents or the Non-ABL Collateral Documents. All capitalized terms used in this definition and not defined elsewhere in this Agreement have the meanings assigned to them in the New York UCC.</w:t>
      </w:r>
    </w:p>
    <w:p>
      <w:pPr>
        <w:spacing w:after="0" w:line="182" w:lineRule="exact"/>
        <w:rPr>
          <w:sz w:val="20"/>
          <w:szCs w:val="20"/>
          <w:color w:val="auto"/>
        </w:rPr>
      </w:pPr>
    </w:p>
    <w:p>
      <w:pPr>
        <w:ind w:right="6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Possessory Collateral Agent</w:t>
      </w:r>
      <w:r>
        <w:rPr>
          <w:rFonts w:ascii="Times New Roman" w:cs="Times New Roman" w:eastAsia="Times New Roman" w:hAnsi="Times New Roman"/>
          <w:sz w:val="18"/>
          <w:szCs w:val="18"/>
          <w:color w:val="auto"/>
        </w:rPr>
        <w:t>” means, with respect to any Possessory Collateral, the Collateral Agent having possession or control (including through its agents or bailees (other than a gratuitous bailee)) of the same.</w:t>
      </w:r>
    </w:p>
    <w:p>
      <w:pPr>
        <w:spacing w:after="0" w:line="155"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Refinance</w:t>
      </w:r>
      <w:r>
        <w:rPr>
          <w:rFonts w:ascii="Times New Roman" w:cs="Times New Roman" w:eastAsia="Times New Roman" w:hAnsi="Times New Roman"/>
          <w:sz w:val="18"/>
          <w:szCs w:val="18"/>
          <w:color w:val="auto"/>
        </w:rPr>
        <w:t>” means, in respect of any Indebtedness, to refinance, extend, renew, defease, amend, increase, modify, supplement, restructure, refund, replace or repay, or to issue other Indebtedness or enter into alternative financing arrangements, in exchange or replacement for such Indebtedness (in whole or in part), including by adding or replacing lenders, creditors, agents, borrowers and/or guarantors, and including in each case, but not limited to, after the original instrument giving rise to such Indebtedness has been terminated and including, in each case, through any credit agreement, indenture or other agreement. “</w:t>
      </w:r>
      <w:r>
        <w:rPr>
          <w:rFonts w:ascii="Times New Roman" w:cs="Times New Roman" w:eastAsia="Times New Roman" w:hAnsi="Times New Roman"/>
          <w:sz w:val="18"/>
          <w:szCs w:val="18"/>
          <w:b w:val="1"/>
          <w:bCs w:val="1"/>
          <w:i w:val="1"/>
          <w:iCs w:val="1"/>
          <w:color w:val="auto"/>
        </w:rPr>
        <w:t>Refinanced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Refinancing</w:t>
      </w:r>
      <w:r>
        <w:rPr>
          <w:rFonts w:ascii="Times New Roman" w:cs="Times New Roman" w:eastAsia="Times New Roman" w:hAnsi="Times New Roman"/>
          <w:sz w:val="18"/>
          <w:szCs w:val="18"/>
          <w:color w:val="auto"/>
        </w:rPr>
        <w:t>” have correlative meanings.</w:t>
      </w:r>
    </w:p>
    <w:p>
      <w:pPr>
        <w:spacing w:after="0" w:line="179"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means (a) in the case of any ABL Obligations, the ABL Facility Agent (or any additional Collateral Agent for any ABL Facility under clause (ii) of the definition of “ABL Facility”) and (b) in the case of any Series of Non-ABL Obligations, the Non-ABL Representative with respect thereto.</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Obligations</w:t>
      </w:r>
      <w:r>
        <w:rPr>
          <w:rFonts w:ascii="Times New Roman" w:cs="Times New Roman" w:eastAsia="Times New Roman" w:hAnsi="Times New Roman"/>
          <w:sz w:val="18"/>
          <w:szCs w:val="18"/>
          <w:color w:val="auto"/>
        </w:rPr>
        <w:t>” means the ABL Obligations and the Non-ABL Obligations.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Parties</w:t>
      </w:r>
      <w:r>
        <w:rPr>
          <w:rFonts w:ascii="Times New Roman" w:cs="Times New Roman" w:eastAsia="Times New Roman" w:hAnsi="Times New Roman"/>
          <w:sz w:val="18"/>
          <w:szCs w:val="18"/>
          <w:color w:val="auto"/>
        </w:rPr>
        <w:t>” means the ABL Facility Secured Parties and the Non-ABL Secured Parties.</w:t>
      </w:r>
    </w:p>
    <w:p>
      <w:pPr>
        <w:spacing w:after="0" w:line="225" w:lineRule="exact"/>
        <w:rPr>
          <w:sz w:val="20"/>
          <w:szCs w:val="20"/>
          <w:color w:val="auto"/>
        </w:rPr>
      </w:pPr>
    </w:p>
    <w:p>
      <w:pPr>
        <w:jc w:val="right"/>
        <w:ind w:right="5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62" w:lineRule="exact"/>
        <w:rPr>
          <w:sz w:val="20"/>
          <w:szCs w:val="20"/>
          <w:color w:val="auto"/>
        </w:rPr>
      </w:pPr>
    </w:p>
    <w:p>
      <w:pPr>
        <w:jc w:val="right"/>
        <w:ind w:righ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60" w:name="page261"/>
    <w:bookmarkEnd w:id="260"/>
    <w:p>
      <w:pPr>
        <w:ind w:right="50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Senior Claims</w:t>
      </w:r>
      <w:r>
        <w:rPr>
          <w:rFonts w:ascii="Times New Roman" w:cs="Times New Roman" w:eastAsia="Times New Roman" w:hAnsi="Times New Roman"/>
          <w:sz w:val="18"/>
          <w:szCs w:val="18"/>
          <w:color w:val="auto"/>
        </w:rPr>
        <w:t>” means (a) with respect to any claims secured by the ABL Priority Collateral, the ABL Obligations secured by such Collateral and (b) with respect to any claims secured by the Non-ABL Priority Collateral, each Series of Non-ABL Obligations secured by such Collateral.</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Senior Collateral</w:t>
      </w:r>
      <w:r>
        <w:rPr>
          <w:rFonts w:ascii="Times New Roman" w:cs="Times New Roman" w:eastAsia="Times New Roman" w:hAnsi="Times New Roman"/>
          <w:sz w:val="18"/>
          <w:szCs w:val="18"/>
          <w:color w:val="auto"/>
        </w:rPr>
        <w:t>” means, with respect to any Obligations, the Collateral in respect of which such Obligations constitute Senior Claims.</w:t>
      </w:r>
    </w:p>
    <w:p>
      <w:pPr>
        <w:spacing w:after="0" w:line="225" w:lineRule="exact"/>
        <w:rPr>
          <w:sz w:val="20"/>
          <w:szCs w:val="20"/>
          <w:color w:val="auto"/>
        </w:rPr>
      </w:pPr>
    </w:p>
    <w:p>
      <w:pPr>
        <w:ind w:right="2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Senior Collateral Documents</w:t>
      </w:r>
      <w:r>
        <w:rPr>
          <w:rFonts w:ascii="Times New Roman" w:cs="Times New Roman" w:eastAsia="Times New Roman" w:hAnsi="Times New Roman"/>
          <w:sz w:val="18"/>
          <w:szCs w:val="18"/>
          <w:color w:val="auto"/>
        </w:rPr>
        <w:t>” means (a) with respect to the Non-ABL Obligations, the Non-ABL Collateral Documents and (b) with respect to the ABL Obligations, the ABL Facility Collateral Documents.</w:t>
      </w:r>
    </w:p>
    <w:p>
      <w:pPr>
        <w:spacing w:after="0" w:line="155" w:lineRule="exact"/>
        <w:rPr>
          <w:sz w:val="20"/>
          <w:szCs w:val="20"/>
          <w:color w:val="auto"/>
        </w:rPr>
      </w:pPr>
    </w:p>
    <w:p>
      <w:pPr>
        <w:ind w:right="10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Senior Obligations</w:t>
      </w:r>
      <w:r>
        <w:rPr>
          <w:rFonts w:ascii="Times New Roman" w:cs="Times New Roman" w:eastAsia="Times New Roman" w:hAnsi="Times New Roman"/>
          <w:sz w:val="18"/>
          <w:szCs w:val="18"/>
          <w:color w:val="auto"/>
        </w:rPr>
        <w:t>” means (a) with respect to the ABL Obligations, to the extent such Obligations are secured by the Non-ABL Priority Collateral, the Non-ABL Obligations, and (b) with respect to the Non-ABL Obligations, to the extent such Obligations are secured by the ABL Priority Collateral, the ABL Obligations; the Non-ABL Obligations shall, collectively, constitute one “</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of Senior Obligations and the ABL Obligations shall constitute a separate “</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of Senior Obligations.</w:t>
      </w:r>
    </w:p>
    <w:p>
      <w:pPr>
        <w:spacing w:after="0" w:line="176"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Senior Representative</w:t>
      </w:r>
      <w:r>
        <w:rPr>
          <w:rFonts w:ascii="Times New Roman" w:cs="Times New Roman" w:eastAsia="Times New Roman" w:hAnsi="Times New Roman"/>
          <w:sz w:val="18"/>
          <w:szCs w:val="18"/>
          <w:color w:val="auto"/>
        </w:rPr>
        <w:t>” means (a) with respect to the Non-ABL Priority Collateral, each Non-ABL Representative and (b) with respect to the ABL Priority Collateral, the ABL Facility Agent.</w:t>
      </w:r>
    </w:p>
    <w:p>
      <w:pPr>
        <w:spacing w:after="0" w:line="155"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Senior Secured Parties</w:t>
      </w:r>
      <w:r>
        <w:rPr>
          <w:rFonts w:ascii="Times New Roman" w:cs="Times New Roman" w:eastAsia="Times New Roman" w:hAnsi="Times New Roman"/>
          <w:sz w:val="18"/>
          <w:szCs w:val="18"/>
          <w:color w:val="auto"/>
        </w:rPr>
        <w:t>” means (a) with respect to the Non-ABL Priority Collateral, the Non-ABL Secured Parties, and (b) with respect to the ABL Priority Collateral, the ABL Facility Secured Parties.</w:t>
      </w:r>
    </w:p>
    <w:p>
      <w:pPr>
        <w:spacing w:after="0" w:line="15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w:t>
      </w:r>
      <w:r>
        <w:rPr>
          <w:rFonts w:ascii="Times New Roman" w:cs="Times New Roman" w:eastAsia="Times New Roman" w:hAnsi="Times New Roman"/>
          <w:sz w:val="18"/>
          <w:szCs w:val="18"/>
          <w:color w:val="auto"/>
        </w:rPr>
        <w:t>” means (a) the Cash Flow Obligations, the 2021 Indenture Obligations, the 2024 Indenture Obligations, the 2026 Indenture Obligations and each series of Other Equal Priority Obligations, each of which shall constitute a separate Series of Non-ABL Obligations within the Class of Senior Obligations constituting Non-ABL Obligations, except that to the extent that the Cash Flow Obligations, the 2021 Indenture Obligations, the 2024 Indenture Obligations, the 2026 Indenture Obligations and/or any one or more series of such Other Equal Priority Obligations (i) are secured by identical Collateral held by a common collateral agent and (ii) have their security interests documented by a single set of security documents, such Cash Flow Obligations, the 2021 Indenture Obligations, the 2024 Indenture Obligations, the 2026 Indenture Obligations and/or each such series of Other Equal Priority Obligations shall collectively constitute a single Series of Non-ABL Obligations; (b) each series of Junior Priority Obligations, each of which shall constitute a separate Series of Non-ABL Obligations within the Class of Senior Obligations constituting Non-ABL Obligations, except that to the extent that any one or more series of such Junior Priority Obligations (i) are secured by identical Collateral held by a common collateral agent and (ii) have their security interests documented by a single set of security documents, each such series of Junior Priority Obligations shall collectively constitute a single Series of Non-ABL Obligations; and (c) the ABL Obligations, which shall constitute the sole Series of ABL Obligations within the Class of Senior Obligations constituting ABL Obligations. With respect to the Non-ABL Secured Parties, the Non-ABL Secured Parties with respect to each Series of Non-ABL Obligations shall constitute a separate Series of Non-ABL Secured Parties.</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(i) a majority of the shares of securities or other interests having ordinary voting power for the election of directors or other governing body (other than securities or interests having such power only by reason of the happening of a contingency) are at the time beneficially owned, (ii) more than half of the issued share capital is at the time beneficially owned or (iii) the management of which is otherwise controlled, directly or indirectly, through one or more intermediaries, or both, by such Person. Unless otherwise specified, all references herein to a “Subsidiary” or to “Subsidiaries” shall refer to a Subsidiary or Subsidiaries of the Borrower. For the avoidance of doubt, any entity that is owned at a 50.0% or less level (as described above) shall not be a “Subsidiary” for any purpose under this Agreement, regardless of whether such entity is consolidated on Holdings’, the Borrower’s or any Restricted Subsidiary’s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261" w:name="page262"/>
    <w:bookmarkEnd w:id="261"/>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Swap Obligations</w:t>
      </w:r>
      <w:r>
        <w:rPr>
          <w:rFonts w:ascii="Times New Roman" w:cs="Times New Roman" w:eastAsia="Times New Roman" w:hAnsi="Times New Roman"/>
          <w:sz w:val="18"/>
          <w:szCs w:val="18"/>
          <w:color w:val="auto"/>
        </w:rPr>
        <w:t>” means, with respect to any Person, the obligations of such Person to pay or perform under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b w:val="1"/>
          <w:bCs w:val="1"/>
          <w:i w:val="1"/>
          <w:iCs w:val="1"/>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II</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Priorities and Agreements with Respect to Collateral</w:t>
      </w:r>
    </w:p>
    <w:p>
      <w:pPr>
        <w:spacing w:after="0" w:line="22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b w:val="1"/>
          <w:bCs w:val="1"/>
          <w:i w:val="1"/>
          <w:iCs w:val="1"/>
          <w:color w:val="auto"/>
        </w:rPr>
        <w:t>Priority of Claims</w:t>
      </w:r>
      <w:r>
        <w:rPr>
          <w:rFonts w:ascii="Times New Roman" w:cs="Times New Roman" w:eastAsia="Times New Roman" w:hAnsi="Times New Roman"/>
          <w:sz w:val="18"/>
          <w:szCs w:val="18"/>
          <w:color w:val="auto"/>
        </w:rPr>
        <w:t>. (a) Anything contained herein or in any of the ABL Facility Documents or the Non-ABL Documents to the contrary notwithstanding, if an Event of Default has occurred and is continuing, and any Collateral Agent is taking action to enforce rights in respect of any Collateral (whether in an Insolvency or Liquidation Proceeding or otherwise), or any distribution is made in respect of any Collateral in any Insolvency or Liquidation Proceeding with respect to any Grantor, the Proceeds (subject, in the case of any such distribution, to Section 2.06 hereof) (all proceeds of any sale, collection or other liquidation of any Collateral and all proceeds of any such distribution being collectively referred to in this Section 2.01 as “</w:t>
      </w:r>
      <w:r>
        <w:rPr>
          <w:rFonts w:ascii="Times New Roman" w:cs="Times New Roman" w:eastAsia="Times New Roman" w:hAnsi="Times New Roman"/>
          <w:sz w:val="18"/>
          <w:szCs w:val="18"/>
          <w:b w:val="1"/>
          <w:bCs w:val="1"/>
          <w:i w:val="1"/>
          <w:iCs w:val="1"/>
          <w:color w:val="auto"/>
        </w:rPr>
        <w:t>Proceeds</w:t>
      </w:r>
      <w:r>
        <w:rPr>
          <w:rFonts w:ascii="Times New Roman" w:cs="Times New Roman" w:eastAsia="Times New Roman" w:hAnsi="Times New Roman"/>
          <w:sz w:val="18"/>
          <w:szCs w:val="18"/>
          <w:color w:val="auto"/>
        </w:rPr>
        <w:t>”) shall be applied as follows:</w:t>
      </w:r>
    </w:p>
    <w:p>
      <w:pPr>
        <w:spacing w:after="0" w:line="92" w:lineRule="exact"/>
        <w:rPr>
          <w:sz w:val="20"/>
          <w:szCs w:val="20"/>
          <w:color w:val="auto"/>
        </w:rPr>
      </w:pPr>
    </w:p>
    <w:p>
      <w:pPr>
        <w:ind w:left="1960" w:hanging="533"/>
        <w:spacing w:after="0"/>
        <w:tabs>
          <w:tab w:leader="none" w:pos="19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ABL Priority Collateral,</w:t>
      </w:r>
    </w:p>
    <w:p>
      <w:pPr>
        <w:spacing w:after="0" w:line="117" w:lineRule="exact"/>
        <w:rPr>
          <w:rFonts w:ascii="Times New Roman" w:cs="Times New Roman" w:eastAsia="Times New Roman" w:hAnsi="Times New Roman"/>
          <w:sz w:val="18"/>
          <w:szCs w:val="18"/>
          <w:color w:val="auto"/>
        </w:rPr>
      </w:pPr>
    </w:p>
    <w:p>
      <w:pPr>
        <w:ind w:left="1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ABL Facility Agent for application to the payment in full of the ABL Obligations in accordance with the ABL Facility Collateral Agreement, and</w:t>
      </w:r>
    </w:p>
    <w:p>
      <w:pPr>
        <w:spacing w:after="0" w:line="54" w:lineRule="exact"/>
        <w:rPr>
          <w:sz w:val="20"/>
          <w:szCs w:val="20"/>
          <w:color w:val="auto"/>
        </w:rPr>
      </w:pPr>
    </w:p>
    <w:p>
      <w:pPr>
        <w:ind w:left="1980" w:right="140"/>
        <w:spacing w:after="0" w:line="282" w:lineRule="auto"/>
        <w:rPr>
          <w:sz w:val="20"/>
          <w:szCs w:val="20"/>
          <w:color w:val="auto"/>
        </w:rPr>
      </w:pPr>
      <w:r>
        <w:rPr>
          <w:rFonts w:ascii="Times New Roman" w:cs="Times New Roman" w:eastAsia="Times New Roman" w:hAnsi="Times New Roman"/>
          <w:sz w:val="18"/>
          <w:szCs w:val="18"/>
          <w:color w:val="auto"/>
        </w:rPr>
        <w:t>SECOND, to the Intercreditor Agent for application to the payment in full of the Non-ABL Obligations in accordance with the Non-ABL Documents.</w:t>
      </w:r>
    </w:p>
    <w:p>
      <w:pPr>
        <w:spacing w:after="0" w:line="54"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If any Non-ABL Obligations remain outstanding after the Discharge of the ABL Obligations, all proceeds of the ABL Priority Collateral will be turned over to the Intercreditor Agent for application to the repayment of any outstanding Non-ABL Obligations in accordance with the Non-ABL Documents.</w:t>
      </w:r>
    </w:p>
    <w:p>
      <w:pPr>
        <w:spacing w:after="0" w:line="81" w:lineRule="exact"/>
        <w:rPr>
          <w:sz w:val="20"/>
          <w:szCs w:val="20"/>
          <w:color w:val="auto"/>
        </w:rPr>
      </w:pPr>
    </w:p>
    <w:p>
      <w:pPr>
        <w:ind w:left="1960" w:hanging="533"/>
        <w:spacing w:after="0"/>
        <w:tabs>
          <w:tab w:leader="none" w:pos="19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Non-ABL Priority Collateral,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6" w:right="479" w:bottom="1440" w:gutter="0" w:footer="0" w:header="0"/>
        </w:sectPr>
      </w:pPr>
    </w:p>
    <w:bookmarkStart w:id="262" w:name="page263"/>
    <w:bookmarkEnd w:id="262"/>
    <w:p>
      <w:pPr>
        <w:ind w:left="1980"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to the Intercreditor Agent for application to the payment of Non-ABL Obligations in accordance with the Non-ABL Documents until payment in full of any Non-ABL Obligations secured by such Non-ABL Priority Collateral, and</w:t>
      </w:r>
    </w:p>
    <w:p>
      <w:pPr>
        <w:spacing w:after="0" w:line="54" w:lineRule="exact"/>
        <w:rPr>
          <w:sz w:val="20"/>
          <w:szCs w:val="20"/>
          <w:color w:val="auto"/>
        </w:rPr>
      </w:pPr>
    </w:p>
    <w:p>
      <w:pPr>
        <w:ind w:left="1980" w:right="220"/>
        <w:spacing w:after="0" w:line="282" w:lineRule="auto"/>
        <w:rPr>
          <w:sz w:val="20"/>
          <w:szCs w:val="20"/>
          <w:color w:val="auto"/>
        </w:rPr>
      </w:pPr>
      <w:r>
        <w:rPr>
          <w:rFonts w:ascii="Times New Roman" w:cs="Times New Roman" w:eastAsia="Times New Roman" w:hAnsi="Times New Roman"/>
          <w:sz w:val="18"/>
          <w:szCs w:val="18"/>
          <w:color w:val="auto"/>
        </w:rPr>
        <w:t>SECOND, to the ABL Facility Agent for application to the payment in full of the ABL Obligations in accordance with the ABL Facility Collateral Agreement.</w:t>
      </w:r>
    </w:p>
    <w:p>
      <w:pPr>
        <w:spacing w:after="0" w:line="54" w:lineRule="exact"/>
        <w:rPr>
          <w:sz w:val="20"/>
          <w:szCs w:val="20"/>
          <w:color w:val="auto"/>
        </w:rPr>
      </w:pPr>
    </w:p>
    <w:p>
      <w:pPr>
        <w:ind w:left="440" w:right="540"/>
        <w:spacing w:after="0" w:line="266" w:lineRule="auto"/>
        <w:rPr>
          <w:sz w:val="20"/>
          <w:szCs w:val="20"/>
          <w:color w:val="auto"/>
        </w:rPr>
      </w:pPr>
      <w:r>
        <w:rPr>
          <w:rFonts w:ascii="Times New Roman" w:cs="Times New Roman" w:eastAsia="Times New Roman" w:hAnsi="Times New Roman"/>
          <w:sz w:val="18"/>
          <w:szCs w:val="18"/>
          <w:color w:val="auto"/>
        </w:rPr>
        <w:t>If any ABL Obligations remain outstanding after the Discharge of each Series of such Non-ABL Obligations, all proceeds of the Non-ABL Priority Collateral will be turned over to the ABL Facility Agent for application to the repayment of any outstanding ABL Obligations in accordance with the ABL Facility Collateral Agreement.</w:t>
      </w:r>
    </w:p>
    <w:p>
      <w:pPr>
        <w:spacing w:after="0" w:line="176" w:lineRule="exact"/>
        <w:rPr>
          <w:sz w:val="20"/>
          <w:szCs w:val="20"/>
          <w:color w:val="auto"/>
        </w:rPr>
      </w:pPr>
    </w:p>
    <w:p>
      <w:pPr>
        <w:ind w:firstLine="987"/>
        <w:spacing w:after="0" w:line="254" w:lineRule="auto"/>
        <w:tabs>
          <w:tab w:leader="none" w:pos="124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acknowledged that (i) the aggregate amount of any Senior Obligations may, subject to the limitations set forth in the ABL Facility Documents and the Non-ABL Documents, be Refinanced from time to time, all without affecting the priorities set forth in Section 2.01(a) or (c) or the provisions of this Agreement defining the relative rights of the ABL Facility Secured Parties and the Non-ABL Secured Parties, and (ii) a portion of the Senior Obligations consists or may consist of indebtedness that is revolving in nature, and the amount thereof that may be outstanding at any time or from time to time may be increased or reduced and subsequently reborrowed. The priorities provided for herein shall not be altered or otherwise affected by any Refinancing of either the Junior Obligations (or any part thereof) or the Senior Obligations (or any part thereof), by the release of any Collateral or of any guarantees for any Senior Obligations or by any action that any Collateral Agent, Representative or Secured Party may take or fail to take in respect of any Collateral.</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date, time, method, manner or order of grant, creation, attachment or perfection of any Liens securing the</w:t>
      </w:r>
    </w:p>
    <w:p>
      <w:pPr>
        <w:spacing w:after="0" w:line="27" w:lineRule="exact"/>
        <w:rPr>
          <w:sz w:val="20"/>
          <w:szCs w:val="20"/>
          <w:color w:val="auto"/>
        </w:rPr>
      </w:pPr>
    </w:p>
    <w:p>
      <w:pPr>
        <w:ind w:right="580"/>
        <w:spacing w:after="0" w:line="255" w:lineRule="auto"/>
        <w:rPr>
          <w:sz w:val="20"/>
          <w:szCs w:val="20"/>
          <w:color w:val="auto"/>
        </w:rPr>
      </w:pPr>
      <w:r>
        <w:rPr>
          <w:rFonts w:ascii="Times New Roman" w:cs="Times New Roman" w:eastAsia="Times New Roman" w:hAnsi="Times New Roman"/>
          <w:sz w:val="18"/>
          <w:szCs w:val="18"/>
          <w:color w:val="auto"/>
        </w:rPr>
        <w:t>Non-ABL Obligations granted on the Collateral or of any Liens securing the ABL Obligations granted on the Collateral and notwithstanding any provision of the Uniform Commercial Code of any jurisdiction, or any other applicable law or the ABL Facility Documents and the Non-ABL Documents or any defect or deficiencies in, or failure to perfect any such Liens or any other circumstance whatsoever:</w:t>
      </w:r>
    </w:p>
    <w:p>
      <w:pPr>
        <w:spacing w:after="0" w:line="91" w:lineRule="exact"/>
        <w:rPr>
          <w:sz w:val="20"/>
          <w:szCs w:val="20"/>
          <w:color w:val="auto"/>
        </w:rPr>
      </w:pPr>
    </w:p>
    <w:p>
      <w:pPr>
        <w:ind w:left="1960" w:right="140" w:hanging="533"/>
        <w:spacing w:after="0" w:line="261" w:lineRule="auto"/>
        <w:tabs>
          <w:tab w:leader="none" w:pos="19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Liens on the Non-ABL Priority Collateral securing or purporting to secure Non-ABL Obligations will rank senior to any Liens on such Non-ABL Priority Collateral securing or purporting to secure ABL Obligations, and (2) the Liens on the ABL Priority Collateral securing or purporting to secure ABL Obligations will rank senior to any Liens on such ABL Priority Collateral securing or purporting to secure Non-ABL Obligations, and</w:t>
      </w:r>
    </w:p>
    <w:p>
      <w:pPr>
        <w:spacing w:after="0" w:line="85" w:lineRule="exact"/>
        <w:rPr>
          <w:rFonts w:ascii="Times New Roman" w:cs="Times New Roman" w:eastAsia="Times New Roman" w:hAnsi="Times New Roman"/>
          <w:sz w:val="18"/>
          <w:szCs w:val="18"/>
          <w:color w:val="auto"/>
        </w:rPr>
      </w:pPr>
    </w:p>
    <w:p>
      <w:pPr>
        <w:ind w:left="1960" w:right="20" w:hanging="533"/>
        <w:spacing w:after="0" w:line="255" w:lineRule="auto"/>
        <w:tabs>
          <w:tab w:leader="none" w:pos="19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Equal Priority Collateral Agent, the Cash Flow Facility Agent, the 2021 Notes Collateral Agent, the 2024 Notes Collateral Agent, the 2026 Notes Collateral Agent, the Intercreditor Agent and each Other Equal Priority Collateral Agent on behalf of itself and the applicable Equal Priority Secured Parties, and the Junior Priority Acting Collateral Agent, if any, on behalf of itself and the Junior Priority Secured Parties, each hereby agrees that the priority of the Liens of such Collateral Agent as among them shall be governed by the Non-ABL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be construed to alter the relative rights or priorities of the various Series of Non-ABL Obligations against each other Series of Non-ABL Obligations, which rights and priorities shall be governed by the applicable Non-ABL Documents.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63" w:name="page264"/>
    <w:bookmarkEnd w:id="26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2.02 Actions With Respect to Collateral; Prohibition on Contesting Liens.</w:t>
      </w:r>
    </w:p>
    <w:p>
      <w:pPr>
        <w:spacing w:after="0" w:line="117" w:lineRule="exact"/>
        <w:rPr>
          <w:sz w:val="20"/>
          <w:szCs w:val="20"/>
          <w:color w:val="auto"/>
        </w:rPr>
      </w:pPr>
    </w:p>
    <w:p>
      <w:pPr>
        <w:ind w:left="4" w:right="60" w:firstLine="987"/>
        <w:spacing w:after="0" w:line="268" w:lineRule="auto"/>
        <w:tabs>
          <w:tab w:leader="none" w:pos="1240"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Discharge of all of the Senior Obligations of a particular Class, (i) only the Applicable Senior Collateral Agent shall act or refrain from acting, with respect to the Senior Collateral of such Class and then only on the instructions of the applicable Senior Representative (which, in the case of the Non-ABL Priority Collateral, shall be the Intercreditor Agent), (ii) no Collateral Agent shall follow any instructions with respect to such Senior Collateral from any Junior Representative or from any Junior Secured Parties, and (iii) each Junior Representative and the Junior Secured Parties shall not, and shall not instruct any Collateral Agent to,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interest in or realize upon, or take any other action available to it in respect of, any Junior Collateral, whether under any ABL Facility Collateral Document, any Non-ABL Collateral Document, applicable law or otherwise, it being agreed that</w:t>
      </w:r>
    </w:p>
    <w:p>
      <w:pPr>
        <w:ind w:left="4" w:hanging="4"/>
        <w:spacing w:after="0" w:line="251" w:lineRule="auto"/>
        <w:tabs>
          <w:tab w:leader="none" w:pos="29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Applicable Senior Collateral Agent of a particular Class, acting in accordance with the ABL Facility Collateral Documents or the Non-ABL Collateral Documents, as applicable, shall be entitled to take any such actions or exercise any such remedies with respect to the Senior Collateral of such Class, or to cause any Collateral Agent to do so and (B) notwithstanding the foregoing, each Junior Representative may take Permitted Remedies subject to the terms and conditions of the Equal Priority Intercreditor Agreement and each Junior Lien Intercreditor Agreement applicable to such Junior Representative. No Junior Collateral Agent, Junior Representative or Junior Secured Party will contest, protest or object to any foreclosure proceeding or action brought by the Applicable Senior Collateral Agent, Senior Representative or Senior Secured Party or any other exercise by the Applicable Senior Collateral Agent, Senior Representative or Senior Secured Party of any rights and remedies relating to the Senior Collateral. Nothing set forth in this Section 2.02 shall limit the rights of the ABL Facility Agent under Section 2.08.</w:t>
      </w:r>
    </w:p>
    <w:p>
      <w:pPr>
        <w:spacing w:after="0" w:line="85"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5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Intercreditor Agent and each of the other Non-ABL Secured Parties each agrees that it will not (and hereby waives any right to) contest or support any other Person in contesting, in any proceeding (including any Insolvency or Liquidation Proceeding), the perfection, priority, validity or enforceability of a Lien held by or on behalf of any of the ABL Facility Secured Parties in all or any part of the Collateral, the allowability of any claims asserted by the ABL Facility Secured Parties, or the provisions of this Agreement, and the ABL Facility Agent and each of the ABL Facility Secured Parties each agrees that it will not (and hereby waives any right to) contest or support any other Person in contesting, in any proceeding (including any Insolvency or Liquidation Proceeding), the perfection, priority, validity or enforceability of a Lien held by or on behalf of any of the Non-ABL Secured Parties in all or any part of the Collateral, the allowability of any claims asserted by the Non-ABL Secured Parties, or the provisions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Agreement shall be construed to prevent or impair the rights of any of the ABL Facility Agent, any ABL Facility Secured Party, the Intercreditor Agent or any Non-ABL Secured Parties to enforce this Agreement.</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2.03 No Duties of Senior Representative; Provision of Notice.</w:t>
      </w:r>
    </w:p>
    <w:p>
      <w:pPr>
        <w:spacing w:after="0" w:line="117" w:lineRule="exact"/>
        <w:rPr>
          <w:sz w:val="20"/>
          <w:szCs w:val="20"/>
          <w:color w:val="auto"/>
        </w:rPr>
      </w:pPr>
    </w:p>
    <w:p>
      <w:pPr>
        <w:jc w:val="both"/>
        <w:ind w:left="4" w:right="40" w:firstLine="987"/>
        <w:spacing w:after="0" w:line="258" w:lineRule="auto"/>
        <w:tabs>
          <w:tab w:leader="none" w:pos="12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Junior Secured Party acknowledges and agrees that none of the Collateral Agents, the Senior Representative nor any other Senior Secured Party shall have any duties or other obligations to such Junior Secured Party with respect to any Senior Collateral, other than as set forth under Section 2.12 and to transfer to the Applicable Junior Collateral Agent any proceeds of any such Collateral that constitutes Junior Collateral remaining in its possession following any sale, transfer or other disposition of such Collateral (in each case, unless the Junior Obligations have been Discharged prior to or concurrently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64" w:name="page265"/>
    <w:bookmarkEnd w:id="26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such sale, transfer, disposition, payment or satisfaction) and the Discharge of the Senior Obligations secured thereby, or if a Collateral Agent shall be in possession of all or any part of such Collateral after such payment and satisfaction in full and termination, such Collateral or any part thereof remaining, in each case without representation or warranty on the part of any Collateral Agent, the Senior Representative or any Senior Secured Party. In furtherance of the foregoing, but subject to Section 2.08, each Junior Secured Party acknowledges and agrees that until the Senior Obligations secured by any Senior Collateral shall have been Discharged, the Applicable Senior Collateral Agent shall be entitled, for the benefit of the holders of such Senior Obligations, to sell, transfer or otherwise dispose of or deal with such Collateral as provided herein and in the ABL Facility Documents and the Non-ABL Documents, as applicable, without regard to any Junior Claims or any rights to which the holders of the Junior Obligations would otherwise be entitled as a result of such Junior Claims. Without limiting the foregoing, each Junior Secured Party agrees that none of the Collateral Agents, the Senior Representatives nor any other Senior Secured Party shall have any duty or obligation first to marshal or realize upon any type of Senior Collateral (or any other collateral securing the Senior Obligations), or to sell, dispose of or otherwise liquidate all or any portion of such Collateral (or any other collateral securing the Senior Obligations), in any manner that would maximize the return to the Junior Secured Parties, notwithstanding that the order and timing of any such realization, sale, disposition or liquidation may affect the amount of proceeds actually received by the Junior Secured Parties from such realization, sale, disposition or liquidation. Each of the Junior Secured Parties waives any claim such Junior Secured Party may now or hereafter have against any Applicable Senior Collateral Agent, any Senior Representative or any other Senior Secured Party (or their representatives) arising out of (i) any actions which any Applicable Senior Collateral Agent, any Senior Representative or the Senior Secured Parties take or omit to take (including, actions with respect to the creation, perfection or continuation of Liens on any Senior Collateral, actions with respect to the foreclosure upon, sale, release or depreciation of, or failure to realize upon, any of the Senior Collateral and actions with respect to the collection of any claim for all or any part of the Senior Obligations from any account debtor, guarantor or any other party) in accordance with the ABL Facility Documents and the Non-ABL Documents or any other agreement related thereto or to the collection of the Senior Obligations or the valuation, use, protection or release of any security for the Senior Obligations, (ii) any election by any Senior Representative or any Senior Secured Parties, in any Insolvency or Liquidation Proceeding of the application of Section 1111(b) of the Bankruptcy Code (or any similar provision of any other applicable Bankruptcy Law) with respect to its Senior Collateral or (iii) subject to Section 2.06, any borrowing by, or grant of a security interest or administrative expense priority under Section 364 of the Bankruptcy Code by, the Borrower or any of its subsidiaries, as debtor-in-possession.</w:t>
      </w:r>
    </w:p>
    <w:p>
      <w:pPr>
        <w:spacing w:after="0" w:line="97" w:lineRule="exact"/>
        <w:rPr>
          <w:sz w:val="20"/>
          <w:szCs w:val="20"/>
          <w:color w:val="auto"/>
        </w:rPr>
      </w:pPr>
    </w:p>
    <w:p>
      <w:pPr>
        <w:ind w:right="360" w:firstLine="987"/>
        <w:spacing w:after="0" w:line="282" w:lineRule="auto"/>
        <w:tabs>
          <w:tab w:leader="none" w:pos="124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provide written notice to the Non-ABL Representatives and the ABL Facility Agent of any new Equal Priority Collateral Agent or new Intercreditor Agent.</w:t>
      </w:r>
    </w:p>
    <w:p>
      <w:pPr>
        <w:spacing w:after="0" w:line="158"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b w:val="1"/>
          <w:bCs w:val="1"/>
          <w:i w:val="1"/>
          <w:iCs w:val="1"/>
          <w:color w:val="auto"/>
        </w:rPr>
        <w:t>No Interference; Payment Over; Avoidance Issues</w:t>
      </w:r>
      <w:r>
        <w:rPr>
          <w:rFonts w:ascii="Times New Roman" w:cs="Times New Roman" w:eastAsia="Times New Roman" w:hAnsi="Times New Roman"/>
          <w:sz w:val="18"/>
          <w:szCs w:val="18"/>
          <w:color w:val="auto"/>
        </w:rPr>
        <w:t>. (a) Each Junior Secured Party, Junior Representative and Junior Collateral Agent agrees that (i) it will not take or cause to be taken any action the purpose or effect of which is, or could be, to make any Junior Claim pari passu with, or to give such Junior Secured Party any preference or priority relative to, any Senior Claim with respect to the Collateral securing the Senior Claims or any part thereof, (ii) it will not challenge or question in any proceeding (including any Insolvency or Liquidation Proceeding) the validity or enforceability of any ABL Facility Collateral Document or Non-ABL Collateral Document, the validity, attachment, perfection or priority of any Lien under the ABL Facility Collateral Documents or the Non-ABL Collateral Documents, the allowability of any claims asserted by the ABL Facility Secured Parties or the Non-ABL Secured Parties, or the validity or enforceability of the priorities, rights or duties established by or other provisions of this Agreement, (iii) it will not take or cause to be taken any action the purpose or intent of which is, or could be, to interfere, hinder or delay, in any manner, whether by judicial proceedings or otherwise, any sale, transfer or other disposition of, or exercise of remedies with respect to, the Senior Collateral by the Applicable Senior Collateral Agent or any Senior Secured Parties or any Senior Representative acting 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65" w:name="page266"/>
    <w:bookmarkEnd w:id="265"/>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their behalf, (iv) it shall have no right to (A) direct the Applicable Senior Collateral Agent, any Senior Representative or any holder of Senior Obligations to exercise any right, remedy or power with respect to any Senior Collateral or (B) consent to the exercise by the Applicable Senior Collateral Agent, any Senior Representative or any other Senior Secured Party of any right, remedy or power with respect to any Senior Collateral, (v) it will not institute any suit or assert in any suit, Insolvency or Liquidation Proceeding, or other proceeding any claim against the Applicable Senior Collateral Agent, any Senior Representative or other Senior Secured Party seeking damages from or other relief by way of specific performance, instructions or otherwise with respect to, and none of the Applicable Senior Collateral Agent, any Senior Representative or any other Senior Secured Party shall be liable for, any action taken or omitted to be taken by such Collateral Agent, such Senior Representative or other Senior Secured Party with respect to any Senior Collateral, (vi) it will not seek, and hereby waives any right, to have any Senior Collateral or any part thereof marshaled upon any foreclosure or other disposition of such Collateral and (vii) it will not attempt, directly or indirectly, whether by judicial proceedings or otherwise, to challenge the enforceability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Agreement shall be construed to prevent or impair the rights of any of the ABL Facility Agent, any ABL Facility Secured Party, the Intercreditor Agent or any other Non-ABL Secured Party to enforce this Agreement.</w:t>
      </w:r>
    </w:p>
    <w:p>
      <w:pPr>
        <w:spacing w:after="0" w:line="82" w:lineRule="exact"/>
        <w:rPr>
          <w:sz w:val="20"/>
          <w:szCs w:val="20"/>
          <w:color w:val="auto"/>
        </w:rPr>
      </w:pPr>
    </w:p>
    <w:p>
      <w:pPr>
        <w:ind w:firstLine="987"/>
        <w:spacing w:after="0" w:line="253" w:lineRule="auto"/>
        <w:tabs>
          <w:tab w:leader="none" w:pos="123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Junior Representative, each Junior Collateral Agent and each other Junior Secured Party hereby agrees that if it shall obtain possession of any Senior Collateral or shall realize any proceeds or payment in respect of any such Senior Collateral, pursuant to any ABL Facility Collateral Document or Non-ABL Collateral Document or by the exercise of any rights available to it under applicable law or in any Insolvency or Liquidation Proceeding or similar proceeding or through any other exercise of remedies, at any time prior to the Discharge of the Senior Obligations, then it shall hold such Senior Collateral, proceeds or payment in trust for the Senior Secured Parties and transfer such Senior Collateral, proceeds or payment, as the case may be, to the Applicable Senior Collateral Agent reasonably promptly after obtaining actual knowledge, or notice from the Applicable Senior Collateral Agent, that it is in possession of such Senior Collateral, proceeds or payment. Each Junior Secured Party agrees that if, at any time, it receives notice or obtains actual knowledge that all or part of any payment with respect to any Senior Obligations previously made shall be rescinded for any reason whatsoever, such Junior Secured Party shall promptly pay over to the Applicable Senior Collateral Agent any payment received by it and then in its possession or under its control in respect of any Senior Collateral and shall promptly turn over any Senior Collateral then held by it over to the Applicable Senior Collateral Agent, together with any necessary endorsements and the provisions set forth in this Agreement shall be reinstated as if such payment had not been made, until the payment and satisfaction in full of the Senior Obligations.</w:t>
      </w:r>
    </w:p>
    <w:p>
      <w:pPr>
        <w:spacing w:after="0" w:line="81"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Senior Obligations shall be paid in full and such payment or any part thereof shall subsequently, for whatever reason (including an order or judgment for disgorgement or avoidance of a preference or fraudulent transfer under the Bankruptcy Code, any other applicable Bankruptcy Law, or any similar law, or the settlement of any claim in respect thereof), be required to be returned or repaid, the terms and conditions of this Article II shall be fully applicable thereto until all such Senior Obligations shall again have been paid in full in cash.</w:t>
      </w:r>
    </w:p>
    <w:p>
      <w:pPr>
        <w:spacing w:after="0" w:line="68"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b w:val="1"/>
          <w:bCs w:val="1"/>
          <w:i w:val="1"/>
          <w:iCs w:val="1"/>
          <w:color w:val="auto"/>
        </w:rPr>
        <w:t>Automatic Release of Junior Liens</w:t>
      </w:r>
      <w:r>
        <w:rPr>
          <w:rFonts w:ascii="Times New Roman" w:cs="Times New Roman" w:eastAsia="Times New Roman" w:hAnsi="Times New Roman"/>
          <w:sz w:val="18"/>
          <w:szCs w:val="18"/>
          <w:color w:val="auto"/>
        </w:rPr>
        <w:t xml:space="preserve">. (a) Each Non-ABL Collateral Agent and each other Non-ABL Secured Party agrees that in the event of a sale, transfer or other disposition of any ABL Priority Collateral in connection with the foreclosure upon or other exercise of rights and remedies with respect to such ABL Priority Collateral that results in the release by the ABL Facility Agent of the Lien held by the ABL Facility Agent on such ABL Priority Collateral (regardless of whether or not an Event of Default has occurred and is continuing under the Non-ABL Documents at the time of such sale, transfer or other disposition), the Lien held by the Intercreditor Agent and each other Non-ABL Collateral Agent on such ABL Priority Collateral shall be automatically released;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all holders of the Non-ABL Obligations shall be entitled to any proceeds of a sale, transfer or other disposition under this clause (a) that remain after Discharge of the ABL Obligations, and the Liens on such remaining proceeds securing the Non-ABL Obligations shall not be automatically released pursuant to this Section 2.05(a).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66" w:name="page267"/>
    <w:bookmarkEnd w:id="266"/>
    <w:p>
      <w:pPr>
        <w:ind w:left="4" w:firstLine="987"/>
        <w:spacing w:after="0" w:line="254" w:lineRule="auto"/>
        <w:tabs>
          <w:tab w:leader="none" w:pos="124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ABL Facility Agent and each other ABL Facility Secured Party agrees that in the event of a sale, transfer or other disposition of any Non-ABL Priority Collateral in connection with the foreclosure upon or other exercise of rights and remedies with respect to such Non-ABL Priority Collateral that results in the release by the Non-ABL Collateral Agents of the Liens held by them on such Non-ABL Priority Collateral (regardless of whether or not an Event of Default has occurred and is continuing under the ABL Facility Documents at the time of such sale, transfer or other disposition), the Lien held by the ABL Facility Agent on such Non-ABL Priority Collateral shall be automatically released;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all holders of the ABL Obligations shall be entitled to any proceeds of a sale, transfer or other disposition under this clause (b) that remain after Discharge of all Non-ABL Obligations, and the Liens on such remaining proceeds securing the ABL Obligations shall not be automatically released pursuant to this Section 2.05(b).</w:t>
      </w:r>
    </w:p>
    <w:p>
      <w:pPr>
        <w:spacing w:after="0" w:line="83" w:lineRule="exact"/>
        <w:rPr>
          <w:rFonts w:ascii="Times New Roman" w:cs="Times New Roman" w:eastAsia="Times New Roman" w:hAnsi="Times New Roman"/>
          <w:sz w:val="18"/>
          <w:szCs w:val="18"/>
          <w:color w:val="auto"/>
        </w:rPr>
      </w:pPr>
    </w:p>
    <w:p>
      <w:pPr>
        <w:ind w:left="4" w:right="460" w:firstLine="987"/>
        <w:spacing w:after="0" w:line="266" w:lineRule="auto"/>
        <w:tabs>
          <w:tab w:leader="none" w:pos="125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Junior Representative and each Junior Collateral Agent agrees to execute and/or deliver (at the sole cost and expense of the Grantors) all such instructions, directions, authorizations and other instruments as necessary or as shall reasonably be requested by any Senior Representative or the Applicable Senior Collateral Agent to evidence and confirm any release of Junior Collateral provided for in this Section.</w:t>
      </w:r>
    </w:p>
    <w:p>
      <w:pPr>
        <w:spacing w:after="0" w:line="67" w:lineRule="exact"/>
        <w:rPr>
          <w:rFonts w:ascii="Times New Roman" w:cs="Times New Roman" w:eastAsia="Times New Roman" w:hAnsi="Times New Roman"/>
          <w:sz w:val="18"/>
          <w:szCs w:val="18"/>
          <w:color w:val="auto"/>
        </w:rPr>
      </w:pPr>
    </w:p>
    <w:p>
      <w:pPr>
        <w:ind w:left="4" w:right="260" w:firstLine="987"/>
        <w:spacing w:after="0" w:line="272" w:lineRule="auto"/>
        <w:tabs>
          <w:tab w:leader="none" w:pos="1240" w:val="left"/>
        </w:tabs>
        <w:numPr>
          <w:ilvl w:val="1"/>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any Grantor or the holder of any Senior Obligations delivers notice to each Junior Collateral Agent that any specified Senior Collateral (including all or substantially all of the equity interests of a Grantor or any of its Subsidiaries) is sold, transferred or otherwise disposed of (i) by the owner of such Senior Collateral in a transaction permitted under the Non-ABL Documents and the ABL Facility Documents or</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existence of any Event of Default under (and as defined in) the applicable Senior Collateral Document, then, to the extent the Applicable Senior Collateral Agent has consented to such sale, transfer or disposition (and so long as proceeds thereof are applied in accordance with Section 2.01), the Liens in favor of the Junior Secured Parties upon such Senior Collateral will automatically be released and discharged as and when, but only to the extent, such Liens on such Senior Collateral securing Senior Obligations are released and discharged. Upon delivery to each Junior Collateral Agent of a notice from the Applicable Senior Collateral Agent stating that any release of Liens securing or supporting the Senior Obligations has become effective (or shall become effective upon each Junior Collateral Agent’s release), each Junior Collateral Agent will promptly execute and deliver such instruments, releases, terminations statements or other documents confirming such release on customary terms.</w:t>
      </w:r>
    </w:p>
    <w:p>
      <w:pPr>
        <w:spacing w:after="0" w:line="184" w:lineRule="exact"/>
        <w:rPr>
          <w:sz w:val="20"/>
          <w:szCs w:val="20"/>
          <w:color w:val="auto"/>
        </w:rPr>
      </w:pPr>
    </w:p>
    <w:p>
      <w:pPr>
        <w:jc w:val="both"/>
        <w:ind w:left="4" w:right="240" w:firstLine="991"/>
        <w:spacing w:after="0" w:line="268"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b w:val="1"/>
          <w:bCs w:val="1"/>
          <w:i w:val="1"/>
          <w:iCs w:val="1"/>
          <w:color w:val="auto"/>
        </w:rPr>
        <w:t>Certain Agreements With Respect to Bankruptcy or Insolvency or Liquidation Proceedings</w:t>
      </w:r>
      <w:r>
        <w:rPr>
          <w:rFonts w:ascii="Times New Roman" w:cs="Times New Roman" w:eastAsia="Times New Roman" w:hAnsi="Times New Roman"/>
          <w:sz w:val="18"/>
          <w:szCs w:val="18"/>
          <w:color w:val="auto"/>
        </w:rPr>
        <w:t>. (a) This Agreement shall continue in full force and effect notwithstanding the commencement of any Insolvency or Liquidation Proceeding (including any case or proceeding under the Bankruptcy Code or any other Bankruptcy Law) by or against the Borrower or any of its Subsidiaries.</w:t>
      </w:r>
    </w:p>
    <w:p>
      <w:pPr>
        <w:spacing w:after="0" w:line="67" w:lineRule="exact"/>
        <w:rPr>
          <w:sz w:val="20"/>
          <w:szCs w:val="20"/>
          <w:color w:val="auto"/>
        </w:rPr>
      </w:pPr>
    </w:p>
    <w:p>
      <w:pPr>
        <w:ind w:left="1244" w:hanging="253"/>
        <w:spacing w:after="0"/>
        <w:tabs>
          <w:tab w:leader="none" w:pos="124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Grantor shall become subject to an Insolvency or Liquidation Proceeding:</w:t>
      </w:r>
    </w:p>
    <w:p>
      <w:pPr>
        <w:spacing w:after="0" w:line="130" w:lineRule="exact"/>
        <w:rPr>
          <w:rFonts w:ascii="Times New Roman" w:cs="Times New Roman" w:eastAsia="Times New Roman" w:hAnsi="Times New Roman"/>
          <w:sz w:val="18"/>
          <w:szCs w:val="18"/>
          <w:color w:val="auto"/>
        </w:rPr>
      </w:pPr>
    </w:p>
    <w:p>
      <w:pPr>
        <w:ind w:left="1964" w:right="20" w:hanging="533"/>
        <w:spacing w:after="0" w:line="261" w:lineRule="auto"/>
        <w:tabs>
          <w:tab w:leader="none" w:pos="196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ABL Facility Agent desires to permit any Grantor that has become subject to an Insolvency or Liquidation Proceeding, as debtor(s)-in-possession, to move for the approval of financing (“</w:t>
      </w:r>
      <w:r>
        <w:rPr>
          <w:rFonts w:ascii="Times New Roman" w:cs="Times New Roman" w:eastAsia="Times New Roman" w:hAnsi="Times New Roman"/>
          <w:sz w:val="18"/>
          <w:szCs w:val="18"/>
          <w:b w:val="1"/>
          <w:bCs w:val="1"/>
          <w:i w:val="1"/>
          <w:iCs w:val="1"/>
          <w:color w:val="auto"/>
        </w:rPr>
        <w:t>DIP Financing</w:t>
      </w:r>
      <w:r>
        <w:rPr>
          <w:rFonts w:ascii="Times New Roman" w:cs="Times New Roman" w:eastAsia="Times New Roman" w:hAnsi="Times New Roman"/>
          <w:sz w:val="18"/>
          <w:szCs w:val="18"/>
          <w:color w:val="auto"/>
        </w:rPr>
        <w:t>”) secured at least in part by a Lien on the ABL Priority Collateral, to be provided by one or more lenders (the “</w:t>
      </w:r>
      <w:r>
        <w:rPr>
          <w:rFonts w:ascii="Times New Roman" w:cs="Times New Roman" w:eastAsia="Times New Roman" w:hAnsi="Times New Roman"/>
          <w:sz w:val="18"/>
          <w:szCs w:val="18"/>
          <w:b w:val="1"/>
          <w:bCs w:val="1"/>
          <w:i w:val="1"/>
          <w:iCs w:val="1"/>
          <w:color w:val="auto"/>
        </w:rPr>
        <w:t>DIP Lenders</w:t>
      </w:r>
      <w:r>
        <w:rPr>
          <w:rFonts w:ascii="Times New Roman" w:cs="Times New Roman" w:eastAsia="Times New Roman" w:hAnsi="Times New Roman"/>
          <w:sz w:val="18"/>
          <w:szCs w:val="18"/>
          <w:color w:val="auto"/>
        </w:rPr>
        <w:t>”) under Section 364 of the Bankruptcy Code (or any similar provision of any other applicable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267" w:name="page268"/>
    <w:bookmarkEnd w:id="267"/>
    <w:p>
      <w:pPr>
        <w:ind w:left="9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Bankruptcy Law) and/or the use of cash collateral constituting ABL Priority Collateral under Section 363 of the Bankruptcy Code (or, in each case, under any equivalent provision of any other applicable Bankruptcy Law), then the Intercreditor Agent and the Non-ABL Secured Parties hereby agree not to object to any such financing or to the Liens on the ABL Priority Collateral securing the same (“</w:t>
      </w:r>
      <w:r>
        <w:rPr>
          <w:rFonts w:ascii="Times New Roman" w:cs="Times New Roman" w:eastAsia="Times New Roman" w:hAnsi="Times New Roman"/>
          <w:sz w:val="18"/>
          <w:szCs w:val="18"/>
          <w:b w:val="1"/>
          <w:bCs w:val="1"/>
          <w:i w:val="1"/>
          <w:iCs w:val="1"/>
          <w:color w:val="auto"/>
        </w:rPr>
        <w:t>DIP Financing Liens</w:t>
      </w:r>
      <w:r>
        <w:rPr>
          <w:rFonts w:ascii="Times New Roman" w:cs="Times New Roman" w:eastAsia="Times New Roman" w:hAnsi="Times New Roman"/>
          <w:sz w:val="18"/>
          <w:szCs w:val="18"/>
          <w:color w:val="auto"/>
        </w:rPr>
        <w:t xml:space="preserve">”) or to any use of such cash collateral that constitutes ABL Priority Collateral, unless the ABL Facility Agent shall then oppose or object to such DIP Financing or such DIP Financing Liens or use of such cash collateral that constitutes ABL Priority Collateral, or to request adequate protection (except as otherwise permitted under this Agreement) or any other relief in connection therewith (and (i) to the extent that such DIP Financing Liens are senior to the Liens on any such ABL Priority Collateral for the benefit of the ABL Facility Secured Parties, each Non-ABL Secured Party will subordinate its Liens with respect to the DIP Financing Liens on such ABL Priority Collateral on the same terms as the Liens of the ABL Facility Secured Parties (other than any Liens of any ABL Facility Secured Party constituting DIP Financing Liens) thereon are subordinated thereto, and (ii) to the extent that such DIP Financing Liens rank pari passu with the Liens on any such ABL Priority Collateral granted to secure the ABL Obligations of the ABL Facility Secured Parties, each Equal Priority Secured Party and Junior Priority Secured Party will confirm the priorities with respect to such ABL Priority Collateral as set forth herein), in each case so long as (A) the Equal Priority Secured Parties and the Junior Priority Secured Parties retain the benefit of their Liens on all such ABL Priority Collateral pledged to the DIP Lenders, including proceeds thereof arising after the commencement of such proceeding (other than any Liens constituting DIP Financing Liens) as existed prior to the commencement of the Insolvency or Liquidation Proceeding, (B) the Equal Priority Secured Parties and Junior Priority Secured Parties are granted junior Liens on any additional or replacement ABL Priority Collateral pledged to any ABL Facility Secured Party as adequate protection or otherwise in connection with such DIP Financing or use of such cash collateral, (C) if any amount of such DIP Financing or cash collateral is applied to repay any of the ABL Obligations, such amount is applied pursuant to Section 2.01(a) of this Agreement, and (D) if any ABL Facility Secured Parties are granted adequate protection, including in the form of periodic payments, in connection with such DIP Financing or use of cash collateral, the proceeds of such adequate protection are applied pursuant to Section 2.01(a)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Non-ABL Secured Parties of each Series shall have a right to object to the grant of a Lien to secure the DIP Financing over any Collateral that shall not constitute ABL Priority Collateral (other than any DIP Financing Lien thereon that is junior in priority to the Liens thereon of the Non-ABL Secured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Non-ABL Secured Parties receiving adequate protection shall not object to any other Non-ABL Secured Parties receiving adequate protection comparable to any adequate protection granted to such Non-ABL Secured Parties in connection with a DIP Financing or use of cash collateral;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nothing herein shall prevent any Equal Priority Secured Party from objecting to any adequate protection received by any Junior Priority Secured Party in violation of the Junior Lien Intercreditor Agreement;</w:t>
      </w:r>
    </w:p>
    <w:p>
      <w:pPr>
        <w:spacing w:after="0" w:line="1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00"/>
          </w:cols>
          <w:pgMar w:left="1440" w:top="270" w:right="459" w:bottom="1440" w:gutter="0" w:footer="0" w:header="0"/>
        </w:sectPr>
      </w:pPr>
    </w:p>
    <w:bookmarkStart w:id="268" w:name="page269"/>
    <w:bookmarkEnd w:id="268"/>
    <w:p>
      <w:pPr>
        <w:ind w:left="960" w:hanging="533"/>
        <w:spacing w:after="0" w:line="251" w:lineRule="auto"/>
        <w:tabs>
          <w:tab w:leader="none" w:pos="9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Intercreditor Agent desires to permit any Grantor that has become subject to an Insolvency or Liquidation Proceeding, as debtor(s)-in-possession, to move for the approval of a DIP Financing secured at least in part by a Lien on Non-ABL Priority Collateral, to be provided by DIP Lenders under Section 364 of the Bankruptcy Code (or any similar provision of any other applicable Bankruptcy Law) or the use of cash collateral constituting Non-ABL Priority Collateral under Section 363 of the Bankruptcy Code (or any similar provision of any other applicable Bankruptcy Law), the ABL Facility Agent and the ABL Facility Secured Parties hereby agree not to object to any such financing or to the DIP Financing Liens or to any use of such cash collateral that constitutes Non-ABL Priority Collateral, unless the Intercreditor Agent (acting on the instructions of the applicable Non-ABL Secured Parties in accordance with the Non-ABL Documents) shall then oppose or object to such DIP Financing or such DIP Financing Liens or use of such cash collateral that constitutes Non-ABL Priority Collateral, or to request adequate protection (except as otherwise permitted under this Agreement) or any other relief in connection therewith (and (i) to the extent that such DIP Financing Liens are senior to the Liens on any such Non-ABL Priority Collateral for the benefit of the Non-ABL Secured Parties, each ABL Facility Secured Party will subordinate its Liens with respect to the DIP Financing Liens on such Non-ABL Priority Collateral on the same terms as the Liens of the Non-ABL Secured Parties (other than any Liens of any Non-ABL Secured Party constituting DIP Financing Liens) thereon are subordinated thereto, and (ii) to the extent that such DIP Financing Liens rank pari passu with the Liens on any such Non-ABL Priority Collateral granted to secure the Non-ABL Obligations of the Non-ABL Secured Parties, each ABL Facility Secured Party will confirm the priorities with respect to such Non-ABL Priority Collateral as set forth herein), in each case so long as (A) the ABL Facility Secured Parties retain the benefit of their Liens on all such Non-ABL Priority Collateral pledged to the DIP Lenders, including proceeds thereof arising after the commencement of such proceeding (other than any Liens constituting DIP Financing Liens) as existed prior to the commencement of the Insolvency or Liquidation Proceeding, (B) the ABL Facility Secured Parties are granted junior Liens on any additional or replacement Non-ABL Priority Collateral pledged to any Non-ABL Secured Party as adequate protection or otherwise in connection with such DIP Financing or use of such cash collateral, (C) if any amount of such DIP Financing or cash collateral is applied to repay any of the Non-ABL Obligations, such amount is applied pursuant to Section 2.01(a) of this Agreement, and (D) if any Non-ABL Secured Parties are granted adequate protection, including in the form of periodic payments, in connection with such DIP Financing or use of cash collateral, the proceeds of such adequate protection is applied pursuant to Section 2.01(a)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ABL Facility Secured Parties shall have a right to object to the grant of a Lien to secure the DIP Financing over any Collateral that shall not constitute Non-ABL Priority Collateral (other than any DIP Financing Lien thereon that is junior in priority to the Liens thereon of the ABL Facility Secured Parties);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ABL Facility Secured Parties receiving adequate protection shall not object to any other ABL Facility Secured Party receiving adequate protection comparable to any adequate protection granted to such ABL Facility Secured Parties in connection with a DIP Financing or use of cash collateral.</w:t>
      </w:r>
    </w:p>
    <w:p>
      <w:pPr>
        <w:spacing w:after="0" w:line="1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000"/>
          </w:cols>
          <w:pgMar w:left="1440" w:top="270" w:right="459" w:bottom="1440" w:gutter="0" w:footer="0" w:header="0"/>
        </w:sectPr>
      </w:pPr>
    </w:p>
    <w:bookmarkStart w:id="269" w:name="page270"/>
    <w:bookmarkEnd w:id="269"/>
    <w:p>
      <w:pPr>
        <w:ind w:left="1244" w:hanging="253"/>
        <w:spacing w:after="0"/>
        <w:tabs>
          <w:tab w:leader="none" w:pos="124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Applicable Junior Collateral Agent and each Junior Secured Party agrees that it will not object to and will not otherwise contest:</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motion for relief from the automatic stay in Section 362 of the Bankruptcy Code or any other equivalent provision under any other applicable</w:t>
      </w:r>
    </w:p>
    <w:p>
      <w:pPr>
        <w:spacing w:after="0" w:line="9"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Law or from any injunction against foreclosure or enforcement in respect of the Senior Collateral made by the Applicable Senior Collateral Agent or any Senior Secured Party; (ii) any lawful exercise by any holder of Senior Claims of the right to credit bid Senior Claims in any sale in foreclosure of Collateral that is Senior Collateral with respect to such Senior Claims (including under Section 363(k) of the Bankruptcy Code, any other provision of the Bankruptcy Code, or any equivalent provision of any other Bankruptcy Law); (iii) any other request for judicial relief made in any court by any Senior Secured Party relating to the lawful enforcement of any Lien on the Senior Collateral; or (iv) any sale or other disposition of any Senior Collateral (or any portion thereof) under Section 363 of the Bankruptcy Code (or any equivalent provision of any other applicable Bankruptcy Law) or any other provision of the Bankruptcy Code, or any order relating to a sale of assets of the Borrower or any of its subsidiaries constituting Senior Collateral, in each case if the Senior Secured Parties of any Series shall have consented to such sale or disposition of such Senior Collateral, which provides that, to the extent the sale is to be free and clear of Liens, the Liens securing the Senior Obligations and Junior Obligations will attach to the proceeds of the sale on the same basis of priority as the Liens securing such Obligations on the assets being sold, in accordance with this Agreement and such proceeds are applied in accordance with Section 2.01.</w:t>
      </w:r>
    </w:p>
    <w:p>
      <w:pPr>
        <w:spacing w:after="0" w:line="84" w:lineRule="exact"/>
        <w:rPr>
          <w:rFonts w:ascii="Times New Roman" w:cs="Times New Roman" w:eastAsia="Times New Roman" w:hAnsi="Times New Roman"/>
          <w:sz w:val="18"/>
          <w:szCs w:val="18"/>
          <w:color w:val="auto"/>
        </w:rPr>
      </w:pPr>
    </w:p>
    <w:p>
      <w:pPr>
        <w:ind w:left="4" w:right="180" w:firstLine="987"/>
        <w:spacing w:after="0" w:line="261" w:lineRule="auto"/>
        <w:tabs>
          <w:tab w:leader="none" w:pos="124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Junior Collateral Agent and each Junior Secured Party agrees that it will not seek relief from the automatic stay in Section 362 of the Bankruptcy Code or under any equivalent provision of any other applicable Bankruptcy Law or any other stay in any Insolvency or Liquidation proceeding with respect to Senior Collateral without the prior consent of the Applicable Senior Collateral Agent or oppose any request by the Applicable Senior Collateral Agent for relief from such automatic stay with respect to Senior Collateral.</w:t>
      </w:r>
    </w:p>
    <w:p>
      <w:pPr>
        <w:spacing w:after="0" w:line="71" w:lineRule="exact"/>
        <w:rPr>
          <w:rFonts w:ascii="Times New Roman" w:cs="Times New Roman" w:eastAsia="Times New Roman" w:hAnsi="Times New Roman"/>
          <w:sz w:val="18"/>
          <w:szCs w:val="18"/>
          <w:color w:val="auto"/>
        </w:rPr>
      </w:pPr>
    </w:p>
    <w:p>
      <w:pPr>
        <w:ind w:left="4" w:right="40" w:firstLine="987"/>
        <w:spacing w:after="0" w:line="252" w:lineRule="auto"/>
        <w:tabs>
          <w:tab w:leader="none" w:pos="125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Junior Collateral Agent and each Junior Secured Party hereby agrees that it will not object to and will not otherwise contest (or support any other Person contesting): (i) any request by the Applicable Senior Collateral Agent or any Senior Secured Party for adequate protection with respect to Senior Collateral (other than any request for any cash payments from the proceeds of such Applicable Senior Collateral Agent’s or Senior Secured Party’s Junior Collateral) or (ii) any objection by the Applicable Senior Collateral Agent or any Senior Secured Party to any motion, relief, action or proceeding based on the Applicable Senior Collateral Agent or any Senior Secured Party claiming a lack of adequate protection with respect to Senior Collateral. Notwithstanding the foregoing, in any Insolvency or Liquidation Proceeding, (x) if the Senior Secured Parties (or any subset thereof) are granted adequate protection with respect to such Senior Collateral in the form of a Lien on additional or replacement collateral in connection with any DIP Financing or use of cash collateral under Section 363 or Section 364 of the Bankruptcy Code (or any equivalent provision of any other applicable Bankruptcy Law) or any similar law, then each Collateral Agent for any series of Equal Priority Obligations may seek or request adequate protection in the form of a Lien on such additional or replacement collateral, so long as such Lien is subordinated to the Liens securing and providing adequate protection for the Senior Obligations and such DIP Financing (and all obligations relating thereto), on the same basis as the other Liens securing the Junior Obligations on the Senior Collateral are subordinated to the Liens on the Senior Collateral securing the Senior Obligations under this Agreement and (y) in the event any Collateral Agent for any series of Equal Priority Obligations seeks or requests adequate protection and such adequate protection is granted in the</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70" w:right="479" w:bottom="1440" w:gutter="0" w:footer="0" w:header="0"/>
        </w:sectPr>
      </w:pPr>
    </w:p>
    <w:bookmarkStart w:id="270" w:name="page271"/>
    <w:bookmarkEnd w:id="270"/>
    <w:p>
      <w:pPr>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a Lien on additional or replacement collateral, then the Applicable Junior Collateral Agent and the Junior Secured Parties hereby agree that the Senior Secured Parties shall also be granted a Lien on such additional or replacement collateral as security and adequate protection for the Senior Obligations and any such DIP Financing and that any Lien on such additional or replacement collateral that constitutes Senior Collateral securing or providing adequate protection for the Junior Obligations shall be subordinated to the Liens on such collateral securing the Senior Obligations and any such DIP Financing (and all obligations relating thereto) and any other Liens on the Senior Collateral granted to the holders of Senior Obligations as adequate protection on the same basis as the Liens securing the Junior Obligations are so subordinated to the Liens securing the Senior Obligations under this Agreement.</w:t>
      </w:r>
    </w:p>
    <w:p>
      <w:pPr>
        <w:spacing w:after="0" w:line="81" w:lineRule="exact"/>
        <w:rPr>
          <w:sz w:val="20"/>
          <w:szCs w:val="20"/>
          <w:color w:val="auto"/>
        </w:rPr>
      </w:pPr>
    </w:p>
    <w:p>
      <w:pPr>
        <w:ind w:right="40" w:firstLine="987"/>
        <w:spacing w:after="0" w:line="255" w:lineRule="auto"/>
        <w:tabs>
          <w:tab w:leader="none" w:pos="123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Junior Collateral Agent and each Junior Secured Party hereby agrees that (i) it will not oppose or seek to challenge any claim by the Applicable Senior Collateral Agent or any Senior Secured Party for allowance of Senior Obligations consisting of post-petition interest, fees or expenses to the extent of the value of the Applicable Senior Collateral Agents’ Liens on the Senior Collateral, without regard to the existence of the Lien of the Junior Secured Parties on the Senior Collateral; and (ii) until the Discharge of each Series of Senior Obligations has occurred, the Applicable Junior Collateral Agent, on behalf of itself and the Junior Secured Parties, will not assert or enforce any claim under Section 506(c) of the Bankruptcy Code (or any equivalent provision of any other applicable Bankruptcy Law) senior to or on a parity with the Liens on Senior Collateral securing the Senior Obligations for costs or expenses of preserving or disposing of any Collateral.</w:t>
      </w:r>
    </w:p>
    <w:p>
      <w:pPr>
        <w:spacing w:after="0" w:line="80" w:lineRule="exact"/>
        <w:rPr>
          <w:rFonts w:ascii="Times New Roman" w:cs="Times New Roman" w:eastAsia="Times New Roman" w:hAnsi="Times New Roman"/>
          <w:sz w:val="18"/>
          <w:szCs w:val="18"/>
          <w:color w:val="auto"/>
        </w:rPr>
      </w:pPr>
    </w:p>
    <w:p>
      <w:pPr>
        <w:ind w:firstLine="987"/>
        <w:spacing w:after="0" w:line="252" w:lineRule="auto"/>
        <w:tabs>
          <w:tab w:leader="none" w:pos="121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Non-ABL Collateral Agent, on behalf of the applicable Series of Non-ABL Secured Parties, and the ABL Facility Agent, on behalf of the ABL Facility Secured Parties, acknowledge and intend that: the grants of Liens pursuant to the Non-ABL Collateral Documents, on the one hand, and the ABL Facility Collateral Documents, on the other hand, constitute separate and distinct grants of Liens, and because of, among other things, their differing rights in the Collateral, the Non-ABL Obligations are fundamentally different from the ABL Obligations and must be separately classified in any Plan of Reorganization proposed or confirmed (or approved) in any Insolvency or Liquidation Proceeding. To further effectuate the intent of the parties as provided in the immediately preceding sentence, if it is held that the claims of the ABL Facility Secured Parties and the Non-ABL Secured Parties in respect of any Collateral constitute claims in the same class (rather than separate classes of secured claims subject to the relative Lien priorities set forth in this Agreement), then the ABL Facility Secured Parties and the Non-ABL Secured Parties hereby acknowledge and agree that all distributions from the Collateral shall be made as if there were separate classes of ABL Obligations and Non-ABL Obligations against the Grantors (with the effect being that, to the extent that the aggregate value of the ABL Priority Collateral or the Non-ABL Priority Collateral, as applicable, is sufficient (for this purpose ignoring all claims held by the other Secured Parties for whom such applicable pool of Collateral is Junior Collateral), the ABL Facility Secured Parties or the Non-ABL Secured Parties, respectively, shall be entitled to receive, in addition to amounts distributed to them in respect of principal, pre-petition interest, fees, and expenses and other claims, all amounts owing in respect of post-petition interest, fees or expenses that are available from the Senior Collateral for each of the ABL Facility Secured Parties and the Non-ABL Secured Parties, respectively, before any distribution is made in respect of the Junior Claims with respect to such Collateral, with the holder of such Junior Claims hereby acknowledging and agreeing to turn over to the respective other Secured Parties amounts otherwise received or receivable by them from such Collateral to the extent necessary to effectuate the intent of this sentence, even if such turnover has the effect of reducing the aggregate recoveries).</w:t>
      </w:r>
    </w:p>
    <w:p>
      <w:pPr>
        <w:spacing w:after="0" w:line="85"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are intended to be and shall be enforceable under Section 510(a) of the Bankruptcy Code (or any equivalent provision of any other applicable Bankruptcy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71" w:name="page272"/>
    <w:bookmarkEnd w:id="271"/>
    <w:p>
      <w:pPr>
        <w:ind w:right="20" w:firstLine="987"/>
        <w:spacing w:after="0" w:line="258" w:lineRule="auto"/>
        <w:tabs>
          <w:tab w:leader="none" w:pos="124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Non-ABL Representative, on behalf of the applicable Series of Non-ABL Secured Parties, and the ABL Facility Agent, on behalf of the ABL Facility Secured Parties, acknowledges and agrees that without the express written consent of the ABL Facility Agent or the Intercreditor Agent, as applicable, no Non-ABL Secured Parties nor any ABL Facility Secured Parties (whether in the capacity of a secured creditor or an unsecured creditor) shall propose, vote for, or otherwise directly or indirectly support any Plan of Reorganization that is inconsistent with or in contravention of the priorities or other provisions of this Agreement.</w:t>
      </w:r>
    </w:p>
    <w:p>
      <w:pPr>
        <w:spacing w:after="0" w:line="179"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b w:val="1"/>
          <w:bCs w:val="1"/>
          <w:i w:val="1"/>
          <w:iCs w:val="1"/>
          <w:color w:val="auto"/>
        </w:rPr>
        <w:t>Reinstatement</w:t>
      </w:r>
      <w:r>
        <w:rPr>
          <w:rFonts w:ascii="Times New Roman" w:cs="Times New Roman" w:eastAsia="Times New Roman" w:hAnsi="Times New Roman"/>
          <w:sz w:val="18"/>
          <w:szCs w:val="18"/>
          <w:color w:val="auto"/>
        </w:rPr>
        <w:t>. If, at any time after the Discharge of ABL Obligations or the Discharge of Non-ABL Obligations has occurred, the Borrower incurs or designates any ABL Obligations or any Non-ABL Obligations, then, at the Borrower’s election, such Discharge of ABL Obligations or such Discharge of Non-ABL Obligations in accordance with this Agreement, the related ABL Facility Documents and Non-ABL Documents, as applicable, shall automatically be deemed not to have occurred for all purposes of this Agreement (other than with respect to any actions taken prior to the date of such incurrence or designation as a result of the occurrence of such first Discharge), and from and after the date which the applicable Representative becomes party to this Agreement pursuant to the terms hereof, the applicable agreement governing such ABL Obligations or such Non-ABL Obligations shall automatically be treated as the ABL Facility, the 2021 Indenture, the 2024 Indenture, the 2026 Indenture or Other Equal Priority Document or other Junior Priority Documents, as the case may be, for all purposes of this Agreement, including for purposes of the Lien priorities and rights in respect of the Collateral. Upon receipt of notice of such designation (including the identity of any new Representative), the Applicable Junior Collateral Agent shall promptly (i) enter into such documents and agreements, including amendments or supplements to this Agreement, as the Borrower or such new Representative shall reasonably request in writing in order to provide to such new Representative the rights contemplated hereby and (ii) to the extent then held by the Applicable Junior Collateral Agent or any Junior Secured Parties, deliver to such new Representative any Possessory Collateral, together with any necessary endorsements (or otherwise allow such new Representative to obtain possession or control of such Possessory Collateral), it being understood that all reasonable and documented out-of-pocket expenses incurred by any Secured Parties (and their respective representatives) in connection with the execution and delivery of such documents and instruments shall be borne by the Grantors.</w:t>
      </w:r>
    </w:p>
    <w:p>
      <w:pPr>
        <w:spacing w:after="0" w:line="19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b w:val="1"/>
          <w:bCs w:val="1"/>
          <w:i w:val="1"/>
          <w:iCs w:val="1"/>
          <w:color w:val="auto"/>
        </w:rPr>
        <w:t>Entry Upon Premises by the ABL Facility Agent</w:t>
      </w:r>
      <w:r>
        <w:rPr>
          <w:rFonts w:ascii="Times New Roman" w:cs="Times New Roman" w:eastAsia="Times New Roman" w:hAnsi="Times New Roman"/>
          <w:sz w:val="18"/>
          <w:szCs w:val="18"/>
          <w:color w:val="auto"/>
        </w:rPr>
        <w:t xml:space="preserve">. (a) If the ABL Facility Agent takes any enforcement action with respect to the ABL Priority Collateral, the Non-ABL Secured Parties (i) shall cooperate with the ABL Facility Agent (at the sole cost and expense of the ABL Facility Agent) in its efforts to enforce its security interest in the ABL Priority Collateral, including in connection with the manufacture, production, completion, handling, removal and sale of any Collateral constituting ABL Priority Collateral by the ABL Facility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Non-ABL Secured Parties shall not otherwise be required to manufacture, produce, complete, remove, insure, protect, store, safeguard, sell or deliver any inventory constituting ABL Priority Collateral or to provide any support, assistance or cooperation to ABL Facility Agent in respect thereof or otherwise take any other action in connection therewith that could reasonably be expected to result in the incurrence of any liability or damage to the Non-ABL Secured Parties, (ii) shall not take or direct any Collateral Agent to take any action designed or intended to hinder or restrict in any respect the ABL Facility Agent from enforcing its security interest in the ABL Priority Collateral and (iii) shall permit and direct the Intercreditor Agent and each other Non-ABL Collateral Agent to permit the ABL Facility Agent, and their respective employees, agents, advisers and representatives, at the sole cost and expense of the ABL Facility Secured Parties and upon reasonable advance notice, on a rent-free, royalty-free basis, to enter upon and use the Non-ABL Priority Collateral (including (x) real estate, fixtures, equipment, processors, computers and other machinery and (y) intellectual property and other General Intangibles), for a period not to exceed 180 days after the taking of such enforcement action, for purposes of taking reasonable actions to protect, secure, store, take possession of, move, complete, prepare for sale, sell and otherwise enforce the rights of the ABL Facility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72" w:name="page273"/>
    <w:bookmarkEnd w:id="272"/>
    <w:p>
      <w:pPr>
        <w:ind w:right="2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Secured Parties and the ABL Facility Agent in and to the ABL Priority Collateral;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nothing contained in this Agreement shall restrict the rights of a Non-ABL Collateral Agent (acting on the instructions of the applicable Non-ABL Secured Parties) from selling, assigning or otherwise transferring any Non-ABL Priority Collateral prior to the expiration of such 180-day period if the purchaser, assignee or transferee thereof agrees to be bound by the provisions of this Section. If any stay or other order prohibiting the exercise of remedies with respect to the ABL Priority Collateral has been entered by a court of competent jurisdiction, such 180-day period shall be tolled during the pendency of any such stay or other order.</w:t>
      </w:r>
    </w:p>
    <w:p>
      <w:pPr>
        <w:spacing w:after="0" w:line="60" w:lineRule="exact"/>
        <w:rPr>
          <w:sz w:val="20"/>
          <w:szCs w:val="20"/>
          <w:color w:val="auto"/>
        </w:rPr>
      </w:pPr>
    </w:p>
    <w:p>
      <w:pPr>
        <w:ind w:firstLine="987"/>
        <w:spacing w:after="0" w:line="252" w:lineRule="auto"/>
        <w:tabs>
          <w:tab w:leader="none" w:pos="12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actual occupation, use or control by the ABL Facility Secured Parties or their agents or representatives (including the ABL Facility Agent to the extent acting on behalf of such parties) of any Non-ABL Priority Collateral, the ABL Facility Secured Parties shall be obligated to repair at their expense any physical damage to such Non-ABL Priority Collateral or other assets or property of the Grantors or any of their subsidiaries resulting from such occupancy, use or control, and to leave such Non-ABL Priority Collateral or such other assets or property in substantially the same condition as it was at the commencement of such occupancy, use or control, ordinary wear and tear excepted. Notwithstanding the foregoing, in no event shall the ABL Facility Secured Parties have any liability to the Non-ABL Secured Parties pursuant to this Section as a result of any condition (including any environmental condition, claim or liability) on or with respect to the Non-ABL Priority Collateral existing prior to the date of the exercise by the ABL Facility Secured Parties of their rights under this Section and the ABL Facility Secured Parties shall have no duty or liability to maintain the Non-ABL Priority Collateral in a condition or manner better than that in which it was maintained prior to the use thereof by the ABL Facility Secured Parties, or for any diminution in the value of the Non-ABL Priority Collateral that results solely from ordinary wear and tear resulting from the use of the Non-ABL Priority Collateral by the ABL Facility Secured Parties in the manner and for the time periods specified under this Section 2.08. Without limiting the rights granted in this paragraph, the ABL Facility Secured Parties shall cooperate with the Intercreditor Agent (at the sole cost and expense of the Intercreditor Agent and subject to the condition that the ABL Facility Secured Parties shall have no obligation or duty to take any action or refrain from taking any action that could reasonably be expected to result in the incurrence of any liability or damage to the ABL Facility Secured Parties) in connection with any efforts made by it to cause the Non-ABL Priority Collateral to be sold.</w:t>
      </w:r>
    </w:p>
    <w:p>
      <w:pPr>
        <w:spacing w:after="0" w:line="87" w:lineRule="exact"/>
        <w:rPr>
          <w:rFonts w:ascii="Times New Roman" w:cs="Times New Roman" w:eastAsia="Times New Roman" w:hAnsi="Times New Roman"/>
          <w:sz w:val="18"/>
          <w:szCs w:val="18"/>
          <w:color w:val="auto"/>
        </w:rPr>
      </w:pPr>
    </w:p>
    <w:p>
      <w:pPr>
        <w:ind w:right="160" w:firstLine="987"/>
        <w:spacing w:after="0" w:line="256" w:lineRule="auto"/>
        <w:tabs>
          <w:tab w:leader="none" w:pos="124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Non-ABL Collateral Agents, the Non-ABL Secured Parties, and their respective Non-ABL Representatives hereby grant to the ABL Facility Agent and the ABL Facility Secured Parties a non-exclusive irrevocable worldwide license or right to use, to the maximum extent permitted by applicable law and to the extent of their interest therein, exercisable without payment of royalty or other compensation, any of the Non-ABL Priority Collateral consisting of intellectual property in connection with the processing, storing, sale, handling or otherwise dealing with the liquidation, collection, disposition or other realization upon the ABL Priority Collateral pursuant to any enforcement action by the ABL Facility Agent and the ABL Facility Secured Parties.</w:t>
      </w:r>
    </w:p>
    <w:p>
      <w:pPr>
        <w:spacing w:after="0" w:line="183"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color w:val="auto"/>
        </w:rPr>
        <w:t>. Unless and until the ABL Obligations have been Discharged, as between the ABL Facility Agent, on the one hand, and the applicable Non-ABL Collateral Agents and Non-ABL Representatives, on the other hand, only the ABL Facility Agent will have the right (subject to the rights of the Grantors under the ABL Facility Documents and the Non-ABL Documents) to adjust or settle any insurance policy or claim covering or constituting ABL Priority Collateral in the event of any loss thereunder and to approve any award granted in any condemnation or similar proceeding affecting the ABL Priority Collateral. Unless and until the Non-ABL Obligations have been Discharged, as between the ABL Facility Agent, on the one hand, and the applicable Non-ABL Collateral Agents and Non-ABL Representatives, on the other hand, only the Intercreditor Agent will have the right (subject to the rights of the Grantors under the ABL Facility Documents and the Non-ABL Documents) to adjust or settle any insurance policy covering or constituting Non-ABL Priority Collateral in the event of any loss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73" w:name="page274"/>
    <w:bookmarkEnd w:id="27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thereunder and to approve any award granted in any condemnation or similar proceeding solely affecting the Non-ABL Priority Collateral. To the extent that an insured loss covers or constitutes both ABL Priority Collateral and Non-ABL Priority Collateral, then the ABL Facility Agent and the Intercreditor Agent will work jointly and in good faith to collect, adjust or settle (subject to the rights of the Grantors under the ABL Facility Documents and the Non-ABL Documents) under the relevant insurance policy.</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b w:val="1"/>
          <w:bCs w:val="1"/>
          <w:i w:val="1"/>
          <w:iCs w:val="1"/>
          <w:color w:val="auto"/>
        </w:rPr>
        <w:t>Refinancings</w:t>
      </w:r>
      <w:r>
        <w:rPr>
          <w:rFonts w:ascii="Times New Roman" w:cs="Times New Roman" w:eastAsia="Times New Roman" w:hAnsi="Times New Roman"/>
          <w:sz w:val="18"/>
          <w:szCs w:val="18"/>
          <w:color w:val="auto"/>
        </w:rPr>
        <w:t xml:space="preserve">. Any Series of Secured Obligations and the agreements or indentures governing them may be Refinanced, in each case, without notice to, or the consent (except to the extent a consent is otherwise required to permit the refinancing transaction under any ABL Facility Document or any Non-ABL Document) of any ABL Facility Secured Party or any Non-ABL Secured Party, all without affecting the priorities provided for herein or the other provisions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holders of any such Refinancing indebtedness (or an authorized agent or trustee on their behalf) bind themselves in writing (to the extent they are not already so bound) to the terms of this Agreement pursuant to such Refinancing documents or agreements (including amendments or supplements to this Agreement) as each Applicable Senior Collateral Agent shall reasonably request and in form and substance reasonably acceptable to such Applicable Senior Collateral Agent. In connection with any Refinancing contemplated by this Section 2.10, this Agreement may be amended by the ABL Facility Agent and the Intercreditor Agent (and the ABL Facility Agent and the Intercreditor Agent hereby agree to execute and deliver any such amendment so requested) at the request and sole expense of the Borrower, and without the consent of any Representative or Secured Party, (a) to add parties (or any authorized agent or trustee therefor) providing any such Refinancing, (b) to confirm that such Refinancing indebtedness in respect of any Non-ABL Obligations shall have the same rights and priorities in respect of any Non-ABL Priority Collateral in relation to the ABL Obligations as the indebtedness being Refinanced and (c) to confirm that such Refinancing indebtedness in respect of any ABL Obligations shall have the same rights and priorities in respect of any ABL Priority Collateral in relation to the Non-ABL Obligations as the indebtedness being Refinanced, all on the terms provided for herein immediately prior to such Refinancing.</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2.11 Amendments to Collateral Documents.</w:t>
      </w:r>
    </w:p>
    <w:p>
      <w:pPr>
        <w:spacing w:after="0" w:line="117" w:lineRule="exact"/>
        <w:rPr>
          <w:sz w:val="20"/>
          <w:szCs w:val="20"/>
          <w:color w:val="auto"/>
        </w:rPr>
      </w:pPr>
    </w:p>
    <w:p>
      <w:pPr>
        <w:ind w:right="200" w:firstLine="987"/>
        <w:spacing w:after="0" w:line="261" w:lineRule="auto"/>
        <w:tabs>
          <w:tab w:leader="none" w:pos="123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ABL Facility Agent, each Non-ABL Representative and each other Non-ABL Secured Party agrees that no Non-ABL Collateral Document to which such Non-ABL Representative or Non-ABL Secured Parties is party may be amended, supplemented or otherwise modified or entered into to the extent such amendment, supplement or modification, or the terms of any new Non-ABL Collateral Document, would be prohibited by or inconsistent with any of the terms of this Agreement.</w:t>
      </w:r>
    </w:p>
    <w:p>
      <w:pPr>
        <w:spacing w:after="0" w:line="71" w:lineRule="exact"/>
        <w:rPr>
          <w:rFonts w:ascii="Times New Roman" w:cs="Times New Roman" w:eastAsia="Times New Roman" w:hAnsi="Times New Roman"/>
          <w:sz w:val="18"/>
          <w:szCs w:val="18"/>
          <w:color w:val="auto"/>
        </w:rPr>
      </w:pPr>
    </w:p>
    <w:p>
      <w:pPr>
        <w:ind w:right="100" w:firstLine="987"/>
        <w:spacing w:after="0" w:line="258" w:lineRule="auto"/>
        <w:tabs>
          <w:tab w:leader="none" w:pos="124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Intercreditor Agent acting in accordance with the Non-ABL Collateral Documents, the ABL Facility Agent and each other ABL Facility Secured Party agrees that no ABL Facility Collateral Document to which the ABL Facility Agent or ABL Facility Secured Parties are a party may be amended, supplemented or otherwise modified or entered into to the extent such amendment, supplement or modification, or the terms of any new ABL Facility Collateral Document, would be prohibited by or inconsistent with any of the terms of this Agreement.</w:t>
      </w:r>
    </w:p>
    <w:p>
      <w:pPr>
        <w:spacing w:after="0" w:line="75"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Applicable Senior Collateral Agent or the Senior Secured Parties enter into any amendment, waiver or consent in respect of or replace any of the Senior Collateral Documents for the purpose of adding to, or deleting from, or waiving or consenting to any departures from any provisions of, any Senior Collateral Document or changing in any manner the rights of the Applicable Senior Collateral Agent, the Senior Secured Parties, the Borrower or any other Grantor thereunder (including the release of any Liens in Senior Collateral), in each case, solely with respect to the Senior Collateral, then such amendment, waiver or consent shall apply automatically to any comparable provision of each Comparable Junior Collateral Document without the consent of any Junior Collateral Agent or 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274" w:name="page275"/>
    <w:bookmarkEnd w:id="274"/>
    <w:p>
      <w:pPr>
        <w:ind w:left="4"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Junior Secured Party and without any action by any Junior Collateral Agent, Junior Secured Party, the Borrower or any other Grantor;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such amendment, waiver or consent does not materially adversely affect the rights of the Junior Secured Parties or the interests of the Junior Secured Parties in the Junior Collateral and not the Applicable Senior Collateral Agent or the Senior Secured Parties, as the case may be, that have a security interest in the affected collateral in a like or similar manner, (B) no such amendment, waiver or consent shall have the effect of</w:t>
      </w:r>
    </w:p>
    <w:p>
      <w:pPr>
        <w:spacing w:after="0" w:line="3" w:lineRule="exact"/>
        <w:rPr>
          <w:sz w:val="20"/>
          <w:szCs w:val="20"/>
          <w:color w:val="auto"/>
        </w:rPr>
      </w:pPr>
    </w:p>
    <w:p>
      <w:pPr>
        <w:ind w:left="4" w:hanging="4"/>
        <w:spacing w:after="0" w:line="255" w:lineRule="auto"/>
        <w:tabs>
          <w:tab w:leader="none" w:pos="21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assets subject to the Lien of the Junior Collateral Documents, except to the extent that a release of such Lien is permitted by Section 2.05 of this Agreement or (ii) imposing duties that are adverse on any Junior Representative without its consent and (C) written notice of such amendment, waiver or consent shall have been given to each Junior Collateral Agent.</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2.12 Possessory Collateral Agent as Gratuitous Bailee/Agent for Perfection.</w:t>
      </w:r>
    </w:p>
    <w:p>
      <w:pPr>
        <w:spacing w:after="0" w:line="117" w:lineRule="exact"/>
        <w:rPr>
          <w:sz w:val="20"/>
          <w:szCs w:val="20"/>
          <w:color w:val="auto"/>
        </w:rPr>
      </w:pPr>
    </w:p>
    <w:p>
      <w:pPr>
        <w:ind w:left="4" w:firstLine="987"/>
        <w:spacing w:after="0" w:line="252" w:lineRule="auto"/>
        <w:tabs>
          <w:tab w:leader="none" w:pos="12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Possessory Collateral Agent agrees to hold the Possessory Collateral that is in its possession or control (or in the possession or control of its agents or bailees) as gratuitous bailee or, in the case of any deposit account, gratuitous agent for the benefit and on behalf of each applicable Secured Party and any assignee solely for the purpose of perfecting the security interest granted in such Possessory Collateral pursuant to the ABL Facility Collateral Documents or the Non-ABL Collateral Documents, subject to the terms and conditions of this Section 2.12. To the extent any Possessory Collateral is possessed by or is under the control of a Collateral Agent (either directly or through its agents or bailees) other than the Applicable Possessory Collateral Agent, such Collateral Agent shall deliver such Possessory Collateral to (or shall cause such Possessory Collateral to be delivered to) the Applicable Possessory Collateral Agent and shall take all actions reasonably requested in writing by the Applicable Possessory Collateral Agent to cause the Applicable Possessory Collateral Agent to have possession or control of the same. Pending such delivery to the Applicable Possessory Collateral Agent, each other Collateral Agent agrees to hold any Possessory Collateral as gratuitous bailee or, in the case of any deposit account, gratuitous agent for the benefit of each other Secured Party and any assignee, solely for the purpose of perfecting the security interest granted in such Possessory Collateral, if any, pursuant to the applicable ABL Facility Collateral Documents or the Non-ABL Collateral Documents, in each case, subject to the terms and conditions of this Section 2.12. For the avoidance of doubt, this Agreement shall not create any obligation for any Grantor to perfect by control with respect to any assets requiring perfection through control agreements or control arrangements, including Deposit Accounts, Securities Accounts and Commodities Accounts, and no blocked account agreement, deposit account control agreement or similar agreement will be required for any Deposit Account, Securities Account or Commodities Account, other than as expressly required by the applicable ABL Facility Collateral Documents and Non-ABL Collateral Documents.</w:t>
      </w:r>
    </w:p>
    <w:p>
      <w:pPr>
        <w:spacing w:after="0" w:line="86"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or responsibilities of each Possessory Collateral Agent and each other Collateral Agent under this Section 2.12 shall be limited solely to holding the Possessory Collateral as gratuitous bailee or gratuitous agent, as applicable, for the benefit of each applicable Secured Party for purposes of perfecting the security interest held by the Secured Parties therein. Each Collateral Agent, for itself and on behalf of its related claimholders, hereby waives and releases each other Collateral Agent from all claims and liabilities arising pursuant to any Collateral Agent’s role under this Section 2.12 as gratuitous bailee and gratuitous agent with respect to the Possessory Collateral.</w:t>
      </w:r>
    </w:p>
    <w:p>
      <w:pPr>
        <w:spacing w:after="0" w:line="75" w:lineRule="exact"/>
        <w:rPr>
          <w:rFonts w:ascii="Times New Roman" w:cs="Times New Roman" w:eastAsia="Times New Roman" w:hAnsi="Times New Roman"/>
          <w:sz w:val="18"/>
          <w:szCs w:val="18"/>
          <w:color w:val="auto"/>
        </w:rPr>
      </w:pPr>
    </w:p>
    <w:p>
      <w:pPr>
        <w:ind w:left="4" w:right="160" w:firstLine="987"/>
        <w:spacing w:after="0" w:line="255" w:lineRule="auto"/>
        <w:tabs>
          <w:tab w:leader="none" w:pos="12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Discharge of all Non-ABL Obligations, each Applicable Senior Collateral Agent shall deliver to the ABL Facility Agent, to the extent that it is legally permitted to do so, the remaining Possessory Collateral (if any) held by it, together with any necessary endorsements (or otherwise allow the ABL Facility Agent to obtain control of such Possessory Collateral) or as a court of competent jurisdiction may otherwise direct. The Borrower shall take such further action as is required to effectuate the transfer contemplated hereby and shall indemnify the Possessory Collateral Agent for loss or damage suffered by the Possessory Collateral Agent as a result of such transfer except for loss or damage suffered by the Possessory Collateral Agent as a result of its own willful misconduct or gross negligence. No Applicable Senior Collateral Agent shall be obligated to follow instructions from the ABL Facility Agent in contravention of this Agreement.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275" w:name="page276"/>
    <w:bookmarkEnd w:id="275"/>
    <w:p>
      <w:pPr>
        <w:ind w:right="20" w:firstLine="987"/>
        <w:spacing w:after="0" w:line="255" w:lineRule="auto"/>
        <w:tabs>
          <w:tab w:leader="none" w:pos="124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Discharge of all ABL Obligations, the ABL Facility Agent shall deliver to the Applicable Senior Collateral Agent, to the extent that it is legally permitted to do so, the remaining Possessory Collateral (if any) held by it, together with any necessary endorsements (or otherwise allow the Applicable Senior Collateral Agent to obtain control of such Possessory Collateral) or as a court of competent jurisdiction may otherwise direct. The Borrower shall take such further action as is required to effectuate the transfer contemplated hereby and shall indemnify the Possessory Collateral Agent for loss or damage suffered by the Possessory Collateral Agent as a result of such transfer except for loss or damage suffered by the Possessory Collateral Agent as a result of its own willful misconduct or gross negligence. The ABL Facility Agent shall not be obligated to follow instructions from any Applicable Senior Collateral Agent in contravention of this Agreement.</w:t>
      </w:r>
    </w:p>
    <w:p>
      <w:pPr>
        <w:spacing w:after="0" w:line="80"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the ABL Facility Agent to act as gratuitous bailee or gratuitous agent, as applicable, pursuant to this Section 2.12 is intended, among other things, to satisfy the requirements of Sections 8-106(d)(3), 8-301(a)(2), 9-104(a)(2), 9-104(a)(5) and 9-313(c) of the UCC.</w:t>
      </w:r>
    </w:p>
    <w:p>
      <w:pPr>
        <w:spacing w:after="0" w:line="15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b w:val="1"/>
          <w:bCs w:val="1"/>
          <w:i w:val="1"/>
          <w:iCs w:val="1"/>
          <w:color w:val="auto"/>
        </w:rPr>
        <w:t>Tracing of and Priorities in Proceeds</w:t>
      </w:r>
      <w:r>
        <w:rPr>
          <w:rFonts w:ascii="Times New Roman" w:cs="Times New Roman" w:eastAsia="Times New Roman" w:hAnsi="Times New Roman"/>
          <w:sz w:val="18"/>
          <w:szCs w:val="18"/>
          <w:color w:val="auto"/>
        </w:rPr>
        <w:t xml:space="preserve">. The ABL Facility Agent, for itself and on behalf of the ABL Facility Secured Parties, and each Non-ABL Collateral Agent, for itself and on behalf of the Non-ABL Secured Parties, further agree that prior to any issuance of notice of an exercise of remedies by the Applicable Senior Collateral Agent pursuant to Section 2.02 (unless a bankruptcy or insolvency Event of Default then exists), any proceeds of Collateral, whether or not deposited under control agreements, which are used by any Grantor to acquire other property which is Collateral shall not (solely as between the Collateral Agents and the lenders or other applicable creditors) be treated as proceeds of Collateral for purposes of determining the relative priorities in the Collateral which was so acquired. In addition, unless and until the Discharge of ABL Obligations occurs, the Non-ABL Secured Parties and their respective Representatives each hereby consent to the application, prior to the receipt by the ABL Facility Agent of notice of an exercise of remedies issued by any Non-ABL Representative pursuant to the proviso set forth in this sentence, of cash or other proceeds of Collateral, deposited in a deposit account or securities account that constitutes ABL Priority Collateral subject to an account control agreement to the repayment of ABL Obligations pursuant to the ABL Facility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the receipt by the ABL Facility Agent of such notice from any Non-ABL Representative, any identifiable proceeds of Non-ABL Priority Collateral (whether or not deposited in a deposit account or securities account that constitutes ABL Priority Collateral subject to an account control agreement with the ABL Facility Agent) shall be treated as Non-ABL Priority Collateral.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III</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Existence and Amounts of Liens and Obligations</w:t>
      </w:r>
    </w:p>
    <w:p>
      <w:pPr>
        <w:spacing w:after="0" w:line="229"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Whenever a Representative shall be required, in connection with the exercise of its rights or the performance of its obligations hereunder, to determine the existence or amount of any Senior Obligations (or the existence of any commitment to extend credit that would constitute Senior Obligations) or Junior Obligations, or the Collateral subject to any such Lien, it may request that such information be furnished to it in writing by the other Representatives and shall be entitled to make such determination on the basis of the information so furnished;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Representative shall fail or refuse reasonably promptly to provide the requested information, the requesting Representative shall be entitled to make any such determination by such method as it may, in the exercise of its good faith judgment, determine, including by reliance upon a certificate of the Borrower. Each Representative may rely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276" w:name="page277"/>
    <w:bookmarkEnd w:id="27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conclusively, and shall be fully protected in so relying, on any determination made by it in accordance with the provisions of the preceding sentence (or as otherwise directed by a court of competent jurisdiction) and shall have no liability to the Borrower or any of its subsidiaries, any Secured Party or any other Person as a result of such determination.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IV</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Grantors</w:t>
      </w:r>
    </w:p>
    <w:p>
      <w:pPr>
        <w:spacing w:after="0" w:line="229" w:lineRule="exact"/>
        <w:rPr>
          <w:sz w:val="20"/>
          <w:szCs w:val="20"/>
          <w:color w:val="auto"/>
        </w:rPr>
      </w:pPr>
    </w:p>
    <w:p>
      <w:pPr>
        <w:jc w:val="both"/>
        <w:ind w:right="160" w:firstLine="991"/>
        <w:spacing w:after="0" w:line="289" w:lineRule="auto"/>
        <w:rPr>
          <w:sz w:val="20"/>
          <w:szCs w:val="20"/>
          <w:color w:val="auto"/>
        </w:rPr>
      </w:pPr>
      <w:r>
        <w:rPr>
          <w:rFonts w:ascii="Times New Roman" w:cs="Times New Roman" w:eastAsia="Times New Roman" w:hAnsi="Times New Roman"/>
          <w:sz w:val="17"/>
          <w:szCs w:val="17"/>
          <w:color w:val="auto"/>
        </w:rPr>
        <w:t>Each Grantor hereby consents to the provisions of this Agreement and the intercreditor arrangements provided for herein and agrees that the obligations of the Grantors under the ABL Facility Collateral Documents and the Non-ABL Collateral Documents will in no way be diminished or otherwise affected by such provisions or arrangements (except as expressly provided herein, including under Section 2.05 and Section 6.11).</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V</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b w:val="1"/>
          <w:bCs w:val="1"/>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b w:val="1"/>
          <w:bCs w:val="1"/>
          <w:i w:val="1"/>
          <w:iCs w:val="1"/>
          <w:color w:val="auto"/>
        </w:rPr>
        <w:t>Representations and Warranties of Each Representative</w:t>
      </w:r>
      <w:r>
        <w:rPr>
          <w:rFonts w:ascii="Times New Roman" w:cs="Times New Roman" w:eastAsia="Times New Roman" w:hAnsi="Times New Roman"/>
          <w:sz w:val="18"/>
          <w:szCs w:val="18"/>
          <w:color w:val="auto"/>
        </w:rPr>
        <w:t>. Each Collateral Agent and each other Representative represents and warrants to the other parties hereto that it is authorized under the ABL Facility, the Equal Priority Documents and the Junior Priority Documents, as applicable, to enter into this Agreement.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VI</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right="2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All notices and other communications provided for herein shall be in writing and shall be delivered by hand or overnight courier service, mailed by certified or registered mail or sent by fax or email, as follows:</w:t>
      </w:r>
    </w:p>
    <w:p>
      <w:pPr>
        <w:spacing w:after="0" w:line="186" w:lineRule="exact"/>
        <w:rPr>
          <w:sz w:val="20"/>
          <w:szCs w:val="20"/>
          <w:color w:val="auto"/>
        </w:rPr>
      </w:pPr>
    </w:p>
    <w:p>
      <w:pPr>
        <w:ind w:left="1420" w:hanging="439"/>
        <w:spacing w:after="0"/>
        <w:tabs>
          <w:tab w:leader="none" w:pos="14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ABL Facility Agent, to it at [ ];</w:t>
      </w:r>
    </w:p>
    <w:p>
      <w:pPr>
        <w:spacing w:after="0" w:line="25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Intercreditor Agent, to it at:</w:t>
      </w:r>
    </w:p>
    <w:p>
      <w:pPr>
        <w:spacing w:after="0" w:line="117" w:lineRule="exact"/>
        <w:rPr>
          <w:rFonts w:ascii="Times New Roman" w:cs="Times New Roman" w:eastAsia="Times New Roman" w:hAnsi="Times New Roman"/>
          <w:sz w:val="18"/>
          <w:szCs w:val="18"/>
          <w:color w:val="auto"/>
        </w:rPr>
      </w:pPr>
    </w:p>
    <w:p>
      <w:pPr>
        <w:ind w:left="1420" w:right="75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of America, N.A. Mail Code: TX2-984-03-26 Building C</w:t>
      </w:r>
    </w:p>
    <w:p>
      <w:pPr>
        <w:spacing w:after="0" w:line="1" w:lineRule="exact"/>
        <w:rPr>
          <w:rFonts w:ascii="Times New Roman" w:cs="Times New Roman" w:eastAsia="Times New Roman" w:hAnsi="Times New Roman"/>
          <w:sz w:val="18"/>
          <w:szCs w:val="18"/>
          <w:color w:val="auto"/>
        </w:rPr>
      </w:pPr>
    </w:p>
    <w:p>
      <w:pPr>
        <w:ind w:left="1420" w:right="790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2380 Performance Dr Richardson, TX 75082 Attn: Gavin Shak Tel: [Telephone] Facsimile: [Facsimile] Email: [Email address]</w:t>
      </w:r>
    </w:p>
    <w:p>
      <w:pPr>
        <w:spacing w:after="0" w:line="66" w:lineRule="exact"/>
        <w:rPr>
          <w:rFonts w:ascii="Times New Roman" w:cs="Times New Roman" w:eastAsia="Times New Roman" w:hAnsi="Times New Roman"/>
          <w:sz w:val="18"/>
          <w:szCs w:val="18"/>
          <w:color w:val="auto"/>
        </w:rPr>
      </w:pPr>
    </w:p>
    <w:p>
      <w:pPr>
        <w:ind w:left="1420" w:right="5960"/>
        <w:spacing w:after="0" w:line="39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 Milbank LLP</w:t>
      </w: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277" w:name="page278"/>
    <w:bookmarkEnd w:id="277"/>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Attn: Michael Bellucci</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[Telephone]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234" w:lineRule="exact"/>
        <w:rPr>
          <w:sz w:val="20"/>
          <w:szCs w:val="20"/>
          <w:color w:val="auto"/>
        </w:rPr>
      </w:pPr>
    </w:p>
    <w:p>
      <w:pPr>
        <w:ind w:left="1420" w:hanging="439"/>
        <w:spacing w:after="0"/>
        <w:tabs>
          <w:tab w:leader="none" w:pos="142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2021 Notes Collateral Agent, the 2024 Notes Collateral Agent, or the 2026 Notes Collateral Agent to it at:</w:t>
      </w:r>
    </w:p>
    <w:p>
      <w:pPr>
        <w:spacing w:after="0" w:line="117" w:lineRule="exact"/>
        <w:rPr>
          <w:rFonts w:ascii="Times New Roman" w:cs="Times New Roman" w:eastAsia="Times New Roman" w:hAnsi="Times New Roman"/>
          <w:sz w:val="18"/>
          <w:szCs w:val="18"/>
          <w:color w:val="auto"/>
        </w:rPr>
      </w:pPr>
    </w:p>
    <w:p>
      <w:pPr>
        <w:ind w:left="1420" w:right="66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Wilmington Trust, National Association Global Capital Markets</w:t>
      </w:r>
    </w:p>
    <w:p>
      <w:pPr>
        <w:ind w:left="1420" w:right="71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50 South Sixth Street, Suite 1290 Minneapolis, Minnesota 55402 Facsimile No.: [Facsimile]</w:t>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Medline Borrower, LP Notes Administrator;</w:t>
      </w:r>
    </w:p>
    <w:p>
      <w:pPr>
        <w:spacing w:after="0" w:line="233"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 to it at:</w:t>
      </w:r>
    </w:p>
    <w:p>
      <w:pPr>
        <w:spacing w:after="0" w:line="117" w:lineRule="exact"/>
        <w:rPr>
          <w:rFonts w:ascii="Times New Roman" w:cs="Times New Roman" w:eastAsia="Times New Roman" w:hAnsi="Times New Roman"/>
          <w:sz w:val="18"/>
          <w:szCs w:val="18"/>
          <w:color w:val="auto"/>
        </w:rPr>
      </w:pPr>
    </w:p>
    <w:p>
      <w:pPr>
        <w:ind w:left="1420" w:right="7140"/>
        <w:spacing w:after="0" w:line="2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Medline Borrower, LP 3 Lakes Dr. Northfield, IL 60093 Attention: Michael Drazin Electronic Mail: [Email address] With a copy to:</w:t>
      </w:r>
    </w:p>
    <w:p>
      <w:pPr>
        <w:spacing w:after="0" w:line="291" w:lineRule="exact"/>
        <w:rPr>
          <w:rFonts w:ascii="Times New Roman" w:cs="Times New Roman" w:eastAsia="Times New Roman" w:hAnsi="Times New Roman"/>
          <w:sz w:val="18"/>
          <w:szCs w:val="18"/>
          <w:color w:val="auto"/>
        </w:rPr>
      </w:pPr>
    </w:p>
    <w:p>
      <w:pPr>
        <w:ind w:left="1420" w:right="71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Medline Borrower, LP 3 Lakes Dr. Northfield, IL 60093 Attention: Alex Liberman Electronic Mail: [Email address]</w:t>
      </w:r>
    </w:p>
    <w:p>
      <w:pPr>
        <w:spacing w:after="0" w:line="294"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Simpson Thacher &amp; Bartlett LLP</w:t>
      </w:r>
    </w:p>
    <w:p>
      <w:pPr>
        <w:spacing w:after="0" w:line="27" w:lineRule="exact"/>
        <w:rPr>
          <w:rFonts w:ascii="Times New Roman" w:cs="Times New Roman" w:eastAsia="Times New Roman" w:hAnsi="Times New Roman"/>
          <w:sz w:val="18"/>
          <w:szCs w:val="18"/>
          <w:color w:val="auto"/>
        </w:rPr>
      </w:pPr>
    </w:p>
    <w:p>
      <w:pPr>
        <w:ind w:left="1420" w:right="57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Brian Gluck, Brian Steinhardt and Adam Moss 425 Lexington Avenue</w:t>
      </w:r>
    </w:p>
    <w:p>
      <w:pPr>
        <w:ind w:left="1420" w:right="74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10017 Telephone: [Telephone] Facsimile: [Facsimile] Email: [Email address]; and</w:t>
      </w:r>
    </w:p>
    <w:p>
      <w:pPr>
        <w:spacing w:after="0" w:line="21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Grantor, to it in care of the Borrower as provided in clause (d) above.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party hereto may change its address, telecopy number or e-mail address for notices and other communications hereunder by notice to the other parties hereto (and for this purpose a notice to the Borrower shall be deemed to be a notice to each Grantor). All notices and other communications given to any party hereto in accordance with the provisions of this Agreement shall be deemed to have been given on the date of receipt (if a Business Day) and on the next Business Day thereafter (in all other cases) if delivered by hand or overnight courier service or sent by telecopy or on the date five Business Days after dispatch by certified or registered mail if mailed, in each case delivered, sent or mailed (properly addressed)</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440" w:top="270" w:right="539" w:bottom="1440" w:gutter="0" w:footer="0" w:header="0"/>
        </w:sectPr>
      </w:pPr>
    </w:p>
    <w:bookmarkStart w:id="278" w:name="page279"/>
    <w:bookmarkEnd w:id="27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such party as provided in this Section 6.01 or in accordance with the latest unrevoked direction from such party given in accordance with this Section 6.01. As agreed to in writing among the Borrower, the ABL Facility Agent, the Intercreditor Agent, the 2021 Notes Collateral Agent, the 2024 Notes Collateral Agent and the 2026 Notes Collateral Agent from time to time, notices and other communications may also be delivered by e-mail to the e-mail address of a representative of the applicable Person provided from time to time by such Person.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6.02 Waivers; Amendment.</w:t>
      </w:r>
    </w:p>
    <w:p>
      <w:pPr>
        <w:spacing w:after="0" w:line="225" w:lineRule="exact"/>
        <w:rPr>
          <w:sz w:val="20"/>
          <w:szCs w:val="20"/>
          <w:color w:val="auto"/>
        </w:rPr>
      </w:pPr>
    </w:p>
    <w:p>
      <w:pPr>
        <w:ind w:right="60" w:firstLine="987"/>
        <w:spacing w:after="0" w:line="255" w:lineRule="auto"/>
        <w:tabs>
          <w:tab w:leader="none" w:pos="123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paragraph (b) of this Section,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188" w:lineRule="exact"/>
        <w:rPr>
          <w:rFonts w:ascii="Times New Roman" w:cs="Times New Roman" w:eastAsia="Times New Roman" w:hAnsi="Times New Roman"/>
          <w:sz w:val="18"/>
          <w:szCs w:val="18"/>
          <w:color w:val="auto"/>
        </w:rPr>
      </w:pPr>
    </w:p>
    <w:p>
      <w:pPr>
        <w:ind w:firstLine="987"/>
        <w:spacing w:after="0" w:line="251" w:lineRule="auto"/>
        <w:tabs>
          <w:tab w:leader="none" w:pos="124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2.10 and 6.14 hereof, neither this Agreement nor any provision hereof may be terminated, waived, amended or modified except pursuant to an agreement or agreements in writing entered into by the ABL Facility Agent, the Intercreditor Agent and the Borrower. Notwithstanding anything to the contrary, this Agreement may be amended from time to time by the ABL Facility Agent and the Intercreditor Agent at the request of the Borrower (and the ABL Facility Agent and the Intercreditor Agent hereby agree to execute and deliver any such amendment so requested), at the Borrower’s expense and without the consent of any Collateral Agent, any Representative, any ABL Facility Secured Party or any Non-ABL Secured Parties to (i) add other parties holding other ABL Obligations (or any agent or trustee therefor) or Non-ABL Obligations (or any agent or trustee therefor) in each case to the extent such indebtedness is not prohibited by the ABL Facility Documents or Non-ABL Documents, (ii) in the case of other ABL Obligations, (a) establish that the Lien on the ABL Priority Collateral securing such other ABL Obligations shall be superior in all respects to all Liens on the ABL Priority Collateral securing any Non-ABL Obligations and shall share in the benefits of the ABL Priority Collateral equally and ratably with (or with such other priority not prohibited by the ABL Facility Documents) all Liens on the ABL Priority Collateral securing any other ABL Obligations, and (b) provide to the holders of such other ABL Obligations (or any agent or trustee thereof) the comparable rights and benefits (including any improved rights and benefits that have been consented to by the Applicable Senior Collateral Agent) as are provided to the holders of ABL Obligations under this Agreement, and (iii) in the case of other Non-ABL Obligations, (a) establish that the lien on the Non-ABL Priority Collateral securing such Non-ABL Obligations shall be superior in all respects to all Liens on the Non-ABL Priority Collateral securing any ABL Obligations and shall share in the benefits of the Non-ABL Priority Collateral equally and ratably with (or with such other priority not prohibited by the Non-ABL Documents) all Liens on the Non-ABL Priority Collateral securing any Non-ABL Obligations (subject to the terms of the Non-ABL Documents), and (b) provide to the holders of such Non-ABL Obligations (or any agent or trustee thereof) the comparable rights and benefits as are provided to the holders of Non-ABL Obligations under this Agreement (subject to the terms of the Non-ABL Documents), in each case so long as such modifications are not prohibited by the ABL Facility Documents or Non-ABL Documents. Any such additional party and each Collateral Agent shall be entitled to rely on the determination of officers of the Borrower that such modifications are not prohibited by the ABL Facility Documents or Non-ABL Documents if such determination is set forth in an officer’s certificate delivered to such party and each Applicable Senior Collateral Agent. At the request (and sole expense) of the Borrower, without the consent of any ABL Facility Secured Party, Equal</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279" w:name="page280"/>
    <w:bookmarkEnd w:id="279"/>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Priority Secured Party or Junior Priority Secured Party, each Representative shall execute and deliver an acknowledgment and confirmation of such modifications and/or enter into an amendment, a restatement or a supplement of this Agreement to facilitate such modifications (it being understood that such actions shall not be required for the effectiveness of any such modifications).</w:t>
      </w:r>
    </w:p>
    <w:p>
      <w:pPr>
        <w:spacing w:after="0" w:line="172"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 xml:space="preserve">SECTION 6.03 SECTION 6.03 </w:t>
      </w:r>
      <w:r>
        <w:rPr>
          <w:rFonts w:ascii="Times New Roman" w:cs="Times New Roman" w:eastAsia="Times New Roman" w:hAnsi="Times New Roman"/>
          <w:sz w:val="18"/>
          <w:szCs w:val="18"/>
          <w:b w:val="1"/>
          <w:bCs w:val="1"/>
          <w:i w:val="1"/>
          <w:iCs w:val="1"/>
          <w:color w:val="auto"/>
        </w:rPr>
        <w:t>Parties in Interest</w:t>
      </w:r>
      <w:r>
        <w:rPr>
          <w:rFonts w:ascii="Times New Roman" w:cs="Times New Roman" w:eastAsia="Times New Roman" w:hAnsi="Times New Roman"/>
          <w:sz w:val="18"/>
          <w:szCs w:val="18"/>
          <w:color w:val="auto"/>
        </w:rPr>
        <w:t>. This Agreement shall be binding upon and inure to the benefit of the parties hereto and their respective successors and assigns, as well as the other ABL Facility Secured Parties and the other Non-ABL Secured Parties, all of whom are intended to be bound by, and to be third party beneficiaries of, this Agreement.</w:t>
      </w:r>
    </w:p>
    <w:p>
      <w:pPr>
        <w:spacing w:after="0" w:line="171" w:lineRule="exact"/>
        <w:rPr>
          <w:sz w:val="20"/>
          <w:szCs w:val="20"/>
          <w:color w:val="auto"/>
        </w:rPr>
      </w:pPr>
    </w:p>
    <w:p>
      <w:pPr>
        <w:jc w:val="both"/>
        <w:ind w:right="140" w:firstLine="991"/>
        <w:spacing w:after="0" w:line="317" w:lineRule="auto"/>
        <w:rPr>
          <w:sz w:val="20"/>
          <w:szCs w:val="20"/>
          <w:color w:val="auto"/>
        </w:rPr>
      </w:pPr>
      <w:r>
        <w:rPr>
          <w:rFonts w:ascii="Times New Roman" w:cs="Times New Roman" w:eastAsia="Times New Roman" w:hAnsi="Times New Roman"/>
          <w:sz w:val="17"/>
          <w:szCs w:val="17"/>
          <w:color w:val="auto"/>
        </w:rPr>
        <w:t xml:space="preserve">SECTION 6.04 SECTION 6.04 </w:t>
      </w:r>
      <w:r>
        <w:rPr>
          <w:rFonts w:ascii="Times New Roman" w:cs="Times New Roman" w:eastAsia="Times New Roman" w:hAnsi="Times New Roman"/>
          <w:sz w:val="17"/>
          <w:szCs w:val="17"/>
          <w:b w:val="1"/>
          <w:bCs w:val="1"/>
          <w:i w:val="1"/>
          <w:iCs w:val="1"/>
          <w:color w:val="auto"/>
        </w:rPr>
        <w:t>Survival of Agreement</w:t>
      </w:r>
      <w:r>
        <w:rPr>
          <w:rFonts w:ascii="Times New Roman" w:cs="Times New Roman" w:eastAsia="Times New Roman" w:hAnsi="Times New Roman"/>
          <w:sz w:val="17"/>
          <w:szCs w:val="17"/>
          <w:color w:val="auto"/>
        </w:rPr>
        <w:t>. All covenants, agreements, representations and warranties made by any party in this Agreement shall be considered to have been relied upon by the other parties hereto and shall survive the execution and delivery of this Agreement.</w:t>
      </w:r>
    </w:p>
    <w:p>
      <w:pPr>
        <w:spacing w:after="0" w:line="13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6.05 SECTION 6.05 </w:t>
      </w: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Agreement may be executed in counterparts, each of which shall constitute an original but all of which when taken together shall constitute a single contract. Delivery of an executed signature page to this Agreement by facsimile or other electronic transmission shall be as effective as delivery of a manually signed counterpart of this Agreement.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 on electronic platforms approved by the ABL Facility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8"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79"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b w:val="1"/>
          <w:bCs w:val="1"/>
          <w:i w:val="1"/>
          <w:iCs w:val="1"/>
          <w:color w:val="auto"/>
        </w:rPr>
        <w:t>Governing Law; Jurisdiction; Consent to Service of Process</w:t>
      </w:r>
      <w:r>
        <w:rPr>
          <w:rFonts w:ascii="Times New Roman" w:cs="Times New Roman" w:eastAsia="Times New Roman" w:hAnsi="Times New Roman"/>
          <w:sz w:val="18"/>
          <w:szCs w:val="18"/>
          <w:color w:val="auto"/>
        </w:rPr>
        <w:t>. (a) This Agreement shall be governed by, and construed in accordance with, the laws of the State of New York.</w:t>
      </w:r>
    </w:p>
    <w:p>
      <w:pPr>
        <w:spacing w:after="0" w:line="159" w:lineRule="exact"/>
        <w:rPr>
          <w:sz w:val="20"/>
          <w:szCs w:val="20"/>
          <w:color w:val="auto"/>
        </w:rPr>
      </w:pPr>
    </w:p>
    <w:p>
      <w:pPr>
        <w:ind w:right="60" w:firstLine="987"/>
        <w:spacing w:after="0" w:line="272" w:lineRule="auto"/>
        <w:tabs>
          <w:tab w:leader="none" w:pos="1236"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or in the case of any Insolvency or Liquidation Proceeding, to any Bankruptcy court therein,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hereto may otherwise have to bring any action or proceeding relating to this Agreement in the courts of any jurisdiction.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280" w:name="page281"/>
    <w:bookmarkEnd w:id="280"/>
    <w:p>
      <w:pPr>
        <w:ind w:right="20" w:firstLine="987"/>
        <w:spacing w:after="0" w:line="261" w:lineRule="auto"/>
        <w:tabs>
          <w:tab w:leader="none" w:pos="124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6.01. Nothing in this Agreement will affect the right of any party to this Agreement to serve process in any other manner permitted by law.</w:t>
      </w:r>
    </w:p>
    <w:p>
      <w:pPr>
        <w:spacing w:after="0" w:line="158"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3" w:lineRule="exact"/>
        <w:rPr>
          <w:sz w:val="20"/>
          <w:szCs w:val="20"/>
          <w:color w:val="auto"/>
        </w:rPr>
      </w:pPr>
    </w:p>
    <w:p>
      <w:pPr>
        <w:ind w:right="380" w:firstLine="991"/>
        <w:spacing w:after="0" w:line="28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color w:val="auto"/>
        </w:rPr>
        <w:t>. Article, Section and Annex headings used herein are for convenience of reference only, are not part of this Agreement and are not to affect the construction of, or to be taken into consideration in interpreting, this Agreement.</w:t>
      </w:r>
    </w:p>
    <w:p>
      <w:pPr>
        <w:spacing w:after="0" w:line="15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b w:val="1"/>
          <w:bCs w:val="1"/>
          <w:i w:val="1"/>
          <w:iCs w:val="1"/>
          <w:color w:val="auto"/>
        </w:rPr>
        <w:t>Conflicts</w:t>
      </w:r>
      <w:r>
        <w:rPr>
          <w:rFonts w:ascii="Times New Roman" w:cs="Times New Roman" w:eastAsia="Times New Roman" w:hAnsi="Times New Roman"/>
          <w:sz w:val="18"/>
          <w:szCs w:val="18"/>
          <w:color w:val="auto"/>
        </w:rPr>
        <w:t>. Subject to Section 6.15, in the event of any conflict or inconsistency between the provisions of this Agreement and the provisions of any of the ABL Facility Documents and/or any Non-ABL Documents, the provisions of this Agreement shall control. Notwithstanding the foregoing, (i) solely among the Equal Priority Secured Parties in the event of a conflict between this Agreement and the Equal Priority Intercreditor Agreement, the Equal Priority Intercreditor Agreement shall govern and control, and (ii) solely between the Equal Priority Secured Parties and the Junior Priority Secured Parties, in the event of a conflict between this Agreement and the Junior Lien Intercreditor Agreement, the Junior Lien Intercreditor Agreement shall govern and control.</w:t>
      </w:r>
    </w:p>
    <w:p>
      <w:pPr>
        <w:spacing w:after="0" w:line="18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b w:val="1"/>
          <w:bCs w:val="1"/>
          <w:i w:val="1"/>
          <w:iCs w:val="1"/>
          <w:color w:val="auto"/>
        </w:rPr>
        <w:t>Provisions Solely to Define Relative Rights</w:t>
      </w:r>
      <w:r>
        <w:rPr>
          <w:rFonts w:ascii="Times New Roman" w:cs="Times New Roman" w:eastAsia="Times New Roman" w:hAnsi="Times New Roman"/>
          <w:sz w:val="18"/>
          <w:szCs w:val="18"/>
          <w:color w:val="auto"/>
        </w:rPr>
        <w:t>. The provisions of this Agreement are and are intended solely for the purpose of defining the relative rights of the ABL Facility Secured Parties and the Non-ABL Secured Parties in relation to one another. Nothing in this Agreement (other than Section 2.05 and 2.11(c)) is intended to or will amend, waive or otherwise modify the provisions of the ABL Facility or the Cash Flow Credit Agreement. Nothing in this Agreement is intended to or shall impair the obligations of the Borrower or any other Grantor, which are absolute and unconditional, to pay the Secured Obligations as and when the same shall become due and payable in accordance with their terms. Notwithstanding anything to the contrary herein or in any ABL Facility Document or any Non-ABL Document, the Grantors shall not be required to act or refrain from acting (a) pursuant to this Agreement or any Non-ABL Document with respect to any ABL Priority Collateral in any manner that would cause a default under any ABL Facility Document, or (b) pursuant to this Agreement or any ABL Facility Document with respect to any Non-ABL Priority Collateral in any manner that would cause a default under any Non-ABL Document.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281" w:name="page282"/>
    <w:bookmarkEnd w:id="28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6.12 </w:t>
      </w:r>
      <w:r>
        <w:rPr>
          <w:rFonts w:ascii="Times New Roman" w:cs="Times New Roman" w:eastAsia="Times New Roman" w:hAnsi="Times New Roman"/>
          <w:sz w:val="18"/>
          <w:szCs w:val="18"/>
          <w:b w:val="1"/>
          <w:bCs w:val="1"/>
          <w:i w:val="1"/>
          <w:iCs w:val="1"/>
          <w:color w:val="auto"/>
        </w:rPr>
        <w:t>Agent Capacities</w:t>
      </w:r>
      <w:r>
        <w:rPr>
          <w:rFonts w:ascii="Times New Roman" w:cs="Times New Roman" w:eastAsia="Times New Roman" w:hAnsi="Times New Roman"/>
          <w:sz w:val="18"/>
          <w:szCs w:val="18"/>
          <w:color w:val="auto"/>
        </w:rPr>
        <w:t>. Except as expressly set forth herein, none of the Collateral Agents or other Representatives shall have</w:t>
      </w:r>
    </w:p>
    <w:p>
      <w:pPr>
        <w:spacing w:after="0" w:line="31" w:lineRule="exact"/>
        <w:rPr>
          <w:sz w:val="20"/>
          <w:szCs w:val="20"/>
          <w:color w:val="auto"/>
        </w:rPr>
      </w:pPr>
    </w:p>
    <w:p>
      <w:pPr>
        <w:ind w:left="4" w:right="20" w:hanging="4"/>
        <w:spacing w:after="0" w:line="251" w:lineRule="auto"/>
        <w:tabs>
          <w:tab w:leader="none" w:pos="219"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duties or obligations in respect of any of the Collateral, all of such duties and obligations, if any, being subject to and governed by the applicable ABL Facility Documents and the Non-ABL Documents, as the case may be, or (ii) any liability or responsibility for the actions or omissions of any other Secured Party, or for any other Secured Party’s compliance with (or failure to comply with) the terms of this Agreement. Neither the Collateral Agents nor any other Representative shall have individual liability to any Person if it shall mistakenly pay over or distribute to any Secured Party (or Grantor) any amounts in violation of the terms of this Agreement, so long as the applicable Collateral Agent or other Representative, as the case may be, is acting in good faith. In entering into this Agreement, or in taking (or forbearing from) any action under or pursuant to this Agreement, each Representative and each Collateral Agent shall have and be protected by all of the rights, benefits, privileges, indemnities, immunities and other protections granted to it under the ABL Facility Documents or the Non-ABL Documents, as applicable.</w:t>
      </w:r>
    </w:p>
    <w:p>
      <w:pPr>
        <w:spacing w:after="0" w:line="190" w:lineRule="exact"/>
        <w:rPr>
          <w:sz w:val="20"/>
          <w:szCs w:val="20"/>
          <w:color w:val="auto"/>
        </w:rPr>
      </w:pPr>
    </w:p>
    <w:p>
      <w:pPr>
        <w:ind w:left="4" w:right="80" w:firstLine="991"/>
        <w:spacing w:after="0" w:line="268"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b w:val="1"/>
          <w:bCs w:val="1"/>
          <w:i w:val="1"/>
          <w:iCs w:val="1"/>
          <w:color w:val="auto"/>
        </w:rPr>
        <w:t>Supplements</w:t>
      </w:r>
      <w:r>
        <w:rPr>
          <w:rFonts w:ascii="Times New Roman" w:cs="Times New Roman" w:eastAsia="Times New Roman" w:hAnsi="Times New Roman"/>
          <w:sz w:val="18"/>
          <w:szCs w:val="18"/>
          <w:color w:val="auto"/>
        </w:rPr>
        <w:t>. Upon the execution by any Subsidiary of the Borrower of a supplement hereto in form and substance reasonably satisfactory to the ABL Facility Agent and Intercreditor Agent, such Subsidiary shall be a party to this Agreement and shall be bound by the provisions hereof to the same extent as the Borrower and each Grantor are so bound.</w:t>
      </w:r>
    </w:p>
    <w:p>
      <w:pPr>
        <w:spacing w:after="0" w:line="171"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b w:val="1"/>
          <w:bCs w:val="1"/>
          <w:i w:val="1"/>
          <w:iCs w:val="1"/>
          <w:color w:val="auto"/>
        </w:rPr>
        <w:t>Joinder Requirements</w:t>
      </w:r>
      <w:r>
        <w:rPr>
          <w:rFonts w:ascii="Times New Roman" w:cs="Times New Roman" w:eastAsia="Times New Roman" w:hAnsi="Times New Roman"/>
          <w:sz w:val="18"/>
          <w:szCs w:val="18"/>
          <w:color w:val="auto"/>
        </w:rPr>
        <w:t>. The Borrower may designate additional obligations as Other Equal Priority Obligations, Junior Priority Obligations or other ABL Obligations (under clause (ii) of the definition of “ABL Facility”) pursuant to this Section 6.14 if (x) the incurrence of such obligations is not prohibited under any of the ABL Facility Documents and any Non-ABL Document then in effect and (y) the Borrower shall have delivered an officer’s certificate to the ABL Facility Agent and Intercreditor Agent certifying the same. If not so prohibited, the Borrower shall (i) notify each Representative in writing of such designation and (ii) cause (1) the applicable Non-ABL Representative or (2) the additional collateral agent for such new ABL Obligations, as applicable, to execute and deliver to each other Representative, a Joinder Agreement substantially in the form of Exhibit A, Exhibit B or Exhibit C, as applicable, hereto.</w:t>
      </w:r>
    </w:p>
    <w:p>
      <w:pPr>
        <w:spacing w:after="0" w:line="183" w:lineRule="exact"/>
        <w:rPr>
          <w:sz w:val="20"/>
          <w:szCs w:val="20"/>
          <w:color w:val="auto"/>
        </w:rPr>
      </w:pPr>
    </w:p>
    <w:p>
      <w:pPr>
        <w:ind w:left="4"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b w:val="1"/>
          <w:bCs w:val="1"/>
          <w:i w:val="1"/>
          <w:iCs w:val="1"/>
          <w:color w:val="auto"/>
        </w:rPr>
        <w:t>Other Intercreditor Agreements</w:t>
      </w:r>
      <w:r>
        <w:rPr>
          <w:rFonts w:ascii="Times New Roman" w:cs="Times New Roman" w:eastAsia="Times New Roman" w:hAnsi="Times New Roman"/>
          <w:sz w:val="18"/>
          <w:szCs w:val="18"/>
          <w:color w:val="auto"/>
        </w:rPr>
        <w:t>. In the event that the Borrower or any Grantor incurs any obligations secured by a Lien on any Collateral that is junior to Liens thereon securing any Series of Non-ABL Obligations or the ABL Obligations, then the ABL Facility Agent and the Intercreditor Agent shall enter into an intercreditor agreement in form and substance reasonably satisfactory to each of them with the agent or trustee for the secured parties with respect to such secured obligation to reflect the relative Lien priorities of such parties with respect to the Collateral and governing the relative rights, benefits and privileges as among such parties in respect of the Collateral, including as to Lien priorities, application of proceeds of the Collateral, voting rights, control of the Collateral and waivers with respect to the Collateral, in each case so long as such secured obligations are not prohibited by, and the terms of such intercreditor agreement do not violate or conflict with, the provisions of this Agreement or the other ABL Facility Documents or Non-ABL Documents, as the case may be. Each party hereto agrees that ABL Facility Secured Parties (as among themselves) and Non-ABL Secured Parties (as among themselves) may each enter into intercreditor agreements (or similar arrangements) governing the rights, benefits and privileges as among such ABL Facility Secured Parties or as among such Non-ABL Secured Parties, as the case may be, in respect of any or all of the Collateral, this Agreement and the applicable Senior Collateral Documents, as the case may be, including as to Lien priorities, the application of proceeds of the Collateral, voting rights, control of the Collateral and waivers with respect to the Collateral, in each case so long as the terms thereof do not violate or conflict with the provisions of this Agreement or the other applicable Senior Collateral Documents, as the case may be. If any such intercreditor agreement (or similar arrangement) is entered into, (i) the provisions thereof shall not be (or be construed to be) an amendment, modification or other change to this Agreement or any other ABL Facility Document or Non-ABL Document, and the provisions of this Agreement and the other ABL Facility Documents and Non-ABL Documents shall remain in full force and effect in accordance with the terms hereof and thereof (as</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66" w:right="459" w:bottom="1440" w:gutter="0" w:footer="0" w:header="0"/>
        </w:sectPr>
      </w:pPr>
    </w:p>
    <w:bookmarkStart w:id="282" w:name="page283"/>
    <w:bookmarkEnd w:id="282"/>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provisions may be amended, modified or otherwise supplemented from time to time in accordance with the terms thereof, including to give effect to any intercreditor agreement (or similar arrangement)) and (ii) in the event of any conflict between the terms of such intercreditor agreement and the terms of this Agreement, solely as among the parties to such intercreditor agreement, the terms of such intercreditor agreement shall control.</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[Remainder of this page intentionally left blank; signatures follow]</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40"/>
          </w:cols>
          <w:pgMar w:left="440" w:top="270" w:right="619" w:bottom="1440" w:gutter="0" w:footer="0" w:header="0"/>
        </w:sectPr>
      </w:pPr>
    </w:p>
    <w:bookmarkStart w:id="283" w:name="page284"/>
    <w:bookmarkEnd w:id="283"/>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89" w:lineRule="exact"/>
        <w:rPr>
          <w:sz w:val="20"/>
          <w:szCs w:val="20"/>
          <w:color w:val="auto"/>
        </w:rPr>
      </w:pPr>
    </w:p>
    <w:p>
      <w:pPr>
        <w:ind w:left="6620"/>
        <w:spacing w:after="0"/>
        <w:tabs>
          <w:tab w:leader="none" w:pos="724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as ABL Facility Agent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ABL Intercreditor Agreement</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70" w:right="559" w:bottom="1440" w:gutter="0" w:footer="0" w:header="0"/>
        </w:sectPr>
      </w:pPr>
    </w:p>
    <w:bookmarkStart w:id="284" w:name="page285"/>
    <w:bookmarkEnd w:id="28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Equal Priority Collateral Agent and Intercreditor Agent</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2021 Notes Collateral Agent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2024 Notes Collateral Agent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2026 Notes Collateral Agent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Cash Flow Facility Agent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ABL Intercreditor Agreement</w:t>
      </w:r>
      <w:r>
        <w:rPr>
          <w:rFonts w:ascii="Times New Roman" w:cs="Times New Roman" w:eastAsia="Times New Roman" w:hAnsi="Times New Roman"/>
          <w:sz w:val="18"/>
          <w:szCs w:val="18"/>
          <w:color w:val="auto"/>
        </w:rPr>
        <w:t>]</w:t>
      </w:r>
    </w:p>
    <w:p>
      <w:pPr>
        <w:sectPr>
          <w:pgSz w:w="11900" w:h="16838" w:orient="portrait"/>
          <w:cols w:equalWidth="0" w:num="1">
            <w:col w:w="9800"/>
          </w:cols>
          <w:pgMar w:left="1440" w:top="270" w:right="659" w:bottom="1440" w:gutter="0" w:footer="0" w:header="0"/>
        </w:sectPr>
      </w:pPr>
    </w:p>
    <w:bookmarkStart w:id="285" w:name="page286"/>
    <w:bookmarkEnd w:id="28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MEDLINE BORROWER, LP</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ABL Intercreditor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286" w:name="page287"/>
    <w:bookmarkEnd w:id="286"/>
    <w:p>
      <w:pPr>
        <w:ind w:left="100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1" w:lineRule="exact"/>
        <w:rPr>
          <w:sz w:val="20"/>
          <w:szCs w:val="20"/>
          <w:color w:val="auto"/>
        </w:rPr>
      </w:pPr>
    </w:p>
    <w:p>
      <w:pPr>
        <w:ind w:left="9544"/>
        <w:spacing w:after="0"/>
        <w:rPr>
          <w:sz w:val="20"/>
          <w:szCs w:val="20"/>
          <w:color w:val="auto"/>
        </w:rPr>
      </w:pPr>
      <w:r>
        <w:rPr>
          <w:rFonts w:ascii="Times New Roman" w:cs="Times New Roman" w:eastAsia="Times New Roman" w:hAnsi="Times New Roman"/>
          <w:sz w:val="17"/>
          <w:szCs w:val="17"/>
          <w:b w:val="1"/>
          <w:bCs w:val="1"/>
          <w:color w:val="auto"/>
        </w:rPr>
        <w:t>Joinder Agreement</w:t>
      </w:r>
    </w:p>
    <w:p>
      <w:pPr>
        <w:spacing w:after="0" w:line="2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(Other Equal Priority Obligations)</w:t>
      </w:r>
    </w:p>
    <w:p>
      <w:pPr>
        <w:spacing w:after="0" w:line="203" w:lineRule="exact"/>
        <w:rPr>
          <w:sz w:val="20"/>
          <w:szCs w:val="20"/>
          <w:color w:val="auto"/>
        </w:rPr>
      </w:pPr>
    </w:p>
    <w:p>
      <w:pPr>
        <w:ind w:left="4" w:right="80" w:firstLine="991"/>
        <w:spacing w:after="0"/>
        <w:rPr>
          <w:sz w:val="20"/>
          <w:szCs w:val="20"/>
          <w:color w:val="auto"/>
        </w:rPr>
      </w:pPr>
      <w:r>
        <w:rPr>
          <w:rFonts w:ascii="Times New Roman" w:cs="Times New Roman" w:eastAsia="Times New Roman" w:hAnsi="Times New Roman"/>
          <w:sz w:val="18"/>
          <w:szCs w:val="18"/>
          <w:color w:val="auto"/>
        </w:rPr>
        <w:t>JOINDER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 [        ], among [        ] (the “</w:t>
      </w:r>
      <w:r>
        <w:rPr>
          <w:rFonts w:ascii="Times New Roman" w:cs="Times New Roman" w:eastAsia="Times New Roman" w:hAnsi="Times New Roman"/>
          <w:sz w:val="18"/>
          <w:szCs w:val="18"/>
          <w:b w:val="1"/>
          <w:bCs w:val="1"/>
          <w:i w:val="1"/>
          <w:iCs w:val="1"/>
          <w:color w:val="auto"/>
        </w:rPr>
        <w:t>New Representative</w:t>
      </w:r>
      <w:r>
        <w:rPr>
          <w:rFonts w:ascii="Times New Roman" w:cs="Times New Roman" w:eastAsia="Times New Roman" w:hAnsi="Times New Roman"/>
          <w:sz w:val="18"/>
          <w:szCs w:val="18"/>
          <w:color w:val="auto"/>
        </w:rPr>
        <w:t>”), as an Other Equal Priority Representative, [[        ] (the “</w:t>
      </w:r>
      <w:r>
        <w:rPr>
          <w:rFonts w:ascii="Times New Roman" w:cs="Times New Roman" w:eastAsia="Times New Roman" w:hAnsi="Times New Roman"/>
          <w:sz w:val="18"/>
          <w:szCs w:val="18"/>
          <w:b w:val="1"/>
          <w:bCs w:val="1"/>
          <w:i w:val="1"/>
          <w:iCs w:val="1"/>
          <w:color w:val="auto"/>
        </w:rPr>
        <w:t>New Collateral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8"/>
          <w:szCs w:val="18"/>
          <w:color w:val="auto"/>
        </w:rPr>
        <w:t>, as an Other Equal Priority Collateral Agent, BANK OF AMERICA, N.A., as collateral agent for the ABL Facility Secured Parties (together with its successors and co-agents in substantially the same capacity as may from time to time be appointed), BANK OF AMERICA, N.A., as Equal Priority Collateral Agent and Intercreditor Agent, BANK OF AMERICA, N.A., as Cash Flow Facility Agent, WILMINGTON TRUST, NATIONAL ASSOCIATION, in its capacity as 2021 Notes Collateral Agent, WILMINGTON TRUST, NATIONAL ASSOCIATION, in its capacity as 2024 Notes Collateral Agent, WILMINGTON TRUST, NATIONAL ASSOCIATION, in its capacity as 2026 Notes Collateral Agent, MEDLINE INTERMEDIATE, LP, as Holdings, MEDLINE BORROWER, LP (on behalf of itself and its subsidiaries), as Borrower, and any other Representative from time to time a party hereto.</w:t>
      </w:r>
    </w:p>
    <w:p>
      <w:pPr>
        <w:spacing w:after="0" w:line="200"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This Agreement is supplemental to that certain ABL Intercreditor Agreement, dated as of [        ] (as the same may be amended, restated, supplemented or otherwise modified from time to time, the “</w:t>
      </w:r>
      <w:r>
        <w:rPr>
          <w:rFonts w:ascii="Times New Roman" w:cs="Times New Roman" w:eastAsia="Times New Roman" w:hAnsi="Times New Roman"/>
          <w:sz w:val="18"/>
          <w:szCs w:val="18"/>
          <w:b w:val="1"/>
          <w:bCs w:val="1"/>
          <w:i w:val="1"/>
          <w:iCs w:val="1"/>
          <w:color w:val="auto"/>
        </w:rPr>
        <w:t>Intercreditor Agreement</w:t>
      </w:r>
      <w:r>
        <w:rPr>
          <w:rFonts w:ascii="Times New Roman" w:cs="Times New Roman" w:eastAsia="Times New Roman" w:hAnsi="Times New Roman"/>
          <w:sz w:val="18"/>
          <w:szCs w:val="18"/>
          <w:color w:val="auto"/>
        </w:rPr>
        <w:t>”), by and among the parties (other than the New Representative and the New Collateral Agent) referred to above. This Agreement has been entered into to record the accession of the New Representative[s] as Other Equal Priority Representative[s] under the Intercreditor Agreement [and to record the accession of the New Collateral Agent as an Other Equal Priority Collateral Agent under the Intercreditor Agreement].</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1.01 Capitalized terms used but not defined herein shall have the meanings assigned thereto in the Intercreditor Agreement.</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II</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Accession</w:t>
      </w:r>
    </w:p>
    <w:p>
      <w:pPr>
        <w:spacing w:after="0" w:line="229"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SECTION 2.01 [The][/Each] New Representative agrees to become, with immediate effect, a party to and agrees to be bound by the terms of, the Intercreditor Agreement as an Other Equal Priority Representative as if it had originally been party to the Intercreditor Agreement as an Other Equal Priority Representative.</w:t>
      </w:r>
    </w:p>
    <w:p>
      <w:pPr>
        <w:spacing w:after="0" w:line="176"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SECTION 2.02 [The New Collateral Agent agrees to become, with immediate effect, a party to and agrees to be bound by the terms of, the Intercreditor Agreement as an Other Equal Priority Collateral Agent as if it had originally been party to the Intercreditor Agreement as an Other Equal Priority Collateral Agent.]</w:t>
      </w:r>
    </w:p>
    <w:p>
      <w:pPr>
        <w:spacing w:after="0" w:line="176"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SECTION 2.03 The New Representative[s] and the New Collateral Agent confirm that their address details for notices pursuant to the Intercreditor Agreement are as follows: [        ].</w:t>
      </w:r>
    </w:p>
    <w:p>
      <w:pPr>
        <w:spacing w:after="0" w:line="162"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SECTION 2.04 Each party to this Agreement (other than the New Representative [s] and New Collateral Agent) confirms the acceptance of the New Representative[s] and the New Collateral Agent as an Other Equal Priority Representative and an Other Equal Priority Collateral Agent, respectively, for purposes of the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3" w:lineRule="exact"/>
        <w:rPr>
          <w:sz w:val="20"/>
          <w:szCs w:val="20"/>
          <w:color w:val="auto"/>
        </w:rPr>
      </w:pPr>
    </w:p>
    <w:p>
      <w:pPr>
        <w:ind w:left="424" w:hanging="424"/>
        <w:spacing w:after="0"/>
        <w:tabs>
          <w:tab w:leader="none" w:pos="424" w:val="left"/>
        </w:tabs>
        <w:numPr>
          <w:ilvl w:val="0"/>
          <w:numId w:val="29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if applicable.</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Exhibit A-1</w:t>
      </w:r>
    </w:p>
    <w:p>
      <w:pPr>
        <w:sectPr>
          <w:pgSz w:w="11900" w:h="16838" w:orient="portrait"/>
          <w:cols w:equalWidth="0" w:num="1">
            <w:col w:w="11024"/>
          </w:cols>
          <w:pgMar w:left="436" w:top="266" w:right="439" w:bottom="1440" w:gutter="0" w:footer="0" w:header="0"/>
        </w:sectPr>
      </w:pPr>
    </w:p>
    <w:bookmarkStart w:id="287" w:name="page288"/>
    <w:bookmarkEnd w:id="287"/>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2.05  [        ] [is][/are] acting in the capacities of Other Equal Priority Representative[s] and [        ] is acting in its capacity as Other Equal Priority Collateral Agent solely for the Secured Parties under [        ].</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ARTICLE III</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3.01 This Agreement shall be governed by, and construed in accordance with, the laws of the State of New York.</w:t>
      </w:r>
    </w:p>
    <w:p>
      <w:pPr>
        <w:spacing w:after="0" w:line="225"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SECTION 3.02 This Agreement may be executed in counterparts, each of which shall constitute an original but all of which when taken together shall constitute a single contract. Delivery of an executed signature page to this Agreement by facsimile transmission shall be as effective as delivery of a manually signed counterpart of this Agreement.</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[INSERT SIGNATURE BLOCKS]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Exhibit A-2</w:t>
      </w:r>
    </w:p>
    <w:p>
      <w:pPr>
        <w:sectPr>
          <w:pgSz w:w="11900" w:h="16838" w:orient="portrait"/>
          <w:cols w:equalWidth="0" w:num="1">
            <w:col w:w="10900"/>
          </w:cols>
          <w:pgMar w:left="440" w:top="270" w:right="559" w:bottom="1440" w:gutter="0" w:footer="0" w:header="0"/>
        </w:sectPr>
      </w:pPr>
    </w:p>
    <w:bookmarkStart w:id="288" w:name="page289"/>
    <w:bookmarkEnd w:id="288"/>
    <w:p>
      <w:pPr>
        <w:ind w:left="100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31" w:lineRule="exact"/>
        <w:rPr>
          <w:sz w:val="20"/>
          <w:szCs w:val="20"/>
          <w:color w:val="auto"/>
        </w:rPr>
      </w:pPr>
    </w:p>
    <w:p>
      <w:pPr>
        <w:ind w:left="9544"/>
        <w:spacing w:after="0"/>
        <w:rPr>
          <w:sz w:val="20"/>
          <w:szCs w:val="20"/>
          <w:color w:val="auto"/>
        </w:rPr>
      </w:pPr>
      <w:r>
        <w:rPr>
          <w:rFonts w:ascii="Times New Roman" w:cs="Times New Roman" w:eastAsia="Times New Roman" w:hAnsi="Times New Roman"/>
          <w:sz w:val="17"/>
          <w:szCs w:val="17"/>
          <w:b w:val="1"/>
          <w:bCs w:val="1"/>
          <w:color w:val="auto"/>
        </w:rPr>
        <w:t>Joinder Agreement</w:t>
      </w:r>
    </w:p>
    <w:p>
      <w:pPr>
        <w:spacing w:after="0" w:line="2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(Junior Priority Obligations)</w:t>
      </w:r>
    </w:p>
    <w:p>
      <w:pPr>
        <w:spacing w:after="0" w:line="221" w:lineRule="exact"/>
        <w:rPr>
          <w:sz w:val="20"/>
          <w:szCs w:val="20"/>
          <w:color w:val="auto"/>
        </w:rPr>
      </w:pPr>
    </w:p>
    <w:p>
      <w:pPr>
        <w:ind w:left="4" w:right="120" w:firstLine="991"/>
        <w:spacing w:after="0"/>
        <w:rPr>
          <w:sz w:val="20"/>
          <w:szCs w:val="20"/>
          <w:color w:val="auto"/>
        </w:rPr>
      </w:pPr>
      <w:r>
        <w:rPr>
          <w:rFonts w:ascii="Times New Roman" w:cs="Times New Roman" w:eastAsia="Times New Roman" w:hAnsi="Times New Roman"/>
          <w:sz w:val="18"/>
          <w:szCs w:val="18"/>
          <w:color w:val="auto"/>
        </w:rPr>
        <w:t>JOINDER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 [        ], among [        ] (the “</w:t>
      </w:r>
      <w:r>
        <w:rPr>
          <w:rFonts w:ascii="Times New Roman" w:cs="Times New Roman" w:eastAsia="Times New Roman" w:hAnsi="Times New Roman"/>
          <w:sz w:val="18"/>
          <w:szCs w:val="18"/>
          <w:b w:val="1"/>
          <w:bCs w:val="1"/>
          <w:i w:val="1"/>
          <w:iCs w:val="1"/>
          <w:color w:val="auto"/>
        </w:rPr>
        <w:t>New Representative</w:t>
      </w:r>
      <w:r>
        <w:rPr>
          <w:rFonts w:ascii="Times New Roman" w:cs="Times New Roman" w:eastAsia="Times New Roman" w:hAnsi="Times New Roman"/>
          <w:sz w:val="18"/>
          <w:szCs w:val="18"/>
          <w:color w:val="auto"/>
        </w:rPr>
        <w:t>”), as a Junior Priority Representative, [[        ] (the “</w:t>
      </w:r>
      <w:r>
        <w:rPr>
          <w:rFonts w:ascii="Times New Roman" w:cs="Times New Roman" w:eastAsia="Times New Roman" w:hAnsi="Times New Roman"/>
          <w:sz w:val="18"/>
          <w:szCs w:val="18"/>
          <w:b w:val="1"/>
          <w:bCs w:val="1"/>
          <w:i w:val="1"/>
          <w:iCs w:val="1"/>
          <w:color w:val="auto"/>
        </w:rPr>
        <w:t>New Collateral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color w:val="auto"/>
        </w:rPr>
        <w:t>, as a Junior Priority Collateral Agent, BANK OF AMERICA, N.A., as collateral agent for the ABL Facility Secured Parties (together with its successors and co-agents in substantially the same capacity as may from time to time be appointed), BANK OF AMERICA, N.A., as Equal Priority Collateral Agent and Intercreditor Agent, BANK OF AMERICA, N.A., as Cash Flow Facility Agent, WILMINGTON TRUST, NATIONAL ASSOCIATION, in its capacity as 2021 Notes Collateral Agent, WILMINGTON TRUST, NATIONAL ASSOCIATION, in its capacity as 2024 Notes Collateral Agent, WILMINGTON TRUST, NATIONAL ASSOCIATION, in its capacity as 2026 Notes Collateral Agent, MEDLINE INTERMEDIATE, LP, as Holdings, MEDLINE BORROWER, LP (on behalf of itself and its subsidiaries), as Borrower, and any other Representative from time to time a party hereto.</w:t>
      </w:r>
    </w:p>
    <w:p>
      <w:pPr>
        <w:spacing w:after="0" w:line="200" w:lineRule="exact"/>
        <w:rPr>
          <w:sz w:val="20"/>
          <w:szCs w:val="20"/>
          <w:color w:val="auto"/>
        </w:rPr>
      </w:pPr>
    </w:p>
    <w:p>
      <w:pPr>
        <w:ind w:left="4" w:right="220" w:firstLine="991"/>
        <w:spacing w:after="0" w:line="258" w:lineRule="auto"/>
        <w:rPr>
          <w:sz w:val="20"/>
          <w:szCs w:val="20"/>
          <w:color w:val="auto"/>
        </w:rPr>
      </w:pPr>
      <w:r>
        <w:rPr>
          <w:rFonts w:ascii="Times New Roman" w:cs="Times New Roman" w:eastAsia="Times New Roman" w:hAnsi="Times New Roman"/>
          <w:sz w:val="18"/>
          <w:szCs w:val="18"/>
          <w:color w:val="auto"/>
        </w:rPr>
        <w:t>This Agreement is supplemental to that certain ABL Intercreditor Agreement, dated as of [        ] (as the same may be amended, restated, supplemented or otherwise modified from time to time, the “</w:t>
      </w:r>
      <w:r>
        <w:rPr>
          <w:rFonts w:ascii="Times New Roman" w:cs="Times New Roman" w:eastAsia="Times New Roman" w:hAnsi="Times New Roman"/>
          <w:sz w:val="18"/>
          <w:szCs w:val="18"/>
          <w:b w:val="1"/>
          <w:bCs w:val="1"/>
          <w:i w:val="1"/>
          <w:iCs w:val="1"/>
          <w:color w:val="auto"/>
        </w:rPr>
        <w:t>Intercreditor Agreement</w:t>
      </w:r>
      <w:r>
        <w:rPr>
          <w:rFonts w:ascii="Times New Roman" w:cs="Times New Roman" w:eastAsia="Times New Roman" w:hAnsi="Times New Roman"/>
          <w:sz w:val="18"/>
          <w:szCs w:val="18"/>
          <w:color w:val="auto"/>
        </w:rPr>
        <w:t>”), by and among the parties (other than the New Representative and the New Collateral Agent) referred to above. This Agreement has been entered into to record the accession of the New Representative[s] as Junior Priority Representative[s] under the Intercreditor Agreement rand to record the accession of the New Collateral Agent as a Junior Priority Collateral Agent under the Intercreditor Agreement].</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1.01 Capitalized terms used but not defined herein shall have the meanings assigned thereto in the Intercreditor Agreement.</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II</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Accession</w:t>
      </w:r>
    </w:p>
    <w:p>
      <w:pPr>
        <w:spacing w:after="0" w:line="229"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SECTION 2.01 [The][/Each] New Representative agrees to become, with immediate effect, a party to and agrees to be bound by the terms of, the Intercreditor Agreement as a Junior Priority Representative as if it had originally been party to the Intercreditor Agreement as a Junior Priority Representative.</w:t>
      </w:r>
    </w:p>
    <w:p>
      <w:pPr>
        <w:spacing w:after="0" w:line="176"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SECTION 2.02 [The New Collateral Agent agrees to become, with immediate effect, a party to and agrees to be bound by the terms of, the Intercreditor Agreement as a Junior Priority Collateral Agent as if it had originally been party to the Intercreditor Agreement as a Junior Priority Collateral Agent.]</w:t>
      </w:r>
    </w:p>
    <w:p>
      <w:pPr>
        <w:spacing w:after="0" w:line="176"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SECTION 2.03 The New Representative[s] and the New Collateral Agent confirm that their address details for notices pursuant to the Intercreditor Agreement are as follows: [        ].</w:t>
      </w:r>
    </w:p>
    <w:p>
      <w:pPr>
        <w:spacing w:after="0" w:line="162" w:lineRule="exact"/>
        <w:rPr>
          <w:sz w:val="20"/>
          <w:szCs w:val="20"/>
          <w:color w:val="auto"/>
        </w:rPr>
      </w:pPr>
    </w:p>
    <w:p>
      <w:pPr>
        <w:jc w:val="both"/>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SECTION 2.04 Each party to this Agreement (other than the New Representative [s] and New Collateral Agent) confirms the acceptance of the New Representative[s] and the New Collateral Agent as a Junior Priority Representative and a Junior Priority Collateral Agent, respectively, for purposes of the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3" w:lineRule="exact"/>
        <w:rPr>
          <w:sz w:val="20"/>
          <w:szCs w:val="20"/>
          <w:color w:val="auto"/>
        </w:rPr>
      </w:pPr>
    </w:p>
    <w:p>
      <w:pPr>
        <w:ind w:left="424" w:hanging="424"/>
        <w:spacing w:after="0"/>
        <w:tabs>
          <w:tab w:leader="none" w:pos="424" w:val="left"/>
        </w:tabs>
        <w:numPr>
          <w:ilvl w:val="0"/>
          <w:numId w:val="30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if applicable.</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Exhibit B-1</w:t>
      </w:r>
    </w:p>
    <w:p>
      <w:pPr>
        <w:sectPr>
          <w:pgSz w:w="11900" w:h="16838" w:orient="portrait"/>
          <w:cols w:equalWidth="0" w:num="1">
            <w:col w:w="11024"/>
          </w:cols>
          <w:pgMar w:left="436" w:top="266" w:right="439" w:bottom="1440" w:gutter="0" w:footer="0" w:header="0"/>
        </w:sectPr>
      </w:pPr>
    </w:p>
    <w:bookmarkStart w:id="289" w:name="page290"/>
    <w:bookmarkEnd w:id="289"/>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2.05  [        ] [is][/are] acting in the capacities of Junior Priority Representative[s] and [        ] is acting in its capacity as Junior Priority Collateral Agent solely for the Secured Parties under [        ].</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3.01 This Agreement shall be governed by, and construed in accordance with, the laws of the State of New York.</w:t>
      </w:r>
    </w:p>
    <w:p>
      <w:pPr>
        <w:spacing w:after="0" w:line="225"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SECTION 3.02 This Agreement may be executed in counterparts, each of which shall constitute an original but all of which when taken together shall constitute a single contract. Delivery of an executed signature page to this Agreement by facsimile transmission shall be as effective as delivery of a manually signed counterpart of this Agreement.</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[INSERT SIGNATURE BLOCKS]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Exhibit B-2</w:t>
      </w:r>
    </w:p>
    <w:p>
      <w:pPr>
        <w:sectPr>
          <w:pgSz w:w="11900" w:h="16838" w:orient="portrait"/>
          <w:cols w:equalWidth="0" w:num="1">
            <w:col w:w="10960"/>
          </w:cols>
          <w:pgMar w:left="440" w:top="270" w:right="499" w:bottom="1440" w:gutter="0" w:footer="0" w:header="0"/>
        </w:sectPr>
      </w:pPr>
    </w:p>
    <w:bookmarkStart w:id="290" w:name="page291"/>
    <w:bookmarkEnd w:id="290"/>
    <w:p>
      <w:pPr>
        <w:ind w:left="10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31"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7"/>
          <w:szCs w:val="17"/>
          <w:b w:val="1"/>
          <w:bCs w:val="1"/>
          <w:color w:val="auto"/>
        </w:rPr>
        <w:t>Joinder Agreement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(ABL Obligations)</w:t>
      </w:r>
    </w:p>
    <w:p>
      <w:pPr>
        <w:spacing w:after="0" w:line="203" w:lineRule="exact"/>
        <w:rPr>
          <w:sz w:val="20"/>
          <w:szCs w:val="20"/>
          <w:color w:val="auto"/>
        </w:rPr>
      </w:pPr>
    </w:p>
    <w:p>
      <w:pPr>
        <w:ind w:right="80" w:firstLine="991"/>
        <w:spacing w:after="0" w:line="273" w:lineRule="auto"/>
        <w:rPr>
          <w:sz w:val="20"/>
          <w:szCs w:val="20"/>
          <w:color w:val="auto"/>
        </w:rPr>
      </w:pPr>
      <w:r>
        <w:rPr>
          <w:rFonts w:ascii="Times New Roman" w:cs="Times New Roman" w:eastAsia="Times New Roman" w:hAnsi="Times New Roman"/>
          <w:sz w:val="17"/>
          <w:szCs w:val="17"/>
          <w:color w:val="auto"/>
        </w:rPr>
        <w:t>JOINDER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dated as of [        ], [        ], among [        ], as an ABL Facility Agent (the “</w:t>
      </w:r>
      <w:r>
        <w:rPr>
          <w:rFonts w:ascii="Times New Roman" w:cs="Times New Roman" w:eastAsia="Times New Roman" w:hAnsi="Times New Roman"/>
          <w:sz w:val="17"/>
          <w:szCs w:val="17"/>
          <w:b w:val="1"/>
          <w:bCs w:val="1"/>
          <w:i w:val="1"/>
          <w:iCs w:val="1"/>
          <w:color w:val="auto"/>
        </w:rPr>
        <w:t>New Collateral Agent</w:t>
      </w:r>
      <w:r>
        <w:rPr>
          <w:rFonts w:ascii="Times New Roman" w:cs="Times New Roman" w:eastAsia="Times New Roman" w:hAnsi="Times New Roman"/>
          <w:sz w:val="17"/>
          <w:szCs w:val="17"/>
          <w:color w:val="auto"/>
        </w:rPr>
        <w:t>”), BANK OF AMERICA, N.A., as collateral agent for the ABL Facility Secured Parties (together with its successors and co-agents in substantially the same capacity as may from time to time be appointed), BANK OF AMERICA, N.A., as Equal Priority Collateral Agent and Intercreditor Agent, BANK OF AMERICA, N.A., as Cash Flow Facility Agent, WILMINGTON TRUST, NATIONAL ASSOCIATION, in its capacity as 2021 Notes Collateral Agent, WILMINGTON TRUST, NATIONAL ASSOCIATION, in its capacity as 2024 Notes Collateral Agent, WILMINGTON TRUST, NATIONAL ASSOCIATION, in its capacity as 2026 Notes Collateral Agent, MEDLINE INTERMEDIATE, LP, as Holdings, MEDLINE BORROWER, LP (on behalf of itself and its subsidiaries), as Borrower, and any other Representative from time to time a party hereto.</w:t>
      </w:r>
    </w:p>
    <w:p>
      <w:pPr>
        <w:spacing w:after="0" w:line="175" w:lineRule="exact"/>
        <w:rPr>
          <w:sz w:val="20"/>
          <w:szCs w:val="20"/>
          <w:color w:val="auto"/>
        </w:rPr>
      </w:pPr>
    </w:p>
    <w:p>
      <w:pPr>
        <w:ind w:right="480" w:firstLine="991"/>
        <w:spacing w:after="0" w:line="261" w:lineRule="auto"/>
        <w:rPr>
          <w:sz w:val="20"/>
          <w:szCs w:val="20"/>
          <w:color w:val="auto"/>
        </w:rPr>
      </w:pPr>
      <w:r>
        <w:rPr>
          <w:rFonts w:ascii="Times New Roman" w:cs="Times New Roman" w:eastAsia="Times New Roman" w:hAnsi="Times New Roman"/>
          <w:sz w:val="18"/>
          <w:szCs w:val="18"/>
          <w:color w:val="auto"/>
        </w:rPr>
        <w:t>This Agreement is supplemental to that certain ABL Intercreditor Agreement, dated as of [        ] (as the same may be amended, restated, supplemented or otherwise modified from time to time, the “</w:t>
      </w:r>
      <w:r>
        <w:rPr>
          <w:rFonts w:ascii="Times New Roman" w:cs="Times New Roman" w:eastAsia="Times New Roman" w:hAnsi="Times New Roman"/>
          <w:sz w:val="18"/>
          <w:szCs w:val="18"/>
          <w:b w:val="1"/>
          <w:bCs w:val="1"/>
          <w:i w:val="1"/>
          <w:iCs w:val="1"/>
          <w:color w:val="auto"/>
        </w:rPr>
        <w:t>Intercreditor Agreement</w:t>
      </w:r>
      <w:r>
        <w:rPr>
          <w:rFonts w:ascii="Times New Roman" w:cs="Times New Roman" w:eastAsia="Times New Roman" w:hAnsi="Times New Roman"/>
          <w:sz w:val="18"/>
          <w:szCs w:val="18"/>
          <w:color w:val="auto"/>
        </w:rPr>
        <w:t>”), by and among the parties (other than the New Collateral Agent) referred to above. This Agreement has been entered into to record the accession of the New Collateral Agent[s] as ABL Facility Agent[s] under the Intercreditor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1.01 Capitalized terms used but not defined herein shall have the meanings assigned thereto in the Intercreditor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Accession</w:t>
      </w:r>
    </w:p>
    <w:p>
      <w:pPr>
        <w:spacing w:after="0" w:line="229" w:lineRule="exact"/>
        <w:rPr>
          <w:sz w:val="20"/>
          <w:szCs w:val="20"/>
          <w:color w:val="auto"/>
        </w:rPr>
      </w:pPr>
    </w:p>
    <w:p>
      <w:pPr>
        <w:jc w:val="both"/>
        <w:ind w:right="400" w:firstLine="991"/>
        <w:spacing w:after="0" w:line="266" w:lineRule="auto"/>
        <w:rPr>
          <w:sz w:val="20"/>
          <w:szCs w:val="20"/>
          <w:color w:val="auto"/>
        </w:rPr>
      </w:pPr>
      <w:r>
        <w:rPr>
          <w:rFonts w:ascii="Times New Roman" w:cs="Times New Roman" w:eastAsia="Times New Roman" w:hAnsi="Times New Roman"/>
          <w:sz w:val="18"/>
          <w:szCs w:val="18"/>
          <w:color w:val="auto"/>
        </w:rPr>
        <w:t>SECTION 2.01 [The][/Each] New Collateral Agent agrees to become, with immediate effect, a party to and agrees to be bound by the terms of, the Intercreditor Agreement as an ABL Facility Agent as if it had originally been party to the Intercreditor Agreement as an ABL Facility Agent.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2.02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2.03 The New Collateral Agent confirm that its address details for notices pursuant to the Intercreditor Agreement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 [ ].</w:t>
      </w:r>
    </w:p>
    <w:p>
      <w:pPr>
        <w:spacing w:after="0" w:line="207"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SECTION 2.04 Each party to this Agreement (other than the New Collateral Agent) confirms the acceptance of the New Collateral Agent as an ABL Facility Agent for purposes of the Intercreditor Agreement.</w:t>
      </w:r>
    </w:p>
    <w:p>
      <w:pPr>
        <w:spacing w:after="0" w:line="162" w:lineRule="exact"/>
        <w:rPr>
          <w:sz w:val="20"/>
          <w:szCs w:val="20"/>
          <w:color w:val="auto"/>
        </w:rPr>
      </w:pPr>
    </w:p>
    <w:p>
      <w:pPr>
        <w:jc w:val="center"/>
        <w:ind w:left="820" w:right="600"/>
        <w:spacing w:after="0" w:line="454" w:lineRule="auto"/>
        <w:rPr>
          <w:sz w:val="20"/>
          <w:szCs w:val="20"/>
          <w:color w:val="auto"/>
        </w:rPr>
      </w:pPr>
      <w:r>
        <w:rPr>
          <w:rFonts w:ascii="Times New Roman" w:cs="Times New Roman" w:eastAsia="Times New Roman" w:hAnsi="Times New Roman"/>
          <w:sz w:val="18"/>
          <w:szCs w:val="18"/>
          <w:color w:val="auto"/>
        </w:rPr>
        <w:t>SECTION 2.05 [            ] [is][/are] acting in its capacity as ABL Facility Agent solely for the Secured Parties under [            ]. Exhibit C-1</w:t>
      </w:r>
    </w:p>
    <w:p>
      <w:pPr>
        <w:sectPr>
          <w:pgSz w:w="11900" w:h="16838" w:orient="portrait"/>
          <w:cols w:equalWidth="0" w:num="1">
            <w:col w:w="11020"/>
          </w:cols>
          <w:pgMar w:left="440" w:top="266" w:right="439" w:bottom="1440" w:gutter="0" w:footer="0" w:header="0"/>
        </w:sectPr>
      </w:pPr>
    </w:p>
    <w:bookmarkStart w:id="291" w:name="page292"/>
    <w:bookmarkEnd w:id="291"/>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3.01 This Agreement shall be governed by, and construed in accordance with, the laws of the State of New York.</w:t>
      </w:r>
    </w:p>
    <w:p>
      <w:pPr>
        <w:spacing w:after="0" w:line="225"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SECTION 3.02 This Agreement may be executed in counterparts, each of which shall constitute an original but all of which when taken together shall constitute a single contract. Delivery of an executed signature page to this Agreement by facsimile transmission shall be as effective as delivery of a manually signed counterpart of this Agreement.</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[INSERT SIGNATURE BLOCKS]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Exhibit C-2</w:t>
      </w:r>
    </w:p>
    <w:p>
      <w:pPr>
        <w:sectPr>
          <w:pgSz w:w="11900" w:h="16838" w:orient="portrait"/>
          <w:cols w:equalWidth="0" w:num="1">
            <w:col w:w="10900"/>
          </w:cols>
          <w:pgMar w:left="440" w:top="270" w:right="55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SEVENTH AMENDMENT REFINANCING TERM LOANS CUSIP: 58503UAK9</w:t>
      </w:r>
    </w:p>
    <w:p>
      <w:pPr>
        <w:spacing w:after="0" w:line="221"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AMENDMENT NO. 7</w:t>
      </w:r>
      <w:r>
        <w:rPr>
          <w:rFonts w:ascii="Times New Roman" w:cs="Times New Roman" w:eastAsia="Times New Roman" w:hAnsi="Times New Roman"/>
          <w:sz w:val="18"/>
          <w:szCs w:val="18"/>
          <w:color w:val="auto"/>
        </w:rPr>
        <w:t>, dated as of May 28, 2026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Credit Agreement, dated as of October 21, 2021,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Medline Intermediate, LP, a Delaware limited partnership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Medline Borrower, LP, a Delaware limited partnership (and successor by merger to Mozart Debt Merger Sub Inc.,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other Guarantors party thereto from time to time, the lenders and L/C Issuers party thereto from time to time and Bank of America, N.A., as Administrative Agent (in such capacity,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Collateral Agent, a Lender and an L/C Issuer (as amended by Amendment No. 1 to Credit Agreement, dated as of June 28, 2023, Amendment No. 2 to Credit Agreement, dated as of March 27, 2024, Amendment No. 3 to Credit Agreement, dated as of July 8, 2024, Amendment No. 4 to Credit Agreement, dated as of November 19, 2024, Amendment No. 5 to Credit Agreement, dated as of March 28, 2025, Amendment No. 6 to Credit Agreement, dated as of July 31, 2025, and as further amended, restated, amended and restated, modified and supplemented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Capitalized terms used and not otherwise defined herein shall have the meanings assigned to such terms in the Credit Agreement.</w:t>
      </w:r>
    </w:p>
    <w:p>
      <w:pPr>
        <w:spacing w:after="0" w:line="84"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 Pursuant to Section 2.15 of the Credit Agreement, the Borrower may, from time to time, request Refinancing Term Loans (as defined below), subject to the terms and conditions set forth therein.</w:t>
      </w:r>
    </w:p>
    <w:p>
      <w:pPr>
        <w:spacing w:after="0" w:line="50"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 xml:space="preserve">B. The Borrower has requested that the Lenders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b w:val="1"/>
          <w:bCs w:val="1"/>
          <w:color w:val="auto"/>
        </w:rPr>
        <w:t>Refinancing Term Lender</w:t>
      </w:r>
      <w:r>
        <w:rPr>
          <w:rFonts w:ascii="Times New Roman" w:cs="Times New Roman" w:eastAsia="Times New Roman" w:hAnsi="Times New Roman"/>
          <w:sz w:val="18"/>
          <w:szCs w:val="18"/>
          <w:color w:val="auto"/>
        </w:rPr>
        <w:t>”) provide “Refinancing Term Loans” under Section 2.15 of the Credit Agreement (the “</w:t>
      </w:r>
      <w:r>
        <w:rPr>
          <w:rFonts w:ascii="Times New Roman" w:cs="Times New Roman" w:eastAsia="Times New Roman" w:hAnsi="Times New Roman"/>
          <w:sz w:val="18"/>
          <w:szCs w:val="18"/>
          <w:b w:val="1"/>
          <w:bCs w:val="1"/>
          <w:color w:val="auto"/>
        </w:rPr>
        <w:t>Refinancing Term Loans</w:t>
      </w:r>
      <w:r>
        <w:rPr>
          <w:rFonts w:ascii="Times New Roman" w:cs="Times New Roman" w:eastAsia="Times New Roman" w:hAnsi="Times New Roman"/>
          <w:sz w:val="18"/>
          <w:szCs w:val="18"/>
          <w:color w:val="auto"/>
        </w:rPr>
        <w:t>”) to refinance all Sixth Amendment 2030 Refinancing Term Loans outstanding immediately prior to the effectiveness of this Amendment (such Sixth Amendment 2030 Refinancing Term Loans, collectively, and including for the avoidance of doubt, Sixth Amendment 2030 Refinancing Term Loans that are converted, exchanged or rolled into Refinancing Term Loans pursuant to this Amendment, the “</w:t>
      </w:r>
      <w:r>
        <w:rPr>
          <w:rFonts w:ascii="Times New Roman" w:cs="Times New Roman" w:eastAsia="Times New Roman" w:hAnsi="Times New Roman"/>
          <w:sz w:val="18"/>
          <w:szCs w:val="18"/>
          <w:b w:val="1"/>
          <w:bCs w:val="1"/>
          <w:color w:val="auto"/>
        </w:rPr>
        <w:t>Existing Term Loans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C. The Refinancing Term Lenders will comprise, and Refinancing Term Loans will be made by, (i) in part, Lenders who hold Existing Term Loans and who agree to convert, exchange or “cashlessly roll” all of their Existing Term Loans to or for Refinancing Term Loans (such Lenders, “</w:t>
      </w:r>
      <w:r>
        <w:rPr>
          <w:rFonts w:ascii="Times New Roman" w:cs="Times New Roman" w:eastAsia="Times New Roman" w:hAnsi="Times New Roman"/>
          <w:sz w:val="18"/>
          <w:szCs w:val="18"/>
          <w:b w:val="1"/>
          <w:bCs w:val="1"/>
          <w:color w:val="auto"/>
        </w:rPr>
        <w:t>Converting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Refinancing Term Lenders</w:t>
      </w:r>
      <w:r>
        <w:rPr>
          <w:rFonts w:ascii="Times New Roman" w:cs="Times New Roman" w:eastAsia="Times New Roman" w:hAnsi="Times New Roman"/>
          <w:sz w:val="18"/>
          <w:szCs w:val="18"/>
          <w:color w:val="auto"/>
        </w:rPr>
        <w:t>”); and (ii) in part, Persons providing new Refinancing Term Loans, the proceeds of which will be used by the Borrower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repay holders of Existing Term Loans that will not be so converted, exchanged or rolled.</w:t>
      </w:r>
    </w:p>
    <w:p>
      <w:pPr>
        <w:spacing w:after="0" w:line="7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D. Pursuant to Section 2.15(d) of the Credit Agreement, the Loan Documents may be amended as necessary or appropriate in the reasonable opinion of the Borrower pursuant to a Refinancing Amendment, to effect the provisions of Section 2.15 of the Credit Agreement.</w:t>
      </w:r>
    </w:p>
    <w:p>
      <w:pPr>
        <w:spacing w:after="0" w:line="54"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 Each Refinancing Term Lender is willing, subject to the terms and applicable conditions set forth herein and in the Credit Agreement, to make to the Borrower the amount of the Refinancing Term Loans set forth opposite its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ectPr>
          <w:pgSz w:w="11900" w:h="16838" w:orient="portrait"/>
          <w:cols w:equalWidth="0" w:num="1">
            <w:col w:w="11020"/>
          </w:cols>
          <w:pgMar w:left="440" w:top="117" w:right="439" w:bottom="1440" w:gutter="0" w:footer="0" w:header="0"/>
        </w:sectPr>
      </w:pPr>
    </w:p>
    <w:bookmarkStart w:id="293" w:name="page294"/>
    <w:bookmarkEnd w:id="29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The Borrower has requested that the Applicable Rate with respect to the Revolving Credit Loans be reduced as set forth herein.</w:t>
      </w:r>
    </w:p>
    <w:p>
      <w:pPr>
        <w:spacing w:after="0" w:line="113" w:lineRule="exact"/>
        <w:rPr>
          <w:sz w:val="20"/>
          <w:szCs w:val="20"/>
          <w:color w:val="auto"/>
        </w:rPr>
      </w:pPr>
    </w:p>
    <w:p>
      <w:pPr>
        <w:ind w:left="4" w:right="340" w:firstLine="440"/>
        <w:spacing w:after="0" w:line="274" w:lineRule="auto"/>
        <w:rPr>
          <w:sz w:val="20"/>
          <w:szCs w:val="20"/>
          <w:color w:val="auto"/>
        </w:rPr>
      </w:pPr>
      <w:r>
        <w:rPr>
          <w:rFonts w:ascii="Times New Roman" w:cs="Times New Roman" w:eastAsia="Times New Roman" w:hAnsi="Times New Roman"/>
          <w:sz w:val="17"/>
          <w:szCs w:val="17"/>
          <w:color w:val="auto"/>
        </w:rPr>
        <w:t>G. (i)(a) Each of BofA Securities, Inc., Goldman Sachs Bank USA and JPMorgan Chase Bank, N.A.(collectively, in such capacity, the “</w:t>
      </w:r>
      <w:r>
        <w:rPr>
          <w:rFonts w:ascii="Times New Roman" w:cs="Times New Roman" w:eastAsia="Times New Roman" w:hAnsi="Times New Roman"/>
          <w:sz w:val="17"/>
          <w:szCs w:val="17"/>
          <w:b w:val="1"/>
          <w:bCs w:val="1"/>
          <w:color w:val="auto"/>
        </w:rPr>
        <w:t>Lead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Arrangers</w:t>
      </w:r>
      <w:r>
        <w:rPr>
          <w:rFonts w:ascii="Times New Roman" w:cs="Times New Roman" w:eastAsia="Times New Roman" w:hAnsi="Times New Roman"/>
          <w:sz w:val="17"/>
          <w:szCs w:val="17"/>
          <w:color w:val="auto"/>
        </w:rPr>
        <w:t>”) and (b) each financial institution listed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hereto as a “Co-Lead Arranger” (or one or more of its designated affiliates)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(collectively, in such capacity, the “</w:t>
      </w:r>
      <w:r>
        <w:rPr>
          <w:rFonts w:ascii="Times New Roman" w:cs="Times New Roman" w:eastAsia="Times New Roman" w:hAnsi="Times New Roman"/>
          <w:sz w:val="17"/>
          <w:szCs w:val="17"/>
          <w:b w:val="1"/>
          <w:bCs w:val="1"/>
          <w:color w:val="auto"/>
        </w:rPr>
        <w:t>Co-Lead Arrangers</w:t>
      </w:r>
      <w:r>
        <w:rPr>
          <w:rFonts w:ascii="Times New Roman" w:cs="Times New Roman" w:eastAsia="Times New Roman" w:hAnsi="Times New Roman"/>
          <w:sz w:val="17"/>
          <w:szCs w:val="17"/>
          <w:color w:val="auto"/>
        </w:rPr>
        <w:t>”) will act as a joint lead arranger and joint bookrunner for the Refinancing Term Loans and</w:t>
      </w:r>
    </w:p>
    <w:p>
      <w:pPr>
        <w:spacing w:after="0" w:line="1" w:lineRule="exact"/>
        <w:rPr>
          <w:sz w:val="20"/>
          <w:szCs w:val="20"/>
          <w:color w:val="auto"/>
        </w:rPr>
      </w:pPr>
    </w:p>
    <w:p>
      <w:pPr>
        <w:ind w:left="4" w:right="140" w:hanging="4"/>
        <w:spacing w:after="0" w:line="255" w:lineRule="auto"/>
        <w:tabs>
          <w:tab w:leader="none" w:pos="269"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Arrangers, the Co-Lead Arrangers and each other joint lead arranger and joint bookrunner given a title in connection with the Refinancing Term Loans shall be deemed to be “Lead Arrangers” for all purposes under the Credit Agreement and each other Loan Document, including this Amendment.</w:t>
      </w:r>
    </w:p>
    <w:p>
      <w:pPr>
        <w:spacing w:after="0" w:line="186"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Accordingly, in consideration of the mutual agreements herein contained and other good and valuable consideration, the sufficiency and receipt of which are hereby acknowledged, and subject to the conditions set forth herein, the parties hereto hereby agree as follows:</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Refinancing Term Loans and Amendments</w:t>
      </w:r>
    </w:p>
    <w:p>
      <w:pPr>
        <w:spacing w:after="0" w:line="229"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The Borrower, the Refinancing Term Lenders, the Administrative Agent and, solely with respect to the amendment to clause (c) of the definition of “Applicable Rate”, the Revolving Credit Lenders, hereby agree that:</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This Amendment is a Refinancing Amendment referred to in Section 2.15 of the Credit Agreement.</w:t>
      </w:r>
    </w:p>
    <w:p>
      <w:pPr>
        <w:spacing w:after="0" w:line="117"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B. Each Refinancing Term Lender hereby agrees to provide the amount of the Refinancing Term Loans set forth opposite its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Refinancing Term Commitments</w:t>
      </w:r>
      <w:r>
        <w:rPr>
          <w:rFonts w:ascii="Times New Roman" w:cs="Times New Roman" w:eastAsia="Times New Roman" w:hAnsi="Times New Roman"/>
          <w:sz w:val="18"/>
          <w:szCs w:val="18"/>
          <w:color w:val="auto"/>
        </w:rPr>
        <w:t>”). The Refinancing Term Commitments shall be subject to all of the terms and conditions set forth herein and in the Credit Agreement.</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 The aggregate Refinancing Term Commitment is $2,750,000,000.00.</w:t>
      </w:r>
    </w:p>
    <w:p>
      <w:pPr>
        <w:spacing w:after="0" w:line="11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D. Subject to and upon the terms and applicable conditions set forth herein, each Refinancing Term Lender severally agrees to make, on the Seventh Amendment Effective Date (as defined below), a Refinancing Term Loan in Dollars to the Borrower (or, in the case of a Converting Refinancing Term Lender, convert, exchange or roll its Existing Term Loans to or for Refinancing Term Loans in an equal principal amount (or such lesser amount as determined by the Lead Arrangers in their discretion)) in an aggregate principal amount equal to the commitment amount set forth next to such Refinancing Term Lender’s name in </w:t>
      </w:r>
      <w:r>
        <w:rPr>
          <w:rFonts w:ascii="Times New Roman" w:cs="Times New Roman" w:eastAsia="Times New Roman" w:hAnsi="Times New Roman"/>
          <w:sz w:val="18"/>
          <w:szCs w:val="18"/>
          <w:u w:val="single" w:color="auto"/>
          <w:color w:val="auto"/>
        </w:rPr>
        <w:t>Schedule I, Part A</w:t>
      </w:r>
      <w:r>
        <w:rPr>
          <w:rFonts w:ascii="Times New Roman" w:cs="Times New Roman" w:eastAsia="Times New Roman" w:hAnsi="Times New Roman"/>
          <w:sz w:val="18"/>
          <w:szCs w:val="18"/>
          <w:color w:val="auto"/>
        </w:rPr>
        <w:t xml:space="preserve"> hereto (in the case of any Refinancing Term Lender funding its Refinancing Term Loan in cash) or </w:t>
      </w:r>
      <w:r>
        <w:rPr>
          <w:rFonts w:ascii="Times New Roman" w:cs="Times New Roman" w:eastAsia="Times New Roman" w:hAnsi="Times New Roman"/>
          <w:sz w:val="18"/>
          <w:szCs w:val="18"/>
          <w:u w:val="single" w:color="auto"/>
          <w:color w:val="auto"/>
        </w:rPr>
        <w:t>Schedule I, Part B</w:t>
      </w:r>
      <w:r>
        <w:rPr>
          <w:rFonts w:ascii="Times New Roman" w:cs="Times New Roman" w:eastAsia="Times New Roman" w:hAnsi="Times New Roman"/>
          <w:sz w:val="18"/>
          <w:szCs w:val="18"/>
          <w:color w:val="auto"/>
        </w:rPr>
        <w:t xml:space="preserve"> hereto (in the case of any Converting Refinancing Term Lender), in each case, under the caption “Refinancing Term Commitment” on the terms set forth in this Amendment. Each Refinancing Term Commitment will terminate in full upon the making of the related Refinancing Term Loan (or conversion, exchange or roll of the related Existing Term Loan, as applicable). In addition, each Refinancing Term Lender waives its right to any compensation pursuant to the Credit Agreement with respect to the prepayment, exchange, roll or conversion of the Existing Term Loans.</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294" w:name="page295"/>
    <w:bookmarkEnd w:id="29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 Substantially simultaneously with the borrowing of Refinancing Term Loans, the Borrower shall use the proceeds of such Refinancing Term Loans to fully prepay all outstanding Existing Term Loans, together with accrued and unpaid interest thereon to the Seventh Amendment Effective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each Converting Refinancing Term Lender irrevocably agrees to accept, in lieu of cash for the outstanding principal amount (or such lesser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as determined by the Lead Arrangers in their discretion) of its Existing Term Loan so prepaid, on the Seventh Amendment Effective Date an equal principal amount of Refinancing Term Loans in accordance with this Amendment.</w:t>
      </w:r>
    </w:p>
    <w:p>
      <w:pPr>
        <w:spacing w:after="0" w:line="7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 Subject to the satisfaction of the conditions to the effectiveness of any Refinancing Amendment set forth in subsection 2.15(b) of the Credit Agreement and to the satisfaction of the conditions set forth in Article III below, the funding of the Refinancing Term Loans will occur in one drawing on the date hereof pursuant to the Borrower’s written notice of such borrowing of Refinancing Term Loans as required by Section 2.02 of the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requirement shall be satisfied so long as such notices of borrowing shall be delivered on or prior to the Seventh Amendment Effective Date. In the event that all or any portion of the Refinancing Term Loans are not borrowed on or before the date hereof, the unborrowed portion of the Refinancing Term Commitments shall automatically terminate on the date hereof unless the Refinancing Term Lenders shall, in their sole discretion, agree to an extension.</w:t>
      </w:r>
    </w:p>
    <w:p>
      <w:pPr>
        <w:spacing w:after="0" w:line="81"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G. The Refinancing Term Commitments provided pursuant to this Amendment shall constitute “Refinancing Term Commitments” referred to in Section 2.15 of the Credit Agreement and, upon the Seventh Amendment Effective Date, the Refinancing Term Commitment of any Refinancing Term Lender shall become the “Refinancing Term Loans” of such Refinancing Term Lender.</w:t>
      </w:r>
    </w:p>
    <w:p>
      <w:pPr>
        <w:spacing w:after="0" w:line="68"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H. Except as expressly set forth herein, the Refinancing Term Loans shall have the same terms (after giving effect to the amendments set forth herein) as “Dollar Term Loans” and “Sixth Amendment 2030 Refinancing Term Loans” for all purposes under the Credit Agreement and each other Loan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Refinancing Term Loans shall be established as a new Class of Dollar Term Loans. Each Refinancing Term Lender shall be deemed to be a “Lender”, a “Term Lender”, a “Dollar Term Lender” and a “Secured Party” for all purposes under the Credit Agreement and each other Loan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Refinancing Term Lenders shall be established as a new Class of Dollar Term Lenders.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Section 1.01 of the Credit Agreement is hereby amended to add the following definitions:</w:t>
      </w:r>
    </w:p>
    <w:p>
      <w:pPr>
        <w:spacing w:after="0" w:line="113" w:lineRule="exact"/>
        <w:rPr>
          <w:sz w:val="20"/>
          <w:szCs w:val="20"/>
          <w:color w:val="auto"/>
        </w:rPr>
      </w:pPr>
    </w:p>
    <w:p>
      <w:pPr>
        <w:ind w:left="98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Seventh Amendment</w:t>
      </w:r>
      <w:r>
        <w:rPr>
          <w:rFonts w:ascii="Times New Roman" w:cs="Times New Roman" w:eastAsia="Times New Roman" w:hAnsi="Times New Roman"/>
          <w:sz w:val="18"/>
          <w:szCs w:val="18"/>
          <w:color w:val="auto"/>
        </w:rPr>
        <w:t>” means the Seventh Amendment to this Agreement, dated as of the Seventh Amendment Effective Date, among Holdings, the Borrower, the other Guarantors party thereto, the Administrative Agent and the Lenders party thereto.”</w:t>
      </w:r>
    </w:p>
    <w:p>
      <w:pPr>
        <w:spacing w:after="0" w:line="47"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Seventh Amendment Effective Date</w:t>
      </w:r>
      <w:r>
        <w:rPr>
          <w:rFonts w:ascii="Times New Roman" w:cs="Times New Roman" w:eastAsia="Times New Roman" w:hAnsi="Times New Roman"/>
          <w:sz w:val="18"/>
          <w:szCs w:val="18"/>
          <w:color w:val="auto"/>
        </w:rPr>
        <w:t>” means May 28, 2026.”</w:t>
      </w:r>
    </w:p>
    <w:p>
      <w:pPr>
        <w:spacing w:after="0" w:line="162"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95" w:name="page296"/>
    <w:bookmarkEnd w:id="295"/>
    <w:p>
      <w:pPr>
        <w:ind w:left="980" w:right="16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Seventh Amendment Refinancing Term Commitment</w:t>
      </w:r>
      <w:r>
        <w:rPr>
          <w:rFonts w:ascii="Times New Roman" w:cs="Times New Roman" w:eastAsia="Times New Roman" w:hAnsi="Times New Roman"/>
          <w:sz w:val="18"/>
          <w:szCs w:val="18"/>
          <w:color w:val="auto"/>
        </w:rPr>
        <w:t>” has the meaning applicable to the term “Refinancing Term Commitment” in the Seventh Amendment.”</w:t>
      </w:r>
    </w:p>
    <w:p>
      <w:pPr>
        <w:spacing w:after="0" w:line="47" w:lineRule="exact"/>
        <w:rPr>
          <w:sz w:val="20"/>
          <w:szCs w:val="20"/>
          <w:color w:val="auto"/>
        </w:rPr>
      </w:pPr>
    </w:p>
    <w:p>
      <w:pPr>
        <w:ind w:left="980" w:right="3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Seventh Amendment Refinancing Term Loans</w:t>
      </w:r>
      <w:r>
        <w:rPr>
          <w:rFonts w:ascii="Times New Roman" w:cs="Times New Roman" w:eastAsia="Times New Roman" w:hAnsi="Times New Roman"/>
          <w:sz w:val="18"/>
          <w:szCs w:val="18"/>
          <w:color w:val="auto"/>
        </w:rPr>
        <w:t>” has the meaning applicable to the term “Refinancing Term Loans” in the Seventh Amendment.”</w:t>
      </w:r>
    </w:p>
    <w:p>
      <w:pPr>
        <w:spacing w:after="0" w:line="5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J. Section 1.01 of the Credit Agreement is hereby amended by amending the definition of “Applicable Rate” by (i) deleting the words “and Sixth Amendment 2030 Refinancing Term Loans” in clause (b) thereof, (ii) inserting the following new clause (d) in the correct order therein and (iii) amending and restating clause (c) thereof as follows:</w:t>
      </w:r>
    </w:p>
    <w:p>
      <w:pPr>
        <w:spacing w:after="0" w:line="68" w:lineRule="exact"/>
        <w:rPr>
          <w:sz w:val="20"/>
          <w:szCs w:val="20"/>
          <w:color w:val="auto"/>
        </w:rPr>
      </w:pPr>
    </w:p>
    <w:p>
      <w:pPr>
        <w:ind w:left="980" w:right="160"/>
        <w:spacing w:after="0" w:line="282" w:lineRule="auto"/>
        <w:rPr>
          <w:sz w:val="20"/>
          <w:szCs w:val="20"/>
          <w:color w:val="auto"/>
        </w:rPr>
      </w:pPr>
      <w:r>
        <w:rPr>
          <w:rFonts w:ascii="Times New Roman" w:cs="Times New Roman" w:eastAsia="Times New Roman" w:hAnsi="Times New Roman"/>
          <w:sz w:val="18"/>
          <w:szCs w:val="18"/>
          <w:color w:val="auto"/>
        </w:rPr>
        <w:t>“(c) with respect to Revolving Credit Loans, the following percentages per annum, based upon the Consolidated First Lien Net Leverage Ratio as set forth in the most recent Compliance Certificate received by the Administrative Agent pursuant to Section 6.02(a):</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Applicable Rate</w:t>
            </w:r>
          </w:p>
        </w:tc>
        <w:tc>
          <w:tcPr>
            <w:tcW w:w="10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500" w:type="dxa"/>
            <w:vAlign w:val="bottom"/>
            <w:gridSpan w:val="2"/>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70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Term SOFR and</w:t>
            </w: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Alternative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First Lien</w:t>
            </w:r>
          </w:p>
        </w:tc>
        <w:tc>
          <w:tcPr>
            <w:tcW w:w="1700" w:type="dxa"/>
            <w:vAlign w:val="bottom"/>
            <w:gridSpan w:val="2"/>
            <w:vMerge w:val="continue"/>
          </w:tcPr>
          <w:p>
            <w:pPr>
              <w:spacing w:after="0"/>
              <w:rPr>
                <w:sz w:val="12"/>
                <w:szCs w:val="12"/>
                <w:color w:val="auto"/>
              </w:rPr>
            </w:pPr>
          </w:p>
        </w:tc>
        <w:tc>
          <w:tcPr>
            <w:tcW w:w="152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Base Rate</w:t>
            </w: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Currency Daily</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7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RFR</w:t>
            </w:r>
          </w:p>
        </w:tc>
        <w:tc>
          <w:tcPr>
            <w:tcW w:w="1520" w:type="dxa"/>
            <w:vAlign w:val="bottom"/>
            <w:gridSpan w:val="2"/>
            <w:vMerge w:val="continue"/>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Rate for</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334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Leverage</w:t>
            </w:r>
          </w:p>
        </w:tc>
        <w:tc>
          <w:tcPr>
            <w:tcW w:w="17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for Revolving</w:t>
            </w: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for Revolving</w:t>
            </w: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Revolving Credit</w:t>
            </w:r>
          </w:p>
        </w:tc>
        <w:tc>
          <w:tcPr>
            <w:tcW w:w="0" w:type="dxa"/>
            <w:vAlign w:val="bottom"/>
          </w:tcPr>
          <w:p>
            <w:pPr>
              <w:spacing w:after="0"/>
              <w:rPr>
                <w:sz w:val="1"/>
                <w:szCs w:val="1"/>
                <w:color w:val="auto"/>
              </w:rPr>
            </w:pPr>
          </w:p>
        </w:tc>
      </w:tr>
      <w:tr>
        <w:trPr>
          <w:trHeight w:val="165"/>
        </w:trPr>
        <w:tc>
          <w:tcPr>
            <w:tcW w:w="820" w:type="dxa"/>
            <w:vAlign w:val="bottom"/>
            <w:tcBorders>
              <w:bottom w:val="single" w:sz="8" w:color="auto"/>
            </w:tcBorders>
            <w:vMerge w:val="continue"/>
          </w:tcPr>
          <w:p>
            <w:pPr>
              <w:spacing w:after="0"/>
              <w:rPr>
                <w:sz w:val="13"/>
                <w:szCs w:val="13"/>
                <w:color w:val="auto"/>
              </w:rPr>
            </w:pPr>
          </w:p>
        </w:tc>
        <w:tc>
          <w:tcPr>
            <w:tcW w:w="3340" w:type="dxa"/>
            <w:vAlign w:val="bottom"/>
          </w:tcPr>
          <w:p>
            <w:pPr>
              <w:spacing w:after="0"/>
              <w:rPr>
                <w:sz w:val="13"/>
                <w:szCs w:val="13"/>
                <w:color w:val="auto"/>
              </w:rPr>
            </w:pPr>
          </w:p>
        </w:tc>
        <w:tc>
          <w:tcPr>
            <w:tcW w:w="150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Ratio</w:t>
            </w:r>
          </w:p>
        </w:tc>
        <w:tc>
          <w:tcPr>
            <w:tcW w:w="170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Credit Loans</w:t>
            </w:r>
          </w:p>
        </w:tc>
        <w:tc>
          <w:tcPr>
            <w:tcW w:w="152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Credit Loans</w:t>
            </w:r>
          </w:p>
        </w:tc>
        <w:tc>
          <w:tcPr>
            <w:tcW w:w="12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0"/>
        </w:trPr>
        <w:tc>
          <w:tcPr>
            <w:tcW w:w="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33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 w:type="dxa"/>
            <w:vAlign w:val="bottom"/>
            <w:vMerge w:val="continue"/>
            <w:shd w:val="clear" w:color="auto" w:fill="CCEEFF"/>
          </w:tcPr>
          <w:p>
            <w:pPr>
              <w:spacing w:after="0"/>
              <w:rPr>
                <w:sz w:val="17"/>
                <w:szCs w:val="17"/>
                <w:color w:val="auto"/>
              </w:rPr>
            </w:pPr>
          </w:p>
        </w:tc>
        <w:tc>
          <w:tcPr>
            <w:tcW w:w="334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&gt; 3.25:1.00</w:t>
            </w:r>
          </w:p>
        </w:tc>
        <w:tc>
          <w:tcPr>
            <w:tcW w:w="600" w:type="dxa"/>
            <w:vAlign w:val="bottom"/>
            <w:vMerge w:val="continue"/>
            <w:shd w:val="clear" w:color="auto" w:fill="CCEEFF"/>
          </w:tcPr>
          <w:p>
            <w:pPr>
              <w:spacing w:after="0"/>
              <w:rPr>
                <w:sz w:val="17"/>
                <w:szCs w:val="17"/>
                <w:color w:val="auto"/>
              </w:rPr>
            </w:pPr>
          </w:p>
        </w:tc>
        <w:tc>
          <w:tcPr>
            <w:tcW w:w="1700" w:type="dxa"/>
            <w:vAlign w:val="bottom"/>
            <w:gridSpan w:val="2"/>
            <w:shd w:val="clear" w:color="auto" w:fill="CCEEFF"/>
          </w:tcPr>
          <w:p>
            <w:pPr>
              <w:jc w:val="right"/>
              <w:ind w:right="520"/>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1520" w:type="dxa"/>
            <w:vAlign w:val="bottom"/>
            <w:gridSpan w:val="2"/>
            <w:shd w:val="clear" w:color="auto" w:fill="CCEEFF"/>
          </w:tcPr>
          <w:p>
            <w:pPr>
              <w:jc w:val="right"/>
              <w:ind w:right="540"/>
              <w:spacing w:after="0" w:line="203" w:lineRule="exact"/>
              <w:rPr>
                <w:sz w:val="20"/>
                <w:szCs w:val="20"/>
                <w:color w:val="auto"/>
              </w:rPr>
            </w:pPr>
            <w:r>
              <w:rPr>
                <w:rFonts w:ascii="Times New Roman" w:cs="Times New Roman" w:eastAsia="Times New Roman" w:hAnsi="Times New Roman"/>
                <w:sz w:val="18"/>
                <w:szCs w:val="18"/>
                <w:color w:val="auto"/>
              </w:rPr>
              <w:t>0.50%</w:t>
            </w:r>
          </w:p>
        </w:tc>
        <w:tc>
          <w:tcPr>
            <w:tcW w:w="12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34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 3.25:1.00</w:t>
            </w: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1.25%</w:t>
            </w: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0.25%</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right="80"/>
        <w:spacing w:after="0" w:line="282" w:lineRule="auto"/>
        <w:rPr>
          <w:sz w:val="20"/>
          <w:szCs w:val="20"/>
          <w:color w:val="auto"/>
        </w:rPr>
      </w:pPr>
      <w:r>
        <w:rPr>
          <w:rFonts w:ascii="Times New Roman" w:cs="Times New Roman" w:eastAsia="Times New Roman" w:hAnsi="Times New Roman"/>
          <w:sz w:val="18"/>
          <w:szCs w:val="18"/>
          <w:color w:val="auto"/>
        </w:rPr>
        <w:t>“(d) with respect to the Seventh Amendment Refinancing Term Loans, a percentage per annum equal to (x) for Term SOFR Loans, 1.50% and (y) for Base Rate Loans, 0.50%.”</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 Section 1.01 of the Credit Agreement is hereby amended by amending and restating clause (iv) of the definition of “Maturity Date” as follows:</w:t>
      </w:r>
    </w:p>
    <w:p>
      <w:pPr>
        <w:spacing w:after="0" w:line="117"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“(iv) with respect to the Seventh Amendment Refinancing Term Loans, the date that is seven years after the Seventh Amendment Effective Date,”</w:t>
      </w:r>
    </w:p>
    <w:p>
      <w:pPr>
        <w:spacing w:after="0" w:line="54"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L. Section 1.01 of the Credit Agreement is hereby amended by adding “or the Seventh Amendment Refinancing Term Loans incurred on the Seventh Amendment Effective Date” immediately after “Sixth Amendment Effective Date” in the definition of “Repricing Transaction”.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296" w:name="page297"/>
    <w:bookmarkEnd w:id="29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 Section 2.05(a)(iv) of the Credit Agreement is hereby amended by amending and restating such section in its entirety as follows:</w:t>
      </w:r>
    </w:p>
    <w:p>
      <w:pPr>
        <w:spacing w:after="0" w:line="117"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with respect to the Seventh Amendment Refinancing Term Loans, on or prior to the six-month anniversary of the Seventh Amendment Effective Date, the Borrower (x) prepays, refinances, substitutes or replaces any Seventh Amendment Refinancing Term Loans pursuant to a Repricing Transaction (including, for avoidance of doubt, any prepayment made pursuant to Section 2.05(b)(iii) that constitutes a Repricing Transaction), or (y) effects any amendment, amendment and restatement or other modification of this Agreement resulting in a Repricing Transaction, the Borrower shall pay to the Administrative Agent, for the ratable account of each of the applicable Term Lenders holding Seventh Amendment Refinancing Term Loans, (1) in the case of clause (x) above, a prepayment premium of 1.00% of the aggregate principal amount of the applicable Seventh Amendment Refinancing Term Loans incurred on the Seventh Amendment Effective Date so prepaid, refinanced, substituted or replaced and</w:t>
      </w:r>
    </w:p>
    <w:p>
      <w:pPr>
        <w:spacing w:after="0" w:line="3" w:lineRule="exact"/>
        <w:rPr>
          <w:sz w:val="20"/>
          <w:szCs w:val="20"/>
          <w:color w:val="auto"/>
        </w:rPr>
      </w:pPr>
    </w:p>
    <w:p>
      <w:pPr>
        <w:ind w:left="4" w:hanging="4"/>
        <w:spacing w:after="0" w:line="251" w:lineRule="auto"/>
        <w:tabs>
          <w:tab w:leader="none" w:pos="25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(y) above, a fee equal to 1.00% of the aggregate principal amount of the applicable Seventh Amendment Refinancing Term Loans amended or otherwise modified pursuant to such amendment. If, with respect to the Seventh Amendment Refinancing Term Loans, on or prior to the six-month anniversary of the Seventh Amendment Effective Date, any Term Lender holding Seventh Amendment Refinancing Term Loans, as applicable, that is a Non-Consenting Lender and is replaced pursuant to Section 3.07(a) in connection with any amendment, amendment and restatement or other modification of this Agreement resulting in a Repricing Transaction, such Term Lender holding Seventh Amendment Refinancing Term Loans, as applicable (and not any Person who replaces such Term Lender pursuant to Section 3.07(a)), shall receive its pro rata portion (as determined immediately prior to it being so replaced) of the prepayment premium or fee described in the preceding sentence. Such amounts shall be due and payable on the date of effectiveness of such Repricing Transaction.”</w:t>
      </w:r>
    </w:p>
    <w:p>
      <w:pPr>
        <w:spacing w:after="0" w:line="8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2.06(b) of the Credit Agreement is hereby amended by adding the following immediately prior to the final sentence thereof:</w:t>
      </w:r>
    </w:p>
    <w:p>
      <w:pPr>
        <w:spacing w:after="0" w:line="117"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“The Seventh Amendment Refinancing Term Commitment of each Refinancing Term Lender shall be automatically and permanently reduced to $0 upon the funding of the Refinancing Term Loans to be made by it on the Seventh Amendment Effective Date.”</w:t>
      </w:r>
    </w:p>
    <w:p>
      <w:pPr>
        <w:spacing w:after="0" w:line="54"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O. The second to last sentence of Section 2.07(a) of the Credit Agreement is hereby amended by amending and restating such sentence in its entirety as follows: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Borrower shall repay to the Administrative Agent for the ratable account of the applicable Seventh Amendment Refinancing Term Lenders</w:t>
      </w:r>
    </w:p>
    <w:p>
      <w:pPr>
        <w:spacing w:after="0" w:line="27" w:lineRule="exact"/>
        <w:rPr>
          <w:sz w:val="20"/>
          <w:szCs w:val="20"/>
          <w:color w:val="auto"/>
        </w:rPr>
      </w:pPr>
    </w:p>
    <w:p>
      <w:pPr>
        <w:ind w:left="4" w:right="20" w:hanging="4"/>
        <w:spacing w:after="0" w:line="253" w:lineRule="auto"/>
        <w:tabs>
          <w:tab w:leader="none" w:pos="21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March, June, September and December, commencing with June 30, 2026, an aggregate principal amount of Seventh Amendment Refinancing Term Loans equal to 0.25% of the aggregate principal amount of all Seventh Amendment Refinancing Term Loans outstanding on the Seventh Amendment Effective Date (which payments shall be reduced as a result of the application of prepayments in accordance with the order of priority set forth in Section 2.05) and (ii) on the Maturity Date for the Seventh Amendment Refinancing Term Loans, the aggregate principal amount of all Seventh Amendment Refinancing Term Loans outstanding on such date.”</w:t>
      </w:r>
    </w:p>
    <w:p>
      <w:pPr>
        <w:spacing w:after="0" w:line="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 Section 6.18 of the Credit Agreement is hereby amended by adding the following immediately after the second sentence thereof:</w:t>
      </w:r>
    </w:p>
    <w:p>
      <w:pPr>
        <w:spacing w:after="0" w:line="117"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“The proceeds of the Refinancing Term Loans received on the Seventh Amendment Effective Date, shall be used (i) to repay the Sixth Amendment 2030 Refinancing Term Loans outstanding hereunder immediately prior to the Seventh Amendment Effective Date in full, (ii) to pay fees, costs and expenses in connection with the transactions contemplated by the Seventh Amendment and (iii) for working capital, general corporate purposes and any other purpose not prohibited hereunder.”</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297" w:name="page298"/>
    <w:bookmarkEnd w:id="2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Loan Party represents and warrants, as of the Seventh Amendment Effective Date, to the Administrative Agent and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Refinancing Term Lenders that:</w:t>
      </w:r>
    </w:p>
    <w:p>
      <w:pPr>
        <w:spacing w:after="0" w:line="9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 This Amendment has been duly executed and delivered by such Loan Party and constitutes the legal, valid and binding obligation of such Loan Party, enforceable against such Loan Party in accordance with its terms, except to the extent that the enforceability thereof may be limited by Debtor Relief Laws and by general principles of equity.</w:t>
      </w:r>
    </w:p>
    <w:p>
      <w:pPr>
        <w:spacing w:after="0" w:line="68"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B. The representations and warranties of each Loan Party set forth in the Loan Documents (including, for the avoidance of doubt, this Amendment as a Loan Document) are true and correct in all material respects (except that any such representation and warranty that is qualified as to “materiality” or “Material Adverse Effect” is true and correct in all respects as so qualified) on and as of the date such representation and warranty is made, except to the extent such representations and warranties expressly relate to an earlier date (in which case such representations and warranties were true and correct in all material respects as of such earlier date).</w:t>
      </w:r>
    </w:p>
    <w:p>
      <w:pPr>
        <w:spacing w:after="0" w:line="7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C. At the time that the Refinancing Term Loans are made (and after giving effect thereto), no Default or Event of Default has occurred and is continuing.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to Effectiveness</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This Amendment shall become effective on the date (the “</w:t>
      </w:r>
      <w:r>
        <w:rPr>
          <w:rFonts w:ascii="Times New Roman" w:cs="Times New Roman" w:eastAsia="Times New Roman" w:hAnsi="Times New Roman"/>
          <w:sz w:val="18"/>
          <w:szCs w:val="18"/>
          <w:b w:val="1"/>
          <w:bCs w:val="1"/>
          <w:color w:val="auto"/>
        </w:rPr>
        <w:t>Seventh Amendment Effective Date</w:t>
      </w:r>
      <w:r>
        <w:rPr>
          <w:rFonts w:ascii="Times New Roman" w:cs="Times New Roman" w:eastAsia="Times New Roman" w:hAnsi="Times New Roman"/>
          <w:sz w:val="18"/>
          <w:szCs w:val="18"/>
          <w:color w:val="auto"/>
        </w:rPr>
        <w:t>”) on which each of the following conditions is satisfied:</w:t>
      </w:r>
    </w:p>
    <w:p>
      <w:pPr>
        <w:spacing w:after="0" w:line="5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The Administrative Agent (or its counsel) shall have received (a) a counterpart of this Amendment or a completed converting lender election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from each Refinancing Term Lender, (b) with respect to the amendment to clause (c) of the definition of “Applicable Rate” set forth in this Amendment, a counterpart of this Amendment from each Revolving Credit Lender and (c) a counterpart of this Amendment from each Loan Party signed on behalf of such party.</w:t>
      </w:r>
    </w:p>
    <w:p>
      <w:pPr>
        <w:spacing w:after="0" w:line="7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B. The Administrative Agent (or its counsel) shall have received a legal opinion from Simpson Thacher &amp; Bartlett LLP, New York counsel to the Loan Parties in form and substance reasonably satisfactory to the Administrative Agent and its legal counsel.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298" w:name="page299"/>
    <w:bookmarkEnd w:id="298"/>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The Administrative Agent (or its counsel) shall have received certificates of good standing (to the extent such concept exists) from the applicable secretary of state of the state of organization of each Loan Party (“</w:t>
      </w:r>
      <w:r>
        <w:rPr>
          <w:rFonts w:ascii="Times New Roman" w:cs="Times New Roman" w:eastAsia="Times New Roman" w:hAnsi="Times New Roman"/>
          <w:sz w:val="18"/>
          <w:szCs w:val="18"/>
          <w:b w:val="1"/>
          <w:bCs w:val="1"/>
          <w:color w:val="auto"/>
        </w:rPr>
        <w:t>Good Standing Certificates</w:t>
      </w:r>
      <w:r>
        <w:rPr>
          <w:rFonts w:ascii="Times New Roman" w:cs="Times New Roman" w:eastAsia="Times New Roman" w:hAnsi="Times New Roman"/>
          <w:sz w:val="18"/>
          <w:szCs w:val="18"/>
          <w:color w:val="auto"/>
        </w:rPr>
        <w:t xml:space="preserve">”), certificates of resolution or other action, incumbency certificates, certificates of incorporation and/or other certificates of Responsible Officers of each Loan Party as the Administrative Agent may reasonably require evidencing the identity, authority and capacity of each Responsible Officer thereof authorized to act as a Responsible Officer in connection with this Amendment and the other Loan Documents to which such Loan Party is a party or is to be a party on the Seventh Amendment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lieu of such documents or agreements, other than certificates of resolution or other action and the Good Standing Certificates, referred to above, such certificate may certify that since the Sixth Amendment Effective Date, there have been no changes to the Organizational Documents of such Loan Party (except as otherwise attached to such certificate and certified therein as being the only amendments thereto as of such date) and no changes have been made to the incumbency certificate of the officers of such Loan Party delivered on the Closing Date, the Second Amendment Effective Date, the Third Amendment Effective Date, the Fourth Amendment Effective Date, the Fifth Amendment Effective Date or the Sixth Amendment Effective Date, as applicable, by such Loan Party.</w:t>
      </w:r>
    </w:p>
    <w:p>
      <w:pPr>
        <w:spacing w:after="0" w:line="84"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D. The Administrative Agent shall have received at least three Business Days prior to the Seventh Amendment Effective Date all documentation and other information about the Borrower and the Guarantors required under applicable “</w:t>
      </w:r>
      <w:r>
        <w:rPr>
          <w:rFonts w:ascii="Times New Roman" w:cs="Times New Roman" w:eastAsia="Times New Roman" w:hAnsi="Times New Roman"/>
          <w:sz w:val="18"/>
          <w:szCs w:val="18"/>
          <w:b w:val="1"/>
          <w:bCs w:val="1"/>
          <w:color w:val="auto"/>
        </w:rPr>
        <w:t>know your customer</w:t>
      </w:r>
      <w:r>
        <w:rPr>
          <w:rFonts w:ascii="Times New Roman" w:cs="Times New Roman" w:eastAsia="Times New Roman" w:hAnsi="Times New Roman"/>
          <w:sz w:val="18"/>
          <w:szCs w:val="18"/>
          <w:color w:val="auto"/>
        </w:rPr>
        <w:t>” and anti-money laundering rules and regulations, including the USA PATRIOT Act that has been requested by the Administrative Agent in writing at least ten Business Days prior to the Seventh Amendment Effective Date.</w:t>
      </w:r>
    </w:p>
    <w:p>
      <w:pPr>
        <w:spacing w:after="0" w:line="72"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E. The Borrower shall have (i)(a) paid all reasonable fees and out-of-pocket and documented costs and expenses of the Administrative Agent in connection with the execution and delivery of this Amendment pursuant to the terms of the Credit Agreement (to the extent invoiced prior to the Seventh Amendment Effective Date) and (b) all fees and expenses required to be paid by the Borrower, including pursuant to the engagement letter, dated as of May 12, 2026, by and among the Borrower and the Lead Arrangers and (ii) simultaneously with the borrowing of Refinancing Term Loans hereunder, fully prepaid any outstanding Existing Term Loans, together with accrued and unpaid interest thereon to the Seventh Amendment Effective Date;</w:t>
      </w:r>
    </w:p>
    <w:p>
      <w:pPr>
        <w:spacing w:after="0" w:line="6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F. The Borrower shall have delivered to the Administrative Agent a certificate of a Responsible Officer, dated the date of borrowing, in form and substance reasonably satisfactory to the Administrative Agent, certifying as of the date of borrowing to clauses (B) and (C) of Article II above.</w:t>
      </w:r>
    </w:p>
    <w:p>
      <w:pPr>
        <w:spacing w:after="0" w:line="54"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G. The Borrower shall have delivered to the Administrative Agent one or more notices of such borrowing of Refinancing Term Loans as required by Section 2.02 of the Credit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requirement shall be satisfied so long as such notices of borrowing shall be delivered on or prior to the Seventh Amendment Effective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99" w:name="page300"/>
    <w:bookmarkEnd w:id="2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Further Acknowledgments</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A. The Borrower (x) acknowledges and agrees that (i) it shall be liable for all Obligations with respect to the Refinancing Term Commitments provided hereby including, without limitation, all Refinancing Term Loans made available pursuant hereto, (ii) all such Obligations (including all such Refinancing Term Loans) shall be entitled to the benefits of the Loan Documents and (iii) after giving effect to this Amendment, the Collateral Documents continue to be in full force and effect and (y) affirms and confirms the pledge of and/or grant of security interest in its assets as Collateral to secure the Obligations, which continue in full force and effect.</w:t>
      </w:r>
    </w:p>
    <w:p>
      <w:pPr>
        <w:spacing w:after="0" w:line="7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B. Each Guarantor acknowledges and agrees to each of the provisions of this Amendment and to the incurrence of the Refinancing Term Loans to be made pursuant hereto. Each Guarantor acknowledges and agrees that all Obligations with respect to the Refinancing Term Commitments provided hereby including, without limitation, all Refinancing Term Loans made available pursuant hereto shall (i) be fully guaranteed pursuant to the Guaranty as, and to the extent, provided herein and in the Credit Agreement and (ii) be entitled to the benefits of the Loan Documents. Each Guarantor acknowledges and agrees that after giving effect to this Amendment, the Guaranty and the Collateral Documents continue to be in full force and effect and affirms and confirms its guarantee of the Obligations and the pledge of and/or grant of security interest in its assets as Collateral to secure the Obligations, which continue in full force and effect.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Except as expressly set forth herein, this Amendment shall not by implication or otherwise limit, impair, constitute a waiver of or otherwise affect the rights and remedies of the Lenders, the Administrative Agent, the Lead Arrangers, the other Secured Parties, the Borrower or any other Loan Party under the Credit Agreement or any other Loan Document, and shall not alter, modify, amend or in any way affect any of the terms, conditions, obligations, covenants or agreements contained in the Credit Agreement or any other Loan Document or any exhibits or schedules thereto, all of which are ratified and affirmed in all respects and shall continue in full force and effect after giving effect to this Amendment. After the Seventh Amendment Effective Date, any reference to the Credit Agreement shall mean the Credit Agreement as modified hereby. This Amendment shall constitute a “Loan Document” for all purposes of the Credit Agreement and the other Loan Documents.</w:t>
      </w:r>
    </w:p>
    <w:p>
      <w:pPr>
        <w:spacing w:after="0" w:line="8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This Amendment shall not extinguish the Obligations for the payment of money outstanding under the Credit Agreement or discharge or release the lien or priority of any Loan Document or any other security therefor or any guarantee thereof, and the liens and security interests existing immediately prior to the Seventh Amendment Effective Date in favor of the Collateral Agent for the benefit of the Secured Parties securing payment of the Obligations are in all respects continuing and in full force and effect with respect to all Obligations. Except as expressly provided, nothing herein contained shall be construed as a substitution 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300" w:name="page301"/>
    <w:bookmarkEnd w:id="300"/>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novation, or a payment and reborrowing, or a termination, of the Obligations outstanding under the Credit Agreement or instruments guaranteeing or securing the same, which shall remain in full force and effect, except as modified hereby or by instruments executed concurrently herewith. Nothing expressed or implied in this Amendment or any other document contemplated hereby shall be construed as a release or other discharge of any Loan Party under the Credit Agreement or any Loan Document from any of its obligations and liabilities thereunder, and except as expressly provided, such obligations are in all respects continuing with only the terms being modified as provided in this Amendment.</w:t>
      </w:r>
    </w:p>
    <w:p>
      <w:pPr>
        <w:spacing w:after="0" w:line="7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Amendment shall be binding upon the parties hereto and their respective successors and assigns and shall inure to the benefit of the parties hereto and the successors and assigns of the Refinancing Term Lenders (it being understood that rights of assignment of the parties hereto are subject to the further provisions of Section 10.07 of the Credit Agreement).</w:t>
      </w:r>
    </w:p>
    <w:p>
      <w:pPr>
        <w:spacing w:after="0" w:line="68"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Governing Law; Jurisdiction</w:t>
      </w:r>
      <w:r>
        <w:rPr>
          <w:rFonts w:ascii="Times New Roman" w:cs="Times New Roman" w:eastAsia="Times New Roman" w:hAnsi="Times New Roman"/>
          <w:sz w:val="17"/>
          <w:szCs w:val="17"/>
          <w:color w:val="auto"/>
        </w:rPr>
        <w:t>. THIS AMENDMENT AND ANY CLAIM, CONTROVERSY OR DISPUTE (WHETHER BASED ON CONTRACT, TORT OR ANY OTHER THEORY AND WHETHER AT LAW OR IN EQUITY) ARISING UNDER, OR RELATED TO, THIS AMENDMENT SHALL BE GOVERNED BY, AND CONSTRUED IN ACCORDANCE WITH, THE LAW OF THE STATE OF NEW YORK. ANY LEGAL ACTION OR PROCEEDING (WHETHER BASED IN CONTRACT, TORT OR ANY OTHER THEORY AND WHETHER AT LAW OR IN EQUITY) ARISING UNDER THIS AMENDMENT OR IN ANY WAY CONNECTED WITH OR RELATED OR INCIDENTAL TO THE DEALINGS OF THE PARTIES HERETO OR ANY OF THEM WITH RESPECT TO THIS AMENDMENT, OR THE TRANSACTIONS RELATED THERETO, IN EACH CASE WHETHER NOW EXISTING OR HEREAFTER ARISING, SHALL BE BROUGHT IN THE COURTS OF THE STATE OF NEW YORK SITTING IN NEW YORK COUNTY OR OF THE UNITED STATES FOR THE SOUTHERN DISTRICT OF SUCH STATE, AND BY EXECUTION AND DELIVERY OF THIS AMENDMENT, EACH LOAN PARTY, THE ADMINISTRATIVE AGENT AND EACH LENDER PARTY HERETO CONSENTS, FOR ITSELF AND IN RESPECT OF ITS PROPERTY, TO THE EXCLUSIVE JURISDICTION OF THOSE COURTS AND AGREES THAT IT WILL NOT COMMENCE OR SUPPORT ANY SUCH ACTION OR PROCEEDING IN ANOTHER JURISDICTION. EACH LOAN PARTY, THE ADMINISTRATIVE AGENT AND EACH LENDER PARTY HERETO IRREVOCABLY WAIVES ANY OBJECTION, INCLUDING ANY OBJECTION TO THE LAYING OF VENUE OR BASED ON THE GROUNDS OF FORUM NON CONVENIENS, WHICH IT MAY NOW OR HEREAFTER HAVE TO THE BRINGING OF ANY ACTION OR PROCEEDING IN SUCH JURISDICTION IN RESPECT OF THIS AMENDMENT OR OTHER DOCUMENT RELATED HERETO. EACH PARTY HERETO IRREVOCABLY CONSENTS TO SERVICE OF PROCESS IN ANY ACTION OR PROCEEDING ARISING OUT OF OR RELATING TO THIS AMENDMENT IN THE MANNER PROVIDED FOR NOTICES (OTHER THAN TELECOPIER OR OTHER ELECTRONIC TRANSMISSION) IN SECTION 10.02 OF THE CREDIT AGREEMENT. NOTHING IN THIS AMENDMENT WILL AFFECT THE RIGHT OF ANY PARTY HERETO TO SERVE PROCESS IN ANY OTHER MANNER PERMITTED BY APPLICABLE LAW. NOTHING IN THIS AMENDMENT SHALL AFFECT ANY RIGHT THAT THE ADMINISTRATIVE AGENT OR ANY LENDER MAY OTHERWISE HAVE TO BRING ANY ACTION TO ENFORCE ANY AWARD OR JUDGMENT OR EXERCISE ANY RIGHT UNDER THE COLLATERAL DOCUMENTS AGAINST ANY COLLATERAL OR ANY OTHER PROPERTY OF ANY LOAN PARTY IN ANY OTHER FORUM IN ANY JURISDICTION IN WHICH COLLATERAL IS LOCATED.</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01" w:name="page302"/>
    <w:bookmarkEnd w:id="30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 </w:t>
      </w:r>
      <w:r>
        <w:rPr>
          <w:rFonts w:ascii="Times New Roman" w:cs="Times New Roman" w:eastAsia="Times New Roman" w:hAnsi="Times New Roman"/>
          <w:sz w:val="18"/>
          <w:szCs w:val="18"/>
          <w:u w:val="single" w:color="auto"/>
          <w:color w:val="auto"/>
        </w:rPr>
        <w:t>Waiver of Right to Jury Trial</w:t>
      </w:r>
      <w:r>
        <w:rPr>
          <w:rFonts w:ascii="Times New Roman" w:cs="Times New Roman" w:eastAsia="Times New Roman" w:hAnsi="Times New Roman"/>
          <w:sz w:val="18"/>
          <w:szCs w:val="18"/>
          <w:color w:val="auto"/>
        </w:rPr>
        <w:t>. TO THE EXTENT PERMITTED BY APPLICABLE LAW, EACH PARTY TO THIS AMENDMENT HEREBY EXPRESSLY WAIVES ANY RIGHT TO TRIAL BY JURY OF ANY CLAIM, DEMAND, ACTION OR CAUSE OF ACTION ARISING UNDER THIS AMENDMENT OR IN ANY WAY CONNECTED WITH OR RELATED OR INCIDENTAL TO THE DEALINGS OF THE PARTIES HERETO OR ANY OF THEM WITH RESPECT TO THIS AMENDMENT, OR THE TRANSACTIONS RELATED 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AMENDMENT MAY FILE AN ORIGINAL COUNTERPART OR A COPY OF THIS SECTION WITH ANY COURT AS WRITTEN EVIDENCE OF THE CONSENT OF THE SIGNATORIES HERETO TO THE WAIVER OF THEIR RIGHT TO TRIAL BY JURY.</w:t>
      </w:r>
    </w:p>
    <w:p>
      <w:pPr>
        <w:spacing w:after="0" w:line="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and by the different parties hereto on separate counterparts, each of which counterparts shall be an original, but all of which shall together constitute one and the same instrument. This Amendment may be delivered by facsimile, electronic mail (including pdf) or any electronic signature complying with the U.S. federal ESIGN Act of 2000 or the New York Electronic Signature and Records Act or other electronic transmission of the relevant signature pages hereof, and any counterpart so delivered shall be deemed to have been duly and validly delivered and be valid and effective for all purposes to the fullest extent permitted by applicable law. For the avoidance of doubt, the foregoing also applies to any amendment, extension or renewal of this Amendment. Each of the parties hereto represents and warrants to the other parties that it has the corporate capacity and authority to execute this Amendment through electronic means and that there are no restrictions for doing so in that party’s constitutive documents. A set of counterparts executed by all the parties hereto shall be lodged with the Borrower and the Administrative Agent.</w:t>
      </w:r>
    </w:p>
    <w:p>
      <w:pPr>
        <w:spacing w:after="0" w:line="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several sections and subsections of this Amendment are inserted for convenience only and shall not in any way affect the meaning or construction of any provision of this Amendment.</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Amendments; Severability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A. This Amendment may not be amended nor may any provision hereof be waived except pursuant to a writing signed by each of the parties hereto;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02" w:name="page303"/>
    <w:bookmarkEnd w:id="302"/>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70" w:right="519" w:bottom="1440" w:gutter="0" w:footer="0" w:header="0"/>
        </w:sectPr>
      </w:pPr>
    </w:p>
    <w:bookmarkStart w:id="303" w:name="page304"/>
    <w:bookmarkEnd w:id="303"/>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to be duly executed by their respective authorized officers as of the day and year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MEDLINE BORROWER,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MOZART GP,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MEDLINE INTERMEDIATE,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MOZART GP,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MEDLINE CO-ISSUER, INC., </w:t>
      </w:r>
      <w:r>
        <w:rPr>
          <w:rFonts w:ascii="Times New Roman" w:cs="Times New Roman" w:eastAsia="Times New Roman" w:hAnsi="Times New Roman"/>
          <w:sz w:val="18"/>
          <w:szCs w:val="18"/>
          <w:color w:val="auto"/>
        </w:rPr>
        <w:t>as a Subsidiary Guarantor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11000"/>
          </w:cols>
          <w:pgMar w:left="440" w:top="270" w:right="459" w:bottom="1440" w:gutter="0" w:footer="0" w:header="0"/>
        </w:sectPr>
      </w:pPr>
    </w:p>
    <w:bookmarkStart w:id="304" w:name="page305"/>
    <w:bookmarkEnd w:id="30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APLICARE PRODUCTS,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ESMA-MED-UXBRIDGE,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ESNY-MED-MONTGOMERY,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EXCELSIOR MEDICAL,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HEALTHCARE RECOVERY SERVICES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MBSI,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MEXICO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MILLS INDUSTRIES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MILLS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PHARMACY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SOONER ACQUISITION,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UNITED KINGDOM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VENTURES,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MEDTRANS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NORTHPOINT MEDICAL PROCESSING,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PDM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SIMCON INTERNATIONAL,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SURGICAL INSTRUMENT SERVICES AND</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SAVINGS,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SUTURE EXPRESS,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TRI-STATE MEXICO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INTERNATIONAL TWO,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PREFCONNECT,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each, as a Subsidiary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MEDLINE INDUSTRIES,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MOZART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MEDLINE INTERNATIONAL HOLDCO, INC., </w:t>
      </w:r>
      <w:r>
        <w:rPr>
          <w:rFonts w:ascii="Times New Roman" w:cs="Times New Roman" w:eastAsia="Times New Roman" w:hAnsi="Times New Roman"/>
          <w:sz w:val="18"/>
          <w:szCs w:val="18"/>
          <w:color w:val="auto"/>
        </w:rPr>
        <w:t>as a</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Subsidiary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720"/>
          </w:cols>
          <w:pgMar w:left="1440" w:top="266" w:right="739" w:bottom="1440" w:gutter="0" w:footer="0" w:header="0"/>
        </w:sectPr>
      </w:pPr>
    </w:p>
    <w:bookmarkStart w:id="305" w:name="page306"/>
    <w:bookmarkEnd w:id="30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CENTURION MEDICAL PRODUCTS,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MEDLINE INDUSTRIES, LP, </w:t>
      </w:r>
      <w:r>
        <w:rPr>
          <w:rFonts w:ascii="Times New Roman" w:cs="Times New Roman" w:eastAsia="Times New Roman" w:hAnsi="Times New Roman"/>
          <w:sz w:val="18"/>
          <w:szCs w:val="18"/>
          <w:color w:val="auto"/>
        </w:rPr>
        <w:t>each as a Subsidiary</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MOZART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BERMUDA HOLDINGS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INTERNATIONAL, LLC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MEDLINE SOLUCIONES MEDICAS HOLDINGS,</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MEXICALI DIRECTO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MICROTEK DOMINICANA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MSMH NL,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PMM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RCI HUDSON MEXICO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THIN CANDIED SHELL, LLC, </w:t>
      </w:r>
      <w:r>
        <w:rPr>
          <w:rFonts w:ascii="Times New Roman" w:cs="Times New Roman" w:eastAsia="Times New Roman" w:hAnsi="Times New Roman"/>
          <w:sz w:val="18"/>
          <w:szCs w:val="18"/>
          <w:color w:val="auto"/>
        </w:rPr>
        <w:t>each as a Subsidiary</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STELLAR HOLDCO,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B. Drazin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B. Drazin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MEDLINE INDUSTRIES HOLDINGS, L.P., </w:t>
      </w:r>
      <w:r>
        <w:rPr>
          <w:rFonts w:ascii="Times New Roman" w:cs="Times New Roman" w:eastAsia="Times New Roman" w:hAnsi="Times New Roman"/>
          <w:sz w:val="18"/>
          <w:szCs w:val="18"/>
          <w:color w:val="auto"/>
        </w:rPr>
        <w:t>as a</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Subsidiary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MEDLINE MILLS INDUSTRIES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MEDLINE INDUSTRIES,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MOZART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660"/>
          </w:cols>
          <w:pgMar w:left="1440" w:top="266" w:right="799" w:bottom="1440" w:gutter="0" w:footer="0" w:header="0"/>
        </w:sectPr>
      </w:pPr>
    </w:p>
    <w:bookmarkStart w:id="306" w:name="page307"/>
    <w:bookmarkEnd w:id="30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ML PRODUCTS,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MMS, L.L.C., </w:t>
      </w:r>
      <w:r>
        <w:rPr>
          <w:rFonts w:ascii="Times New Roman" w:cs="Times New Roman" w:eastAsia="Times New Roman" w:hAnsi="Times New Roman"/>
          <w:sz w:val="18"/>
          <w:szCs w:val="18"/>
          <w:color w:val="auto"/>
        </w:rPr>
        <w:t>each as a Subsidiary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MEDLINE SOONER ACQUISITION,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MEDLINE INDUSTRIES,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MOZART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PLUROGEN THERAPEUTICS, LLC, </w:t>
      </w:r>
      <w:r>
        <w:rPr>
          <w:rFonts w:ascii="Times New Roman" w:cs="Times New Roman" w:eastAsia="Times New Roman" w:hAnsi="Times New Roman"/>
          <w:sz w:val="18"/>
          <w:szCs w:val="18"/>
          <w:color w:val="auto"/>
        </w:rPr>
        <w:t>as a Subsidiary</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Sameer Garg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Sameer Garg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Stuart J.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Stuart J. Schneider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STELLAR HOLDCO, LLC, </w:t>
      </w:r>
      <w:r>
        <w:rPr>
          <w:rFonts w:ascii="Times New Roman" w:cs="Times New Roman" w:eastAsia="Times New Roman" w:hAnsi="Times New Roman"/>
          <w:sz w:val="18"/>
          <w:szCs w:val="18"/>
          <w:color w:val="auto"/>
        </w:rPr>
        <w:t>as a Subsidiary Guarantor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B. Drazin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B. Drazin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740"/>
          </w:cols>
          <w:pgMar w:left="1440" w:top="266" w:right="719" w:bottom="1440" w:gutter="0" w:footer="0" w:header="0"/>
        </w:sectPr>
      </w:pPr>
    </w:p>
    <w:bookmarkStart w:id="307" w:name="page308"/>
    <w:bookmarkEnd w:id="30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THIN CANDY SHELL,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CENTURION MEDICAL PRODUCTS,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MOZART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MEDICAL STERILIZATION HOLDINGS,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MEDICAL STERILIZATION COMPANY (NLMX), LP</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MEDICAL STERILIZATION COMPANY (US), LP, </w:t>
      </w:r>
      <w:r>
        <w:rPr>
          <w:rFonts w:ascii="Times New Roman" w:cs="Times New Roman" w:eastAsia="Times New Roman" w:hAnsi="Times New Roman"/>
          <w:sz w:val="18"/>
          <w:szCs w:val="18"/>
          <w:color w:val="auto"/>
        </w:rPr>
        <w:t>as a</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Subsidiary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MEDICAL STERILIZATION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DME,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MEDLINE DME TN, LP, </w:t>
      </w:r>
      <w:r>
        <w:rPr>
          <w:rFonts w:ascii="Times New Roman" w:cs="Times New Roman" w:eastAsia="Times New Roman" w:hAnsi="Times New Roman"/>
          <w:sz w:val="18"/>
          <w:szCs w:val="18"/>
          <w:color w:val="auto"/>
        </w:rPr>
        <w:t>as a Subsidiary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MEDLINE DME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James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James Boyle</w:t>
      </w:r>
    </w:p>
    <w:p>
      <w:pPr>
        <w:spacing w:after="0" w:line="27" w:lineRule="exact"/>
        <w:rPr>
          <w:sz w:val="20"/>
          <w:szCs w:val="20"/>
          <w:color w:val="auto"/>
        </w:rPr>
      </w:pPr>
    </w:p>
    <w:p>
      <w:pPr>
        <w:jc w:val="center"/>
        <w:ind w:left="400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Bradley Mariam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Bradley Mariam</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980"/>
          </w:cols>
          <w:pgMar w:left="1440" w:top="266" w:right="479" w:bottom="1440" w:gutter="0" w:footer="0" w:header="0"/>
        </w:sectPr>
      </w:pPr>
    </w:p>
    <w:bookmarkStart w:id="308" w:name="page309"/>
    <w:bookmarkEnd w:id="30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UNITED MEDCO, LLC, </w:t>
      </w:r>
      <w:r>
        <w:rPr>
          <w:rFonts w:ascii="Times New Roman" w:cs="Times New Roman" w:eastAsia="Times New Roman" w:hAnsi="Times New Roman"/>
          <w:sz w:val="18"/>
          <w:szCs w:val="18"/>
          <w:color w:val="auto"/>
        </w:rPr>
        <w:t>as a Subsidiary Guarantor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Bradley Mariam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Bradley Mariam</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TCS NUEVO LAREDO, LLC, </w:t>
      </w:r>
      <w:r>
        <w:rPr>
          <w:rFonts w:ascii="Times New Roman" w:cs="Times New Roman" w:eastAsia="Times New Roman" w:hAnsi="Times New Roman"/>
          <w:sz w:val="17"/>
          <w:szCs w:val="17"/>
          <w:color w:val="auto"/>
        </w:rPr>
        <w:t>as a Subsidiary Guarantor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MRE PROPCO, LP, </w:t>
      </w:r>
      <w:r>
        <w:rPr>
          <w:rFonts w:ascii="Times New Roman" w:cs="Times New Roman" w:eastAsia="Times New Roman" w:hAnsi="Times New Roman"/>
          <w:sz w:val="18"/>
          <w:szCs w:val="18"/>
          <w:color w:val="auto"/>
        </w:rPr>
        <w:t>as a Subsidiary Guarantor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MOZART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Legal Officer, Secretary</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880"/>
          </w:cols>
          <w:pgMar w:left="1440" w:top="266" w:right="579" w:bottom="1440" w:gutter="0" w:footer="0" w:header="0"/>
        </w:sectPr>
      </w:pPr>
    </w:p>
    <w:bookmarkStart w:id="309" w:name="page310"/>
    <w:bookmarkEnd w:id="30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r>
        <w:rPr>
          <w:rFonts w:ascii="Times New Roman" w:cs="Times New Roman" w:eastAsia="Times New Roman" w:hAnsi="Times New Roman"/>
          <w:sz w:val="17"/>
          <w:szCs w:val="17"/>
          <w:color w:val="auto"/>
        </w:rPr>
        <w:t>, as Administrative Agent</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J. Smith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640"/>
          </w:cols>
          <w:pgMar w:left="1440" w:top="266" w:right="819" w:bottom="1440" w:gutter="0" w:footer="0" w:header="0"/>
        </w:sectPr>
      </w:pPr>
    </w:p>
    <w:bookmarkStart w:id="310" w:name="page311"/>
    <w:bookmarkEnd w:id="31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r>
        <w:rPr>
          <w:rFonts w:ascii="Times New Roman" w:cs="Times New Roman" w:eastAsia="Times New Roman" w:hAnsi="Times New Roman"/>
          <w:sz w:val="17"/>
          <w:szCs w:val="17"/>
          <w:color w:val="auto"/>
        </w:rPr>
        <w:t>, as L/C Issuer, a Revolving</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Credit Lender and a Refinancing Term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Geoff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Geoff Blair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780"/>
          </w:cols>
          <w:pgMar w:left="1440" w:top="266" w:right="679" w:bottom="1440" w:gutter="0" w:footer="0" w:header="0"/>
        </w:sectPr>
      </w:pPr>
    </w:p>
    <w:bookmarkStart w:id="311" w:name="page312"/>
    <w:bookmarkEnd w:id="31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w:t>
      </w:r>
      <w:r>
        <w:rPr>
          <w:rFonts w:ascii="Times New Roman" w:cs="Times New Roman" w:eastAsia="Times New Roman" w:hAnsi="Times New Roman"/>
          <w:sz w:val="17"/>
          <w:szCs w:val="17"/>
          <w:color w:val="auto"/>
        </w:rPr>
        <w:t>, as a Revolving Credit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and an L/C Issuer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Helen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Helen D. Davis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980"/>
          </w:cols>
          <w:pgMar w:left="1440" w:top="266" w:right="479" w:bottom="1440" w:gutter="0" w:footer="0" w:header="0"/>
        </w:sectPr>
      </w:pPr>
    </w:p>
    <w:bookmarkStart w:id="312" w:name="page313"/>
    <w:bookmarkEnd w:id="31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Bank USA</w:t>
      </w:r>
      <w:r>
        <w:rPr>
          <w:rFonts w:ascii="Times New Roman" w:cs="Times New Roman" w:eastAsia="Times New Roman" w:hAnsi="Times New Roman"/>
          <w:sz w:val="17"/>
          <w:szCs w:val="17"/>
          <w:color w:val="auto"/>
        </w:rPr>
        <w:t>, as a Revolving Credit Lender,</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an L/C Issuer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Elizabeth Tosin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Elizabeth Tosin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920"/>
          </w:cols>
          <w:pgMar w:left="1440" w:top="266" w:right="539" w:bottom="1440" w:gutter="0" w:footer="0" w:header="0"/>
        </w:sectPr>
      </w:pPr>
    </w:p>
    <w:bookmarkStart w:id="313" w:name="page314"/>
    <w:bookmarkEnd w:id="31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Barclays Bank PLC</w:t>
      </w:r>
      <w:r>
        <w:rPr>
          <w:rFonts w:ascii="Times New Roman" w:cs="Times New Roman" w:eastAsia="Times New Roman" w:hAnsi="Times New Roman"/>
          <w:sz w:val="17"/>
          <w:szCs w:val="17"/>
          <w:color w:val="auto"/>
        </w:rPr>
        <w:t>, as a Revolving Credit Lender and an</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L/C Issuer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Ronnie Glenn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860"/>
          </w:cols>
          <w:pgMar w:left="1440" w:top="266" w:right="599" w:bottom="1440" w:gutter="0" w:footer="0" w:header="0"/>
        </w:sectPr>
      </w:pPr>
    </w:p>
    <w:bookmarkStart w:id="314" w:name="page315"/>
    <w:bookmarkEnd w:id="31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MORGAN STANLEY SENIOR FUNDING, INC.</w:t>
      </w:r>
      <w:r>
        <w:rPr>
          <w:rFonts w:ascii="Times New Roman" w:cs="Times New Roman" w:eastAsia="Times New Roman" w:hAnsi="Times New Roman"/>
          <w:sz w:val="17"/>
          <w:szCs w:val="17"/>
          <w:color w:val="auto"/>
        </w:rPr>
        <w:t>, 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Credit Lender [and an L/C Issuer]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Tayo Lapite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Tayo Lapite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780"/>
          </w:cols>
          <w:pgMar w:left="1440" w:top="266" w:right="679" w:bottom="1440" w:gutter="0" w:footer="0" w:header="0"/>
        </w:sectPr>
      </w:pPr>
    </w:p>
    <w:bookmarkStart w:id="315" w:name="page316"/>
    <w:bookmarkEnd w:id="315"/>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Santander Bank, N.A, </w:t>
      </w:r>
      <w:r>
        <w:rPr>
          <w:rFonts w:ascii="Times New Roman" w:cs="Times New Roman" w:eastAsia="Times New Roman" w:hAnsi="Times New Roman"/>
          <w:sz w:val="17"/>
          <w:szCs w:val="17"/>
          <w:color w:val="auto"/>
        </w:rPr>
        <w:t>as a Revolving Credit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Joseph 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Joseph Min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460"/>
          </w:cols>
          <w:pgMar w:left="1440" w:top="266" w:right="999" w:bottom="1440" w:gutter="0" w:footer="0" w:header="0"/>
        </w:sectPr>
      </w:pPr>
    </w:p>
    <w:bookmarkStart w:id="316" w:name="page317"/>
    <w:bookmarkEnd w:id="31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Montreal</w:t>
      </w:r>
      <w:r>
        <w:rPr>
          <w:rFonts w:ascii="Times New Roman" w:cs="Times New Roman" w:eastAsia="Times New Roman" w:hAnsi="Times New Roman"/>
          <w:sz w:val="17"/>
          <w:szCs w:val="17"/>
          <w:color w:val="auto"/>
        </w:rPr>
        <w:t>, as a Revolving Credit Lender and an</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L/C Issuer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Oppenheimer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700"/>
          </w:cols>
          <w:pgMar w:left="1440" w:top="266" w:right="759" w:bottom="1440" w:gutter="0" w:footer="0" w:header="0"/>
        </w:sectPr>
      </w:pPr>
    </w:p>
    <w:bookmarkStart w:id="317" w:name="page318"/>
    <w:bookmarkEnd w:id="31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w:t>
      </w:r>
      <w:r>
        <w:rPr>
          <w:rFonts w:ascii="Times New Roman" w:cs="Times New Roman" w:eastAsia="Times New Roman" w:hAnsi="Times New Roman"/>
          <w:sz w:val="18"/>
          <w:szCs w:val="18"/>
          <w:color w:val="auto"/>
        </w:rPr>
        <w:t>, as a Revolving Credit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Ioannis Theocharis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Ioannis Theocharis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Citicorp North America, Inc.</w:t>
      </w:r>
      <w:r>
        <w:rPr>
          <w:rFonts w:ascii="Times New Roman" w:cs="Times New Roman" w:eastAsia="Times New Roman" w:hAnsi="Times New Roman"/>
          <w:sz w:val="17"/>
          <w:szCs w:val="17"/>
          <w:color w:val="auto"/>
        </w:rPr>
        <w:t>, as a Revolving Credit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Ioannis Theocharis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Ioannis Theocharis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500"/>
          </w:cols>
          <w:pgMar w:left="1440" w:top="266" w:right="959" w:bottom="1440" w:gutter="0" w:footer="0" w:header="0"/>
        </w:sectPr>
      </w:pPr>
    </w:p>
    <w:bookmarkStart w:id="318" w:name="page319"/>
    <w:bookmarkEnd w:id="31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INTESA SANPAOLO S.P.A., NEW YORK BRANCH</w:t>
      </w:r>
      <w:r>
        <w:rPr>
          <w:rFonts w:ascii="Times New Roman" w:cs="Times New Roman" w:eastAsia="Times New Roman" w:hAnsi="Times New Roman"/>
          <w:sz w:val="17"/>
          <w:szCs w:val="17"/>
          <w:color w:val="auto"/>
        </w:rPr>
        <w:t>, 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Revolving Credit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Bastian Schlesinger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Bastian Schlesinger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Pasquale Brutto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Pasquale Brutto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Business Director</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980"/>
          </w:cols>
          <w:pgMar w:left="1440" w:top="266" w:right="479" w:bottom="1440" w:gutter="0" w:footer="0" w:header="0"/>
        </w:sectPr>
      </w:pPr>
    </w:p>
    <w:bookmarkStart w:id="319" w:name="page320"/>
    <w:bookmarkEnd w:id="31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BNP PARIBAS</w:t>
      </w:r>
      <w:r>
        <w:rPr>
          <w:rFonts w:ascii="Times New Roman" w:cs="Times New Roman" w:eastAsia="Times New Roman" w:hAnsi="Times New Roman"/>
          <w:sz w:val="17"/>
          <w:szCs w:val="17"/>
          <w:color w:val="auto"/>
        </w:rPr>
        <w:t>, as a Revolving Credit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Bosco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Bosco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Angela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Angela Barbieri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 Amendment No. 7]</w:t>
      </w:r>
    </w:p>
    <w:p>
      <w:pPr>
        <w:sectPr>
          <w:pgSz w:w="11900" w:h="16838" w:orient="portrait"/>
          <w:cols w:equalWidth="0" w:num="1">
            <w:col w:w="9019"/>
          </w:cols>
          <w:pgMar w:left="1440" w:top="266" w:right="1440" w:bottom="1440" w:gutter="0" w:footer="0" w:header="0"/>
        </w:sectPr>
      </w:pPr>
    </w:p>
    <w:bookmarkStart w:id="320" w:name="page321"/>
    <w:bookmarkEnd w:id="32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National Association</w:t>
      </w:r>
      <w:r>
        <w:rPr>
          <w:rFonts w:ascii="Times New Roman" w:cs="Times New Roman" w:eastAsia="Times New Roman" w:hAnsi="Times New Roman"/>
          <w:sz w:val="17"/>
          <w:szCs w:val="17"/>
          <w:color w:val="auto"/>
        </w:rPr>
        <w:t>, as a Revolving Credit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GEOFFREY BILLINGSLEY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GEOFFREY BILLINGSLEY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660"/>
          </w:cols>
          <w:pgMar w:left="1440" w:top="266" w:right="799" w:bottom="1440" w:gutter="0" w:footer="0" w:header="0"/>
        </w:sectPr>
      </w:pPr>
    </w:p>
    <w:bookmarkStart w:id="321" w:name="page322"/>
    <w:bookmarkEnd w:id="32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Revolving Credit Lender and an L/C Issuer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Adam Kampwerth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Adam Kampwerth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880"/>
          </w:cols>
          <w:pgMar w:left="1440" w:top="266" w:right="579" w:bottom="1440" w:gutter="0" w:footer="0" w:header="0"/>
        </w:sectPr>
      </w:pPr>
    </w:p>
    <w:bookmarkStart w:id="322" w:name="page323"/>
    <w:bookmarkEnd w:id="32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UBS AG, STAMFORD BRANCH</w:t>
      </w:r>
      <w:r>
        <w:rPr>
          <w:rFonts w:ascii="Times New Roman" w:cs="Times New Roman" w:eastAsia="Times New Roman" w:hAnsi="Times New Roman"/>
          <w:sz w:val="17"/>
          <w:szCs w:val="17"/>
          <w:color w:val="auto"/>
        </w:rPr>
        <w:t>, as a Revolving Credit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Andrea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Andrea Moore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Associate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Joselin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Joselin Fernandes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860"/>
          </w:cols>
          <w:pgMar w:left="1440" w:top="266" w:right="599" w:bottom="1440" w:gutter="0" w:footer="0" w:header="0"/>
        </w:sectPr>
      </w:pPr>
    </w:p>
    <w:bookmarkStart w:id="323" w:name="page324"/>
    <w:bookmarkEnd w:id="32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BANK Ltd.</w:t>
      </w:r>
      <w:r>
        <w:rPr>
          <w:rFonts w:ascii="Times New Roman" w:cs="Times New Roman" w:eastAsia="Times New Roman" w:hAnsi="Times New Roman"/>
          <w:sz w:val="17"/>
          <w:szCs w:val="17"/>
          <w:color w:val="auto"/>
        </w:rPr>
        <w:t>, as a Revolving Credit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Jessica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Jessica Munoz</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i w:val="1"/>
          <w:iCs w:val="1"/>
          <w:color w:val="auto"/>
        </w:rPr>
        <w:t>[Signature Page - Amendment No. 7]</w:t>
      </w:r>
    </w:p>
    <w:p>
      <w:pPr>
        <w:sectPr>
          <w:pgSz w:w="11900" w:h="16838" w:orient="portrait"/>
          <w:cols w:equalWidth="0" w:num="1">
            <w:col w:w="9300"/>
          </w:cols>
          <w:pgMar w:left="1440" w:top="266" w:right="1159" w:bottom="1440" w:gutter="0" w:footer="0" w:header="0"/>
        </w:sectPr>
      </w:pPr>
    </w:p>
    <w:bookmarkStart w:id="324" w:name="page325"/>
    <w:bookmarkEnd w:id="32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AG NEW YORK BRANCH</w:t>
      </w:r>
      <w:r>
        <w:rPr>
          <w:rFonts w:ascii="Times New Roman" w:cs="Times New Roman" w:eastAsia="Times New Roman" w:hAnsi="Times New Roman"/>
          <w:sz w:val="17"/>
          <w:szCs w:val="17"/>
          <w:color w:val="auto"/>
        </w:rPr>
        <w:t>, 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Credit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Philip Tancorra</w:t>
      </w:r>
    </w:p>
    <w:p>
      <w:pPr>
        <w:spacing w:after="0" w:line="27" w:lineRule="exact"/>
        <w:rPr>
          <w:sz w:val="20"/>
          <w:szCs w:val="20"/>
          <w:color w:val="auto"/>
        </w:rPr>
      </w:pPr>
    </w:p>
    <w:p>
      <w:pPr>
        <w:jc w:val="center"/>
        <w:ind w:left="39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Craig Cheverko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Craig Cheverko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720"/>
          </w:cols>
          <w:pgMar w:left="1440" w:top="266" w:right="739" w:bottom="1440" w:gutter="0" w:footer="0" w:header="0"/>
        </w:sectPr>
      </w:pPr>
    </w:p>
    <w:bookmarkStart w:id="325" w:name="page326"/>
    <w:bookmarkEnd w:id="325"/>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HSBC Bank USA, National Association</w:t>
      </w:r>
      <w:r>
        <w:rPr>
          <w:rFonts w:ascii="Times New Roman" w:cs="Times New Roman" w:eastAsia="Times New Roman" w:hAnsi="Times New Roman"/>
          <w:sz w:val="17"/>
          <w:szCs w:val="17"/>
          <w:color w:val="auto"/>
        </w:rPr>
        <w:t>, as a Revolving</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Credit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Rusty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Rusty Miller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800"/>
          </w:cols>
          <w:pgMar w:left="1440" w:top="266" w:right="659" w:bottom="1440" w:gutter="0" w:footer="0" w:header="0"/>
        </w:sectPr>
      </w:pPr>
    </w:p>
    <w:bookmarkStart w:id="326" w:name="page327"/>
    <w:bookmarkEnd w:id="32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ING CAPITAL LLC</w:t>
      </w:r>
      <w:r>
        <w:rPr>
          <w:rFonts w:ascii="Times New Roman" w:cs="Times New Roman" w:eastAsia="Times New Roman" w:hAnsi="Times New Roman"/>
          <w:sz w:val="17"/>
          <w:szCs w:val="17"/>
          <w:color w:val="auto"/>
        </w:rPr>
        <w:t>, as a Revolving Credit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Tim van den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Tim van den Berg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 Felder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 Felder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420"/>
          </w:cols>
          <w:pgMar w:left="1440" w:top="266" w:right="1039" w:bottom="1440" w:gutter="0" w:footer="0" w:header="0"/>
        </w:sectPr>
      </w:pPr>
    </w:p>
    <w:bookmarkStart w:id="327" w:name="page328"/>
    <w:bookmarkEnd w:id="327"/>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JEFFERIES FINANCE LLC</w:t>
      </w:r>
      <w:r>
        <w:rPr>
          <w:rFonts w:ascii="Times New Roman" w:cs="Times New Roman" w:eastAsia="Times New Roman" w:hAnsi="Times New Roman"/>
          <w:sz w:val="17"/>
          <w:szCs w:val="17"/>
          <w:color w:val="auto"/>
        </w:rPr>
        <w:t>, as a Revolving Credit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J.R.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J.R. Young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520"/>
          </w:cols>
          <w:pgMar w:left="1440" w:top="266" w:right="939" w:bottom="1440" w:gutter="0" w:footer="0" w:header="0"/>
        </w:sectPr>
      </w:pPr>
    </w:p>
    <w:bookmarkStart w:id="328" w:name="page329"/>
    <w:bookmarkEnd w:id="32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Blackstone Private Credit Fund</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Credit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Blackstone Private Credit Strategies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Investment Advisor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Blackstone Credit BDC Advisors, LLC,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Sub-Investment Advisor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Marisa Beeney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 Amendment No. 7]</w:t>
      </w:r>
    </w:p>
    <w:p>
      <w:pPr>
        <w:sectPr>
          <w:pgSz w:w="11900" w:h="16838" w:orient="portrait"/>
          <w:cols w:equalWidth="0" w:num="1">
            <w:col w:w="9019"/>
          </w:cols>
          <w:pgMar w:left="1440" w:top="266" w:right="1440" w:bottom="1440" w:gutter="0" w:footer="0" w:header="0"/>
        </w:sectPr>
      </w:pPr>
    </w:p>
    <w:bookmarkStart w:id="329" w:name="page330"/>
    <w:bookmarkEnd w:id="32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MIZUHO BANK, LTD.</w:t>
      </w:r>
      <w:r>
        <w:rPr>
          <w:rFonts w:ascii="Times New Roman" w:cs="Times New Roman" w:eastAsia="Times New Roman" w:hAnsi="Times New Roman"/>
          <w:sz w:val="17"/>
          <w:szCs w:val="17"/>
          <w:color w:val="auto"/>
        </w:rPr>
        <w:t>, as a Revolving Credit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Tracy Rahn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640"/>
          </w:cols>
          <w:pgMar w:left="1440" w:top="266" w:right="819" w:bottom="1440" w:gutter="0" w:footer="0" w:header="0"/>
        </w:sectPr>
      </w:pPr>
    </w:p>
    <w:bookmarkStart w:id="330" w:name="page331"/>
    <w:bookmarkEnd w:id="33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ROYAL BANK OF CANADA</w:t>
      </w:r>
      <w:r>
        <w:rPr>
          <w:rFonts w:ascii="Times New Roman" w:cs="Times New Roman" w:eastAsia="Times New Roman" w:hAnsi="Times New Roman"/>
          <w:sz w:val="17"/>
          <w:szCs w:val="17"/>
          <w:color w:val="auto"/>
        </w:rPr>
        <w:t>, as a Revolving Credit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Sean Young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580"/>
          </w:cols>
          <w:pgMar w:left="1440" w:top="266" w:right="879" w:bottom="1440" w:gutter="0" w:footer="0" w:header="0"/>
        </w:sectPr>
      </w:pPr>
    </w:p>
    <w:bookmarkStart w:id="331" w:name="page332"/>
    <w:bookmarkEnd w:id="33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SOCIÉTÉ GÉNÉRALE</w:t>
      </w:r>
      <w:r>
        <w:rPr>
          <w:rFonts w:ascii="Times New Roman" w:cs="Times New Roman" w:eastAsia="Times New Roman" w:hAnsi="Times New Roman"/>
          <w:sz w:val="17"/>
          <w:szCs w:val="17"/>
          <w:color w:val="auto"/>
        </w:rPr>
        <w:t>, as a Revolving Credit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Pranav Chandra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Pranav Chandra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680"/>
          </w:cols>
          <w:pgMar w:left="1440" w:top="266" w:right="779" w:bottom="1440" w:gutter="0" w:footer="0" w:header="0"/>
        </w:sectPr>
      </w:pPr>
    </w:p>
    <w:bookmarkStart w:id="332" w:name="page333"/>
    <w:bookmarkEnd w:id="33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Sumitomo Mitsui Banking Corporation</w:t>
      </w:r>
      <w:r>
        <w:rPr>
          <w:rFonts w:ascii="Times New Roman" w:cs="Times New Roman" w:eastAsia="Times New Roman" w:hAnsi="Times New Roman"/>
          <w:sz w:val="17"/>
          <w:szCs w:val="17"/>
          <w:color w:val="auto"/>
        </w:rPr>
        <w:t>, as a Revolving</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Credit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Waki Iwayama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Waki Iwayama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[Signature Page - Amendment No. 7]</w:t>
      </w:r>
    </w:p>
    <w:p>
      <w:pPr>
        <w:sectPr>
          <w:pgSz w:w="11900" w:h="16838" w:orient="portrait"/>
          <w:cols w:equalWidth="0" w:num="1">
            <w:col w:w="9800"/>
          </w:cols>
          <w:pgMar w:left="1440" w:top="266" w:right="659" w:bottom="1440" w:gutter="0" w:footer="0" w:header="0"/>
        </w:sectPr>
      </w:pPr>
    </w:p>
    <w:bookmarkStart w:id="333" w:name="page334"/>
    <w:bookmarkEnd w:id="333"/>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Refinancing Term Lender Signature pages on file with the Administrative Agent</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 Amendment No. 7]</w:t>
      </w:r>
    </w:p>
    <w:p>
      <w:pPr>
        <w:sectPr>
          <w:pgSz w:w="11900" w:h="16838" w:orient="portrait"/>
          <w:cols w:equalWidth="0" w:num="1">
            <w:col w:w="9019"/>
          </w:cols>
          <w:pgMar w:left="1440" w:top="270" w:right="1440" w:bottom="1440" w:gutter="0" w:footer="0" w:header="0"/>
          <w:type w:val="continuous"/>
        </w:sectPr>
      </w:pPr>
    </w:p>
    <w:bookmarkStart w:id="334" w:name="page335"/>
    <w:bookmarkEnd w:id="334"/>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t>Converting Lender Election</w:t>
      </w:r>
    </w:p>
    <w:p>
      <w:pPr>
        <w:spacing w:after="0" w:line="225"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Reference is made to the Amendment No. 7 (the “</w:t>
      </w:r>
      <w:r>
        <w:rPr>
          <w:rFonts w:ascii="Times New Roman" w:cs="Times New Roman" w:eastAsia="Times New Roman" w:hAnsi="Times New Roman"/>
          <w:sz w:val="18"/>
          <w:szCs w:val="18"/>
          <w:u w:val="single" w:color="auto"/>
          <w:color w:val="auto"/>
        </w:rPr>
        <w:t>Seventh Amendment</w:t>
      </w:r>
      <w:r>
        <w:rPr>
          <w:rFonts w:ascii="Times New Roman" w:cs="Times New Roman" w:eastAsia="Times New Roman" w:hAnsi="Times New Roman"/>
          <w:sz w:val="18"/>
          <w:szCs w:val="18"/>
          <w:color w:val="auto"/>
        </w:rPr>
        <w:t>”) to Credit Agreement, dated as of October 21, 2021 (as amended, restated, amended and restated, supplemented or otherwise modified from time to time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Medline Intermediate, LP, a Delaware limited partnership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Medline Borrower, LP, a Delaware limited partnership (and successor by merger to Mozart Debt Merger Sub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Guarantors party thereto from time to time, the lenders and L/C Issuers party thereto from time to time and Bank of America,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Collateral Agent, a Lender and an L/C Issuer. Capitalized terms used but not otherwise defined herein shall have the meanings ascribed to them in the Credit Agreement or the Seventh Amendment as applicable.</w:t>
      </w:r>
    </w:p>
    <w:p>
      <w:pPr>
        <w:spacing w:after="0" w:line="2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Signature Page to the Seventh Amendment dated as of the</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date first above written</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w:t>
      </w:r>
      <w:r>
        <w:rPr>
          <w:rFonts w:ascii="Times New Roman" w:cs="Times New Roman" w:eastAsia="Times New Roman" w:hAnsi="Times New Roman"/>
          <w:sz w:val="18"/>
          <w:szCs w:val="18"/>
          <w:color w:val="auto"/>
        </w:rPr>
        <w:t>, as a</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Consenting Lender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[[For Lenders requiring a second signature block]</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PROCEDURE FOR LENDERS: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above-named Lender elects to (Check Option A or Option B as applicable):</w:t>
      </w:r>
    </w:p>
    <w:p>
      <w:pPr>
        <w:spacing w:after="0" w:line="131" w:lineRule="exact"/>
        <w:rPr>
          <w:sz w:val="20"/>
          <w:szCs w:val="20"/>
          <w:color w:val="auto"/>
        </w:rPr>
      </w:pPr>
    </w:p>
    <w:p>
      <w:pPr>
        <w:ind w:left="424" w:right="20" w:hanging="424"/>
        <w:spacing w:after="0" w:line="258" w:lineRule="auto"/>
        <w:tabs>
          <w:tab w:leader="none" w:pos="424" w:val="left"/>
        </w:tabs>
        <w:numPr>
          <w:ilvl w:val="0"/>
          <w:numId w:val="30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OPTION A – CONSENT TO THE SEVENTH AMENDMENT AND CONTINUATION OF 100% OF SUCH LENDER’S SIXTH AMENDMENT 2030 REFINANCING TERM LOANS AS REFINANCING TERM LOANS (CASHLESS OPTION): Consent and agree to this Seventh Amendment and continue as a Lender under the Credit Agreement after giving effect to the Seventh Amendment with respect to the Sixth Amendment 2030 Refinancing Term Loans allocated to such Lender by the Lead Arrangers with the remaining amount (if any) prepaid and/or terminated on the Seventh Amendment Effective Date.</w:t>
      </w:r>
    </w:p>
    <w:p>
      <w:pPr>
        <w:spacing w:after="0" w:line="88" w:lineRule="exact"/>
        <w:rPr>
          <w:rFonts w:ascii="MS PGothic" w:cs="MS PGothic" w:eastAsia="MS PGothic" w:hAnsi="MS PGothic"/>
          <w:sz w:val="18"/>
          <w:szCs w:val="18"/>
          <w:color w:val="auto"/>
        </w:rPr>
      </w:pPr>
    </w:p>
    <w:p>
      <w:pPr>
        <w:ind w:left="424" w:right="80" w:hanging="424"/>
        <w:spacing w:after="0" w:line="258" w:lineRule="auto"/>
        <w:tabs>
          <w:tab w:leader="none" w:pos="424" w:val="left"/>
        </w:tabs>
        <w:numPr>
          <w:ilvl w:val="0"/>
          <w:numId w:val="30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OPTION B – CONSENT TO THE SEVENTH AMENDMENT VIA CASH SETTLEMENT WITH RESPECT TO 100% OF SUCH LENDER’S SIXTH AMENDMENT 2030 REFINANCING TERM LOANS: Consent to the Seventh Amendment and agree to have an amount equal to 100% of its existing Sixth Amendment 2030 Refinancing Term Loans prepaid and terminated, respectively, on the Seventh Amendment Effective Date and to acquire the new Refinancing Term Loans pursuant to the Seventh Amendment by assignment of new Refinancing Term Loans in an equal principal amount (or a lesser principal amount of new Refinancing Term Loans allocated to such Lender by the Lead Arrangers).</w:t>
      </w:r>
    </w:p>
    <w:p>
      <w:pPr>
        <w:sectPr>
          <w:pgSz w:w="11900" w:h="16838" w:orient="portrait"/>
          <w:cols w:equalWidth="0" w:num="1">
            <w:col w:w="11004"/>
          </w:cols>
          <w:pgMar w:left="436" w:top="270" w:right="459" w:bottom="1440" w:gutter="0" w:footer="0" w:header="0"/>
        </w:sectPr>
      </w:pPr>
    </w:p>
    <w:bookmarkStart w:id="335" w:name="page336"/>
    <w:bookmarkEnd w:id="335"/>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Refinancing Term Commitments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held on file with the Agent]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B</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held on file with the Agent]</w:t>
      </w:r>
    </w:p>
    <w:p>
      <w:pPr>
        <w:sectPr>
          <w:pgSz w:w="11900" w:h="16838" w:orient="portrait"/>
          <w:cols w:equalWidth="0" w:num="1">
            <w:col w:w="9019"/>
          </w:cols>
          <w:pgMar w:left="1440" w:top="270" w:right="1440" w:bottom="1440" w:gutter="0" w:footer="0" w:header="0"/>
        </w:sectPr>
      </w:pPr>
    </w:p>
    <w:bookmarkStart w:id="336" w:name="page337"/>
    <w:bookmarkEnd w:id="336"/>
    <w:p>
      <w:pPr>
        <w:jc w:val="center"/>
        <w:ind w:righ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11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Co-Lead Arrangers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Intesa Sanpaolo S.p.A., New York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Finance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Bank,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Senior Funding,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Bank,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Santander Bank,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Société Générale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C32E20"/>
    <w:multiLevelType w:val="hybridMultilevel"/>
    <w:lvl w:ilvl="0">
      <w:lvlJc w:val="left"/>
      <w:lvlText w:val="☐"/>
      <w:numFmt w:val="bullet"/>
      <w:start w:val="1"/>
    </w:lvl>
  </w:abstractNum>
  <w:abstractNum w:abstractNumId="1">
    <w:nsid w:val="49C0E823"/>
    <w:multiLevelType w:val="hybridMultilevel"/>
    <w:lvl w:ilvl="0">
      <w:lvlJc w:val="left"/>
      <w:lvlText w:val="(%1)"/>
      <w:numFmt w:val="lowerRoman"/>
      <w:start w:val="1"/>
    </w:lvl>
  </w:abstractNum>
  <w:abstractNum w:abstractNumId="2">
    <w:nsid w:val="14D53685"/>
    <w:multiLevelType w:val="hybridMultilevel"/>
    <w:lvl w:ilvl="0">
      <w:lvlJc w:val="left"/>
      <w:lvlText w:val="(%1)"/>
      <w:numFmt w:val="lowerRoman"/>
      <w:start w:val="1"/>
    </w:lvl>
  </w:abstractNum>
  <w:abstractNum w:abstractNumId="3">
    <w:nsid w:val="230F856C"/>
    <w:multiLevelType w:val="hybridMultilevel"/>
    <w:lvl w:ilvl="0">
      <w:lvlJc w:val="left"/>
      <w:lvlText w:val="%1"/>
      <w:numFmt w:val="decimal"/>
      <w:start w:val="104"/>
    </w:lvl>
  </w:abstractNum>
  <w:abstractNum w:abstractNumId="4">
    <w:nsid w:val="6EAA85FB"/>
    <w:multiLevelType w:val="hybridMultilevel"/>
    <w:lvl w:ilvl="0">
      <w:lvlJc w:val="left"/>
      <w:lvlText w:val="(%1)"/>
      <w:numFmt w:val="lowerLetter"/>
      <w:start w:val="1"/>
    </w:lvl>
  </w:abstractNum>
  <w:abstractNum w:abstractNumId="5">
    <w:nsid w:val="3F06ECB2"/>
    <w:multiLevelType w:val="hybridMultilevel"/>
    <w:lvl w:ilvl="0">
      <w:lvlJc w:val="left"/>
      <w:lvlText w:val="(%1)"/>
      <w:numFmt w:val="lowerLetter"/>
      <w:start w:val="3"/>
    </w:lvl>
  </w:abstractNum>
  <w:abstractNum w:abstractNumId="6">
    <w:nsid w:val="3B594807"/>
    <w:multiLevelType w:val="hybridMultilevel"/>
    <w:lvl w:ilvl="0">
      <w:lvlJc w:val="left"/>
      <w:lvlText w:val="(%1)"/>
      <w:numFmt w:val="lowerLetter"/>
      <w:start w:val="1"/>
    </w:lvl>
  </w:abstractNum>
  <w:abstractNum w:abstractNumId="7">
    <w:nsid w:val="6CAA2304"/>
    <w:multiLevelType w:val="hybridMultilevel"/>
    <w:lvl w:ilvl="0">
      <w:lvlJc w:val="left"/>
      <w:lvlText w:val="(%1)"/>
      <w:numFmt w:val="lowerLetter"/>
      <w:start w:val="1"/>
    </w:lvl>
  </w:abstractNum>
  <w:abstractNum w:abstractNumId="8">
    <w:nsid w:val="3F7C2FF4"/>
    <w:multiLevelType w:val="hybridMultilevel"/>
    <w:lvl w:ilvl="0">
      <w:lvlJc w:val="left"/>
      <w:lvlText w:val="(%1)"/>
      <w:numFmt w:val="lowerLetter"/>
      <w:start w:val="1"/>
    </w:lvl>
    <w:lvl w:ilvl="1">
      <w:lvlJc w:val="left"/>
      <w:lvlText w:val="(%2)"/>
      <w:numFmt w:val="lowerLetter"/>
      <w:start w:val="2"/>
    </w:lvl>
  </w:abstractNum>
  <w:abstractNum w:abstractNumId="9">
    <w:nsid w:val="25413BEC"/>
    <w:multiLevelType w:val="hybridMultilevel"/>
    <w:lvl w:ilvl="0">
      <w:lvlJc w:val="left"/>
      <w:lvlText w:val="%1"/>
      <w:numFmt w:val="lowerLetter"/>
      <w:start w:val="1"/>
    </w:lvl>
    <w:lvl w:ilvl="1">
      <w:lvlJc w:val="left"/>
      <w:lvlText w:val="(%2)"/>
      <w:numFmt w:val="decimal"/>
      <w:start w:val="2"/>
    </w:lvl>
  </w:abstractNum>
  <w:abstractNum w:abstractNumId="10">
    <w:nsid w:val="17180B0B"/>
    <w:multiLevelType w:val="hybridMultilevel"/>
    <w:lvl w:ilvl="0">
      <w:lvlJc w:val="left"/>
      <w:lvlText w:val="(%1)"/>
      <w:numFmt w:val="lowerLetter"/>
      <w:start w:val="3"/>
    </w:lvl>
    <w:lvl w:ilvl="1">
      <w:lvlJc w:val="left"/>
      <w:lvlText w:val="%2"/>
      <w:numFmt w:val="decimal"/>
      <w:start w:val="1"/>
    </w:lvl>
  </w:abstractNum>
  <w:abstractNum w:abstractNumId="11">
    <w:nsid w:val="579328B9"/>
    <w:multiLevelType w:val="hybridMultilevel"/>
    <w:lvl w:ilvl="0">
      <w:lvlJc w:val="left"/>
      <w:lvlText w:val="(%1)"/>
      <w:numFmt w:val="lowerLetter"/>
      <w:start w:val="7"/>
    </w:lvl>
  </w:abstractNum>
  <w:abstractNum w:abstractNumId="12">
    <w:nsid w:val="5D205E20"/>
    <w:multiLevelType w:val="hybridMultilevel"/>
    <w:lvl w:ilvl="0">
      <w:lvlJc w:val="left"/>
      <w:lvlText w:val="%1"/>
      <w:numFmt w:val="lowerLetter"/>
      <w:start w:val="1"/>
    </w:lvl>
    <w:lvl w:ilvl="1">
      <w:lvlJc w:val="left"/>
      <w:lvlText w:val="(%2)"/>
      <w:numFmt w:val="lowerLetter"/>
      <w:start w:val="9"/>
    </w:lvl>
  </w:abstractNum>
  <w:abstractNum w:abstractNumId="13">
    <w:nsid w:val="11CCA8BA"/>
    <w:multiLevelType w:val="hybridMultilevel"/>
    <w:lvl w:ilvl="0">
      <w:lvlJc w:val="left"/>
      <w:lvlText w:val="(%1)"/>
      <w:numFmt w:val="lowerLetter"/>
      <w:start w:val="1"/>
    </w:lvl>
    <w:lvl w:ilvl="1">
      <w:lvlJc w:val="left"/>
      <w:lvlText w:val="%2"/>
      <w:numFmt w:val="lowerLetter"/>
      <w:start w:val="1"/>
    </w:lvl>
  </w:abstractNum>
  <w:abstractNum w:abstractNumId="14">
    <w:nsid w:val="4D32AB86"/>
    <w:multiLevelType w:val="hybridMultilevel"/>
    <w:lvl w:ilvl="0">
      <w:lvlJc w:val="left"/>
      <w:lvlText w:val="(%1)"/>
      <w:numFmt w:val="lowerLetter"/>
      <w:start w:val="13"/>
    </w:lvl>
  </w:abstractNum>
  <w:abstractNum w:abstractNumId="15">
    <w:nsid w:val="3F07ACC3"/>
    <w:multiLevelType w:val="hybridMultilevel"/>
    <w:lvl w:ilvl="0">
      <w:lvlJc w:val="left"/>
      <w:lvlText w:val="(%1)"/>
      <w:numFmt w:val="decimal"/>
      <w:start w:val="1"/>
    </w:lvl>
  </w:abstractNum>
  <w:abstractNum w:abstractNumId="16">
    <w:nsid w:val="6B47F63E"/>
    <w:multiLevelType w:val="hybridMultilevel"/>
    <w:lvl w:ilvl="0">
      <w:lvlJc w:val="left"/>
      <w:lvlText w:val="(%1)"/>
      <w:numFmt w:val="decimal"/>
      <w:start w:val="2"/>
    </w:lvl>
  </w:abstractNum>
  <w:abstractNum w:abstractNumId="17">
    <w:nsid w:val="5CB44A05"/>
    <w:multiLevelType w:val="hybridMultilevel"/>
    <w:lvl w:ilvl="0">
      <w:lvlJc w:val="left"/>
      <w:lvlText w:val="(%1)"/>
      <w:numFmt w:val="decimal"/>
      <w:start w:val="3"/>
    </w:lvl>
  </w:abstractNum>
  <w:abstractNum w:abstractNumId="18">
    <w:nsid w:val="16CF80F1"/>
    <w:multiLevelType w:val="hybridMultilevel"/>
    <w:lvl w:ilvl="0">
      <w:lvlJc w:val="left"/>
      <w:lvlText w:val="(%1)"/>
      <w:numFmt w:val="lowerLetter"/>
      <w:start w:val="2"/>
    </w:lvl>
  </w:abstractNum>
  <w:abstractNum w:abstractNumId="19">
    <w:nsid w:val="1C695DEC"/>
    <w:multiLevelType w:val="hybridMultilevel"/>
    <w:lvl w:ilvl="0">
      <w:lvlJc w:val="left"/>
      <w:lvlText w:val="(%1)"/>
      <w:numFmt w:val="lowerLetter"/>
      <w:start w:val="5"/>
    </w:lvl>
  </w:abstractNum>
  <w:abstractNum w:abstractNumId="20">
    <w:nsid w:val="3FCFAED9"/>
    <w:multiLevelType w:val="hybridMultilevel"/>
    <w:lvl w:ilvl="0">
      <w:lvlJc w:val="left"/>
      <w:lvlText w:val="(%1)"/>
      <w:numFmt w:val="upperLetter"/>
      <w:start w:val="1"/>
    </w:lvl>
  </w:abstractNum>
  <w:abstractNum w:abstractNumId="21">
    <w:nsid w:val="F856867"/>
    <w:multiLevelType w:val="hybridMultilevel"/>
    <w:lvl w:ilvl="0">
      <w:lvlJc w:val="left"/>
      <w:lvlText w:val="(%1)"/>
      <w:numFmt w:val="upperLetter"/>
      <w:start w:val="4"/>
    </w:lvl>
  </w:abstractNum>
  <w:abstractNum w:abstractNumId="22">
    <w:nsid w:val="11B1CC33"/>
    <w:multiLevelType w:val="hybridMultilevel"/>
    <w:lvl w:ilvl="0">
      <w:lvlJc w:val="left"/>
      <w:lvlText w:val="(%1)"/>
      <w:numFmt w:val="lowerLetter"/>
      <w:start w:val="1"/>
    </w:lvl>
  </w:abstractNum>
  <w:abstractNum w:abstractNumId="23">
    <w:nsid w:val="2E22FBB7"/>
    <w:multiLevelType w:val="hybridMultilevel"/>
    <w:lvl w:ilvl="0">
      <w:lvlJc w:val="left"/>
      <w:lvlText w:val="(%1)"/>
      <w:numFmt w:val="lowerLetter"/>
      <w:start w:val="2"/>
    </w:lvl>
  </w:abstractNum>
  <w:abstractNum w:abstractNumId="24">
    <w:nsid w:val="29934699"/>
    <w:multiLevelType w:val="hybridMultilevel"/>
    <w:lvl w:ilvl="0">
      <w:lvlJc w:val="left"/>
      <w:lvlText w:val="(%1)"/>
      <w:numFmt w:val="lowerLetter"/>
      <w:start w:val="1"/>
    </w:lvl>
  </w:abstractNum>
  <w:abstractNum w:abstractNumId="25">
    <w:nsid w:val="77485850"/>
    <w:multiLevelType w:val="hybridMultilevel"/>
    <w:lvl w:ilvl="0">
      <w:lvlJc w:val="left"/>
      <w:lvlText w:val="(%1)"/>
      <w:numFmt w:val="lowerLetter"/>
      <w:start w:val="2"/>
    </w:lvl>
  </w:abstractNum>
  <w:abstractNum w:abstractNumId="26">
    <w:nsid w:val="744939A3"/>
    <w:multiLevelType w:val="hybridMultilevel"/>
    <w:lvl w:ilvl="0">
      <w:lvlJc w:val="left"/>
      <w:lvlText w:val="(%1)"/>
      <w:numFmt w:val="lowerLetter"/>
      <w:start w:val="7"/>
    </w:lvl>
  </w:abstractNum>
  <w:abstractNum w:abstractNumId="27">
    <w:nsid w:val="4FA0D2E3"/>
    <w:multiLevelType w:val="hybridMultilevel"/>
    <w:lvl w:ilvl="0">
      <w:lvlJc w:val="left"/>
      <w:lvlText w:val="\emdash "/>
      <w:numFmt w:val="bullet"/>
      <w:start w:val="1"/>
    </w:lvl>
    <w:lvl w:ilvl="1">
      <w:lvlJc w:val="left"/>
      <w:lvlText w:val="(%2)"/>
      <w:numFmt w:val="lowerLetter"/>
      <w:start w:val="12"/>
    </w:lvl>
    <w:lvl w:ilvl="2">
      <w:lvlJc w:val="left"/>
      <w:lvlText w:val="(%3)"/>
      <w:numFmt w:val="decimal"/>
      <w:start w:val="1"/>
    </w:lvl>
  </w:abstractNum>
  <w:abstractNum w:abstractNumId="28">
    <w:nsid w:val="6B1D2C14"/>
    <w:multiLevelType w:val="hybridMultilevel"/>
    <w:lvl w:ilvl="0">
      <w:lvlJc w:val="left"/>
      <w:lvlText w:val="%1"/>
      <w:numFmt w:val="lowerRoman"/>
      <w:start w:val="1"/>
    </w:lvl>
    <w:lvl w:ilvl="1">
      <w:lvlJc w:val="left"/>
      <w:lvlText w:val="(%2)"/>
      <w:numFmt w:val="decimal"/>
      <w:start w:val="3"/>
    </w:lvl>
  </w:abstractNum>
  <w:abstractNum w:abstractNumId="29">
    <w:nsid w:val="68B867D3"/>
    <w:multiLevelType w:val="hybridMultilevel"/>
    <w:lvl w:ilvl="0">
      <w:lvlJc w:val="left"/>
      <w:lvlText w:val="(%1)"/>
      <w:numFmt w:val="lowerRoman"/>
      <w:start w:val="5"/>
    </w:lvl>
    <w:lvl w:ilvl="1">
      <w:lvlJc w:val="left"/>
      <w:lvlText w:val="%2"/>
      <w:numFmt w:val="decimal"/>
      <w:start w:val="1"/>
    </w:lvl>
  </w:abstractNum>
  <w:abstractNum w:abstractNumId="30">
    <w:nsid w:val="3F7F5DD9"/>
    <w:multiLevelType w:val="hybridMultilevel"/>
    <w:lvl w:ilvl="0">
      <w:lvlJc w:val="left"/>
      <w:lvlText w:val="(%1)"/>
      <w:numFmt w:val="lowerLetter"/>
      <w:start w:val="1"/>
    </w:lvl>
    <w:lvl w:ilvl="1">
      <w:lvlJc w:val="left"/>
      <w:lvlText w:val="(%2)"/>
      <w:numFmt w:val="lowerRoman"/>
      <w:start w:val="1"/>
    </w:lvl>
  </w:abstractNum>
  <w:abstractNum w:abstractNumId="31">
    <w:nsid w:val="2AE05A34"/>
    <w:multiLevelType w:val="hybridMultilevel"/>
    <w:lvl w:ilvl="0">
      <w:lvlJc w:val="left"/>
      <w:lvlText w:val="(%1)"/>
      <w:numFmt w:val="lowerLetter"/>
      <w:start w:val="1"/>
    </w:lvl>
    <w:lvl w:ilvl="1">
      <w:lvlJc w:val="left"/>
      <w:lvlText w:val="(%2)"/>
      <w:numFmt w:val="lowerRoman"/>
      <w:start w:val="1"/>
    </w:lvl>
  </w:abstractNum>
  <w:abstractNum w:abstractNumId="32">
    <w:nsid w:val="32794FF7"/>
    <w:multiLevelType w:val="hybridMultilevel"/>
    <w:lvl w:ilvl="0">
      <w:lvlJc w:val="left"/>
      <w:lvlText w:val="(%1)"/>
      <w:numFmt w:val="lowerRoman"/>
      <w:start w:val="3"/>
    </w:lvl>
  </w:abstractNum>
  <w:abstractNum w:abstractNumId="33">
    <w:nsid w:val="5454945E"/>
    <w:multiLevelType w:val="hybridMultilevel"/>
    <w:lvl w:ilvl="0">
      <w:lvlJc w:val="left"/>
      <w:lvlText w:val="(%1)"/>
      <w:numFmt w:val="lowerRoman"/>
      <w:start w:val="7"/>
    </w:lvl>
  </w:abstractNum>
  <w:abstractNum w:abstractNumId="34">
    <w:nsid w:val="4DEFDFA0"/>
    <w:multiLevelType w:val="hybridMultilevel"/>
    <w:lvl w:ilvl="0">
      <w:lvlJc w:val="left"/>
      <w:lvlText w:val="%1"/>
      <w:numFmt w:val="lowerLetter"/>
      <w:start w:val="1"/>
    </w:lvl>
    <w:lvl w:ilvl="1">
      <w:lvlJc w:val="left"/>
      <w:lvlText w:val="(%2)"/>
      <w:numFmt w:val="lowerRoman"/>
      <w:start w:val="9"/>
    </w:lvl>
  </w:abstractNum>
  <w:abstractNum w:abstractNumId="35">
    <w:nsid w:val="2123D5F2"/>
    <w:multiLevelType w:val="hybridMultilevel"/>
    <w:lvl w:ilvl="0">
      <w:lvlJc w:val="left"/>
      <w:lvlText w:val="(%1)"/>
      <w:numFmt w:val="lowerLetter"/>
      <w:start w:val="2"/>
    </w:lvl>
    <w:lvl w:ilvl="1">
      <w:lvlJc w:val="left"/>
      <w:lvlText w:val="(%2)"/>
      <w:numFmt w:val="lowerRoman"/>
      <w:start w:val="12"/>
    </w:lvl>
  </w:abstractNum>
  <w:abstractNum w:abstractNumId="36">
    <w:nsid w:val="135B8110"/>
    <w:multiLevelType w:val="hybridMultilevel"/>
    <w:lvl w:ilvl="0">
      <w:lvlJc w:val="left"/>
      <w:lvlText w:val="(%1)"/>
      <w:numFmt w:val="lowerRoman"/>
      <w:start w:val="14"/>
    </w:lvl>
  </w:abstractNum>
  <w:abstractNum w:abstractNumId="37">
    <w:nsid w:val="94927A8"/>
    <w:multiLevelType w:val="hybridMultilevel"/>
    <w:lvl w:ilvl="0">
      <w:lvlJc w:val="left"/>
      <w:lvlText w:val="(%1)"/>
      <w:numFmt w:val="lowerLetter"/>
      <w:start w:val="2"/>
    </w:lvl>
    <w:lvl w:ilvl="1">
      <w:lvlJc w:val="left"/>
      <w:lvlText w:val="(%2)"/>
      <w:numFmt w:val="lowerRoman"/>
      <w:start w:val="1"/>
    </w:lvl>
  </w:abstractNum>
  <w:abstractNum w:abstractNumId="38">
    <w:nsid w:val="DCDF8F6"/>
    <w:multiLevelType w:val="hybridMultilevel"/>
    <w:lvl w:ilvl="0">
      <w:lvlJc w:val="left"/>
      <w:lvlText w:val="(%1)"/>
      <w:numFmt w:val="lowerLetter"/>
      <w:start w:val="1"/>
    </w:lvl>
  </w:abstractNum>
  <w:abstractNum w:abstractNumId="39">
    <w:nsid w:val="52D7B105"/>
    <w:multiLevelType w:val="hybridMultilevel"/>
    <w:lvl w:ilvl="0">
      <w:lvlJc w:val="left"/>
      <w:lvlText w:val="(%1)"/>
      <w:numFmt w:val="lowerLetter"/>
      <w:start w:val="2"/>
    </w:lvl>
  </w:abstractNum>
  <w:abstractNum w:abstractNumId="40">
    <w:nsid w:val="2E8A6394"/>
    <w:multiLevelType w:val="hybridMultilevel"/>
    <w:lvl w:ilvl="0">
      <w:lvlJc w:val="left"/>
      <w:lvlText w:val="(%1)"/>
      <w:numFmt w:val="lowerLetter"/>
      <w:start w:val="14"/>
    </w:lvl>
  </w:abstractNum>
  <w:abstractNum w:abstractNumId="41">
    <w:nsid w:val="24E60401"/>
    <w:multiLevelType w:val="hybridMultilevel"/>
    <w:lvl w:ilvl="0">
      <w:lvlJc w:val="left"/>
      <w:lvlText w:val="(%1)"/>
      <w:numFmt w:val="lowerLetter"/>
      <w:start w:val="1"/>
    </w:lvl>
  </w:abstractNum>
  <w:abstractNum w:abstractNumId="42">
    <w:nsid w:val="2A6AD9BE"/>
    <w:multiLevelType w:val="hybridMultilevel"/>
    <w:lvl w:ilvl="0">
      <w:lvlJc w:val="left"/>
      <w:lvlText w:val="(%1)"/>
      <w:numFmt w:val="decimal"/>
      <w:start w:val="2"/>
    </w:lvl>
  </w:abstractNum>
  <w:abstractNum w:abstractNumId="43">
    <w:nsid w:val="BAAC1B4"/>
    <w:multiLevelType w:val="hybridMultilevel"/>
    <w:lvl w:ilvl="0">
      <w:lvlJc w:val="left"/>
      <w:lvlText w:val="(%1)"/>
      <w:numFmt w:val="lowerLetter"/>
      <w:start w:val="1"/>
    </w:lvl>
    <w:lvl w:ilvl="1">
      <w:lvlJc w:val="left"/>
      <w:lvlText w:val="(%2)"/>
      <w:numFmt w:val="lowerRoman"/>
      <w:start w:val="1"/>
    </w:lvl>
  </w:abstractNum>
  <w:abstractNum w:abstractNumId="44">
    <w:nsid w:val="36B2ACBC"/>
    <w:multiLevelType w:val="hybridMultilevel"/>
    <w:lvl w:ilvl="0">
      <w:lvlJc w:val="left"/>
      <w:lvlText w:val="(%1)"/>
      <w:numFmt w:val="lowerRoman"/>
      <w:start w:val="3"/>
    </w:lvl>
  </w:abstractNum>
  <w:abstractNum w:abstractNumId="45">
    <w:nsid w:val="779D8544"/>
    <w:multiLevelType w:val="hybridMultilevel"/>
    <w:lvl w:ilvl="0">
      <w:lvlJc w:val="left"/>
      <w:lvlText w:val="(%1)"/>
      <w:numFmt w:val="lowerLetter"/>
      <w:start w:val="2"/>
    </w:lvl>
  </w:abstractNum>
  <w:abstractNum w:abstractNumId="46">
    <w:nsid w:val="4AB26E78"/>
    <w:multiLevelType w:val="hybridMultilevel"/>
    <w:lvl w:ilvl="0">
      <w:lvlJc w:val="left"/>
      <w:lvlText w:val="(%1)"/>
      <w:numFmt w:val="lowerLetter"/>
      <w:start w:val="13"/>
    </w:lvl>
  </w:abstractNum>
  <w:abstractNum w:abstractNumId="47">
    <w:nsid w:val="21FAA2FA"/>
    <w:multiLevelType w:val="hybridMultilevel"/>
    <w:lvl w:ilvl="0">
      <w:lvlJc w:val="left"/>
      <w:lvlText w:val="%1"/>
      <w:numFmt w:val="lowerLetter"/>
      <w:start w:val="1"/>
    </w:lvl>
    <w:lvl w:ilvl="1">
      <w:lvlJc w:val="left"/>
      <w:lvlText w:val="(%2)"/>
      <w:numFmt w:val="lowerLetter"/>
      <w:start w:val="1"/>
    </w:lvl>
  </w:abstractNum>
  <w:abstractNum w:abstractNumId="48">
    <w:nsid w:val="5451CF49"/>
    <w:multiLevelType w:val="hybridMultilevel"/>
    <w:lvl w:ilvl="0">
      <w:lvlJc w:val="left"/>
      <w:lvlText w:val="(%1)"/>
      <w:numFmt w:val="lowerLetter"/>
      <w:start w:val="41"/>
    </w:lvl>
    <w:lvl w:ilvl="1">
      <w:lvlJc w:val="left"/>
      <w:lvlText w:val="(%2)"/>
      <w:numFmt w:val="lowerLetter"/>
      <w:start w:val="4"/>
    </w:lvl>
  </w:abstractNum>
  <w:abstractNum w:abstractNumId="49">
    <w:nsid w:val="6181EF69"/>
    <w:multiLevelType w:val="hybridMultilevel"/>
    <w:lvl w:ilvl="0">
      <w:lvlJc w:val="left"/>
      <w:lvlText w:val="(%1)"/>
      <w:numFmt w:val="lowerLetter"/>
      <w:start w:val="9"/>
    </w:lvl>
    <w:lvl w:ilvl="1">
      <w:lvlJc w:val="left"/>
      <w:lvlText w:val="(%2)"/>
      <w:numFmt w:val="lowerLetter"/>
      <w:start w:val="5"/>
    </w:lvl>
  </w:abstractNum>
  <w:abstractNum w:abstractNumId="50">
    <w:nsid w:val="3E6400E6"/>
    <w:multiLevelType w:val="hybridMultilevel"/>
    <w:lvl w:ilvl="0">
      <w:lvlJc w:val="left"/>
      <w:lvlText w:val="(%1)"/>
      <w:numFmt w:val="lowerLetter"/>
      <w:start w:val="1"/>
    </w:lvl>
  </w:abstractNum>
  <w:abstractNum w:abstractNumId="51">
    <w:nsid w:val="14217E23"/>
    <w:multiLevelType w:val="hybridMultilevel"/>
    <w:lvl w:ilvl="0">
      <w:lvlJc w:val="left"/>
      <w:lvlText w:val="(%1)"/>
      <w:numFmt w:val="lowerLetter"/>
      <w:start w:val="2"/>
    </w:lvl>
  </w:abstractNum>
  <w:abstractNum w:abstractNumId="52">
    <w:nsid w:val="710757D0"/>
    <w:multiLevelType w:val="hybridMultilevel"/>
    <w:lvl w:ilvl="0">
      <w:lvlJc w:val="left"/>
      <w:lvlText w:val="%1"/>
      <w:numFmt w:val="lowerLetter"/>
      <w:start w:val="1"/>
    </w:lvl>
    <w:lvl w:ilvl="1">
      <w:lvlJc w:val="left"/>
      <w:lvlText w:val="(%2)"/>
      <w:numFmt w:val="lowerLetter"/>
      <w:start w:val="6"/>
    </w:lvl>
  </w:abstractNum>
  <w:abstractNum w:abstractNumId="53">
    <w:nsid w:val="5015CD1A"/>
    <w:multiLevelType w:val="hybridMultilevel"/>
    <w:lvl w:ilvl="0">
      <w:lvlJc w:val="left"/>
      <w:lvlText w:val="(%1)"/>
      <w:numFmt w:val="lowerLetter"/>
      <w:start w:val="35"/>
    </w:lvl>
    <w:lvl w:ilvl="1">
      <w:lvlJc w:val="left"/>
      <w:lvlText w:val="%2"/>
      <w:numFmt w:val="lowerLetter"/>
      <w:start w:val="1"/>
    </w:lvl>
  </w:abstractNum>
  <w:abstractNum w:abstractNumId="54">
    <w:nsid w:val="424479DA"/>
    <w:multiLevelType w:val="hybridMultilevel"/>
    <w:lvl w:ilvl="0">
      <w:lvlJc w:val="left"/>
      <w:lvlText w:val="(%1)"/>
      <w:numFmt w:val="decimal"/>
      <w:start w:val="2"/>
    </w:lvl>
  </w:abstractNum>
  <w:abstractNum w:abstractNumId="55">
    <w:nsid w:val="1A9A9E69"/>
    <w:multiLevelType w:val="hybridMultilevel"/>
    <w:lvl w:ilvl="0">
      <w:lvlJc w:val="left"/>
      <w:lvlText w:val="(%1)"/>
      <w:numFmt w:val="lowerLetter"/>
      <w:start w:val="7"/>
    </w:lvl>
  </w:abstractNum>
  <w:abstractNum w:abstractNumId="56">
    <w:nsid w:val="475E256A"/>
    <w:multiLevelType w:val="hybridMultilevel"/>
    <w:lvl w:ilvl="0">
      <w:lvlJc w:val="left"/>
      <w:lvlText w:val="%1"/>
      <w:numFmt w:val="lowerLetter"/>
      <w:start w:val="1"/>
    </w:lvl>
    <w:lvl w:ilvl="1">
      <w:lvlJc w:val="left"/>
      <w:lvlText w:val="(%2)"/>
      <w:numFmt w:val="lowerLetter"/>
      <w:start w:val="15"/>
    </w:lvl>
  </w:abstractNum>
  <w:abstractNum w:abstractNumId="57">
    <w:nsid w:val="368DB37E"/>
    <w:multiLevelType w:val="hybridMultilevel"/>
    <w:lvl w:ilvl="0">
      <w:lvlJc w:val="left"/>
      <w:lvlText w:val="(%1)"/>
      <w:numFmt w:val="lowerLetter"/>
      <w:start w:val="22"/>
    </w:lvl>
    <w:lvl w:ilvl="1">
      <w:lvlJc w:val="left"/>
      <w:lvlText w:val="(%2)"/>
      <w:numFmt w:val="lowerLetter"/>
      <w:start w:val="23"/>
    </w:lvl>
  </w:abstractNum>
  <w:abstractNum w:abstractNumId="58">
    <w:nsid w:val="6A3B714C"/>
    <w:multiLevelType w:val="hybridMultilevel"/>
    <w:lvl w:ilvl="0">
      <w:lvlJc w:val="left"/>
      <w:lvlText w:val="(%1)"/>
      <w:numFmt w:val="lowerLetter"/>
      <w:start w:val="25"/>
    </w:lvl>
  </w:abstractNum>
  <w:abstractNum w:abstractNumId="59">
    <w:nsid w:val="327B517E"/>
    <w:multiLevelType w:val="hybridMultilevel"/>
    <w:lvl w:ilvl="0">
      <w:lvlJc w:val="left"/>
      <w:lvlText w:val="(%1)"/>
      <w:numFmt w:val="lowerLetter"/>
      <w:start w:val="27"/>
    </w:lvl>
  </w:abstractNum>
  <w:abstractNum w:abstractNumId="60">
    <w:nsid w:val="1F461B51"/>
    <w:multiLevelType w:val="hybridMultilevel"/>
    <w:lvl w:ilvl="0">
      <w:lvlJc w:val="left"/>
      <w:lvlText w:val="%1"/>
      <w:numFmt w:val="upperLetter"/>
      <w:start w:val="1"/>
    </w:lvl>
    <w:lvl w:ilvl="1">
      <w:lvlJc w:val="left"/>
      <w:lvlText w:val="(%2)"/>
      <w:numFmt w:val="lowerLetter"/>
      <w:start w:val="36"/>
    </w:lvl>
  </w:abstractNum>
  <w:abstractNum w:abstractNumId="61">
    <w:nsid w:val="29BACF25"/>
    <w:multiLevelType w:val="hybridMultilevel"/>
    <w:lvl w:ilvl="0">
      <w:lvlJc w:val="left"/>
      <w:lvlText w:val="(%1)"/>
      <w:numFmt w:val="upperLetter"/>
      <w:start w:val="1"/>
    </w:lvl>
    <w:lvl w:ilvl="1">
      <w:lvlJc w:val="left"/>
      <w:lvlText w:val="%2"/>
      <w:numFmt w:val="lowerLetter"/>
      <w:start w:val="1"/>
    </w:lvl>
  </w:abstractNum>
  <w:abstractNum w:abstractNumId="62">
    <w:nsid w:val="5D5BABB3"/>
    <w:multiLevelType w:val="hybridMultilevel"/>
    <w:lvl w:ilvl="0">
      <w:lvlJc w:val="left"/>
      <w:lvlText w:val="(%1)"/>
      <w:numFmt w:val="upperLetter"/>
      <w:start w:val="9"/>
    </w:lvl>
    <w:lvl w:ilvl="1">
      <w:lvlJc w:val="left"/>
      <w:lvlText w:val="%2"/>
      <w:numFmt w:val="lowerLetter"/>
      <w:start w:val="1"/>
    </w:lvl>
  </w:abstractNum>
  <w:abstractNum w:abstractNumId="63">
    <w:nsid w:val="51BF6B48"/>
    <w:multiLevelType w:val="hybridMultilevel"/>
    <w:lvl w:ilvl="0">
      <w:lvlJc w:val="left"/>
      <w:lvlText w:val="(%1)"/>
      <w:numFmt w:val="decimal"/>
      <w:start w:val="2"/>
    </w:lvl>
    <w:lvl w:ilvl="1">
      <w:lvlJc w:val="left"/>
      <w:lvlText w:val="(%2)"/>
      <w:numFmt w:val="lowerLetter"/>
      <w:start w:val="41"/>
    </w:lvl>
  </w:abstractNum>
  <w:abstractNum w:abstractNumId="64">
    <w:nsid w:val="7E0F6384"/>
    <w:multiLevelType w:val="hybridMultilevel"/>
    <w:lvl w:ilvl="0">
      <w:lvlJc w:val="left"/>
      <w:lvlText w:val="(%1)"/>
      <w:numFmt w:val="lowerLetter"/>
      <w:start w:val="51"/>
    </w:lvl>
  </w:abstractNum>
  <w:abstractNum w:abstractNumId="65">
    <w:nsid w:val="2B4B8B53"/>
    <w:multiLevelType w:val="hybridMultilevel"/>
    <w:lvl w:ilvl="0">
      <w:lvlJc w:val="left"/>
      <w:lvlText w:val="(%1)"/>
      <w:numFmt w:val="lowerLetter"/>
      <w:start w:val="1"/>
    </w:lvl>
    <w:lvl w:ilvl="1">
      <w:lvlJc w:val="left"/>
      <w:lvlText w:val="(%2)"/>
      <w:numFmt w:val="lowerRoman"/>
      <w:start w:val="1"/>
    </w:lvl>
  </w:abstractNum>
  <w:abstractNum w:abstractNumId="66">
    <w:nsid w:val="72E3413A"/>
    <w:multiLevelType w:val="hybridMultilevel"/>
    <w:lvl w:ilvl="0">
      <w:lvlJc w:val="left"/>
      <w:lvlText w:val="(%1)"/>
      <w:numFmt w:val="lowerLetter"/>
      <w:start w:val="1"/>
    </w:lvl>
  </w:abstractNum>
  <w:abstractNum w:abstractNumId="67">
    <w:nsid w:val="116AE494"/>
    <w:multiLevelType w:val="hybridMultilevel"/>
    <w:lvl w:ilvl="0">
      <w:lvlJc w:val="left"/>
      <w:lvlText w:val="(%1)"/>
      <w:numFmt w:val="lowerLetter"/>
      <w:start w:val="3"/>
    </w:lvl>
  </w:abstractNum>
  <w:abstractNum w:abstractNumId="68">
    <w:nsid w:val="3494B2FB"/>
    <w:multiLevelType w:val="hybridMultilevel"/>
    <w:lvl w:ilvl="0">
      <w:lvlJc w:val="left"/>
      <w:lvlText w:val="(%1)"/>
      <w:numFmt w:val="lowerLetter"/>
      <w:start w:val="1"/>
    </w:lvl>
    <w:lvl w:ilvl="1">
      <w:lvlJc w:val="left"/>
      <w:lvlText w:val="(%2)"/>
      <w:numFmt w:val="lowerRoman"/>
      <w:start w:val="1"/>
    </w:lvl>
  </w:abstractNum>
  <w:abstractNum w:abstractNumId="69">
    <w:nsid w:val="B13A31"/>
    <w:multiLevelType w:val="hybridMultilevel"/>
    <w:lvl w:ilvl="0">
      <w:lvlJc w:val="left"/>
      <w:lvlText w:val="(%1)"/>
      <w:numFmt w:val="lowerLetter"/>
      <w:start w:val="1"/>
    </w:lvl>
  </w:abstractNum>
  <w:abstractNum w:abstractNumId="70">
    <w:nsid w:val="64429599"/>
    <w:multiLevelType w:val="hybridMultilevel"/>
    <w:lvl w:ilvl="0">
      <w:lvlJc w:val="left"/>
      <w:lvlText w:val="(%1)"/>
      <w:numFmt w:val="lowerLetter"/>
      <w:start w:val="1"/>
    </w:lvl>
  </w:abstractNum>
  <w:abstractNum w:abstractNumId="71">
    <w:nsid w:val="631F1690"/>
    <w:multiLevelType w:val="hybridMultilevel"/>
    <w:lvl w:ilvl="0">
      <w:lvlJc w:val="left"/>
      <w:lvlText w:val="(%1)"/>
      <w:numFmt w:val="lowerLetter"/>
      <w:start w:val="1"/>
    </w:lvl>
  </w:abstractNum>
  <w:abstractNum w:abstractNumId="72">
    <w:nsid w:val="25973E32"/>
    <w:multiLevelType w:val="hybridMultilevel"/>
    <w:lvl w:ilvl="0">
      <w:lvlJc w:val="left"/>
      <w:lvlText w:val="(%1)"/>
      <w:numFmt w:val="lowerLetter"/>
      <w:start w:val="6"/>
    </w:lvl>
  </w:abstractNum>
  <w:abstractNum w:abstractNumId="73">
    <w:nsid w:val="EAD6F57"/>
    <w:multiLevelType w:val="hybridMultilevel"/>
    <w:lvl w:ilvl="0">
      <w:lvlJc w:val="left"/>
      <w:lvlText w:val="(%1)"/>
      <w:numFmt w:val="lowerLetter"/>
      <w:start w:val="1"/>
    </w:lvl>
  </w:abstractNum>
  <w:abstractNum w:abstractNumId="74">
    <w:nsid w:val="6EC9D844"/>
    <w:multiLevelType w:val="hybridMultilevel"/>
    <w:lvl w:ilvl="0">
      <w:lvlJc w:val="left"/>
      <w:lvlText w:val="(%1)"/>
      <w:numFmt w:val="lowerLetter"/>
      <w:start w:val="8"/>
    </w:lvl>
  </w:abstractNum>
  <w:abstractNum w:abstractNumId="75">
    <w:nsid w:val="5C49EAEE"/>
    <w:multiLevelType w:val="hybridMultilevel"/>
    <w:lvl w:ilvl="0">
      <w:lvlJc w:val="left"/>
      <w:lvlText w:val="(%1)"/>
      <w:numFmt w:val="lowerLetter"/>
      <w:start w:val="1"/>
    </w:lvl>
  </w:abstractNum>
  <w:abstractNum w:abstractNumId="76">
    <w:nsid w:val="64AF49B"/>
    <w:multiLevelType w:val="hybridMultilevel"/>
    <w:lvl w:ilvl="0">
      <w:lvlJc w:val="left"/>
      <w:lvlText w:val="(%1)"/>
      <w:numFmt w:val="lowerLetter"/>
      <w:start w:val="3"/>
    </w:lvl>
  </w:abstractNum>
  <w:abstractNum w:abstractNumId="77">
    <w:nsid w:val="397C46BC"/>
    <w:multiLevelType w:val="hybridMultilevel"/>
    <w:lvl w:ilvl="0">
      <w:lvlJc w:val="left"/>
      <w:lvlText w:val="(%1)"/>
      <w:numFmt w:val="lowerLetter"/>
      <w:start w:val="4"/>
    </w:lvl>
  </w:abstractNum>
  <w:abstractNum w:abstractNumId="78">
    <w:nsid w:val="7E448DE9"/>
    <w:multiLevelType w:val="hybridMultilevel"/>
    <w:lvl w:ilvl="0">
      <w:lvlJc w:val="left"/>
      <w:lvlText w:val="(%1)"/>
      <w:numFmt w:val="lowerLetter"/>
      <w:start w:val="5"/>
    </w:lvl>
  </w:abstractNum>
  <w:abstractNum w:abstractNumId="79">
    <w:nsid w:val="5A9CC3E5"/>
    <w:multiLevelType w:val="hybridMultilevel"/>
    <w:lvl w:ilvl="0">
      <w:lvlJc w:val="left"/>
      <w:lvlText w:val="(%1)"/>
      <w:numFmt w:val="lowerLetter"/>
      <w:start w:val="1"/>
    </w:lvl>
    <w:lvl w:ilvl="1">
      <w:lvlJc w:val="left"/>
      <w:lvlText w:val="(%2)"/>
      <w:numFmt w:val="lowerLetter"/>
      <w:start w:val="9"/>
    </w:lvl>
  </w:abstractNum>
  <w:abstractNum w:abstractNumId="80">
    <w:nsid w:val="1AFE3625"/>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81">
    <w:nsid w:val="3CA88ECF"/>
    <w:multiLevelType w:val="hybridMultilevel"/>
    <w:lvl w:ilvl="0">
      <w:lvlJc w:val="left"/>
      <w:lvlText w:val="(%1)"/>
      <w:numFmt w:val="decimal"/>
      <w:start w:val="2"/>
    </w:lvl>
  </w:abstractNum>
  <w:abstractNum w:abstractNumId="82">
    <w:nsid w:val="6EBE4208"/>
    <w:multiLevelType w:val="hybridMultilevel"/>
    <w:lvl w:ilvl="0">
      <w:lvlJc w:val="left"/>
      <w:lvlText w:val="(%1)"/>
      <w:numFmt w:val="lowerLetter"/>
      <w:start w:val="3"/>
    </w:lvl>
    <w:lvl w:ilvl="1">
      <w:lvlJc w:val="left"/>
      <w:lvlText w:val="(%2)"/>
      <w:numFmt w:val="upperLetter"/>
    </w:lvl>
    <w:lvl w:ilvl="2">
      <w:lvlJc w:val="left"/>
      <w:lvlText w:val="(%3)"/>
      <w:numFmt w:val="lowerLetter"/>
      <w:start w:val="9"/>
    </w:lvl>
  </w:abstractNum>
  <w:abstractNum w:abstractNumId="83">
    <w:nsid w:val="C058DF5"/>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abstractNum>
  <w:abstractNum w:abstractNumId="84">
    <w:nsid w:val="CBE5BE9"/>
    <w:multiLevelType w:val="hybridMultilevel"/>
    <w:lvl w:ilvl="0">
      <w:lvlJc w:val="left"/>
      <w:lvlText w:val="(%1)"/>
      <w:numFmt w:val="upperLetter"/>
      <w:start w:val="6"/>
    </w:lvl>
  </w:abstractNum>
  <w:abstractNum w:abstractNumId="85">
    <w:nsid w:val="3102BBE2"/>
    <w:multiLevelType w:val="hybridMultilevel"/>
    <w:lvl w:ilvl="0">
      <w:lvlJc w:val="left"/>
      <w:lvlText w:val="(%1)"/>
      <w:numFmt w:val="lowerRoman"/>
      <w:start w:val="2"/>
    </w:lvl>
    <w:lvl w:ilvl="1">
      <w:lvlJc w:val="left"/>
      <w:lvlText w:val="(%2)"/>
      <w:numFmt w:val="upperLetter"/>
      <w:start w:val="1"/>
    </w:lvl>
  </w:abstractNum>
  <w:abstractNum w:abstractNumId="86">
    <w:nsid w:val="26A02C5E"/>
    <w:multiLevelType w:val="hybridMultilevel"/>
    <w:lvl w:ilvl="0">
      <w:lvlJc w:val="left"/>
      <w:lvlText w:val="(%1)"/>
      <w:numFmt w:val="lowerRoman"/>
      <w:start w:val="4"/>
    </w:lvl>
  </w:abstractNum>
  <w:abstractNum w:abstractNumId="87">
    <w:nsid w:val="541C8153"/>
    <w:multiLevelType w:val="hybridMultilevel"/>
    <w:lvl w:ilvl="0">
      <w:lvlJc w:val="left"/>
      <w:lvlText w:val="(%1)"/>
      <w:numFmt w:val="lowerLetter"/>
      <w:start w:val="4"/>
    </w:lvl>
  </w:abstractNum>
  <w:abstractNum w:abstractNumId="88">
    <w:nsid w:val="67906F60"/>
    <w:multiLevelType w:val="hybridMultilevel"/>
    <w:lvl w:ilvl="0">
      <w:lvlJc w:val="left"/>
      <w:lvlText w:val="(%1)"/>
      <w:numFmt w:val="lowerRoman"/>
      <w:start w:val="1"/>
    </w:lvl>
    <w:lvl w:ilvl="1">
      <w:lvlJc w:val="left"/>
      <w:lvlText w:val="(%2)"/>
      <w:numFmt w:val="upperLetter"/>
      <w:start w:val="1"/>
    </w:lvl>
  </w:abstractNum>
  <w:abstractNum w:abstractNumId="89">
    <w:nsid w:val="10DB9DAA"/>
    <w:multiLevelType w:val="hybridMultilevel"/>
    <w:lvl w:ilvl="0">
      <w:lvlJc w:val="left"/>
      <w:lvlText w:val="(%1)"/>
      <w:numFmt w:val="upperLetter"/>
      <w:start w:val="1"/>
    </w:lvl>
  </w:abstractNum>
  <w:abstractNum w:abstractNumId="90">
    <w:nsid w:val="697D2D2"/>
    <w:multiLevelType w:val="hybridMultilevel"/>
    <w:lvl w:ilvl="0">
      <w:lvlJc w:val="left"/>
      <w:lvlText w:val="(%1)"/>
      <w:numFmt w:val="lowerRoman"/>
      <w:start w:val="2"/>
    </w:lvl>
    <w:lvl w:ilvl="1">
      <w:lvlJc w:val="left"/>
      <w:lvlText w:val="(%2)"/>
      <w:numFmt w:val="upperLetter"/>
      <w:start w:val="1"/>
    </w:lvl>
  </w:abstractNum>
  <w:abstractNum w:abstractNumId="91">
    <w:nsid w:val="6D68AB2"/>
    <w:multiLevelType w:val="hybridMultilevel"/>
    <w:lvl w:ilvl="0">
      <w:lvlJc w:val="left"/>
      <w:lvlText w:val="(%1)"/>
      <w:numFmt w:val="lowerRoman"/>
      <w:start w:val="3"/>
    </w:lvl>
  </w:abstractNum>
  <w:abstractNum w:abstractNumId="92">
    <w:nsid w:val="3A966CD0"/>
    <w:multiLevelType w:val="hybridMultilevel"/>
    <w:lvl w:ilvl="0">
      <w:lvlJc w:val="left"/>
      <w:lvlText w:val="(%1)"/>
      <w:numFmt w:val="lowerLetter"/>
      <w:start w:val="5"/>
    </w:lvl>
    <w:lvl w:ilvl="1">
      <w:lvlJc w:val="left"/>
      <w:lvlText w:val="(%2)"/>
      <w:numFmt w:val="lowerLetter"/>
      <w:start w:val="9"/>
    </w:lvl>
  </w:abstractNum>
  <w:abstractNum w:abstractNumId="93">
    <w:nsid w:val="63F37E85"/>
    <w:multiLevelType w:val="hybridMultilevel"/>
    <w:lvl w:ilvl="0">
      <w:lvlJc w:val="left"/>
      <w:lvlText w:val="%1"/>
      <w:numFmt w:val="lowerRoman"/>
      <w:start w:val="1"/>
    </w:lvl>
    <w:lvl w:ilvl="1">
      <w:lvlJc w:val="left"/>
      <w:lvlText w:val="(%2)"/>
      <w:numFmt w:val="upperLetter"/>
      <w:start w:val="1"/>
    </w:lvl>
  </w:abstractNum>
  <w:abstractNum w:abstractNumId="94">
    <w:nsid w:val="5895F5FA"/>
    <w:multiLevelType w:val="hybridMultilevel"/>
    <w:lvl w:ilvl="0">
      <w:lvlJc w:val="left"/>
      <w:lvlText w:val="(%1)"/>
      <w:numFmt w:val="lowerRoman"/>
      <w:start w:val="2"/>
    </w:lvl>
    <w:lvl w:ilvl="1">
      <w:lvlJc w:val="left"/>
      <w:lvlText w:val="(%2)"/>
      <w:numFmt w:val="upperLetter"/>
      <w:start w:val="1"/>
    </w:lvl>
  </w:abstractNum>
  <w:abstractNum w:abstractNumId="95">
    <w:nsid w:val="38A5D054"/>
    <w:multiLevelType w:val="hybridMultilevel"/>
    <w:lvl w:ilvl="0">
      <w:lvlJc w:val="left"/>
      <w:lvlText w:val="%1"/>
      <w:numFmt w:val="lowerLetter"/>
      <w:start w:val="1"/>
    </w:lvl>
    <w:lvl w:ilvl="1">
      <w:lvlJc w:val="left"/>
      <w:lvlText w:val="(%2)"/>
      <w:numFmt w:val="lowerLetter"/>
      <w:start w:val="61"/>
    </w:lvl>
  </w:abstractNum>
  <w:abstractNum w:abstractNumId="96">
    <w:nsid w:val="F3F09D8"/>
    <w:multiLevelType w:val="hybridMultilevel"/>
    <w:lvl w:ilvl="0">
      <w:lvlJc w:val="left"/>
      <w:lvlText w:val="(%1)"/>
      <w:numFmt w:val="lowerLetter"/>
      <w:start w:val="6"/>
    </w:lvl>
    <w:lvl w:ilvl="1">
      <w:lvlJc w:val="left"/>
      <w:lvlText w:val="%2"/>
      <w:numFmt w:val="lowerLetter"/>
      <w:start w:val="1"/>
    </w:lvl>
  </w:abstractNum>
  <w:abstractNum w:abstractNumId="97">
    <w:nsid w:val="4B793735"/>
    <w:multiLevelType w:val="hybridMultilevel"/>
    <w:lvl w:ilvl="0">
      <w:lvlJc w:val="left"/>
      <w:lvlText w:val="(%1)"/>
      <w:numFmt w:val="lowerRoman"/>
      <w:start w:val="1"/>
    </w:lvl>
  </w:abstractNum>
  <w:abstractNum w:abstractNumId="98">
    <w:nsid w:val="4A10B4E8"/>
    <w:multiLevelType w:val="hybridMultilevel"/>
    <w:lvl w:ilvl="0">
      <w:lvlJc w:val="left"/>
      <w:lvlText w:val="(%1)"/>
      <w:numFmt w:val="upperLetter"/>
      <w:start w:val="1"/>
    </w:lvl>
  </w:abstractNum>
  <w:abstractNum w:abstractNumId="99">
    <w:nsid w:val="43D3BCD4"/>
    <w:multiLevelType w:val="hybridMultilevel"/>
    <w:lvl w:ilvl="0">
      <w:lvlJc w:val="left"/>
      <w:lvlText w:val="(%1)"/>
      <w:numFmt w:val="decimal"/>
      <w:start w:val="2"/>
    </w:lvl>
  </w:abstractNum>
  <w:abstractNum w:abstractNumId="100">
    <w:nsid w:val="4C2A7166"/>
    <w:multiLevelType w:val="hybridMultilevel"/>
    <w:lvl w:ilvl="0">
      <w:lvlJc w:val="left"/>
      <w:lvlText w:val="(%1)"/>
      <w:numFmt w:val="upperLetter"/>
      <w:start w:val="2"/>
    </w:lvl>
  </w:abstractNum>
  <w:abstractNum w:abstractNumId="101">
    <w:nsid w:val="2E534A82"/>
    <w:multiLevelType w:val="hybridMultilevel"/>
    <w:lvl w:ilvl="0">
      <w:lvlJc w:val="left"/>
      <w:lvlText w:val="(%1)"/>
      <w:numFmt w:val="lowerRoman"/>
      <w:start w:val="2"/>
    </w:lvl>
  </w:abstractNum>
  <w:abstractNum w:abstractNumId="102">
    <w:nsid w:val="26F2D364"/>
    <w:multiLevelType w:val="hybridMultilevel"/>
    <w:lvl w:ilvl="0">
      <w:lvlJc w:val="left"/>
      <w:lvlText w:val="(%1)"/>
      <w:numFmt w:val="lowerRoman"/>
      <w:start w:val="3"/>
    </w:lvl>
  </w:abstractNum>
  <w:abstractNum w:abstractNumId="103">
    <w:nsid w:val="71C1AF98"/>
    <w:multiLevelType w:val="hybridMultilevel"/>
    <w:lvl w:ilvl="0">
      <w:lvlJc w:val="left"/>
      <w:lvlText w:val="(%1)"/>
      <w:numFmt w:val="lowerLetter"/>
      <w:start w:val="8"/>
    </w:lvl>
  </w:abstractNum>
  <w:abstractNum w:abstractNumId="104">
    <w:nsid w:val="3D00B9D9"/>
    <w:multiLevelType w:val="hybridMultilevel"/>
    <w:lvl w:ilvl="0">
      <w:lvlJc w:val="left"/>
      <w:lvlText w:val="(%1)"/>
      <w:numFmt w:val="lowerRoman"/>
      <w:start w:val="1"/>
    </w:lvl>
  </w:abstractNum>
  <w:abstractNum w:abstractNumId="105">
    <w:nsid w:val="15BCABA8"/>
    <w:multiLevelType w:val="hybridMultilevel"/>
    <w:lvl w:ilvl="0">
      <w:lvlJc w:val="left"/>
      <w:lvlText w:val="(%1)"/>
      <w:numFmt w:val="lowerRoman"/>
      <w:start w:val="2"/>
    </w:lvl>
  </w:abstractNum>
  <w:abstractNum w:abstractNumId="106">
    <w:nsid w:val="4E0B9A87"/>
    <w:multiLevelType w:val="hybridMultilevel"/>
    <w:lvl w:ilvl="0">
      <w:lvlJc w:val="left"/>
      <w:lvlText w:val="(%1)"/>
      <w:numFmt w:val="lowerRoman"/>
      <w:start w:val="11"/>
    </w:lvl>
  </w:abstractNum>
  <w:abstractNum w:abstractNumId="107">
    <w:nsid w:val="434BAE75"/>
    <w:multiLevelType w:val="hybridMultilevel"/>
    <w:lvl w:ilvl="0">
      <w:lvlJc w:val="left"/>
      <w:lvlText w:val="(%1)"/>
      <w:numFmt w:val="lowerLetter"/>
      <w:start w:val="1"/>
    </w:lvl>
  </w:abstractNum>
  <w:abstractNum w:abstractNumId="108">
    <w:nsid w:val="4F38F265"/>
    <w:multiLevelType w:val="hybridMultilevel"/>
    <w:lvl w:ilvl="0">
      <w:lvlJc w:val="left"/>
      <w:lvlText w:val="(%1)"/>
      <w:numFmt w:val="lowerLetter"/>
      <w:start w:val="5"/>
    </w:lvl>
  </w:abstractNum>
  <w:abstractNum w:abstractNumId="109">
    <w:nsid w:val="4C502870"/>
    <w:multiLevelType w:val="hybridMultilevel"/>
    <w:lvl w:ilvl="0">
      <w:lvlJc w:val="left"/>
      <w:lvlText w:val="(%1)"/>
      <w:numFmt w:val="lowerLetter"/>
      <w:start w:val="1"/>
    </w:lvl>
  </w:abstractNum>
  <w:abstractNum w:abstractNumId="110">
    <w:nsid w:val="1DE8725A"/>
    <w:multiLevelType w:val="hybridMultilevel"/>
    <w:lvl w:ilvl="0">
      <w:lvlJc w:val="left"/>
      <w:lvlText w:val="(%1)"/>
      <w:numFmt w:val="lowerLetter"/>
      <w:start w:val="2"/>
    </w:lvl>
  </w:abstractNum>
  <w:abstractNum w:abstractNumId="111">
    <w:nsid w:val="6A37288A"/>
    <w:multiLevelType w:val="hybridMultilevel"/>
    <w:lvl w:ilvl="0">
      <w:lvlJc w:val="left"/>
      <w:lvlText w:val="(%1)"/>
      <w:numFmt w:val="lowerLetter"/>
      <w:start w:val="1"/>
    </w:lvl>
  </w:abstractNum>
  <w:abstractNum w:abstractNumId="112">
    <w:nsid w:val="8F8B73F"/>
    <w:multiLevelType w:val="hybridMultilevel"/>
    <w:lvl w:ilvl="0">
      <w:lvlJc w:val="left"/>
      <w:lvlText w:val="(%1)"/>
      <w:numFmt w:val="lowerLetter"/>
      <w:start w:val="4"/>
    </w:lvl>
  </w:abstractNum>
  <w:abstractNum w:abstractNumId="113">
    <w:nsid w:val="CA6B462"/>
    <w:multiLevelType w:val="hybridMultilevel"/>
    <w:lvl w:ilvl="0">
      <w:lvlJc w:val="left"/>
      <w:lvlText w:val="(%1)"/>
      <w:numFmt w:val="lowerLetter"/>
      <w:start w:val="6"/>
    </w:lvl>
  </w:abstractNum>
  <w:abstractNum w:abstractNumId="114">
    <w:nsid w:val="763CB680"/>
    <w:multiLevelType w:val="hybridMultilevel"/>
    <w:lvl w:ilvl="0">
      <w:lvlJc w:val="left"/>
      <w:lvlText w:val="(%1)"/>
      <w:numFmt w:val="lowerLetter"/>
      <w:start w:val="1"/>
    </w:lvl>
    <w:lvl w:ilvl="1">
      <w:lvlJc w:val="left"/>
      <w:lvlText w:val="(%2)"/>
      <w:numFmt w:val="decimal"/>
      <w:start w:val="1"/>
    </w:lvl>
  </w:abstractNum>
  <w:abstractNum w:abstractNumId="115">
    <w:nsid w:val="15B71329"/>
    <w:multiLevelType w:val="hybridMultilevel"/>
    <w:lvl w:ilvl="0">
      <w:lvlJc w:val="left"/>
      <w:lvlText w:val="(%1)"/>
      <w:numFmt w:val="upperLetter"/>
      <w:start w:val="7"/>
    </w:lvl>
  </w:abstractNum>
  <w:abstractNum w:abstractNumId="116">
    <w:nsid w:val="3DA97044"/>
    <w:multiLevelType w:val="hybridMultilevel"/>
    <w:lvl w:ilvl="0">
      <w:lvlJc w:val="left"/>
      <w:lvlText w:val="(%1)"/>
      <w:numFmt w:val="lowerLetter"/>
      <w:start w:val="2"/>
    </w:lvl>
  </w:abstractNum>
  <w:abstractNum w:abstractNumId="117">
    <w:nsid w:val="1CDCE2DE"/>
    <w:multiLevelType w:val="hybridMultilevel"/>
    <w:lvl w:ilvl="0">
      <w:lvlJc w:val="left"/>
      <w:lvlText w:val="(%1)"/>
      <w:numFmt w:val="lowerLetter"/>
      <w:start w:val="5"/>
    </w:lvl>
  </w:abstractNum>
  <w:abstractNum w:abstractNumId="118">
    <w:nsid w:val="69D3947C"/>
    <w:multiLevelType w:val="hybridMultilevel"/>
    <w:lvl w:ilvl="0">
      <w:lvlJc w:val="left"/>
      <w:lvlText w:val="(%1)"/>
      <w:numFmt w:val="lowerLetter"/>
      <w:start w:val="1"/>
    </w:lvl>
  </w:abstractNum>
  <w:abstractNum w:abstractNumId="119">
    <w:nsid w:val="2539DFA5"/>
    <w:multiLevelType w:val="hybridMultilevel"/>
    <w:lvl w:ilvl="0">
      <w:lvlJc w:val="left"/>
      <w:lvlText w:val="%1"/>
      <w:numFmt w:val="lowerLetter"/>
      <w:start w:val="1"/>
    </w:lvl>
    <w:lvl w:ilvl="1">
      <w:lvlJc w:val="left"/>
      <w:lvlText w:val="(%2)"/>
      <w:numFmt w:val="lowerLetter"/>
      <w:start w:val="2"/>
    </w:lvl>
  </w:abstractNum>
  <w:abstractNum w:abstractNumId="120">
    <w:nsid w:val="2DB88089"/>
    <w:multiLevelType w:val="hybridMultilevel"/>
    <w:lvl w:ilvl="0">
      <w:lvlJc w:val="left"/>
      <w:lvlText w:val="(%1)"/>
      <w:numFmt w:val="lowerLetter"/>
      <w:start w:val="2"/>
    </w:lvl>
    <w:lvl w:ilvl="1">
      <w:lvlJc w:val="left"/>
      <w:lvlText w:val="(%2)"/>
      <w:numFmt w:val="lowerLetter"/>
      <w:start w:val="4"/>
    </w:lvl>
  </w:abstractNum>
  <w:abstractNum w:abstractNumId="121">
    <w:nsid w:val="706B674E"/>
    <w:multiLevelType w:val="hybridMultilevel"/>
    <w:lvl w:ilvl="0">
      <w:lvlJc w:val="left"/>
      <w:lvlText w:val="(%1)"/>
      <w:numFmt w:val="lowerRoman"/>
      <w:start w:val="1"/>
    </w:lvl>
  </w:abstractNum>
  <w:abstractNum w:abstractNumId="122">
    <w:nsid w:val="2C106A57"/>
    <w:multiLevelType w:val="hybridMultilevel"/>
    <w:lvl w:ilvl="0">
      <w:lvlJc w:val="left"/>
      <w:lvlText w:val="(%1)"/>
      <w:numFmt w:val="lowerRoman"/>
      <w:start w:val="6"/>
    </w:lvl>
  </w:abstractNum>
  <w:abstractNum w:abstractNumId="123">
    <w:nsid w:val="684EED59"/>
    <w:multiLevelType w:val="hybridMultilevel"/>
    <w:lvl w:ilvl="0">
      <w:lvlJc w:val="left"/>
      <w:lvlText w:val="%1"/>
      <w:numFmt w:val="lowerRoman"/>
      <w:start w:val="1"/>
    </w:lvl>
    <w:lvl w:ilvl="1">
      <w:lvlJc w:val="left"/>
      <w:lvlText w:val="(%2)"/>
      <w:numFmt w:val="lowerLetter"/>
      <w:start w:val="2"/>
    </w:lvl>
  </w:abstractNum>
  <w:abstractNum w:abstractNumId="124">
    <w:nsid w:val="545EE5D3"/>
    <w:multiLevelType w:val="hybridMultilevel"/>
    <w:lvl w:ilvl="0">
      <w:lvlJc w:val="left"/>
      <w:lvlText w:val="(%1)"/>
      <w:numFmt w:val="lowerRoman"/>
      <w:start w:val="1"/>
    </w:lvl>
    <w:lvl w:ilvl="1">
      <w:lvlJc w:val="left"/>
      <w:lvlText w:val="(%2)"/>
      <w:numFmt w:val="lowerLetter"/>
      <w:start w:val="3"/>
    </w:lvl>
  </w:abstractNum>
  <w:abstractNum w:abstractNumId="125">
    <w:nsid w:val="4A66051"/>
    <w:multiLevelType w:val="hybridMultilevel"/>
    <w:lvl w:ilvl="0">
      <w:lvlJc w:val="left"/>
      <w:lvlText w:val="(%1)"/>
      <w:numFmt w:val="lowerLetter"/>
      <w:start w:val="1"/>
    </w:lvl>
  </w:abstractNum>
  <w:abstractNum w:abstractNumId="126">
    <w:nsid w:val="20F4BDAD"/>
    <w:multiLevelType w:val="hybridMultilevel"/>
    <w:lvl w:ilvl="0">
      <w:lvlJc w:val="left"/>
      <w:lvlText w:val="(%1)"/>
      <w:numFmt w:val="lowerLetter"/>
      <w:start w:val="1"/>
    </w:lvl>
  </w:abstractNum>
  <w:abstractNum w:abstractNumId="127">
    <w:nsid w:val="639DEFAC"/>
    <w:multiLevelType w:val="hybridMultilevel"/>
    <w:lvl w:ilvl="0">
      <w:lvlJc w:val="left"/>
      <w:lvlText w:val="(%1)"/>
      <w:numFmt w:val="lowerLetter"/>
      <w:start w:val="5"/>
    </w:lvl>
  </w:abstractNum>
  <w:abstractNum w:abstractNumId="128">
    <w:nsid w:val="501F9786"/>
    <w:multiLevelType w:val="hybridMultilevel"/>
    <w:lvl w:ilvl="0">
      <w:lvlJc w:val="left"/>
      <w:lvlText w:val="(%1)"/>
      <w:numFmt w:val="lowerLetter"/>
      <w:start w:val="1"/>
    </w:lvl>
  </w:abstractNum>
  <w:abstractNum w:abstractNumId="129">
    <w:nsid w:val="6B057295"/>
    <w:multiLevelType w:val="hybridMultilevel"/>
    <w:lvl w:ilvl="0">
      <w:lvlJc w:val="left"/>
      <w:lvlText w:val="(%1)"/>
      <w:numFmt w:val="lowerLetter"/>
      <w:start w:val="1"/>
    </w:lvl>
    <w:lvl w:ilvl="1">
      <w:lvlJc w:val="left"/>
      <w:lvlText w:val="(%2)"/>
      <w:numFmt w:val="lowerLetter"/>
      <w:start w:val="9"/>
    </w:lvl>
  </w:abstractNum>
  <w:abstractNum w:abstractNumId="130">
    <w:nsid w:val="2771AC80"/>
    <w:multiLevelType w:val="hybridMultilevel"/>
    <w:lvl w:ilvl="0">
      <w:lvlJc w:val="left"/>
      <w:lvlText w:val="%1"/>
      <w:numFmt w:val="lowerLetter"/>
      <w:start w:val="1"/>
    </w:lvl>
    <w:lvl w:ilvl="1">
      <w:lvlJc w:val="left"/>
      <w:lvlText w:val="(%2)"/>
      <w:numFmt w:val="lowerRoman"/>
      <w:start w:val="2"/>
    </w:lvl>
  </w:abstractNum>
  <w:abstractNum w:abstractNumId="131">
    <w:nsid w:val="1C4A08EC"/>
    <w:multiLevelType w:val="hybridMultilevel"/>
    <w:lvl w:ilvl="0">
      <w:lvlJc w:val="left"/>
      <w:lvlText w:val="(%1)"/>
      <w:numFmt w:val="lowerLetter"/>
      <w:start w:val="2"/>
    </w:lvl>
    <w:lvl w:ilvl="1">
      <w:lvlJc w:val="left"/>
      <w:lvlText w:val="(%2)"/>
      <w:numFmt w:val="lowerRoman"/>
      <w:start w:val="1"/>
    </w:lvl>
  </w:abstractNum>
  <w:abstractNum w:abstractNumId="132">
    <w:nsid w:val="1958BD1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3">
    <w:nsid w:val="4E647FE4"/>
    <w:multiLevelType w:val="hybridMultilevel"/>
    <w:lvl w:ilvl="0">
      <w:lvlJc w:val="left"/>
      <w:lvlText w:val="(%1)"/>
      <w:numFmt w:val="lowerRoman"/>
      <w:start w:val="5"/>
    </w:lvl>
    <w:lvl w:ilvl="1">
      <w:lvlJc w:val="left"/>
      <w:lvlText w:val="(%2)"/>
      <w:numFmt w:val="upperLetter"/>
      <w:start w:val="1"/>
    </w:lvl>
  </w:abstractNum>
  <w:abstractNum w:abstractNumId="134">
    <w:nsid w:val="E0BB885"/>
    <w:multiLevelType w:val="hybridMultilevel"/>
    <w:lvl w:ilvl="0">
      <w:lvlJc w:val="left"/>
      <w:lvlText w:val="%1"/>
      <w:numFmt w:val="lowerLetter"/>
      <w:start w:val="1"/>
    </w:lvl>
    <w:lvl w:ilvl="1">
      <w:lvlJc w:val="left"/>
      <w:lvlText w:val="(%2)"/>
      <w:numFmt w:val="lowerRoman"/>
      <w:start w:val="8"/>
    </w:lvl>
  </w:abstractNum>
  <w:abstractNum w:abstractNumId="135">
    <w:nsid w:val="565976F1"/>
    <w:multiLevelType w:val="hybridMultilevel"/>
    <w:lvl w:ilvl="0">
      <w:lvlJc w:val="left"/>
      <w:lvlText w:val="(%1)"/>
      <w:numFmt w:val="lowerLetter"/>
      <w:start w:val="2"/>
    </w:lvl>
    <w:lvl w:ilvl="1">
      <w:lvlJc w:val="left"/>
      <w:lvlText w:val="(%2)"/>
      <w:numFmt w:val="lowerRoman"/>
      <w:start w:val="1"/>
    </w:lvl>
  </w:abstractNum>
  <w:abstractNum w:abstractNumId="136">
    <w:nsid w:val="64212B8C"/>
    <w:multiLevelType w:val="hybridMultilevel"/>
    <w:lvl w:ilvl="0">
      <w:lvlJc w:val="left"/>
      <w:lvlText w:val="(%1)"/>
      <w:numFmt w:val="lowerRoman"/>
      <w:start w:val="2"/>
    </w:lvl>
  </w:abstractNum>
  <w:abstractNum w:abstractNumId="137">
    <w:nsid w:val="5C17530C"/>
    <w:multiLevelType w:val="hybridMultilevel"/>
    <w:lvl w:ilvl="0">
      <w:lvlJc w:val="left"/>
      <w:lvlText w:val="(%1)"/>
      <w:numFmt w:val="lowerLetter"/>
      <w:start w:val="1"/>
    </w:lvl>
  </w:abstractNum>
  <w:abstractNum w:abstractNumId="138">
    <w:nsid w:val="19A52566"/>
    <w:multiLevelType w:val="hybridMultilevel"/>
    <w:lvl w:ilvl="0">
      <w:lvlJc w:val="left"/>
      <w:lvlText w:val="(%1)"/>
      <w:numFmt w:val="lowerLetter"/>
      <w:start w:val="1"/>
    </w:lvl>
  </w:abstractNum>
  <w:abstractNum w:abstractNumId="139">
    <w:nsid w:val="335A1DF1"/>
    <w:multiLevelType w:val="hybridMultilevel"/>
    <w:lvl w:ilvl="0">
      <w:lvlJc w:val="left"/>
      <w:lvlText w:val="(%1)"/>
      <w:numFmt w:val="lowerLetter"/>
      <w:start w:val="2"/>
    </w:lvl>
  </w:abstractNum>
  <w:abstractNum w:abstractNumId="140">
    <w:nsid w:val="28677B7C"/>
    <w:multiLevelType w:val="hybridMultilevel"/>
    <w:lvl w:ilvl="0">
      <w:lvlJc w:val="left"/>
      <w:lvlText w:val="(%1)"/>
      <w:numFmt w:val="lowerLetter"/>
      <w:start w:val="1"/>
    </w:lvl>
    <w:lvl w:ilvl="1">
      <w:lvlJc w:val="left"/>
      <w:lvlText w:val="(%2)"/>
      <w:numFmt w:val="lowerLetter"/>
      <w:start w:val="9"/>
    </w:lvl>
  </w:abstractNum>
  <w:abstractNum w:abstractNumId="141">
    <w:nsid w:val="378D97C0"/>
    <w:multiLevelType w:val="hybridMultilevel"/>
    <w:lvl w:ilvl="0">
      <w:lvlJc w:val="left"/>
      <w:lvlText w:val="%1"/>
      <w:numFmt w:val="lowerLetter"/>
      <w:start w:val="1"/>
    </w:lvl>
    <w:lvl w:ilvl="1">
      <w:lvlJc w:val="left"/>
      <w:lvlText w:val="(%2)"/>
      <w:numFmt w:val="lowerLetter"/>
      <w:start w:val="35"/>
    </w:lvl>
  </w:abstractNum>
  <w:abstractNum w:abstractNumId="142">
    <w:nsid w:val="1D91467C"/>
    <w:multiLevelType w:val="hybridMultilevel"/>
    <w:lvl w:ilvl="0">
      <w:lvlJc w:val="left"/>
      <w:lvlText w:val="(%1)"/>
      <w:numFmt w:val="lowerLetter"/>
      <w:start w:val="3"/>
    </w:lvl>
    <w:lvl w:ilvl="1">
      <w:lvlJc w:val="left"/>
      <w:lvlText w:val="(%2)"/>
      <w:numFmt w:val="lowerLetter"/>
      <w:start w:val="9"/>
    </w:lvl>
  </w:abstractNum>
  <w:abstractNum w:abstractNumId="143">
    <w:nsid w:val="316032BB"/>
    <w:multiLevelType w:val="hybridMultilevel"/>
    <w:lvl w:ilvl="0">
      <w:lvlJc w:val="left"/>
      <w:lvlText w:val="%1"/>
      <w:numFmt w:val="lowerLetter"/>
      <w:start w:val="1"/>
    </w:lvl>
    <w:lvl w:ilvl="1">
      <w:lvlJc w:val="left"/>
      <w:lvlText w:val="(%2)"/>
      <w:numFmt w:val="lowerRoman"/>
      <w:start w:val="2"/>
    </w:lvl>
  </w:abstractNum>
  <w:abstractNum w:abstractNumId="144">
    <w:nsid w:val="44344C22"/>
    <w:multiLevelType w:val="hybridMultilevel"/>
    <w:lvl w:ilvl="0">
      <w:lvlJc w:val="left"/>
      <w:lvlText w:val="(%1)"/>
      <w:numFmt w:val="lowerLetter"/>
      <w:start w:val="4"/>
    </w:lvl>
    <w:lvl w:ilvl="1">
      <w:lvlJc w:val="left"/>
      <w:lvlText w:val="%2"/>
      <w:numFmt w:val="lowerRoman"/>
      <w:start w:val="1"/>
    </w:lvl>
  </w:abstractNum>
  <w:abstractNum w:abstractNumId="145">
    <w:nsid w:val="13CDFCFC"/>
    <w:multiLevelType w:val="hybridMultilevel"/>
    <w:lvl w:ilvl="0">
      <w:lvlJc w:val="left"/>
      <w:lvlText w:val="(%1)"/>
      <w:numFmt w:val="lowerLetter"/>
      <w:start w:val="1"/>
    </w:lvl>
  </w:abstractNum>
  <w:abstractNum w:abstractNumId="146">
    <w:nsid w:val="471745E4"/>
    <w:multiLevelType w:val="hybridMultilevel"/>
    <w:lvl w:ilvl="0">
      <w:lvlJc w:val="left"/>
      <w:lvlText w:val="(%1)"/>
      <w:numFmt w:val="lowerLetter"/>
      <w:start w:val="3"/>
    </w:lvl>
  </w:abstractNum>
  <w:abstractNum w:abstractNumId="147">
    <w:nsid w:val="1DDBC66"/>
    <w:multiLevelType w:val="hybridMultilevel"/>
    <w:lvl w:ilvl="0">
      <w:lvlJc w:val="left"/>
      <w:lvlText w:val="(%1)"/>
      <w:numFmt w:val="lowerLetter"/>
      <w:start w:val="14"/>
    </w:lvl>
  </w:abstractNum>
  <w:abstractNum w:abstractNumId="148">
    <w:nsid w:val="30AADFDA"/>
    <w:multiLevelType w:val="hybridMultilevel"/>
    <w:lvl w:ilvl="0">
      <w:lvlJc w:val="left"/>
      <w:lvlText w:val="(%1)"/>
      <w:numFmt w:val="lowerLetter"/>
      <w:start w:val="1"/>
    </w:lvl>
  </w:abstractNum>
  <w:abstractNum w:abstractNumId="149">
    <w:nsid w:val="30EADA61"/>
    <w:multiLevelType w:val="hybridMultilevel"/>
    <w:lvl w:ilvl="0">
      <w:lvlJc w:val="left"/>
      <w:lvlText w:val="(%1)"/>
      <w:numFmt w:val="lowerLetter"/>
      <w:start w:val="1"/>
    </w:lvl>
  </w:abstractNum>
  <w:abstractNum w:abstractNumId="150">
    <w:nsid w:val="27179C0B"/>
    <w:multiLevelType w:val="hybridMultilevel"/>
    <w:lvl w:ilvl="0">
      <w:lvlJc w:val="left"/>
      <w:lvlText w:val="(%1)"/>
      <w:numFmt w:val="lowerLetter"/>
      <w:start w:val="2"/>
    </w:lvl>
  </w:abstractNum>
  <w:abstractNum w:abstractNumId="151">
    <w:nsid w:val="5E636063"/>
    <w:multiLevelType w:val="hybridMultilevel"/>
    <w:lvl w:ilvl="0">
      <w:lvlJc w:val="left"/>
      <w:lvlText w:val="(%1)"/>
      <w:numFmt w:val="lowerLetter"/>
      <w:start w:val="1"/>
    </w:lvl>
  </w:abstractNum>
  <w:abstractNum w:abstractNumId="152">
    <w:nsid w:val="215641AF"/>
    <w:multiLevelType w:val="hybridMultilevel"/>
    <w:lvl w:ilvl="0">
      <w:lvlJc w:val="left"/>
      <w:lvlText w:val="(%1)"/>
      <w:numFmt w:val="lowerLetter"/>
      <w:start w:val="3"/>
    </w:lvl>
  </w:abstractNum>
  <w:abstractNum w:abstractNumId="153">
    <w:nsid w:val="53280662"/>
    <w:multiLevelType w:val="hybridMultilevel"/>
    <w:lvl w:ilvl="0">
      <w:lvlJc w:val="left"/>
      <w:lvlText w:val="(%1)"/>
      <w:numFmt w:val="lowerLetter"/>
      <w:start w:val="1"/>
    </w:lvl>
  </w:abstractNum>
  <w:abstractNum w:abstractNumId="154">
    <w:nsid w:val="46B24DBC"/>
    <w:multiLevelType w:val="hybridMultilevel"/>
    <w:lvl w:ilvl="0">
      <w:lvlJc w:val="left"/>
      <w:lvlText w:val="(%1)"/>
      <w:numFmt w:val="lowerLetter"/>
      <w:start w:val="2"/>
    </w:lvl>
    <w:lvl w:ilvl="1">
      <w:lvlJc w:val="left"/>
      <w:lvlText w:val="(%2)"/>
      <w:numFmt w:val="lowerRoman"/>
      <w:start w:val="1"/>
    </w:lvl>
  </w:abstractNum>
  <w:abstractNum w:abstractNumId="155">
    <w:nsid w:val="75B52783"/>
    <w:multiLevelType w:val="hybridMultilevel"/>
    <w:lvl w:ilvl="0">
      <w:lvlJc w:val="left"/>
      <w:lvlText w:val="(%1)"/>
      <w:numFmt w:val="lowerLetter"/>
      <w:start w:val="3"/>
    </w:lvl>
  </w:abstractNum>
  <w:abstractNum w:abstractNumId="156">
    <w:nsid w:val="57CE66B4"/>
    <w:multiLevelType w:val="hybridMultilevel"/>
    <w:lvl w:ilvl="0">
      <w:lvlJc w:val="left"/>
      <w:lvlText w:val="(%1)"/>
      <w:numFmt w:val="lowerLetter"/>
      <w:start w:val="1"/>
    </w:lvl>
  </w:abstractNum>
  <w:abstractNum w:abstractNumId="157">
    <w:nsid w:val="67A70B69"/>
    <w:multiLevelType w:val="hybridMultilevel"/>
    <w:lvl w:ilvl="0">
      <w:lvlJc w:val="left"/>
      <w:lvlText w:val="(%1)"/>
      <w:numFmt w:val="lowerLetter"/>
      <w:start w:val="2"/>
    </w:lvl>
  </w:abstractNum>
  <w:abstractNum w:abstractNumId="158">
    <w:nsid w:val="5953172F"/>
    <w:multiLevelType w:val="hybridMultilevel"/>
    <w:lvl w:ilvl="0">
      <w:lvlJc w:val="left"/>
      <w:lvlText w:val="(%1)"/>
      <w:numFmt w:val="lowerLetter"/>
      <w:start w:val="17"/>
    </w:lvl>
  </w:abstractNum>
  <w:abstractNum w:abstractNumId="159">
    <w:nsid w:val="27EDFE3A"/>
    <w:multiLevelType w:val="hybridMultilevel"/>
    <w:lvl w:ilvl="0">
      <w:lvlJc w:val="left"/>
      <w:lvlText w:val="(%1)"/>
      <w:numFmt w:val="lowerRoman"/>
      <w:start w:val="3"/>
    </w:lvl>
  </w:abstractNum>
  <w:abstractNum w:abstractNumId="160">
    <w:nsid w:val="52AC7DFF"/>
    <w:multiLevelType w:val="hybridMultilevel"/>
    <w:lvl w:ilvl="0">
      <w:lvlJc w:val="left"/>
      <w:lvlText w:val="(%1)"/>
      <w:numFmt w:val="lowerLetter"/>
      <w:start w:val="1"/>
    </w:lvl>
  </w:abstractNum>
  <w:abstractNum w:abstractNumId="161">
    <w:nsid w:val="C4C3AF"/>
    <w:multiLevelType w:val="hybridMultilevel"/>
    <w:lvl w:ilvl="0">
      <w:lvlJc w:val="left"/>
      <w:lvlText w:val="(%1)"/>
      <w:numFmt w:val="lowerLetter"/>
      <w:start w:val="8"/>
    </w:lvl>
  </w:abstractNum>
  <w:abstractNum w:abstractNumId="162">
    <w:nsid w:val="44380727"/>
    <w:multiLevelType w:val="hybridMultilevel"/>
    <w:lvl w:ilvl="0">
      <w:lvlJc w:val="left"/>
      <w:lvlText w:val="%1"/>
      <w:numFmt w:val="lowerLetter"/>
      <w:start w:val="1"/>
    </w:lvl>
    <w:lvl w:ilvl="1">
      <w:lvlJc w:val="left"/>
      <w:lvlText w:val="(%2)"/>
      <w:numFmt w:val="lowerLetter"/>
      <w:start w:val="1"/>
    </w:lvl>
  </w:abstractNum>
  <w:abstractNum w:abstractNumId="163">
    <w:nsid w:val="6C053B16"/>
    <w:multiLevelType w:val="hybridMultilevel"/>
    <w:lvl w:ilvl="0">
      <w:lvlJc w:val="left"/>
      <w:lvlText w:val="(%1)"/>
      <w:numFmt w:val="lowerLetter"/>
      <w:start w:val="9"/>
    </w:lvl>
    <w:lvl w:ilvl="1">
      <w:lvlJc w:val="left"/>
      <w:lvlText w:val="%2"/>
      <w:numFmt w:val="lowerLetter"/>
      <w:start w:val="1"/>
    </w:lvl>
  </w:abstractNum>
  <w:abstractNum w:abstractNumId="164">
    <w:nsid w:val="4F294393"/>
    <w:multiLevelType w:val="hybridMultilevel"/>
    <w:lvl w:ilvl="0">
      <w:lvlJc w:val="left"/>
      <w:lvlText w:val="(%1)"/>
      <w:numFmt w:val="upperLetter"/>
      <w:start w:val="1"/>
    </w:lvl>
  </w:abstractNum>
  <w:abstractNum w:abstractNumId="165">
    <w:nsid w:val="5243BFAC"/>
    <w:multiLevelType w:val="hybridMultilevel"/>
    <w:lvl w:ilvl="0">
      <w:lvlJc w:val="left"/>
      <w:lvlText w:val="(%1)"/>
      <w:numFmt w:val="lowerLetter"/>
      <w:start w:val="1"/>
    </w:lvl>
  </w:abstractNum>
  <w:abstractNum w:abstractNumId="166">
    <w:nsid w:val="425EB207"/>
    <w:multiLevelType w:val="hybridMultilevel"/>
    <w:lvl w:ilvl="0">
      <w:lvlJc w:val="left"/>
      <w:lvlText w:val="(%1)"/>
      <w:numFmt w:val="lowerRoman"/>
      <w:start w:val="2"/>
    </w:lvl>
  </w:abstractNum>
  <w:abstractNum w:abstractNumId="167">
    <w:nsid w:val="334A6F1F"/>
    <w:multiLevelType w:val="hybridMultilevel"/>
    <w:lvl w:ilvl="0">
      <w:lvlJc w:val="left"/>
      <w:lvlText w:val="(%1)"/>
      <w:numFmt w:val="lowerLetter"/>
      <w:start w:val="1"/>
    </w:lvl>
    <w:lvl w:ilvl="1">
      <w:lvlJc w:val="left"/>
      <w:lvlText w:val="(%2)"/>
      <w:numFmt w:val="lowerRoman"/>
      <w:start w:val="1"/>
    </w:lvl>
  </w:abstractNum>
  <w:abstractNum w:abstractNumId="168">
    <w:nsid w:val="2E5B12B8"/>
    <w:multiLevelType w:val="hybridMultilevel"/>
    <w:lvl w:ilvl="0">
      <w:lvlJc w:val="left"/>
      <w:lvlText w:val="(%1)"/>
      <w:numFmt w:val="lowerLetter"/>
      <w:start w:val="25"/>
    </w:lvl>
    <w:lvl w:ilvl="1">
      <w:lvlJc w:val="left"/>
      <w:lvlText w:val="(%2)"/>
      <w:numFmt w:val="lowerRoman"/>
      <w:start w:val="6"/>
    </w:lvl>
  </w:abstractNum>
  <w:abstractNum w:abstractNumId="169">
    <w:nsid w:val="5C03D76D"/>
    <w:multiLevelType w:val="hybridMultilevel"/>
    <w:lvl w:ilvl="0">
      <w:lvlJc w:val="left"/>
      <w:lvlText w:val="(%1)"/>
      <w:numFmt w:val="lowerLetter"/>
      <w:start w:val="2"/>
    </w:lvl>
    <w:lvl w:ilvl="1">
      <w:lvlJc w:val="left"/>
      <w:lvlText w:val="(%2)"/>
      <w:numFmt w:val="lowerRoman"/>
      <w:start w:val="1"/>
    </w:lvl>
  </w:abstractNum>
  <w:abstractNum w:abstractNumId="170">
    <w:nsid w:val="66A48D11"/>
    <w:multiLevelType w:val="hybridMultilevel"/>
    <w:lvl w:ilvl="0">
      <w:lvlJc w:val="left"/>
      <w:lvlText w:val="(%1)"/>
      <w:numFmt w:val="lowerLetter"/>
      <w:start w:val="1"/>
    </w:lvl>
  </w:abstractNum>
  <w:abstractNum w:abstractNumId="171">
    <w:nsid w:val="56C28E34"/>
    <w:multiLevelType w:val="hybridMultilevel"/>
    <w:lvl w:ilvl="0">
      <w:lvlJc w:val="left"/>
      <w:lvlText w:val="(%1)"/>
      <w:numFmt w:val="lowerLetter"/>
      <w:start w:val="1"/>
    </w:lvl>
  </w:abstractNum>
  <w:abstractNum w:abstractNumId="172">
    <w:nsid w:val="13916F2D"/>
    <w:multiLevelType w:val="hybridMultilevel"/>
    <w:lvl w:ilvl="0">
      <w:lvlJc w:val="left"/>
      <w:lvlText w:val="%1"/>
      <w:numFmt w:val="lowerLetter"/>
      <w:start w:val="1"/>
    </w:lvl>
    <w:lvl w:ilvl="1">
      <w:lvlJc w:val="left"/>
      <w:lvlText w:val="(%2)"/>
      <w:numFmt w:val="lowerLetter"/>
      <w:start w:val="2"/>
    </w:lvl>
  </w:abstractNum>
  <w:abstractNum w:abstractNumId="173">
    <w:nsid w:val="435D38D"/>
    <w:multiLevelType w:val="hybridMultilevel"/>
    <w:lvl w:ilvl="0">
      <w:lvlJc w:val="left"/>
      <w:lvlText w:val="(%1)"/>
      <w:numFmt w:val="lowerLetter"/>
      <w:start w:val="35"/>
    </w:lvl>
    <w:lvl w:ilvl="1">
      <w:lvlJc w:val="left"/>
      <w:lvlText w:val="%2"/>
      <w:numFmt w:val="lowerLetter"/>
      <w:start w:val="1"/>
    </w:lvl>
  </w:abstractNum>
  <w:abstractNum w:abstractNumId="174">
    <w:nsid w:val="822C0EF"/>
    <w:multiLevelType w:val="hybridMultilevel"/>
    <w:lvl w:ilvl="0">
      <w:lvlJc w:val="left"/>
      <w:lvlText w:val="(%1)"/>
      <w:numFmt w:val="lowerLetter"/>
      <w:start w:val="4"/>
    </w:lvl>
  </w:abstractNum>
  <w:abstractNum w:abstractNumId="175">
    <w:nsid w:val="57C5BB4F"/>
    <w:multiLevelType w:val="hybridMultilevel"/>
    <w:lvl w:ilvl="0">
      <w:lvlJc w:val="left"/>
      <w:lvlText w:val="(%1)"/>
      <w:numFmt w:val="lowerLetter"/>
      <w:start w:val="7"/>
    </w:lvl>
  </w:abstractNum>
  <w:abstractNum w:abstractNumId="176">
    <w:nsid w:val="1803D089"/>
    <w:multiLevelType w:val="hybridMultilevel"/>
    <w:lvl w:ilvl="0">
      <w:lvlJc w:val="left"/>
      <w:lvlText w:val="(%1)"/>
      <w:numFmt w:val="lowerLetter"/>
      <w:start w:val="11"/>
    </w:lvl>
  </w:abstractNum>
  <w:abstractNum w:abstractNumId="177">
    <w:nsid w:val="4F3A06D4"/>
    <w:multiLevelType w:val="hybridMultilevel"/>
    <w:lvl w:ilvl="0">
      <w:lvlJc w:val="left"/>
      <w:lvlText w:val="(%1)"/>
      <w:numFmt w:val="lowerLetter"/>
      <w:start w:val="14"/>
    </w:lvl>
  </w:abstractNum>
  <w:abstractNum w:abstractNumId="178">
    <w:nsid w:val="59A377B6"/>
    <w:multiLevelType w:val="hybridMultilevel"/>
    <w:lvl w:ilvl="0">
      <w:lvlJc w:val="left"/>
      <w:lvlText w:val="(%1)"/>
      <w:numFmt w:val="lowerLetter"/>
      <w:start w:val="17"/>
    </w:lvl>
  </w:abstractNum>
  <w:abstractNum w:abstractNumId="179">
    <w:nsid w:val="48AEB063"/>
    <w:multiLevelType w:val="hybridMultilevel"/>
    <w:lvl w:ilvl="0">
      <w:lvlJc w:val="left"/>
      <w:lvlText w:val="(%1)"/>
      <w:numFmt w:val="lowerLetter"/>
      <w:start w:val="19"/>
    </w:lvl>
  </w:abstractNum>
  <w:abstractNum w:abstractNumId="180">
    <w:nsid w:val="24E135"/>
    <w:multiLevelType w:val="hybridMultilevel"/>
    <w:lvl w:ilvl="0">
      <w:lvlJc w:val="left"/>
      <w:lvlText w:val="(%1)"/>
      <w:numFmt w:val="lowerLetter"/>
      <w:start w:val="23"/>
    </w:lvl>
  </w:abstractNum>
  <w:abstractNum w:abstractNumId="181">
    <w:nsid w:val="BB13C1"/>
    <w:multiLevelType w:val="hybridMultilevel"/>
    <w:lvl w:ilvl="0">
      <w:lvlJc w:val="left"/>
      <w:lvlText w:val="(%1)"/>
      <w:numFmt w:val="lowerLetter"/>
      <w:start w:val="1"/>
    </w:lvl>
  </w:abstractNum>
  <w:abstractNum w:abstractNumId="182">
    <w:nsid w:val="271210C7"/>
    <w:multiLevelType w:val="hybridMultilevel"/>
    <w:lvl w:ilvl="0">
      <w:lvlJc w:val="left"/>
      <w:lvlText w:val="(%1)"/>
      <w:numFmt w:val="lowerLetter"/>
      <w:start w:val="1"/>
    </w:lvl>
  </w:abstractNum>
  <w:abstractNum w:abstractNumId="183">
    <w:nsid w:val="217B22E4"/>
    <w:multiLevelType w:val="hybridMultilevel"/>
    <w:lvl w:ilvl="0">
      <w:lvlJc w:val="left"/>
      <w:lvlText w:val="*"/>
      <w:numFmt w:val="bullet"/>
      <w:start w:val="1"/>
    </w:lvl>
  </w:abstractNum>
  <w:abstractNum w:abstractNumId="184">
    <w:nsid w:val="53E31A24"/>
    <w:multiLevelType w:val="hybridMultilevel"/>
    <w:lvl w:ilvl="0">
      <w:lvlJc w:val="left"/>
      <w:lvlText w:val="1"/>
      <w:numFmt w:val="bullet"/>
      <w:start w:val="1"/>
    </w:lvl>
  </w:abstractNum>
  <w:abstractNum w:abstractNumId="185">
    <w:nsid w:val="6DC45E83"/>
    <w:multiLevelType w:val="hybridMultilevel"/>
    <w:lvl w:ilvl="0">
      <w:lvlJc w:val="left"/>
      <w:lvlText w:val="2"/>
      <w:numFmt w:val="bullet"/>
      <w:start w:val="1"/>
    </w:lvl>
  </w:abstractNum>
  <w:abstractNum w:abstractNumId="186">
    <w:nsid w:val="17304A67"/>
    <w:multiLevelType w:val="hybridMultilevel"/>
    <w:lvl w:ilvl="0">
      <w:lvlJc w:val="left"/>
      <w:lvlText w:val="%1."/>
      <w:numFmt w:val="decimal"/>
      <w:start w:val="1"/>
    </w:lvl>
  </w:abstractNum>
  <w:abstractNum w:abstractNumId="187">
    <w:nsid w:val="2BB180D8"/>
    <w:multiLevelType w:val="hybridMultilevel"/>
    <w:lvl w:ilvl="0">
      <w:lvlJc w:val="left"/>
      <w:lvlText w:val="3"/>
      <w:numFmt w:val="bullet"/>
      <w:start w:val="1"/>
    </w:lvl>
  </w:abstractNum>
  <w:abstractNum w:abstractNumId="188">
    <w:nsid w:val="556B69ED"/>
    <w:multiLevelType w:val="hybridMultilevel"/>
    <w:lvl w:ilvl="0">
      <w:lvlJc w:val="left"/>
      <w:lvlText w:val="4"/>
      <w:numFmt w:val="bullet"/>
      <w:start w:val="1"/>
    </w:lvl>
  </w:abstractNum>
  <w:abstractNum w:abstractNumId="189">
    <w:nsid w:val="70836196"/>
    <w:multiLevelType w:val="hybridMultilevel"/>
    <w:lvl w:ilvl="0">
      <w:lvlJc w:val="left"/>
      <w:lvlText w:val="%1."/>
      <w:numFmt w:val="decimal"/>
      <w:start w:val="4"/>
    </w:lvl>
  </w:abstractNum>
  <w:abstractNum w:abstractNumId="190">
    <w:nsid w:val="539F7F12"/>
    <w:multiLevelType w:val="hybridMultilevel"/>
    <w:lvl w:ilvl="0">
      <w:lvlJc w:val="left"/>
      <w:lvlText w:val="(%1)"/>
      <w:numFmt w:val="lowerLetter"/>
      <w:start w:val="1"/>
    </w:lvl>
  </w:abstractNum>
  <w:abstractNum w:abstractNumId="191">
    <w:nsid w:val="2817E7EC"/>
    <w:multiLevelType w:val="hybridMultilevel"/>
    <w:lvl w:ilvl="0">
      <w:lvlJc w:val="left"/>
      <w:lvlText w:val="(%1)"/>
      <w:numFmt w:val="lowerLetter"/>
      <w:start w:val="5"/>
    </w:lvl>
  </w:abstractNum>
  <w:abstractNum w:abstractNumId="192">
    <w:nsid w:val="71482545"/>
    <w:multiLevelType w:val="hybridMultilevel"/>
    <w:lvl w:ilvl="0">
      <w:lvlJc w:val="left"/>
      <w:lvlText w:val="%1."/>
      <w:numFmt w:val="decimal"/>
      <w:start w:val="6"/>
    </w:lvl>
  </w:abstractNum>
  <w:abstractNum w:abstractNumId="193">
    <w:nsid w:val="17D78639"/>
    <w:multiLevelType w:val="hybridMultilevel"/>
    <w:lvl w:ilvl="0">
      <w:lvlJc w:val="left"/>
      <w:lvlText w:val="%1."/>
      <w:numFmt w:val="decimal"/>
      <w:start w:val="9"/>
    </w:lvl>
  </w:abstractNum>
  <w:abstractNum w:abstractNumId="194">
    <w:nsid w:val="141D2302"/>
    <w:multiLevelType w:val="hybridMultilevel"/>
    <w:lvl w:ilvl="0">
      <w:lvlJc w:val="left"/>
      <w:lvlText w:val="(%1)"/>
      <w:numFmt w:val="lowerLetter"/>
      <w:start w:val="1"/>
    </w:lvl>
  </w:abstractNum>
  <w:abstractNum w:abstractNumId="195">
    <w:nsid w:val="407168D8"/>
    <w:multiLevelType w:val="hybridMultilevel"/>
    <w:lvl w:ilvl="0">
      <w:lvlJc w:val="left"/>
      <w:lvlText w:val="(%1)"/>
      <w:numFmt w:val="lowerLetter"/>
      <w:start w:val="3"/>
    </w:lvl>
  </w:abstractNum>
  <w:abstractNum w:abstractNumId="196">
    <w:nsid w:val="6A1B45E5"/>
    <w:multiLevelType w:val="hybridMultilevel"/>
    <w:lvl w:ilvl="0">
      <w:lvlJc w:val="left"/>
      <w:lvlText w:val="%1."/>
      <w:numFmt w:val="decimal"/>
      <w:start w:val="14"/>
    </w:lvl>
  </w:abstractNum>
  <w:abstractNum w:abstractNumId="197">
    <w:nsid w:val="567BD50A"/>
    <w:multiLevelType w:val="hybridMultilevel"/>
    <w:lvl w:ilvl="0">
      <w:lvlJc w:val="left"/>
      <w:lvlText w:val="(%1)"/>
      <w:numFmt w:val="upperLetter"/>
      <w:start w:val="9"/>
    </w:lvl>
  </w:abstractNum>
  <w:abstractNum w:abstractNumId="198">
    <w:nsid w:val="73BBD7F8"/>
    <w:multiLevelType w:val="hybridMultilevel"/>
    <w:lvl w:ilvl="0">
      <w:lvlJc w:val="left"/>
      <w:lvlText w:val="*"/>
      <w:numFmt w:val="bullet"/>
      <w:start w:val="1"/>
    </w:lvl>
  </w:abstractNum>
  <w:abstractNum w:abstractNumId="199">
    <w:nsid w:val="1876589D"/>
    <w:multiLevelType w:val="hybridMultilevel"/>
    <w:lvl w:ilvl="0">
      <w:lvlJc w:val="left"/>
      <w:lvlText w:val="*"/>
      <w:numFmt w:val="bullet"/>
      <w:start w:val="1"/>
    </w:lvl>
  </w:abstractNum>
  <w:abstractNum w:abstractNumId="200">
    <w:nsid w:val="327FAC77"/>
    <w:multiLevelType w:val="hybridMultilevel"/>
    <w:lvl w:ilvl="0">
      <w:lvlJc w:val="left"/>
      <w:lvlText w:val="*"/>
      <w:numFmt w:val="bullet"/>
      <w:start w:val="1"/>
    </w:lvl>
  </w:abstractNum>
  <w:abstractNum w:abstractNumId="201">
    <w:nsid w:val="5A606509"/>
    <w:multiLevelType w:val="hybridMultilevel"/>
    <w:lvl w:ilvl="0">
      <w:lvlJc w:val="left"/>
      <w:lvlText w:val="*"/>
      <w:numFmt w:val="bullet"/>
      <w:start w:val="1"/>
    </w:lvl>
  </w:abstractNum>
  <w:abstractNum w:abstractNumId="202">
    <w:nsid w:val="6F38E6D1"/>
    <w:multiLevelType w:val="hybridMultilevel"/>
    <w:lvl w:ilvl="0">
      <w:lvlJc w:val="left"/>
      <w:lvlText w:val="5"/>
      <w:numFmt w:val="bullet"/>
      <w:start w:val="1"/>
    </w:lvl>
  </w:abstractNum>
  <w:abstractNum w:abstractNumId="203">
    <w:nsid w:val="46111BA5"/>
    <w:multiLevelType w:val="hybridMultilevel"/>
    <w:lvl w:ilvl="0">
      <w:lvlJc w:val="left"/>
      <w:lvlText w:val="6"/>
      <w:numFmt w:val="bullet"/>
      <w:start w:val="1"/>
    </w:lvl>
  </w:abstractNum>
  <w:abstractNum w:abstractNumId="204">
    <w:nsid w:val="5E963896"/>
    <w:multiLevelType w:val="hybridMultilevel"/>
    <w:lvl w:ilvl="0">
      <w:lvlJc w:val="left"/>
      <w:lvlText w:val="%1."/>
      <w:numFmt w:val="decimal"/>
      <w:start w:val="1"/>
    </w:lvl>
  </w:abstractNum>
  <w:abstractNum w:abstractNumId="205">
    <w:nsid w:val="775BA7C1"/>
    <w:multiLevelType w:val="hybridMultilevel"/>
    <w:lvl w:ilvl="0">
      <w:lvlJc w:val="left"/>
      <w:lvlText w:val="7"/>
      <w:numFmt w:val="bullet"/>
      <w:start w:val="1"/>
    </w:lvl>
  </w:abstractNum>
  <w:abstractNum w:abstractNumId="206">
    <w:nsid w:val="1DD6D6F4"/>
    <w:multiLevelType w:val="hybridMultilevel"/>
    <w:lvl w:ilvl="0">
      <w:lvlJc w:val="left"/>
      <w:lvlText w:val="8"/>
      <w:numFmt w:val="bullet"/>
      <w:start w:val="1"/>
    </w:lvl>
  </w:abstractNum>
  <w:abstractNum w:abstractNumId="207">
    <w:nsid w:val="769A091F"/>
    <w:multiLevelType w:val="hybridMultilevel"/>
    <w:lvl w:ilvl="0">
      <w:lvlJc w:val="left"/>
      <w:lvlText w:val="%1."/>
      <w:numFmt w:val="decimal"/>
      <w:start w:val="4"/>
    </w:lvl>
  </w:abstractNum>
  <w:abstractNum w:abstractNumId="208">
    <w:nsid w:val="4695AE95"/>
    <w:multiLevelType w:val="hybridMultilevel"/>
    <w:lvl w:ilvl="0">
      <w:lvlJc w:val="left"/>
      <w:lvlText w:val="(%1)"/>
      <w:numFmt w:val="lowerLetter"/>
      <w:start w:val="1"/>
    </w:lvl>
  </w:abstractNum>
  <w:abstractNum w:abstractNumId="209">
    <w:nsid w:val="777A4EAA"/>
    <w:multiLevelType w:val="hybridMultilevel"/>
    <w:lvl w:ilvl="0">
      <w:lvlJc w:val="left"/>
      <w:lvlText w:val="(%1)"/>
      <w:numFmt w:val="lowerLetter"/>
      <w:start w:val="5"/>
    </w:lvl>
  </w:abstractNum>
  <w:abstractNum w:abstractNumId="210">
    <w:nsid w:val="3F48B982"/>
    <w:multiLevelType w:val="hybridMultilevel"/>
    <w:lvl w:ilvl="0">
      <w:lvlJc w:val="left"/>
      <w:lvlText w:val="%1."/>
      <w:numFmt w:val="decimal"/>
      <w:start w:val="6"/>
    </w:lvl>
  </w:abstractNum>
  <w:abstractNum w:abstractNumId="211">
    <w:nsid w:val="46BA8FCA"/>
    <w:multiLevelType w:val="hybridMultilevel"/>
    <w:lvl w:ilvl="0">
      <w:lvlJc w:val="left"/>
      <w:lvlText w:val="%1."/>
      <w:numFmt w:val="decimal"/>
      <w:start w:val="9"/>
    </w:lvl>
  </w:abstractNum>
  <w:abstractNum w:abstractNumId="212">
    <w:nsid w:val="7835626C"/>
    <w:multiLevelType w:val="hybridMultilevel"/>
    <w:lvl w:ilvl="0">
      <w:lvlJc w:val="left"/>
      <w:lvlText w:val="(%1)"/>
      <w:numFmt w:val="lowerLetter"/>
      <w:start w:val="1"/>
    </w:lvl>
  </w:abstractNum>
  <w:abstractNum w:abstractNumId="213">
    <w:nsid w:val="665ACA49"/>
    <w:multiLevelType w:val="hybridMultilevel"/>
    <w:lvl w:ilvl="0">
      <w:lvlJc w:val="left"/>
      <w:lvlText w:val="(%1)"/>
      <w:numFmt w:val="lowerLetter"/>
      <w:start w:val="3"/>
    </w:lvl>
  </w:abstractNum>
  <w:abstractNum w:abstractNumId="214">
    <w:nsid w:val="6835B2AE"/>
    <w:multiLevelType w:val="hybridMultilevel"/>
    <w:lvl w:ilvl="0">
      <w:lvlJc w:val="left"/>
      <w:lvlText w:val="%1."/>
      <w:numFmt w:val="decimal"/>
      <w:start w:val="14"/>
    </w:lvl>
  </w:abstractNum>
  <w:abstractNum w:abstractNumId="215">
    <w:nsid w:val="4C187C90"/>
    <w:multiLevelType w:val="hybridMultilevel"/>
    <w:lvl w:ilvl="0">
      <w:lvlJc w:val="left"/>
      <w:lvlText w:val="*"/>
      <w:numFmt w:val="bullet"/>
      <w:start w:val="1"/>
    </w:lvl>
  </w:abstractNum>
  <w:abstractNum w:abstractNumId="216">
    <w:nsid w:val="541F28CD"/>
    <w:multiLevelType w:val="hybridMultilevel"/>
    <w:lvl w:ilvl="0">
      <w:lvlJc w:val="left"/>
      <w:lvlText w:val="*"/>
      <w:numFmt w:val="bullet"/>
      <w:start w:val="1"/>
    </w:lvl>
  </w:abstractNum>
  <w:abstractNum w:abstractNumId="217">
    <w:nsid w:val="7F65FD16"/>
    <w:multiLevelType w:val="hybridMultilevel"/>
    <w:lvl w:ilvl="0">
      <w:lvlJc w:val="left"/>
      <w:lvlText w:val="*"/>
      <w:numFmt w:val="bullet"/>
      <w:start w:val="1"/>
    </w:lvl>
  </w:abstractNum>
  <w:abstractNum w:abstractNumId="218">
    <w:nsid w:val="77C9FD68"/>
    <w:multiLevelType w:val="hybridMultilevel"/>
    <w:lvl w:ilvl="0">
      <w:lvlJc w:val="left"/>
      <w:lvlText w:val="%1"/>
      <w:numFmt w:val="upperLetter"/>
      <w:start w:val="1"/>
    </w:lvl>
    <w:lvl w:ilvl="1">
      <w:lvlJc w:val="left"/>
      <w:lvlText w:val="%2."/>
      <w:numFmt w:val="decimal"/>
      <w:start w:val="1"/>
    </w:lvl>
  </w:abstractNum>
  <w:abstractNum w:abstractNumId="219">
    <w:nsid w:val="298A92BA"/>
    <w:multiLevelType w:val="hybridMultilevel"/>
    <w:lvl w:ilvl="0">
      <w:lvlJc w:val="left"/>
      <w:lvlText w:val="(%1)"/>
      <w:numFmt w:val="upperLetter"/>
      <w:start w:val="1"/>
    </w:lvl>
    <w:lvl w:ilvl="1">
      <w:lvlJc w:val="left"/>
      <w:lvlText w:val="%2"/>
      <w:numFmt w:val="decimal"/>
      <w:start w:val="1"/>
    </w:lvl>
  </w:abstractNum>
  <w:abstractNum w:abstractNumId="220">
    <w:nsid w:val="6FE95EAC"/>
    <w:multiLevelType w:val="hybridMultilevel"/>
    <w:lvl w:ilvl="0">
      <w:lvlJc w:val="left"/>
      <w:lvlText w:val="%1."/>
      <w:numFmt w:val="decimal"/>
      <w:start w:val="2"/>
    </w:lvl>
    <w:lvl w:ilvl="1">
      <w:lvlJc w:val="left"/>
      <w:lvlText w:val="(%2)"/>
      <w:numFmt w:val="lowerLetter"/>
      <w:start w:val="1"/>
    </w:lvl>
  </w:abstractNum>
  <w:abstractNum w:abstractNumId="221">
    <w:nsid w:val="4B697C7A"/>
    <w:multiLevelType w:val="hybridMultilevel"/>
    <w:lvl w:ilvl="0">
      <w:lvlJc w:val="left"/>
      <w:lvlText w:val="%1"/>
      <w:numFmt w:val="decimal"/>
      <w:start w:val="144"/>
    </w:lvl>
    <w:lvl w:ilvl="1">
      <w:lvlJc w:val="left"/>
      <w:lvlText w:val="%2"/>
      <w:numFmt w:val="lowerLetter"/>
      <w:start w:val="1"/>
    </w:lvl>
  </w:abstractNum>
  <w:abstractNum w:abstractNumId="222">
    <w:nsid w:val="51A27AA6"/>
    <w:multiLevelType w:val="hybridMultilevel"/>
    <w:lvl w:ilvl="0">
      <w:lvlJc w:val="left"/>
      <w:lvlText w:val="(%1)"/>
      <w:numFmt w:val="lowerLetter"/>
      <w:start w:val="2"/>
    </w:lvl>
  </w:abstractNum>
  <w:abstractNum w:abstractNumId="223">
    <w:nsid w:val="613183F2"/>
    <w:multiLevelType w:val="hybridMultilevel"/>
    <w:lvl w:ilvl="0">
      <w:lvlJc w:val="left"/>
      <w:lvlText w:val="%1."/>
      <w:numFmt w:val="decimal"/>
      <w:start w:val="1"/>
    </w:lvl>
    <w:lvl w:ilvl="1">
      <w:lvlJc w:val="left"/>
      <w:lvlText w:val="(%2)"/>
      <w:numFmt w:val="lowerLetter"/>
      <w:start w:val="1"/>
    </w:lvl>
  </w:abstractNum>
  <w:abstractNum w:abstractNumId="224">
    <w:nsid w:val="634102B4"/>
    <w:multiLevelType w:val="hybridMultilevel"/>
    <w:lvl w:ilvl="0">
      <w:lvlJc w:val="left"/>
      <w:lvlText w:val="%1"/>
      <w:numFmt w:val="decimal"/>
      <w:start w:val="1"/>
    </w:lvl>
    <w:lvl w:ilvl="1">
      <w:lvlJc w:val="left"/>
      <w:lvlText w:val="(%2)"/>
      <w:numFmt w:val="lowerLetter"/>
      <w:start w:val="2"/>
    </w:lvl>
  </w:abstractNum>
  <w:abstractNum w:abstractNumId="225">
    <w:nsid w:val="65BF9DA8"/>
    <w:multiLevelType w:val="hybridMultilevel"/>
    <w:lvl w:ilvl="0">
      <w:lvlJc w:val="left"/>
      <w:lvlText w:val="%1."/>
      <w:numFmt w:val="decimal"/>
      <w:start w:val="2"/>
    </w:lvl>
    <w:lvl w:ilvl="1">
      <w:lvlJc w:val="left"/>
      <w:lvlText w:val="(%2)"/>
      <w:numFmt w:val="lowerLetter"/>
      <w:start w:val="1"/>
    </w:lvl>
  </w:abstractNum>
  <w:abstractNum w:abstractNumId="226">
    <w:nsid w:val="21A2ECCA"/>
    <w:multiLevelType w:val="hybridMultilevel"/>
    <w:lvl w:ilvl="0">
      <w:lvlJc w:val="left"/>
      <w:lvlText w:val="(%1)"/>
      <w:numFmt w:val="lowerLetter"/>
      <w:start w:val="2"/>
    </w:lvl>
  </w:abstractNum>
  <w:abstractNum w:abstractNumId="227">
    <w:nsid w:val="4D5C4899"/>
    <w:multiLevelType w:val="hybridMultilevel"/>
    <w:lvl w:ilvl="0">
      <w:lvlJc w:val="left"/>
      <w:lvlText w:val="%1."/>
      <w:numFmt w:val="decimal"/>
      <w:start w:val="1"/>
    </w:lvl>
    <w:lvl w:ilvl="1">
      <w:lvlJc w:val="left"/>
      <w:lvlText w:val="(%2)"/>
      <w:numFmt w:val="lowerLetter"/>
      <w:start w:val="1"/>
    </w:lvl>
  </w:abstractNum>
  <w:abstractNum w:abstractNumId="228">
    <w:nsid w:val="3C3B72B2"/>
    <w:multiLevelType w:val="hybridMultilevel"/>
    <w:lvl w:ilvl="0">
      <w:lvlJc w:val="left"/>
      <w:lvlText w:val="(%1)"/>
      <w:numFmt w:val="lowerRoman"/>
      <w:start w:val="4"/>
    </w:lvl>
    <w:lvl w:ilvl="1">
      <w:lvlJc w:val="left"/>
      <w:lvlText w:val="(%2)"/>
      <w:numFmt w:val="lowerLetter"/>
      <w:start w:val="2"/>
    </w:lvl>
  </w:abstractNum>
  <w:abstractNum w:abstractNumId="229">
    <w:nsid w:val="155EC4C2"/>
    <w:multiLevelType w:val="hybridMultilevel"/>
    <w:lvl w:ilvl="0">
      <w:lvlJc w:val="left"/>
      <w:lvlText w:val="(%1)"/>
      <w:numFmt w:val="lowerRoman"/>
      <w:start w:val="4"/>
    </w:lvl>
    <w:lvl w:ilvl="1">
      <w:lvlJc w:val="left"/>
      <w:lvlText w:val="%2"/>
      <w:numFmt w:val="lowerLetter"/>
      <w:start w:val="1"/>
    </w:lvl>
  </w:abstractNum>
  <w:abstractNum w:abstractNumId="230">
    <w:nsid w:val="65D2A137"/>
    <w:multiLevelType w:val="hybridMultilevel"/>
    <w:lvl w:ilvl="0">
      <w:lvlJc w:val="left"/>
      <w:lvlText w:val="%1."/>
      <w:numFmt w:val="decimal"/>
      <w:start w:val="2"/>
    </w:lvl>
    <w:lvl w:ilvl="1">
      <w:lvlJc w:val="left"/>
      <w:lvlText w:val="(%2)"/>
      <w:numFmt w:val="lowerLetter"/>
      <w:start w:val="1"/>
    </w:lvl>
  </w:abstractNum>
  <w:abstractNum w:abstractNumId="231">
    <w:nsid w:val="6EBB1F2A"/>
    <w:multiLevelType w:val="hybridMultilevel"/>
    <w:lvl w:ilvl="0">
      <w:lvlJc w:val="left"/>
      <w:lvlText w:val="(%1)"/>
      <w:numFmt w:val="lowerLetter"/>
      <w:start w:val="2"/>
    </w:lvl>
  </w:abstractNum>
  <w:abstractNum w:abstractNumId="232">
    <w:nsid w:val="6FBF29CB"/>
    <w:multiLevelType w:val="hybridMultilevel"/>
    <w:lvl w:ilvl="0">
      <w:lvlJc w:val="left"/>
      <w:lvlText w:val="(%1)"/>
      <w:numFmt w:val="decimal"/>
      <w:start w:val="1"/>
    </w:lvl>
  </w:abstractNum>
  <w:abstractNum w:abstractNumId="233">
    <w:nsid w:val="550B8808"/>
    <w:multiLevelType w:val="hybridMultilevel"/>
    <w:lvl w:ilvl="0">
      <w:lvlJc w:val="left"/>
      <w:lvlText w:val="(%1)"/>
      <w:numFmt w:val="decimal"/>
      <w:start w:val="4"/>
    </w:lvl>
  </w:abstractNum>
  <w:abstractNum w:abstractNumId="234">
    <w:nsid w:val="34CC3ACF"/>
    <w:multiLevelType w:val="hybridMultilevel"/>
    <w:lvl w:ilvl="0">
      <w:lvlJc w:val="left"/>
      <w:lvlText w:val="(%1)"/>
      <w:numFmt w:val="lowerLetter"/>
      <w:start w:val="3"/>
    </w:lvl>
  </w:abstractNum>
  <w:abstractNum w:abstractNumId="235">
    <w:nsid w:val="4E556261"/>
    <w:multiLevelType w:val="hybridMultilevel"/>
    <w:lvl w:ilvl="0">
      <w:lvlJc w:val="left"/>
      <w:lvlText w:val="%1."/>
      <w:numFmt w:val="decimal"/>
      <w:start w:val="1"/>
    </w:lvl>
  </w:abstractNum>
  <w:abstractNum w:abstractNumId="236">
    <w:nsid w:val="4C672FC9"/>
    <w:multiLevelType w:val="hybridMultilevel"/>
    <w:lvl w:ilvl="0">
      <w:lvlJc w:val="left"/>
      <w:lvlText w:val="%1."/>
      <w:numFmt w:val="decimal"/>
      <w:start w:val="3"/>
    </w:lvl>
  </w:abstractNum>
  <w:abstractNum w:abstractNumId="237">
    <w:nsid w:val="52A311C3"/>
    <w:multiLevelType w:val="hybridMultilevel"/>
    <w:lvl w:ilvl="0">
      <w:lvlJc w:val="left"/>
      <w:lvlText w:val="(%1)"/>
      <w:numFmt w:val="lowerLetter"/>
      <w:start w:val="1"/>
    </w:lvl>
  </w:abstractNum>
  <w:abstractNum w:abstractNumId="238">
    <w:nsid w:val="44EF6B80"/>
    <w:multiLevelType w:val="hybridMultilevel"/>
    <w:lvl w:ilvl="0">
      <w:lvlJc w:val="left"/>
      <w:lvlText w:val="(%1)"/>
      <w:numFmt w:val="lowerRoman"/>
      <w:start w:val="1"/>
    </w:lvl>
  </w:abstractNum>
  <w:abstractNum w:abstractNumId="239">
    <w:nsid w:val="12FCDE5E"/>
    <w:multiLevelType w:val="hybridMultilevel"/>
    <w:lvl w:ilvl="0">
      <w:lvlJc w:val="left"/>
      <w:lvlText w:val="%1"/>
      <w:numFmt w:val="lowerLetter"/>
      <w:start w:val="1"/>
    </w:lvl>
    <w:lvl w:ilvl="1">
      <w:lvlJc w:val="left"/>
      <w:lvlText w:val="(%2)"/>
      <w:numFmt w:val="lowerLetter"/>
      <w:start w:val="1"/>
    </w:lvl>
  </w:abstractNum>
  <w:abstractNum w:abstractNumId="240">
    <w:nsid w:val="4A1D606E"/>
    <w:multiLevelType w:val="hybridMultilevel"/>
    <w:lvl w:ilvl="0">
      <w:lvlJc w:val="left"/>
      <w:lvlText w:val="(%1)"/>
      <w:numFmt w:val="lowerLetter"/>
      <w:start w:val="24"/>
    </w:lvl>
    <w:lvl w:ilvl="1">
      <w:lvlJc w:val="left"/>
      <w:lvlText w:val="%2"/>
      <w:numFmt w:val="lowerLetter"/>
      <w:start w:val="1"/>
    </w:lvl>
  </w:abstractNum>
  <w:abstractNum w:abstractNumId="241">
    <w:nsid w:val="4382503"/>
    <w:multiLevelType w:val="hybridMultilevel"/>
    <w:lvl w:ilvl="0">
      <w:lvlJc w:val="left"/>
      <w:lvlText w:val="(%1)"/>
      <w:numFmt w:val="lowerLetter"/>
      <w:start w:val="2"/>
    </w:lvl>
  </w:abstractNum>
  <w:abstractNum w:abstractNumId="242">
    <w:nsid w:val="59B76E28"/>
    <w:multiLevelType w:val="hybridMultilevel"/>
    <w:lvl w:ilvl="0">
      <w:lvlJc w:val="left"/>
      <w:lvlText w:val="(%1)"/>
      <w:numFmt w:val="lowerLetter"/>
      <w:start w:val="1"/>
    </w:lvl>
  </w:abstractNum>
  <w:abstractNum w:abstractNumId="243">
    <w:nsid w:val="4252C2DA"/>
    <w:multiLevelType w:val="hybridMultilevel"/>
    <w:lvl w:ilvl="0">
      <w:lvlJc w:val="left"/>
      <w:lvlText w:val="(%1)"/>
      <w:numFmt w:val="lowerLetter"/>
      <w:start w:val="4"/>
    </w:lvl>
  </w:abstractNum>
  <w:abstractNum w:abstractNumId="244">
    <w:nsid w:val="6A92EF4C"/>
    <w:multiLevelType w:val="hybridMultilevel"/>
    <w:lvl w:ilvl="0">
      <w:lvlJc w:val="left"/>
      <w:lvlText w:val="%1"/>
      <w:numFmt w:val="lowerLetter"/>
      <w:start w:val="1"/>
    </w:lvl>
    <w:lvl w:ilvl="1">
      <w:lvlJc w:val="left"/>
      <w:lvlText w:val="(%2)"/>
      <w:numFmt w:val="lowerLetter"/>
      <w:start w:val="1"/>
    </w:lvl>
  </w:abstractNum>
  <w:abstractNum w:abstractNumId="245">
    <w:nsid w:val="41ED20D7"/>
    <w:multiLevelType w:val="hybridMultilevel"/>
    <w:lvl w:ilvl="0">
      <w:lvlJc w:val="left"/>
      <w:lvlText w:val="(%1)"/>
      <w:numFmt w:val="lowerLetter"/>
      <w:start w:val="9"/>
    </w:lvl>
    <w:lvl w:ilvl="1">
      <w:lvlJc w:val="left"/>
      <w:lvlText w:val="%2"/>
      <w:numFmt w:val="lowerLetter"/>
      <w:start w:val="1"/>
    </w:lvl>
  </w:abstractNum>
  <w:abstractNum w:abstractNumId="246">
    <w:nsid w:val="E6B3F6A"/>
    <w:multiLevelType w:val="hybridMultilevel"/>
    <w:lvl w:ilvl="0">
      <w:lvlJc w:val="left"/>
      <w:lvlText w:val="(%1)"/>
      <w:numFmt w:val="lowerLetter"/>
      <w:start w:val="3"/>
    </w:lvl>
  </w:abstractNum>
  <w:abstractNum w:abstractNumId="247">
    <w:nsid w:val="3EB21819"/>
    <w:multiLevelType w:val="hybridMultilevel"/>
    <w:lvl w:ilvl="0">
      <w:lvlJc w:val="left"/>
      <w:lvlText w:val="(%1)"/>
      <w:numFmt w:val="lowerLetter"/>
      <w:start w:val="4"/>
    </w:lvl>
  </w:abstractNum>
  <w:abstractNum w:abstractNumId="248">
    <w:nsid w:val="41531DED"/>
    <w:multiLevelType w:val="hybridMultilevel"/>
    <w:lvl w:ilvl="0">
      <w:lvlJc w:val="left"/>
      <w:lvlText w:val="(%1)"/>
      <w:numFmt w:val="lowerLetter"/>
      <w:start w:val="1"/>
    </w:lvl>
  </w:abstractNum>
  <w:abstractNum w:abstractNumId="249">
    <w:nsid w:val="6353CD2"/>
    <w:multiLevelType w:val="hybridMultilevel"/>
    <w:lvl w:ilvl="0">
      <w:lvlJc w:val="left"/>
      <w:lvlText w:val="(%1)"/>
      <w:numFmt w:val="lowerLetter"/>
      <w:start w:val="5"/>
    </w:lvl>
  </w:abstractNum>
  <w:abstractNum w:abstractNumId="250">
    <w:nsid w:val="683CAAD3"/>
    <w:multiLevelType w:val="hybridMultilevel"/>
    <w:lvl w:ilvl="0">
      <w:lvlJc w:val="left"/>
      <w:lvlText w:val="(%1)"/>
      <w:numFmt w:val="lowerLetter"/>
      <w:start w:val="25"/>
    </w:lvl>
  </w:abstractNum>
  <w:abstractNum w:abstractNumId="251">
    <w:nsid w:val="313C7C99"/>
    <w:multiLevelType w:val="hybridMultilevel"/>
    <w:lvl w:ilvl="0">
      <w:lvlJc w:val="left"/>
      <w:lvlText w:val="(%1)"/>
      <w:numFmt w:val="lowerLetter"/>
      <w:start w:val="1"/>
    </w:lvl>
  </w:abstractNum>
  <w:abstractNum w:abstractNumId="252">
    <w:nsid w:val="519EB94C"/>
    <w:multiLevelType w:val="hybridMultilevel"/>
    <w:lvl w:ilvl="0">
      <w:lvlJc w:val="left"/>
      <w:lvlText w:val="(%1)"/>
      <w:numFmt w:val="lowerLetter"/>
      <w:start w:val="1"/>
    </w:lvl>
  </w:abstractNum>
  <w:abstractNum w:abstractNumId="253">
    <w:nsid w:val="39DF2579"/>
    <w:multiLevelType w:val="hybridMultilevel"/>
    <w:lvl w:ilvl="0">
      <w:lvlJc w:val="left"/>
      <w:lvlText w:val="(%1)"/>
      <w:numFmt w:val="lowerLetter"/>
      <w:start w:val="1"/>
    </w:lvl>
  </w:abstractNum>
  <w:abstractNum w:abstractNumId="254">
    <w:nsid w:val="126E008B"/>
    <w:multiLevelType w:val="hybridMultilevel"/>
    <w:lvl w:ilvl="0">
      <w:lvlJc w:val="left"/>
      <w:lvlText w:val="(%1)"/>
      <w:numFmt w:val="lowerLetter"/>
      <w:start w:val="1"/>
    </w:lvl>
  </w:abstractNum>
  <w:abstractNum w:abstractNumId="255">
    <w:nsid w:val="34DFBC00"/>
    <w:multiLevelType w:val="hybridMultilevel"/>
    <w:lvl w:ilvl="0">
      <w:lvlJc w:val="left"/>
      <w:lvlText w:val="(%1)"/>
      <w:numFmt w:val="lowerLetter"/>
      <w:start w:val="9"/>
    </w:lvl>
    <w:lvl w:ilvl="1">
      <w:lvlJc w:val="left"/>
      <w:lvlText w:val="(%2)"/>
      <w:numFmt w:val="lowerLetter"/>
      <w:start w:val="1"/>
    </w:lvl>
  </w:abstractNum>
  <w:abstractNum w:abstractNumId="256">
    <w:nsid w:val="1F9EC322"/>
    <w:multiLevelType w:val="hybridMultilevel"/>
    <w:lvl w:ilvl="0">
      <w:lvlJc w:val="left"/>
      <w:lvlText w:val="(%1)"/>
      <w:numFmt w:val="lowerLetter"/>
      <w:start w:val="1"/>
    </w:lvl>
  </w:abstractNum>
  <w:abstractNum w:abstractNumId="257">
    <w:nsid w:val="3410ED56"/>
    <w:multiLevelType w:val="hybridMultilevel"/>
    <w:lvl w:ilvl="0">
      <w:lvlJc w:val="left"/>
      <w:lvlText w:val="(%1)"/>
      <w:numFmt w:val="upperLetter"/>
      <w:start w:val="1"/>
    </w:lvl>
  </w:abstractNum>
  <w:abstractNum w:abstractNumId="258">
    <w:nsid w:val="23C049A"/>
    <w:multiLevelType w:val="hybridMultilevel"/>
    <w:lvl w:ilvl="0">
      <w:lvlJc w:val="left"/>
      <w:lvlText w:val="["/>
      <w:numFmt w:val="bullet"/>
      <w:start w:val="1"/>
    </w:lvl>
  </w:abstractNum>
  <w:abstractNum w:abstractNumId="259">
    <w:nsid w:val="5BDA35D4"/>
    <w:multiLevelType w:val="hybridMultilevel"/>
    <w:lvl w:ilvl="0">
      <w:lvlJc w:val="left"/>
      <w:lvlText w:val="(%1)"/>
      <w:numFmt w:val="upperLetter"/>
      <w:start w:val="1"/>
    </w:lvl>
  </w:abstractNum>
  <w:abstractNum w:abstractNumId="260">
    <w:nsid w:val="496FB218"/>
    <w:multiLevelType w:val="hybridMultilevel"/>
    <w:lvl w:ilvl="0">
      <w:lvlJc w:val="left"/>
      <w:lvlText w:val="(%1)"/>
      <w:numFmt w:val="upperLetter"/>
      <w:start w:val="1"/>
    </w:lvl>
  </w:abstractNum>
  <w:abstractNum w:abstractNumId="261">
    <w:nsid w:val="680EA5D1"/>
    <w:multiLevelType w:val="hybridMultilevel"/>
    <w:lvl w:ilvl="0">
      <w:lvlJc w:val="left"/>
      <w:lvlText w:val="(%1)"/>
      <w:numFmt w:val="lowerRoman"/>
      <w:start w:val="1"/>
    </w:lvl>
  </w:abstractNum>
  <w:abstractNum w:abstractNumId="262">
    <w:nsid w:val="4A9554FE"/>
    <w:multiLevelType w:val="hybridMultilevel"/>
    <w:lvl w:ilvl="0">
      <w:lvlJc w:val="left"/>
      <w:lvlText w:val="(%1)"/>
      <w:numFmt w:val="upperLetter"/>
      <w:start w:val="1"/>
    </w:lvl>
  </w:abstractNum>
  <w:abstractNum w:abstractNumId="263">
    <w:nsid w:val="392EDBE4"/>
    <w:multiLevelType w:val="hybridMultilevel"/>
    <w:lvl w:ilvl="0">
      <w:lvlJc w:val="left"/>
      <w:lvlText w:val="(%1)"/>
      <w:numFmt w:val="lowerRoman"/>
      <w:start w:val="1"/>
    </w:lvl>
  </w:abstractNum>
  <w:abstractNum w:abstractNumId="264">
    <w:nsid w:val="3D1A2DD9"/>
    <w:multiLevelType w:val="hybridMultilevel"/>
    <w:lvl w:ilvl="0">
      <w:lvlJc w:val="left"/>
      <w:lvlText w:val="%1"/>
      <w:numFmt w:val="lowerLetter"/>
      <w:start w:val="1"/>
    </w:lvl>
    <w:lvl w:ilvl="1">
      <w:lvlJc w:val="left"/>
      <w:lvlText w:val="(%2)"/>
      <w:numFmt w:val="lowerLetter"/>
      <w:start w:val="1"/>
    </w:lvl>
  </w:abstractNum>
  <w:abstractNum w:abstractNumId="265">
    <w:nsid w:val="7F618FCD"/>
    <w:multiLevelType w:val="hybridMultilevel"/>
    <w:lvl w:ilvl="0">
      <w:lvlJc w:val="left"/>
      <w:lvlText w:val="(%1)"/>
      <w:numFmt w:val="lowerLetter"/>
      <w:start w:val="61"/>
    </w:lvl>
    <w:lvl w:ilvl="1">
      <w:lvlJc w:val="left"/>
      <w:lvlText w:val="(%2)"/>
      <w:numFmt w:val="lowerLetter"/>
      <w:start w:val="2"/>
    </w:lvl>
  </w:abstractNum>
  <w:abstractNum w:abstractNumId="266">
    <w:nsid w:val="7843E45"/>
    <w:multiLevelType w:val="hybridMultilevel"/>
    <w:lvl w:ilvl="0">
      <w:lvlJc w:val="left"/>
      <w:lvlText w:val="(%1)"/>
      <w:numFmt w:val="decimal"/>
      <w:start w:val="1"/>
    </w:lvl>
  </w:abstractNum>
  <w:abstractNum w:abstractNumId="267">
    <w:nsid w:val="9815DA3"/>
    <w:multiLevelType w:val="hybridMultilevel"/>
    <w:lvl w:ilvl="0">
      <w:lvlJc w:val="left"/>
      <w:lvlText w:val="(%1)"/>
      <w:numFmt w:val="lowerLetter"/>
      <w:start w:val="3"/>
    </w:lvl>
  </w:abstractNum>
  <w:abstractNum w:abstractNumId="268">
    <w:nsid w:val="5204A191"/>
    <w:multiLevelType w:val="hybridMultilevel"/>
    <w:lvl w:ilvl="0">
      <w:lvlJc w:val="left"/>
      <w:lvlText w:val="(%1)"/>
      <w:numFmt w:val="lowerLetter"/>
      <w:start w:val="2"/>
    </w:lvl>
  </w:abstractNum>
  <w:abstractNum w:abstractNumId="269">
    <w:nsid w:val="4C73A9C6"/>
    <w:multiLevelType w:val="hybridMultilevel"/>
    <w:lvl w:ilvl="0">
      <w:lvlJc w:val="left"/>
      <w:lvlText w:val="(%1)"/>
      <w:numFmt w:val="lowerRoman"/>
      <w:start w:val="1"/>
    </w:lvl>
  </w:abstractNum>
  <w:abstractNum w:abstractNumId="270">
    <w:nsid w:val="1C7E3C01"/>
    <w:multiLevelType w:val="hybridMultilevel"/>
    <w:lvl w:ilvl="0">
      <w:lvlJc w:val="left"/>
      <w:lvlText w:val="(%1)"/>
      <w:numFmt w:val="lowerRoman"/>
      <w:start w:val="1"/>
    </w:lvl>
  </w:abstractNum>
  <w:abstractNum w:abstractNumId="271">
    <w:nsid w:val="1C2201FF"/>
    <w:multiLevelType w:val="hybridMultilevel"/>
    <w:lvl w:ilvl="0">
      <w:lvlJc w:val="left"/>
      <w:lvlText w:val="(%1)"/>
      <w:numFmt w:val="lowerRoman"/>
      <w:start w:val="2"/>
    </w:lvl>
  </w:abstractNum>
  <w:abstractNum w:abstractNumId="272">
    <w:nsid w:val="50ABCEC9"/>
    <w:multiLevelType w:val="hybridMultilevel"/>
    <w:lvl w:ilvl="0">
      <w:lvlJc w:val="left"/>
      <w:lvlText w:val="(%1)"/>
      <w:numFmt w:val="lowerLetter"/>
      <w:start w:val="2"/>
    </w:lvl>
  </w:abstractNum>
  <w:abstractNum w:abstractNumId="273">
    <w:nsid w:val="7635AA2A"/>
    <w:multiLevelType w:val="hybridMultilevel"/>
    <w:lvl w:ilvl="0">
      <w:lvlJc w:val="left"/>
      <w:lvlText w:val="(%1)"/>
      <w:numFmt w:val="lowerRoman"/>
      <w:start w:val="1"/>
    </w:lvl>
  </w:abstractNum>
  <w:abstractNum w:abstractNumId="274">
    <w:nsid w:val="5E74C4D9"/>
    <w:multiLevelType w:val="hybridMultilevel"/>
    <w:lvl w:ilvl="0">
      <w:lvlJc w:val="left"/>
      <w:lvlText w:val="%1"/>
      <w:numFmt w:val="upperLetter"/>
      <w:start w:val="1"/>
    </w:lvl>
    <w:lvl w:ilvl="1">
      <w:lvlJc w:val="left"/>
      <w:lvlText w:val="(%2)"/>
      <w:numFmt w:val="lowerLetter"/>
      <w:start w:val="1"/>
    </w:lvl>
  </w:abstractNum>
  <w:abstractNum w:abstractNumId="275">
    <w:nsid w:val="3B3EBE15"/>
    <w:multiLevelType w:val="hybridMultilevel"/>
    <w:lvl w:ilvl="0">
      <w:lvlJc w:val="left"/>
      <w:lvlText w:val="(%1)"/>
      <w:numFmt w:val="upperLetter"/>
      <w:start w:val="1"/>
    </w:lvl>
    <w:lvl w:ilvl="1">
      <w:lvlJc w:val="left"/>
      <w:lvlText w:val="(%2)"/>
      <w:numFmt w:val="lowerLetter"/>
      <w:start w:val="2"/>
    </w:lvl>
  </w:abstractNum>
  <w:abstractNum w:abstractNumId="276">
    <w:nsid w:val="3822CB01"/>
    <w:multiLevelType w:val="hybridMultilevel"/>
    <w:lvl w:ilvl="0">
      <w:lvlJc w:val="left"/>
      <w:lvlText w:val="(%1)"/>
      <w:numFmt w:val="lowerLetter"/>
      <w:start w:val="1"/>
    </w:lvl>
  </w:abstractNum>
  <w:abstractNum w:abstractNumId="277">
    <w:nsid w:val="6CE00443"/>
    <w:multiLevelType w:val="hybridMultilevel"/>
    <w:lvl w:ilvl="0">
      <w:lvlJc w:val="left"/>
      <w:lvlText w:val="(%1)"/>
      <w:numFmt w:val="lowerLetter"/>
      <w:start w:val="2"/>
    </w:lvl>
  </w:abstractNum>
  <w:abstractNum w:abstractNumId="278">
    <w:nsid w:val="79F0D62F"/>
    <w:multiLevelType w:val="hybridMultilevel"/>
    <w:lvl w:ilvl="0">
      <w:lvlJc w:val="left"/>
      <w:lvlText w:val="(%1)"/>
      <w:numFmt w:val="lowerLetter"/>
      <w:start w:val="1"/>
    </w:lvl>
  </w:abstractNum>
  <w:abstractNum w:abstractNumId="279">
    <w:nsid w:val="7975E8EE"/>
    <w:multiLevelType w:val="hybridMultilevel"/>
    <w:lvl w:ilvl="0">
      <w:lvlJc w:val="left"/>
      <w:lvlText w:val="%1"/>
      <w:numFmt w:val="lowerLetter"/>
      <w:start w:val="1"/>
    </w:lvl>
    <w:lvl w:ilvl="1">
      <w:lvlJc w:val="left"/>
      <w:lvlText w:val="(%2)"/>
      <w:numFmt w:val="lowerLetter"/>
      <w:start w:val="1"/>
    </w:lvl>
  </w:abstractNum>
  <w:abstractNum w:abstractNumId="280">
    <w:nsid w:val="73154115"/>
    <w:multiLevelType w:val="hybridMultilevel"/>
    <w:lvl w:ilvl="0">
      <w:lvlJc w:val="left"/>
      <w:lvlText w:val="(%1)"/>
      <w:numFmt w:val="lowerLetter"/>
      <w:start w:val="35"/>
    </w:lvl>
    <w:lvl w:ilvl="1">
      <w:lvlJc w:val="left"/>
      <w:lvlText w:val="%2"/>
      <w:numFmt w:val="lowerLetter"/>
      <w:start w:val="1"/>
    </w:lvl>
  </w:abstractNum>
  <w:abstractNum w:abstractNumId="281">
    <w:nsid w:val="622D8102"/>
    <w:multiLevelType w:val="hybridMultilevel"/>
    <w:lvl w:ilvl="0">
      <w:lvlJc w:val="left"/>
      <w:lvlText w:val="(%1)"/>
      <w:numFmt w:val="lowerLetter"/>
      <w:start w:val="1"/>
    </w:lvl>
    <w:lvl w:ilvl="1">
      <w:lvlJc w:val="left"/>
      <w:lvlText w:val="(%2)"/>
      <w:numFmt w:val="lowerRoman"/>
      <w:start w:val="1"/>
    </w:lvl>
  </w:abstractNum>
  <w:abstractNum w:abstractNumId="282">
    <w:nsid w:val="2AB26587"/>
    <w:multiLevelType w:val="hybridMultilevel"/>
    <w:lvl w:ilvl="0">
      <w:lvlJc w:val="left"/>
      <w:lvlText w:val="(%1)"/>
      <w:numFmt w:val="lowerRoman"/>
      <w:start w:val="2"/>
    </w:lvl>
  </w:abstractNum>
  <w:abstractNum w:abstractNumId="283">
    <w:nsid w:val="44B3FA61"/>
    <w:multiLevelType w:val="hybridMultilevel"/>
    <w:lvl w:ilvl="0">
      <w:lvlJc w:val="left"/>
      <w:lvlText w:val="%1"/>
      <w:numFmt w:val="lowerLetter"/>
      <w:start w:val="1"/>
    </w:lvl>
    <w:lvl w:ilvl="1">
      <w:lvlJc w:val="left"/>
      <w:lvlText w:val="(%2)"/>
      <w:numFmt w:val="lowerLetter"/>
      <w:start w:val="2"/>
    </w:lvl>
  </w:abstractNum>
  <w:abstractNum w:abstractNumId="284">
    <w:nsid w:val="1C0CA67C"/>
    <w:multiLevelType w:val="hybridMultilevel"/>
    <w:lvl w:ilvl="0">
      <w:lvlJc w:val="left"/>
      <w:lvlText w:val="(%1)"/>
      <w:numFmt w:val="lowerLetter"/>
      <w:start w:val="9"/>
    </w:lvl>
    <w:lvl w:ilvl="1">
      <w:lvlJc w:val="left"/>
      <w:lvlText w:val="(%2)"/>
      <w:numFmt w:val="lowerLetter"/>
      <w:start w:val="3"/>
    </w:lvl>
  </w:abstractNum>
  <w:abstractNum w:abstractNumId="285">
    <w:nsid w:val="3D206613"/>
    <w:multiLevelType w:val="hybridMultilevel"/>
    <w:lvl w:ilvl="0">
      <w:lvlJc w:val="left"/>
      <w:lvlText w:val="(%1)"/>
      <w:numFmt w:val="lowerLetter"/>
      <w:start w:val="5"/>
    </w:lvl>
  </w:abstractNum>
  <w:abstractNum w:abstractNumId="286">
    <w:nsid w:val="7993B662"/>
    <w:multiLevelType w:val="hybridMultilevel"/>
    <w:lvl w:ilvl="0">
      <w:lvlJc w:val="left"/>
      <w:lvlText w:val="(%1)"/>
      <w:numFmt w:val="lowerLetter"/>
      <w:start w:val="8"/>
    </w:lvl>
  </w:abstractNum>
  <w:abstractNum w:abstractNumId="287">
    <w:nsid w:val="3BAB699E"/>
    <w:multiLevelType w:val="hybridMultilevel"/>
    <w:lvl w:ilvl="0">
      <w:lvlJc w:val="left"/>
      <w:lvlText w:val="(%1)"/>
      <w:numFmt w:val="lowerLetter"/>
      <w:start w:val="1"/>
    </w:lvl>
  </w:abstractNum>
  <w:abstractNum w:abstractNumId="288">
    <w:nsid w:val="71315369"/>
    <w:multiLevelType w:val="hybridMultilevel"/>
    <w:lvl w:ilvl="0">
      <w:lvlJc w:val="left"/>
      <w:lvlText w:val="(%1)"/>
      <w:numFmt w:val="lowerLetter"/>
      <w:start w:val="1"/>
    </w:lvl>
  </w:abstractNum>
  <w:abstractNum w:abstractNumId="289">
    <w:nsid w:val="7BCFBAFC"/>
    <w:multiLevelType w:val="hybridMultilevel"/>
    <w:lvl w:ilvl="0">
      <w:lvlJc w:val="left"/>
      <w:lvlText w:val="(%1)"/>
      <w:numFmt w:val="lowerRoman"/>
      <w:start w:val="1"/>
    </w:lvl>
  </w:abstractNum>
  <w:abstractNum w:abstractNumId="290">
    <w:nsid w:val="17859F72"/>
    <w:multiLevelType w:val="hybridMultilevel"/>
    <w:lvl w:ilvl="0">
      <w:lvlJc w:val="left"/>
      <w:lvlText w:val="(%1)"/>
      <w:numFmt w:val="lowerLetter"/>
      <w:start w:val="1"/>
    </w:lvl>
  </w:abstractNum>
  <w:abstractNum w:abstractNumId="291">
    <w:nsid w:val="3AA10581"/>
    <w:multiLevelType w:val="hybridMultilevel"/>
    <w:lvl w:ilvl="0">
      <w:lvlJc w:val="left"/>
      <w:lvlText w:val="(%1)"/>
      <w:numFmt w:val="lowerLetter"/>
      <w:start w:val="4"/>
    </w:lvl>
  </w:abstractNum>
  <w:abstractNum w:abstractNumId="292">
    <w:nsid w:val="63DE60CD"/>
    <w:multiLevelType w:val="hybridMultilevel"/>
    <w:lvl w:ilvl="0">
      <w:lvlJc w:val="left"/>
      <w:lvlText w:val="(%1)"/>
      <w:numFmt w:val="lowerLetter"/>
      <w:start w:val="1"/>
    </w:lvl>
  </w:abstractNum>
  <w:abstractNum w:abstractNumId="293">
    <w:nsid w:val="621AF471"/>
    <w:multiLevelType w:val="hybridMultilevel"/>
    <w:lvl w:ilvl="0">
      <w:lvlJc w:val="left"/>
      <w:lvlText w:val="(%1)"/>
      <w:numFmt w:val="lowerLetter"/>
      <w:start w:val="3"/>
    </w:lvl>
  </w:abstractNum>
  <w:abstractNum w:abstractNumId="294">
    <w:nsid w:val="73CFE165"/>
    <w:multiLevelType w:val="hybridMultilevel"/>
    <w:lvl w:ilvl="0">
      <w:lvlJc w:val="left"/>
      <w:lvlText w:val="(%1)"/>
      <w:numFmt w:val="lowerLetter"/>
      <w:start w:val="1"/>
    </w:lvl>
  </w:abstractNum>
  <w:abstractNum w:abstractNumId="295">
    <w:nsid w:val="20F88EA6"/>
    <w:multiLevelType w:val="hybridMultilevel"/>
    <w:lvl w:ilvl="0">
      <w:lvlJc w:val="left"/>
      <w:lvlText w:val="(%1)"/>
      <w:numFmt w:val="lowerLetter"/>
      <w:start w:val="1"/>
    </w:lvl>
  </w:abstractNum>
  <w:abstractNum w:abstractNumId="296">
    <w:nsid w:val="617C843E"/>
    <w:multiLevelType w:val="hybridMultilevel"/>
    <w:lvl w:ilvl="0">
      <w:lvlJc w:val="left"/>
      <w:lvlText w:val="(%1)"/>
      <w:numFmt w:val="lowerLetter"/>
      <w:start w:val="2"/>
    </w:lvl>
  </w:abstractNum>
  <w:abstractNum w:abstractNumId="297">
    <w:nsid w:val="7B541FAB"/>
    <w:multiLevelType w:val="hybridMultilevel"/>
    <w:lvl w:ilvl="0">
      <w:lvlJc w:val="left"/>
      <w:lvlText w:val="(%1)"/>
      <w:numFmt w:val="lowerRoman"/>
      <w:start w:val="1"/>
    </w:lvl>
  </w:abstractNum>
  <w:abstractNum w:abstractNumId="298">
    <w:nsid w:val="2A79EC49"/>
    <w:multiLevelType w:val="hybridMultilevel"/>
    <w:lvl w:ilvl="0">
      <w:lvlJc w:val="left"/>
      <w:lvlText w:val="9"/>
      <w:numFmt w:val="bullet"/>
      <w:start w:val="1"/>
    </w:lvl>
  </w:abstractNum>
  <w:abstractNum w:abstractNumId="299">
    <w:nsid w:val="338125CF"/>
    <w:multiLevelType w:val="hybridMultilevel"/>
    <w:lvl w:ilvl="0">
      <w:lvlJc w:val="left"/>
      <w:lvlText w:val="%1"/>
      <w:numFmt w:val="decimal"/>
      <w:start w:val="10"/>
    </w:lvl>
  </w:abstractNum>
  <w:abstractNum w:abstractNumId="300">
    <w:nsid w:val="47C7C971"/>
    <w:multiLevelType w:val="hybridMultilevel"/>
    <w:lvl w:ilvl="0">
      <w:lvlJc w:val="left"/>
      <w:lvlText w:val="(%1)"/>
      <w:numFmt w:val="lowerRoman"/>
      <w:start w:val="2"/>
    </w:lvl>
  </w:abstractNum>
  <w:abstractNum w:abstractNumId="301">
    <w:nsid w:val="46F8284B"/>
    <w:multiLevelType w:val="hybridMultilevel"/>
    <w:lvl w:ilvl="0">
      <w:lvlJc w:val="left"/>
      <w:lvlText w:val="(%1)"/>
      <w:numFmt w:val="decimal"/>
      <w:start w:val="2"/>
    </w:lvl>
    <w:lvl w:ilvl="1">
      <w:lvlJc w:val="left"/>
      <w:lvlText w:val="%2."/>
      <w:numFmt w:val="upperLetter"/>
      <w:start w:val="14"/>
    </w:lvl>
  </w:abstractNum>
  <w:abstractNum w:abstractNumId="302">
    <w:nsid w:val="4FA327CE"/>
    <w:multiLevelType w:val="hybridMultilevel"/>
    <w:lvl w:ilvl="0">
      <w:lvlJc w:val="left"/>
      <w:lvlText w:val="(%1)"/>
      <w:numFmt w:val="lowerRoman"/>
      <w:start w:val="1"/>
    </w:lvl>
  </w:abstractNum>
  <w:abstractNum w:abstractNumId="303">
    <w:nsid w:val="187398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2026-06-02T07:11:14Z</dcterms:created>
  <dcterms:modified xsi:type="dcterms:W3CDTF">2026-06-02T07:11:14Z</dcterms:modified>
</cp:coreProperties>
</file>