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Shryock Christopher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MEDLINE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LAKES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NORTHFIELD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12/16/2025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816"/>
        <w:gridCol w:w="276"/>
        <w:gridCol w:w="906"/>
        <w:gridCol w:w="801"/>
        <w:gridCol w:w="891"/>
        <w:gridCol w:w="921"/>
        <w:gridCol w:w="801"/>
        <w:gridCol w:w="936"/>
        <w:gridCol w:w="831"/>
        <w:gridCol w:w="951"/>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Units of Medline Holdings, LP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24.19</w:t>
            </w: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12/16/2025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496,049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496,049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496,049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(2)(3)</w:t>
            </w:r>
            <w:r>
              <w:rPr/>
              <w:t xml:space="preserve"> </w:t>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27.68</w:t>
            </w: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40,638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of which 25% vest on June 15, 2026 and the remaining 75% vest in three equal annual installments beginning on March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 incentive units of Medline Holdings, LP ("Incentive Units"), which are "profit interests" having economic characteristics similar to stock appreciation rights. Vested Incentive Units are convertible, at the holder's election, into a number of common units of Medline Holdings, LP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the Issuer's Class A common stock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above) Common Units are exchangeable on a one-for-one basis for shares of Class A Common Stock pursuant to the terms of an exchange agreement, dated as of December 16, 2025. These Incentive Units have no expiration date. Such Incentive Units are held indirectly through Medline Management Aggregator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20% of these Incentive Units have vested, and the remaining 80% vest in four equal annual installments beginning on September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Incentive Units vest in five equal annual installments beginning on March 28,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Fritz,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1070"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5002</Characters>
  <CharactersWithSpaces>5852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