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March 19, 2025.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117475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Amendment No. 3</w:t>
      </w:r>
    </w:p>
    <w:p>
      <w:pPr>
        <w:spacing w:after="0" w:line="3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199"/>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9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100965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6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9"/>
          <w:szCs w:val="39"/>
          <w:b w:val="1"/>
          <w:bCs w:val="1"/>
          <w:color w:val="auto"/>
        </w:rPr>
        <w:t>Medline Inc.</w:t>
      </w:r>
    </w:p>
    <w:p>
      <w:pPr>
        <w:spacing w:after="0" w:line="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109855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48"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8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3841</w:t>
            </w:r>
          </w:p>
        </w:tc>
        <w:tc>
          <w:tcPr>
            <w:tcW w:w="2180" w:type="dxa"/>
            <w:vAlign w:val="bottom"/>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33-1845288</w:t>
            </w:r>
          </w:p>
        </w:tc>
      </w:tr>
      <w:tr>
        <w:trPr>
          <w:trHeight w:val="147"/>
        </w:trPr>
        <w:tc>
          <w:tcPr>
            <w:tcW w:w="2820" w:type="dxa"/>
            <w:vAlign w:val="bottom"/>
          </w:tcPr>
          <w:p>
            <w:pPr>
              <w:jc w:val="center"/>
              <w:ind w:right="869"/>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20" w:type="dxa"/>
            <w:vAlign w:val="bottom"/>
          </w:tcPr>
          <w:p>
            <w:pPr>
              <w:jc w:val="center"/>
              <w:ind w:right="69"/>
              <w:spacing w:after="0" w:line="147"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180" w:type="dxa"/>
            <w:vAlign w:val="bottom"/>
          </w:tcPr>
          <w:p>
            <w:pPr>
              <w:jc w:val="center"/>
              <w:ind w:left="969"/>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82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180" w:type="dxa"/>
            <w:vAlign w:val="bottom"/>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3 Lakes Drive</w:t>
      </w:r>
    </w:p>
    <w:p>
      <w:pPr>
        <w:jc w:val="center"/>
        <w:ind w:right="-199"/>
        <w:spacing w:after="0" w:line="225" w:lineRule="auto"/>
        <w:rPr>
          <w:sz w:val="20"/>
          <w:szCs w:val="20"/>
          <w:color w:val="auto"/>
        </w:rPr>
      </w:pPr>
      <w:r>
        <w:rPr>
          <w:rFonts w:ascii="Times New Roman" w:cs="Times New Roman" w:eastAsia="Times New Roman" w:hAnsi="Times New Roman"/>
          <w:sz w:val="14"/>
          <w:szCs w:val="14"/>
          <w:b w:val="1"/>
          <w:bCs w:val="1"/>
          <w:color w:val="auto"/>
        </w:rPr>
        <w:t>Northfield, Illinois 60093</w:t>
      </w:r>
    </w:p>
    <w:p>
      <w:pPr>
        <w:jc w:val="center"/>
        <w:ind w:right="-199"/>
        <w:spacing w:after="0" w:line="219" w:lineRule="auto"/>
        <w:rPr>
          <w:sz w:val="20"/>
          <w:szCs w:val="20"/>
          <w:color w:val="auto"/>
        </w:rPr>
      </w:pPr>
      <w:r>
        <w:rPr>
          <w:rFonts w:ascii="Times New Roman" w:cs="Times New Roman" w:eastAsia="Times New Roman" w:hAnsi="Times New Roman"/>
          <w:sz w:val="14"/>
          <w:szCs w:val="14"/>
          <w:b w:val="1"/>
          <w:bCs w:val="1"/>
          <w:color w:val="auto"/>
        </w:rPr>
        <w:t>Telephone: (847) 949-5500</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97155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James Boyle</w:t>
      </w:r>
    </w:p>
    <w:p>
      <w:pPr>
        <w:jc w:val="center"/>
        <w:ind w:right="-199"/>
        <w:spacing w:after="0" w:line="225"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99"/>
        <w:spacing w:after="0" w:line="219" w:lineRule="auto"/>
        <w:rPr>
          <w:sz w:val="20"/>
          <w:szCs w:val="20"/>
          <w:color w:val="auto"/>
        </w:rPr>
      </w:pPr>
      <w:r>
        <w:rPr>
          <w:rFonts w:ascii="Times New Roman" w:cs="Times New Roman" w:eastAsia="Times New Roman" w:hAnsi="Times New Roman"/>
          <w:sz w:val="14"/>
          <w:szCs w:val="14"/>
          <w:b w:val="1"/>
          <w:bCs w:val="1"/>
          <w:color w:val="auto"/>
        </w:rPr>
        <w:t>Medline Inc.</w:t>
      </w:r>
    </w:p>
    <w:p>
      <w:pPr>
        <w:jc w:val="center"/>
        <w:ind w:right="-199"/>
        <w:spacing w:after="0" w:line="220" w:lineRule="auto"/>
        <w:rPr>
          <w:sz w:val="20"/>
          <w:szCs w:val="20"/>
          <w:color w:val="auto"/>
        </w:rPr>
      </w:pPr>
      <w:r>
        <w:rPr>
          <w:rFonts w:ascii="Times New Roman" w:cs="Times New Roman" w:eastAsia="Times New Roman" w:hAnsi="Times New Roman"/>
          <w:sz w:val="14"/>
          <w:szCs w:val="14"/>
          <w:b w:val="1"/>
          <w:bCs w:val="1"/>
          <w:color w:val="auto"/>
        </w:rPr>
        <w:t>3 Lakes Drive</w:t>
      </w:r>
    </w:p>
    <w:p>
      <w:pPr>
        <w:jc w:val="center"/>
        <w:ind w:right="-199"/>
        <w:spacing w:after="0" w:line="219" w:lineRule="auto"/>
        <w:rPr>
          <w:sz w:val="20"/>
          <w:szCs w:val="20"/>
          <w:color w:val="auto"/>
        </w:rPr>
      </w:pPr>
      <w:r>
        <w:rPr>
          <w:rFonts w:ascii="Times New Roman" w:cs="Times New Roman" w:eastAsia="Times New Roman" w:hAnsi="Times New Roman"/>
          <w:sz w:val="14"/>
          <w:szCs w:val="14"/>
          <w:b w:val="1"/>
          <w:bCs w:val="1"/>
          <w:color w:val="auto"/>
        </w:rPr>
        <w:t>Northfield, Illinois 60093</w:t>
      </w:r>
    </w:p>
    <w:p>
      <w:pPr>
        <w:jc w:val="center"/>
        <w:ind w:right="-199"/>
        <w:spacing w:after="0" w:line="219" w:lineRule="auto"/>
        <w:rPr>
          <w:sz w:val="20"/>
          <w:szCs w:val="20"/>
          <w:color w:val="auto"/>
        </w:rPr>
      </w:pPr>
      <w:r>
        <w:rPr>
          <w:rFonts w:ascii="Times New Roman" w:cs="Times New Roman" w:eastAsia="Times New Roman" w:hAnsi="Times New Roman"/>
          <w:sz w:val="14"/>
          <w:szCs w:val="14"/>
          <w:b w:val="1"/>
          <w:bCs w:val="1"/>
          <w:color w:val="auto"/>
        </w:rPr>
        <w:t>Telephone: (847) 949-5500</w:t>
      </w: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97155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7" w:lineRule="exact"/>
        <w:rPr>
          <w:sz w:val="24"/>
          <w:szCs w:val="24"/>
          <w:color w:val="auto"/>
        </w:rPr>
      </w:pPr>
    </w:p>
    <w:tbl>
      <w:tblPr>
        <w:tblLayout w:type="fixed"/>
        <w:tblInd w:w="100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35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600" w:type="dxa"/>
            <w:vAlign w:val="bottom"/>
          </w:tcPr>
          <w:p>
            <w:pPr>
              <w:spacing w:after="0"/>
              <w:rPr>
                <w:sz w:val="16"/>
                <w:szCs w:val="16"/>
                <w:color w:val="auto"/>
              </w:rPr>
            </w:pPr>
          </w:p>
        </w:tc>
      </w:tr>
      <w:tr>
        <w:trPr>
          <w:trHeight w:val="187"/>
        </w:trPr>
        <w:tc>
          <w:tcPr>
            <w:tcW w:w="3000" w:type="dxa"/>
            <w:vAlign w:val="bottom"/>
          </w:tcPr>
          <w:p>
            <w:pPr>
              <w:jc w:val="center"/>
              <w:ind w:right="889"/>
              <w:spacing w:after="0"/>
              <w:rPr>
                <w:sz w:val="20"/>
                <w:szCs w:val="20"/>
                <w:color w:val="auto"/>
              </w:rPr>
            </w:pPr>
            <w:r>
              <w:rPr>
                <w:rFonts w:ascii="Times New Roman" w:cs="Times New Roman" w:eastAsia="Times New Roman" w:hAnsi="Times New Roman"/>
                <w:sz w:val="14"/>
                <w:szCs w:val="14"/>
                <w:b w:val="1"/>
                <w:bCs w:val="1"/>
                <w:color w:val="auto"/>
              </w:rPr>
              <w:t>Joshua Ford Bonnie</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 Liberman</w:t>
            </w:r>
          </w:p>
        </w:tc>
        <w:tc>
          <w:tcPr>
            <w:tcW w:w="2600" w:type="dxa"/>
            <w:vAlign w:val="bottom"/>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Jason M. Licht</w:t>
            </w:r>
          </w:p>
        </w:tc>
      </w:tr>
      <w:tr>
        <w:trPr>
          <w:trHeight w:val="147"/>
        </w:trPr>
        <w:tc>
          <w:tcPr>
            <w:tcW w:w="3000" w:type="dxa"/>
            <w:vAlign w:val="bottom"/>
          </w:tcPr>
          <w:p>
            <w:pPr>
              <w:jc w:val="center"/>
              <w:ind w:right="889"/>
              <w:spacing w:after="0" w:line="147" w:lineRule="exact"/>
              <w:rPr>
                <w:sz w:val="20"/>
                <w:szCs w:val="20"/>
                <w:color w:val="auto"/>
              </w:rPr>
            </w:pPr>
            <w:r>
              <w:rPr>
                <w:rFonts w:ascii="Times New Roman" w:cs="Times New Roman" w:eastAsia="Times New Roman" w:hAnsi="Times New Roman"/>
                <w:sz w:val="14"/>
                <w:szCs w:val="14"/>
                <w:b w:val="1"/>
                <w:bCs w:val="1"/>
                <w:color w:val="auto"/>
              </w:rPr>
              <w:t>Jonathan R. Ozner</w:t>
            </w:r>
          </w:p>
        </w:tc>
        <w:tc>
          <w:tcPr>
            <w:tcW w:w="3540" w:type="dxa"/>
            <w:vAlign w:val="bottom"/>
          </w:tcPr>
          <w:p>
            <w:pPr>
              <w:jc w:val="center"/>
              <w:ind w:right="9"/>
              <w:spacing w:after="0" w:line="147" w:lineRule="exact"/>
              <w:rPr>
                <w:sz w:val="20"/>
                <w:szCs w:val="20"/>
                <w:color w:val="auto"/>
              </w:rPr>
            </w:pPr>
            <w:r>
              <w:rPr>
                <w:rFonts w:ascii="Times New Roman" w:cs="Times New Roman" w:eastAsia="Times New Roman" w:hAnsi="Times New Roman"/>
                <w:sz w:val="14"/>
                <w:szCs w:val="14"/>
                <w:b w:val="1"/>
                <w:bCs w:val="1"/>
                <w:color w:val="auto"/>
              </w:rPr>
              <w:t>Chief Legal Officer</w:t>
            </w:r>
          </w:p>
        </w:tc>
        <w:tc>
          <w:tcPr>
            <w:tcW w:w="2600" w:type="dxa"/>
            <w:vAlign w:val="bottom"/>
          </w:tcPr>
          <w:p>
            <w:pPr>
              <w:jc w:val="center"/>
              <w:ind w:left="929"/>
              <w:spacing w:after="0" w:line="147" w:lineRule="exact"/>
              <w:rPr>
                <w:sz w:val="20"/>
                <w:szCs w:val="20"/>
                <w:color w:val="auto"/>
              </w:rPr>
            </w:pPr>
            <w:r>
              <w:rPr>
                <w:rFonts w:ascii="Times New Roman" w:cs="Times New Roman" w:eastAsia="Times New Roman" w:hAnsi="Times New Roman"/>
                <w:sz w:val="14"/>
                <w:szCs w:val="14"/>
                <w:b w:val="1"/>
                <w:bCs w:val="1"/>
                <w:color w:val="auto"/>
              </w:rPr>
              <w:t>Patrick H. Shannon</w:t>
            </w:r>
          </w:p>
        </w:tc>
      </w:tr>
      <w:tr>
        <w:trPr>
          <w:trHeight w:val="147"/>
        </w:trPr>
        <w:tc>
          <w:tcPr>
            <w:tcW w:w="3000" w:type="dxa"/>
            <w:vAlign w:val="bottom"/>
          </w:tcPr>
          <w:p>
            <w:pPr>
              <w:jc w:val="center"/>
              <w:ind w:right="889"/>
              <w:spacing w:after="0" w:line="147" w:lineRule="exact"/>
              <w:rPr>
                <w:sz w:val="20"/>
                <w:szCs w:val="20"/>
                <w:color w:val="auto"/>
              </w:rPr>
            </w:pPr>
            <w:r>
              <w:rPr>
                <w:rFonts w:ascii="Times New Roman" w:cs="Times New Roman" w:eastAsia="Times New Roman" w:hAnsi="Times New Roman"/>
                <w:sz w:val="14"/>
                <w:szCs w:val="14"/>
                <w:b w:val="1"/>
                <w:bCs w:val="1"/>
                <w:color w:val="auto"/>
              </w:rPr>
              <w:t>Katharine L. Thompson</w:t>
            </w:r>
          </w:p>
        </w:tc>
        <w:tc>
          <w:tcPr>
            <w:tcW w:w="3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Medline Inc.</w:t>
            </w:r>
          </w:p>
        </w:tc>
        <w:tc>
          <w:tcPr>
            <w:tcW w:w="2600" w:type="dxa"/>
            <w:vAlign w:val="bottom"/>
          </w:tcPr>
          <w:p>
            <w:pPr>
              <w:jc w:val="center"/>
              <w:ind w:left="929"/>
              <w:spacing w:after="0" w:line="147" w:lineRule="exact"/>
              <w:rPr>
                <w:sz w:val="20"/>
                <w:szCs w:val="20"/>
                <w:color w:val="auto"/>
              </w:rPr>
            </w:pPr>
            <w:r>
              <w:rPr>
                <w:rFonts w:ascii="Times New Roman" w:cs="Times New Roman" w:eastAsia="Times New Roman" w:hAnsi="Times New Roman"/>
                <w:sz w:val="14"/>
                <w:szCs w:val="14"/>
                <w:b w:val="1"/>
                <w:bCs w:val="1"/>
                <w:color w:val="auto"/>
              </w:rPr>
              <w:t>Cathy A. Birkeland</w:t>
            </w:r>
          </w:p>
        </w:tc>
      </w:tr>
      <w:tr>
        <w:trPr>
          <w:trHeight w:val="147"/>
        </w:trPr>
        <w:tc>
          <w:tcPr>
            <w:tcW w:w="3000" w:type="dxa"/>
            <w:vAlign w:val="bottom"/>
          </w:tcPr>
          <w:p>
            <w:pPr>
              <w:jc w:val="center"/>
              <w:ind w:right="889"/>
              <w:spacing w:after="0" w:line="147" w:lineRule="exact"/>
              <w:rPr>
                <w:sz w:val="20"/>
                <w:szCs w:val="20"/>
                <w:color w:val="auto"/>
              </w:rPr>
            </w:pPr>
            <w:r>
              <w:rPr>
                <w:rFonts w:ascii="Times New Roman" w:cs="Times New Roman" w:eastAsia="Times New Roman" w:hAnsi="Times New Roman"/>
                <w:sz w:val="14"/>
                <w:szCs w:val="14"/>
                <w:b w:val="1"/>
                <w:bCs w:val="1"/>
                <w:color w:val="auto"/>
              </w:rPr>
              <w:t>Simpson Thacher &amp; Bartlett LLP</w:t>
            </w:r>
          </w:p>
        </w:tc>
        <w:tc>
          <w:tcPr>
            <w:tcW w:w="3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3 Lakes Drive</w:t>
            </w:r>
          </w:p>
        </w:tc>
        <w:tc>
          <w:tcPr>
            <w:tcW w:w="2600" w:type="dxa"/>
            <w:vAlign w:val="bottom"/>
          </w:tcPr>
          <w:p>
            <w:pPr>
              <w:jc w:val="center"/>
              <w:ind w:left="909"/>
              <w:spacing w:after="0" w:line="147" w:lineRule="exact"/>
              <w:rPr>
                <w:sz w:val="20"/>
                <w:szCs w:val="20"/>
                <w:color w:val="auto"/>
              </w:rPr>
            </w:pPr>
            <w:r>
              <w:rPr>
                <w:rFonts w:ascii="Times New Roman" w:cs="Times New Roman" w:eastAsia="Times New Roman" w:hAnsi="Times New Roman"/>
                <w:sz w:val="14"/>
                <w:szCs w:val="14"/>
                <w:b w:val="1"/>
                <w:bCs w:val="1"/>
                <w:color w:val="auto"/>
              </w:rPr>
              <w:t>Latham &amp; Watkins LLP</w:t>
            </w:r>
          </w:p>
        </w:tc>
      </w:tr>
      <w:tr>
        <w:trPr>
          <w:trHeight w:val="147"/>
        </w:trPr>
        <w:tc>
          <w:tcPr>
            <w:tcW w:w="3000" w:type="dxa"/>
            <w:vAlign w:val="bottom"/>
          </w:tcPr>
          <w:p>
            <w:pPr>
              <w:jc w:val="center"/>
              <w:ind w:right="889"/>
              <w:spacing w:after="0" w:line="147" w:lineRule="exact"/>
              <w:rPr>
                <w:sz w:val="20"/>
                <w:szCs w:val="20"/>
                <w:color w:val="auto"/>
              </w:rPr>
            </w:pPr>
            <w:r>
              <w:rPr>
                <w:rFonts w:ascii="Times New Roman" w:cs="Times New Roman" w:eastAsia="Times New Roman" w:hAnsi="Times New Roman"/>
                <w:sz w:val="14"/>
                <w:szCs w:val="14"/>
                <w:b w:val="1"/>
                <w:bCs w:val="1"/>
                <w:color w:val="auto"/>
                <w:w w:val="99"/>
              </w:rPr>
              <w:t>900 G Street, N.W.</w:t>
            </w:r>
          </w:p>
        </w:tc>
        <w:tc>
          <w:tcPr>
            <w:tcW w:w="3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Northfield, Illinois 60093</w:t>
            </w:r>
          </w:p>
        </w:tc>
        <w:tc>
          <w:tcPr>
            <w:tcW w:w="2600" w:type="dxa"/>
            <w:vAlign w:val="bottom"/>
          </w:tcPr>
          <w:p>
            <w:pPr>
              <w:jc w:val="center"/>
              <w:ind w:left="929"/>
              <w:spacing w:after="0" w:line="147" w:lineRule="exact"/>
              <w:rPr>
                <w:sz w:val="20"/>
                <w:szCs w:val="20"/>
                <w:color w:val="auto"/>
              </w:rPr>
            </w:pPr>
            <w:r>
              <w:rPr>
                <w:rFonts w:ascii="Times New Roman" w:cs="Times New Roman" w:eastAsia="Times New Roman" w:hAnsi="Times New Roman"/>
                <w:sz w:val="14"/>
                <w:szCs w:val="14"/>
                <w:b w:val="1"/>
                <w:bCs w:val="1"/>
                <w:color w:val="auto"/>
              </w:rPr>
              <w:t>555 Eleventh Street, N.W.</w:t>
            </w:r>
          </w:p>
        </w:tc>
      </w:tr>
      <w:tr>
        <w:trPr>
          <w:trHeight w:val="147"/>
        </w:trPr>
        <w:tc>
          <w:tcPr>
            <w:tcW w:w="3000" w:type="dxa"/>
            <w:vAlign w:val="bottom"/>
          </w:tcPr>
          <w:p>
            <w:pPr>
              <w:jc w:val="center"/>
              <w:ind w:right="889"/>
              <w:spacing w:after="0" w:line="147" w:lineRule="exact"/>
              <w:rPr>
                <w:sz w:val="20"/>
                <w:szCs w:val="20"/>
                <w:color w:val="auto"/>
              </w:rPr>
            </w:pPr>
            <w:r>
              <w:rPr>
                <w:rFonts w:ascii="Times New Roman" w:cs="Times New Roman" w:eastAsia="Times New Roman" w:hAnsi="Times New Roman"/>
                <w:sz w:val="14"/>
                <w:szCs w:val="14"/>
                <w:b w:val="1"/>
                <w:bCs w:val="1"/>
                <w:color w:val="auto"/>
              </w:rPr>
              <w:t>Washington, D.C. 20001</w:t>
            </w:r>
          </w:p>
        </w:tc>
        <w:tc>
          <w:tcPr>
            <w:tcW w:w="3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Telephone: (847) 949-5500</w:t>
            </w:r>
          </w:p>
        </w:tc>
        <w:tc>
          <w:tcPr>
            <w:tcW w:w="2600" w:type="dxa"/>
            <w:vAlign w:val="bottom"/>
          </w:tcPr>
          <w:p>
            <w:pPr>
              <w:jc w:val="center"/>
              <w:ind w:left="909"/>
              <w:spacing w:after="0" w:line="147" w:lineRule="exact"/>
              <w:rPr>
                <w:sz w:val="20"/>
                <w:szCs w:val="20"/>
                <w:color w:val="auto"/>
              </w:rPr>
            </w:pPr>
            <w:r>
              <w:rPr>
                <w:rFonts w:ascii="Times New Roman" w:cs="Times New Roman" w:eastAsia="Times New Roman" w:hAnsi="Times New Roman"/>
                <w:sz w:val="14"/>
                <w:szCs w:val="14"/>
                <w:b w:val="1"/>
                <w:bCs w:val="1"/>
                <w:color w:val="auto"/>
              </w:rPr>
              <w:t>Washington, D.C. 20004</w:t>
            </w:r>
          </w:p>
        </w:tc>
      </w:tr>
      <w:tr>
        <w:trPr>
          <w:trHeight w:val="187"/>
        </w:trPr>
        <w:tc>
          <w:tcPr>
            <w:tcW w:w="3000" w:type="dxa"/>
            <w:vAlign w:val="bottom"/>
          </w:tcPr>
          <w:p>
            <w:pPr>
              <w:jc w:val="center"/>
              <w:ind w:right="889"/>
              <w:spacing w:after="0"/>
              <w:rPr>
                <w:sz w:val="20"/>
                <w:szCs w:val="20"/>
                <w:color w:val="auto"/>
              </w:rPr>
            </w:pPr>
            <w:r>
              <w:rPr>
                <w:rFonts w:ascii="Times New Roman" w:cs="Times New Roman" w:eastAsia="Times New Roman" w:hAnsi="Times New Roman"/>
                <w:sz w:val="14"/>
                <w:szCs w:val="14"/>
                <w:b w:val="1"/>
                <w:bCs w:val="1"/>
                <w:color w:val="auto"/>
              </w:rPr>
              <w:t>Telephone: (202) 636-5500</w:t>
            </w:r>
          </w:p>
        </w:tc>
        <w:tc>
          <w:tcPr>
            <w:tcW w:w="3540" w:type="dxa"/>
            <w:vAlign w:val="bottom"/>
          </w:tcPr>
          <w:p>
            <w:pPr>
              <w:spacing w:after="0"/>
              <w:rPr>
                <w:sz w:val="16"/>
                <w:szCs w:val="16"/>
                <w:color w:val="auto"/>
              </w:rPr>
            </w:pPr>
          </w:p>
        </w:tc>
        <w:tc>
          <w:tcPr>
            <w:tcW w:w="2600" w:type="dxa"/>
            <w:vAlign w:val="bottom"/>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100965</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the proposed sale of the securities to the public: </w:t>
      </w:r>
      <w:r>
        <w:rPr>
          <w:rFonts w:ascii="Times New Roman" w:cs="Times New Roman" w:eastAsia="Times New Roman" w:hAnsi="Times New Roman"/>
          <w:sz w:val="14"/>
          <w:szCs w:val="14"/>
          <w:color w:val="auto"/>
        </w:rPr>
        <w:t>As soon as practicable after the Registration Statement is declared effective.</w:t>
      </w:r>
    </w:p>
    <w:p>
      <w:pPr>
        <w:spacing w:after="0" w:line="55" w:lineRule="exact"/>
        <w:rPr>
          <w:sz w:val="24"/>
          <w:szCs w:val="24"/>
          <w:color w:val="auto"/>
        </w:rPr>
      </w:pPr>
    </w:p>
    <w:p>
      <w:pPr>
        <w:ind w:left="160" w:right="300" w:firstLine="436"/>
        <w:spacing w:after="0" w:line="184"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2" w:lineRule="exact"/>
        <w:rPr>
          <w:sz w:val="24"/>
          <w:szCs w:val="24"/>
          <w:color w:val="auto"/>
        </w:rPr>
      </w:pPr>
    </w:p>
    <w:p>
      <w:pPr>
        <w:ind w:left="160" w:right="560" w:firstLine="436"/>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5" w:lineRule="exact"/>
        <w:rPr>
          <w:sz w:val="24"/>
          <w:szCs w:val="24"/>
          <w:color w:val="auto"/>
        </w:rPr>
      </w:pPr>
    </w:p>
    <w:p>
      <w:pPr>
        <w:ind w:left="160" w:right="100" w:firstLine="436"/>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2" w:lineRule="exact"/>
        <w:rPr>
          <w:sz w:val="24"/>
          <w:szCs w:val="24"/>
          <w:color w:val="auto"/>
        </w:rPr>
      </w:pPr>
    </w:p>
    <w:p>
      <w:pPr>
        <w:ind w:left="160" w:right="100" w:firstLine="436"/>
        <w:spacing w:after="0" w:line="184"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2" w:lineRule="exact"/>
        <w:rPr>
          <w:sz w:val="24"/>
          <w:szCs w:val="24"/>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60" w:type="dxa"/>
        <w:tblCellMar>
          <w:top w:w="0" w:type="dxa"/>
          <w:left w:w="0" w:type="dxa"/>
          <w:bottom w:w="0" w:type="dxa"/>
          <w:right w:w="0" w:type="dxa"/>
        </w:tblCellMar>
      </w:tblPr>
      <w:tr>
        <w:trPr>
          <w:trHeight w:val="227"/>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15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14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4" w:lineRule="exact"/>
        <w:rPr>
          <w:sz w:val="24"/>
          <w:szCs w:val="24"/>
          <w:color w:val="auto"/>
        </w:rPr>
      </w:pPr>
    </w:p>
    <w:p>
      <w:pPr>
        <w:ind w:left="160" w:right="540" w:firstLine="436"/>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104775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ind w:left="160" w:right="20" w:firstLine="436"/>
        <w:spacing w:after="0" w:line="239"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40"/>
          </w:cols>
          <w:pgMar w:left="320" w:top="224"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both"/>
        <w:ind w:left="160" w:right="180"/>
        <w:spacing w:after="0" w:line="265"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FF4338"/>
        </w:rPr>
        <w:t>SUBJECT TO COMPLETION, DATED MARCH 19, 2025</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FF4338"/>
        </w:rPr>
        <w:t>PRELIMINARY PROSPECTUS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100965</wp:posOffset>
            </wp:positionV>
            <wp:extent cx="492760" cy="492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760"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145415</wp:posOffset>
            </wp:positionV>
            <wp:extent cx="1460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16" w:lineRule="exact"/>
        <w:rPr>
          <w:sz w:val="20"/>
          <w:szCs w:val="20"/>
          <w:color w:val="auto"/>
        </w:rPr>
      </w:pPr>
    </w:p>
    <w:p>
      <w:pPr>
        <w:ind w:left="160" w:right="20" w:firstLine="436"/>
        <w:spacing w:after="0" w:line="277" w:lineRule="auto"/>
        <w:rPr>
          <w:sz w:val="20"/>
          <w:szCs w:val="20"/>
          <w:color w:val="auto"/>
        </w:rPr>
      </w:pPr>
      <w:r>
        <w:rPr>
          <w:rFonts w:ascii="Times New Roman" w:cs="Times New Roman" w:eastAsia="Times New Roman" w:hAnsi="Times New Roman"/>
          <w:sz w:val="16"/>
          <w:szCs w:val="16"/>
          <w:color w:val="auto"/>
        </w:rPr>
        <w:t>This is the initial public offering of shares of Class A common stock of Medline Inc. We are selling       shares of our Class A common stock. Prior to this offering, there has been no public market for our common stock. We currently expect the initial public offering price to be between $      and $      per share of Class A common stock. We have applied to list our shares of Class A common stock on the Nasdaq Global Select Market (“Nasdaq”) under the trading symbol “MDLN.”</w:t>
      </w:r>
    </w:p>
    <w:p>
      <w:pPr>
        <w:spacing w:after="0" w:line="72" w:lineRule="exact"/>
        <w:rPr>
          <w:sz w:val="20"/>
          <w:szCs w:val="20"/>
          <w:color w:val="auto"/>
        </w:rPr>
      </w:pPr>
    </w:p>
    <w:p>
      <w:pPr>
        <w:ind w:left="160" w:right="200" w:firstLine="436"/>
        <w:spacing w:after="0" w:line="272" w:lineRule="auto"/>
        <w:rPr>
          <w:sz w:val="20"/>
          <w:szCs w:val="20"/>
          <w:color w:val="auto"/>
        </w:rPr>
      </w:pPr>
      <w:r>
        <w:rPr>
          <w:rFonts w:ascii="Times New Roman" w:cs="Times New Roman" w:eastAsia="Times New Roman" w:hAnsi="Times New Roman"/>
          <w:sz w:val="16"/>
          <w:szCs w:val="16"/>
          <w:color w:val="auto"/>
        </w:rPr>
        <w:t>Medline Inc. will have two classes of common stock outstanding after this offering: Class A common stock and Class B common stock. Each share of Class A common stock and Class B common stock entitles its holder to one vote on all matters on which stockholders are entitled to vote generally. The Continuing Common Unitholders (as defined herein) will hold all of the initially outstanding shares of Class B common stock, on a one-for-one basis with the number of Common Units (as defined herein) held by each such Continuing Common Unitholder. See “Description of Capital Stock.”</w:t>
      </w:r>
    </w:p>
    <w:p>
      <w:pPr>
        <w:spacing w:after="0" w:line="75"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6"/>
          <w:szCs w:val="16"/>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Common Units from Medline Holdings, LP (“Medline Holdings”), as described under “Organizational Structure—Offering Transactions,” which Medline Holdings will in turn use for general corporate purposes, including the repayment of indebtedness, and to bear all of the expenses of this offering. See “Use of Proceeds.” Medline Inc. intends to use any proceeds from the issuance of shares pursuant to any exercise by the underwriters of their option to purchase additional shares of Class A common stock to purchase or redeem outstanding equity interests from certain of our pre-IPO owners (as defined herein) at a price per equity interest equal to the initial public offering price per share of our Class A common stock less the underwriting discounts and commissions, as described under “Organizational Structure— Offering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136525</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8" w:lineRule="exact"/>
        <w:rPr>
          <w:sz w:val="20"/>
          <w:szCs w:val="20"/>
          <w:color w:val="auto"/>
        </w:rPr>
      </w:pPr>
    </w:p>
    <w:p>
      <w:pPr>
        <w:ind w:left="160" w:right="580" w:firstLine="436"/>
        <w:spacing w:after="0" w:line="267" w:lineRule="auto"/>
        <w:rPr>
          <w:sz w:val="20"/>
          <w:szCs w:val="20"/>
          <w:color w:val="auto"/>
        </w:rPr>
      </w:pPr>
      <w:r>
        <w:rPr>
          <w:rFonts w:ascii="Times New Roman" w:cs="Times New Roman" w:eastAsia="Times New Roman" w:hAnsi="Times New Roman"/>
          <w:sz w:val="20"/>
          <w:szCs w:val="20"/>
          <w:b w:val="1"/>
          <w:bCs w:val="1"/>
          <w:color w:val="auto"/>
        </w:rPr>
        <w:t>Investing in shares of our Class A common stock involves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29 to read about factors you should consider before buying shares of the Class A common stock.</w:t>
      </w:r>
    </w:p>
    <w:p>
      <w:pPr>
        <w:spacing w:after="0" w:line="61" w:lineRule="exact"/>
        <w:rPr>
          <w:sz w:val="20"/>
          <w:szCs w:val="20"/>
          <w:color w:val="auto"/>
        </w:rPr>
      </w:pPr>
    </w:p>
    <w:p>
      <w:pPr>
        <w:ind w:left="160" w:right="380" w:firstLine="436"/>
        <w:spacing w:after="0" w:line="296"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0"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6220" w:type="dxa"/>
            <w:vAlign w:val="bottom"/>
          </w:tcPr>
          <w:p>
            <w:pPr>
              <w:spacing w:after="0"/>
              <w:rPr>
                <w:sz w:val="12"/>
                <w:szCs w:val="1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Per</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622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4"/>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w:t>
            </w: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Borders>
              <w:top w:val="single" w:sz="8" w:color="CCEEFF"/>
            </w:tcBorders>
            <w:shd w:val="clear" w:color="auto" w:fill="CCEEFF"/>
          </w:tcPr>
          <w:p>
            <w:pPr>
              <w:spacing w:after="0"/>
              <w:rPr>
                <w:sz w:val="16"/>
                <w:szCs w:val="16"/>
                <w:color w:val="auto"/>
              </w:rPr>
            </w:pPr>
          </w:p>
        </w:tc>
      </w:tr>
      <w:tr>
        <w:trPr>
          <w:trHeight w:val="201"/>
        </w:trPr>
        <w:tc>
          <w:tcPr>
            <w:tcW w:w="6220" w:type="dxa"/>
            <w:vAlign w:val="bottom"/>
          </w:tcPr>
          <w:p>
            <w:pPr>
              <w:spacing w:after="0" w:line="201" w:lineRule="exact"/>
              <w:rPr>
                <w:sz w:val="20"/>
                <w:szCs w:val="20"/>
                <w:color w:val="auto"/>
              </w:rPr>
            </w:pPr>
            <w:r>
              <w:rPr>
                <w:rFonts w:ascii="Times New Roman" w:cs="Times New Roman" w:eastAsia="Times New Roman" w:hAnsi="Times New Roman"/>
                <w:sz w:val="15"/>
                <w:szCs w:val="15"/>
                <w:color w:val="auto"/>
              </w:rPr>
              <w:t>Underwriting discounts and commissions</w:t>
            </w:r>
            <w:r>
              <w:rPr>
                <w:rFonts w:ascii="Times New Roman" w:cs="Times New Roman" w:eastAsia="Times New Roman" w:hAnsi="Times New Roman"/>
                <w:sz w:val="23"/>
                <w:szCs w:val="23"/>
                <w:color w:val="auto"/>
                <w:vertAlign w:val="superscript"/>
              </w:rPr>
              <w:t>(1)</w:t>
            </w: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Medline Inc.</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7" w:lineRule="exact"/>
        <w:rPr>
          <w:sz w:val="20"/>
          <w:szCs w:val="20"/>
          <w:color w:val="auto"/>
        </w:rPr>
      </w:pPr>
    </w:p>
    <w:p>
      <w:pPr>
        <w:ind w:left="600" w:hanging="433"/>
        <w:spacing w:after="0"/>
        <w:tabs>
          <w:tab w:leader="none" w:pos="6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see the section entitled “Underwriting” for a description of compensation payable to the underwriters.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To the extent that the underwriters sell more than             shares of our Class A common stock, the underwriters have the option to purchase up to an additional</w:t>
      </w:r>
    </w:p>
    <w:p>
      <w:pPr>
        <w:spacing w:after="0" w:line="25" w:lineRule="exact"/>
        <w:rPr>
          <w:sz w:val="20"/>
          <w:szCs w:val="20"/>
          <w:color w:val="auto"/>
        </w:rPr>
      </w:pPr>
    </w:p>
    <w:p>
      <w:pPr>
        <w:ind w:left="160" w:right="340"/>
        <w:spacing w:after="0" w:line="283" w:lineRule="auto"/>
        <w:rPr>
          <w:sz w:val="20"/>
          <w:szCs w:val="20"/>
          <w:color w:val="auto"/>
        </w:rPr>
      </w:pPr>
      <w:r>
        <w:rPr>
          <w:rFonts w:ascii="Times New Roman" w:cs="Times New Roman" w:eastAsia="Times New Roman" w:hAnsi="Times New Roman"/>
          <w:sz w:val="16"/>
          <w:szCs w:val="16"/>
          <w:color w:val="auto"/>
        </w:rPr>
        <w:t>        shares of our Class A common stock from Medline Inc. at the initial public offering price less the underwriting discounts and commissions, within 30 days from the date of this prospectus.</w:t>
      </w:r>
    </w:p>
    <w:p>
      <w:pPr>
        <w:spacing w:after="0" w:line="66"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90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 xml:space="preserve">The underwriters expect to deliver the shares of our Class A common stock against payment in New York, New York on or about    </w:t>
            </w:r>
          </w:p>
        </w:tc>
        <w:tc>
          <w:tcPr>
            <w:tcW w:w="1920" w:type="dxa"/>
            <w:vAlign w:val="bottom"/>
          </w:tcPr>
          <w:p>
            <w:pPr>
              <w:jc w:val="right"/>
              <w:ind w:right="830"/>
              <w:spacing w:after="0"/>
              <w:rPr>
                <w:sz w:val="20"/>
                <w:szCs w:val="20"/>
                <w:color w:val="auto"/>
              </w:rPr>
            </w:pPr>
            <w:r>
              <w:rPr>
                <w:rFonts w:ascii="Times New Roman" w:cs="Times New Roman" w:eastAsia="Times New Roman" w:hAnsi="Times New Roman"/>
                <w:sz w:val="16"/>
                <w:szCs w:val="16"/>
                <w:color w:val="auto"/>
              </w:rPr>
              <w:t>         , 2025.</w:t>
            </w:r>
          </w:p>
        </w:tc>
      </w:tr>
      <w:tr>
        <w:trPr>
          <w:trHeight w:val="233"/>
        </w:trPr>
        <w:tc>
          <w:tcPr>
            <w:tcW w:w="432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87"/>
        </w:trPr>
        <w:tc>
          <w:tcPr>
            <w:tcW w:w="9000" w:type="dxa"/>
            <w:vAlign w:val="bottom"/>
            <w:gridSpan w:val="3"/>
          </w:tcPr>
          <w:p>
            <w:pPr>
              <w:jc w:val="center"/>
              <w:ind w:left="1820"/>
              <w:spacing w:after="0"/>
              <w:rPr>
                <w:sz w:val="20"/>
                <w:szCs w:val="20"/>
                <w:color w:val="auto"/>
              </w:rPr>
            </w:pPr>
            <w:r>
              <w:rPr>
                <w:rFonts w:ascii="Times New Roman" w:cs="Times New Roman" w:eastAsia="Times New Roman" w:hAnsi="Times New Roman"/>
                <w:sz w:val="16"/>
                <w:szCs w:val="16"/>
                <w:b w:val="1"/>
                <w:bCs w:val="1"/>
                <w:i w:val="1"/>
                <w:iCs w:val="1"/>
                <w:color w:val="auto"/>
              </w:rPr>
              <w:t>Global coordinators and joint bookrunning managers</w:t>
            </w:r>
          </w:p>
        </w:tc>
        <w:tc>
          <w:tcPr>
            <w:tcW w:w="1920" w:type="dxa"/>
            <w:vAlign w:val="bottom"/>
          </w:tcPr>
          <w:p>
            <w:pPr>
              <w:spacing w:after="0"/>
              <w:rPr>
                <w:sz w:val="24"/>
                <w:szCs w:val="24"/>
                <w:color w:val="auto"/>
              </w:rPr>
            </w:pPr>
          </w:p>
        </w:tc>
      </w:tr>
      <w:tr>
        <w:trPr>
          <w:trHeight w:val="209"/>
        </w:trPr>
        <w:tc>
          <w:tcPr>
            <w:tcW w:w="4320" w:type="dxa"/>
            <w:vAlign w:val="bottom"/>
          </w:tcPr>
          <w:p>
            <w:pPr>
              <w:spacing w:after="0"/>
              <w:rPr>
                <w:sz w:val="18"/>
                <w:szCs w:val="18"/>
                <w:color w:val="auto"/>
              </w:rPr>
            </w:pPr>
          </w:p>
        </w:tc>
        <w:tc>
          <w:tcPr>
            <w:tcW w:w="4680" w:type="dxa"/>
            <w:vAlign w:val="bottom"/>
            <w:gridSpan w:val="2"/>
          </w:tcPr>
          <w:p>
            <w:pPr>
              <w:jc w:val="center"/>
              <w:ind w:right="2380"/>
              <w:spacing w:after="0"/>
              <w:rPr>
                <w:sz w:val="20"/>
                <w:szCs w:val="20"/>
                <w:color w:val="auto"/>
              </w:rPr>
            </w:pPr>
            <w:r>
              <w:rPr>
                <w:rFonts w:ascii="Times New Roman" w:cs="Times New Roman" w:eastAsia="Times New Roman" w:hAnsi="Times New Roman"/>
                <w:sz w:val="16"/>
                <w:szCs w:val="16"/>
                <w:color w:val="auto"/>
                <w:w w:val="99"/>
              </w:rPr>
              <w:t>(*in alphabetical order)</w:t>
            </w:r>
          </w:p>
        </w:tc>
        <w:tc>
          <w:tcPr>
            <w:tcW w:w="1920" w:type="dxa"/>
            <w:vAlign w:val="bottom"/>
          </w:tcPr>
          <w:p>
            <w:pPr>
              <w:spacing w:after="0"/>
              <w:rPr>
                <w:sz w:val="18"/>
                <w:szCs w:val="18"/>
                <w:color w:val="auto"/>
              </w:rPr>
            </w:pPr>
          </w:p>
        </w:tc>
      </w:tr>
      <w:tr>
        <w:trPr>
          <w:trHeight w:val="456"/>
        </w:trPr>
        <w:tc>
          <w:tcPr>
            <w:tcW w:w="9000" w:type="dxa"/>
            <w:vAlign w:val="bottom"/>
            <w:gridSpan w:val="3"/>
          </w:tcPr>
          <w:p>
            <w:pPr>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19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Morgan Stanley*</w:t>
            </w:r>
          </w:p>
        </w:tc>
      </w:tr>
      <w:tr>
        <w:trPr>
          <w:trHeight w:val="401"/>
        </w:trPr>
        <w:tc>
          <w:tcPr>
            <w:tcW w:w="9000" w:type="dxa"/>
            <w:vAlign w:val="bottom"/>
            <w:gridSpan w:val="3"/>
          </w:tcPr>
          <w:p>
            <w:pPr>
              <w:spacing w:after="0"/>
              <w:rPr>
                <w:sz w:val="20"/>
                <w:szCs w:val="20"/>
                <w:color w:val="auto"/>
              </w:rPr>
            </w:pPr>
            <w:r>
              <w:rPr>
                <w:rFonts w:ascii="Times New Roman" w:cs="Times New Roman" w:eastAsia="Times New Roman" w:hAnsi="Times New Roman"/>
                <w:sz w:val="25"/>
                <w:szCs w:val="25"/>
                <w:b w:val="1"/>
                <w:bCs w:val="1"/>
                <w:color w:val="auto"/>
              </w:rPr>
              <w:t>BofA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J.P. Morgan</w:t>
            </w:r>
          </w:p>
        </w:tc>
      </w:tr>
      <w:tr>
        <w:trPr>
          <w:trHeight w:val="419"/>
        </w:trPr>
        <w:tc>
          <w:tcPr>
            <w:tcW w:w="9000" w:type="dxa"/>
            <w:vAlign w:val="bottom"/>
            <w:gridSpan w:val="3"/>
          </w:tcPr>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tc>
        <w:tc>
          <w:tcPr>
            <w:tcW w:w="192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7094855" cy="917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7094855" cy="9171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97790</wp:posOffset>
            </wp:positionV>
            <wp:extent cx="6114415" cy="8152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815276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2"/>
        </w:trPr>
        <w:tc>
          <w:tcPr>
            <w:tcW w:w="8480" w:type="dxa"/>
            <w:vAlign w:val="bottom"/>
            <w:gridSpan w:val="24"/>
          </w:tcPr>
          <w:p>
            <w:pPr>
              <w:spacing w:after="0" w:line="192" w:lineRule="exact"/>
              <w:rPr>
                <w:sz w:val="20"/>
                <w:szCs w:val="20"/>
                <w:color w:val="auto"/>
              </w:rPr>
            </w:pPr>
            <w:r>
              <w:rPr>
                <w:rFonts w:ascii="Times New Roman" w:cs="Times New Roman" w:eastAsia="Times New Roman" w:hAnsi="Times New Roman"/>
                <w:sz w:val="18"/>
                <w:szCs w:val="18"/>
                <w:color w:val="0000EE"/>
              </w:rPr>
              <w:t>Summary</w:t>
            </w:r>
          </w:p>
        </w:tc>
        <w:tc>
          <w:tcPr>
            <w:tcW w:w="23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Risk Factors</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r>
      <w:tr>
        <w:trPr>
          <w:trHeight w:val="194"/>
        </w:trPr>
        <w:tc>
          <w:tcPr>
            <w:tcW w:w="2100" w:type="dxa"/>
            <w:vAlign w:val="bottom"/>
            <w:tcBorders>
              <w:top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Market and Industry Data</w:t>
            </w:r>
          </w:p>
        </w:tc>
        <w:tc>
          <w:tcPr>
            <w:tcW w:w="6380" w:type="dxa"/>
            <w:vAlign w:val="bottom"/>
            <w:gridSpan w:val="10"/>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332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Trademarks, Trade Names, and Service Marks</w:t>
            </w:r>
          </w:p>
        </w:tc>
        <w:tc>
          <w:tcPr>
            <w:tcW w:w="5160" w:type="dxa"/>
            <w:vAlign w:val="bottom"/>
            <w:gridSpan w:val="5"/>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68</w:t>
            </w: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Organizational Structure</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70</w:t>
            </w:r>
          </w:p>
        </w:tc>
      </w:tr>
      <w:tr>
        <w:trPr>
          <w:trHeight w:val="194"/>
        </w:trPr>
        <w:tc>
          <w:tcPr>
            <w:tcW w:w="176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Use of Proceeds</w:t>
            </w:r>
          </w:p>
        </w:tc>
        <w:tc>
          <w:tcPr>
            <w:tcW w:w="6720" w:type="dxa"/>
            <w:vAlign w:val="bottom"/>
            <w:gridSpan w:val="13"/>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118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00" w:type="dxa"/>
            <w:vAlign w:val="bottom"/>
            <w:gridSpan w:val="15"/>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79</w:t>
            </w:r>
          </w:p>
        </w:tc>
      </w:tr>
      <w:tr>
        <w:trPr>
          <w:trHeight w:val="194"/>
        </w:trPr>
        <w:tc>
          <w:tcPr>
            <w:tcW w:w="102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Capitalization</w:t>
            </w:r>
          </w:p>
        </w:tc>
        <w:tc>
          <w:tcPr>
            <w:tcW w:w="7460" w:type="dxa"/>
            <w:vAlign w:val="bottom"/>
            <w:gridSpan w:val="17"/>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81</w:t>
            </w: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Dilution</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Unaudited Pro Forma Consolidated Financial Information</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r>
      <w:tr>
        <w:trPr>
          <w:trHeight w:val="194"/>
        </w:trPr>
        <w:tc>
          <w:tcPr>
            <w:tcW w:w="6400" w:type="dxa"/>
            <w:vAlign w:val="bottom"/>
            <w:tcBorders>
              <w:top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2080" w:type="dxa"/>
            <w:vAlign w:val="bottom"/>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9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7"/>
              </w:rPr>
              <w:t>Management</w:t>
            </w:r>
          </w:p>
        </w:tc>
        <w:tc>
          <w:tcPr>
            <w:tcW w:w="7540" w:type="dxa"/>
            <w:vAlign w:val="bottom"/>
            <w:gridSpan w:val="20"/>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151</w:t>
            </w:r>
          </w:p>
        </w:tc>
      </w:tr>
      <w:tr>
        <w:trPr>
          <w:trHeight w:val="194"/>
        </w:trPr>
        <w:tc>
          <w:tcPr>
            <w:tcW w:w="392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4560" w:type="dxa"/>
            <w:vAlign w:val="bottom"/>
            <w:gridSpan w:val="4"/>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195</w:t>
            </w: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Principal Stockholders</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2580" w:type="dxa"/>
            <w:vAlign w:val="bottom"/>
            <w:tcBorders>
              <w:bottom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8"/>
              </w:rPr>
              <w:t>Description of Certain Indebtedness</w:t>
            </w:r>
          </w:p>
        </w:tc>
        <w:tc>
          <w:tcPr>
            <w:tcW w:w="5900" w:type="dxa"/>
            <w:vAlign w:val="bottom"/>
            <w:gridSpan w:val="7"/>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207</w:t>
            </w: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214</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Certain U.S. Federal Income Tax Consequences to Non-U.S. Holders</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222</w:t>
            </w:r>
          </w:p>
        </w:tc>
      </w:tr>
      <w:tr>
        <w:trPr>
          <w:trHeight w:val="194"/>
        </w:trPr>
        <w:tc>
          <w:tcPr>
            <w:tcW w:w="4940" w:type="dxa"/>
            <w:vAlign w:val="bottom"/>
            <w:tcBorders>
              <w:top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540" w:type="dxa"/>
            <w:vAlign w:val="bottom"/>
            <w:gridSpan w:val="2"/>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225</w:t>
            </w:r>
          </w:p>
        </w:tc>
      </w:tr>
      <w:tr>
        <w:trPr>
          <w:trHeight w:val="194"/>
        </w:trPr>
        <w:tc>
          <w:tcPr>
            <w:tcW w:w="2200" w:type="dxa"/>
            <w:vAlign w:val="bottom"/>
            <w:tcBorders>
              <w:top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Underwriting</w:t>
            </w:r>
          </w:p>
        </w:tc>
        <w:tc>
          <w:tcPr>
            <w:tcW w:w="6280" w:type="dxa"/>
            <w:vAlign w:val="bottom"/>
            <w:gridSpan w:val="8"/>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228</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Legal Matters</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237</w:t>
            </w:r>
          </w:p>
        </w:tc>
      </w:tr>
      <w:tr>
        <w:trPr>
          <w:trHeight w:val="194"/>
        </w:trPr>
        <w:tc>
          <w:tcPr>
            <w:tcW w:w="60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Borders>
              <w:top w:val="single" w:sz="8" w:color="0000EE"/>
            </w:tcBorders>
            <w:gridSpan w:val="5"/>
          </w:tcPr>
          <w:p>
            <w:pPr>
              <w:spacing w:after="0"/>
              <w:rPr>
                <w:sz w:val="16"/>
                <w:szCs w:val="16"/>
                <w:color w:val="auto"/>
              </w:rPr>
            </w:pPr>
          </w:p>
        </w:tc>
        <w:tc>
          <w:tcPr>
            <w:tcW w:w="7480" w:type="dxa"/>
            <w:vAlign w:val="bottom"/>
            <w:gridSpan w:val="18"/>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237</w:t>
            </w:r>
          </w:p>
        </w:tc>
      </w:tr>
      <w:tr>
        <w:trPr>
          <w:trHeight w:val="194"/>
        </w:trPr>
        <w:tc>
          <w:tcPr>
            <w:tcW w:w="84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237</w:t>
            </w:r>
          </w:p>
        </w:tc>
      </w:tr>
      <w:tr>
        <w:trPr>
          <w:trHeight w:val="194"/>
        </w:trPr>
        <w:tc>
          <w:tcPr>
            <w:tcW w:w="2140" w:type="dxa"/>
            <w:vAlign w:val="bottom"/>
            <w:tcBorders>
              <w:top w:val="single" w:sz="8" w:color="0000EE"/>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00" w:type="dxa"/>
            <w:vAlign w:val="bottom"/>
            <w:tcBorders>
              <w:top w:val="single" w:sz="8" w:color="0000EE"/>
            </w:tcBorders>
            <w:gridSpan w:val="3"/>
          </w:tcPr>
          <w:p>
            <w:pPr>
              <w:spacing w:after="0"/>
              <w:rPr>
                <w:sz w:val="16"/>
                <w:szCs w:val="16"/>
                <w:color w:val="auto"/>
              </w:rPr>
            </w:pPr>
          </w:p>
        </w:tc>
        <w:tc>
          <w:tcPr>
            <w:tcW w:w="5640" w:type="dxa"/>
            <w:vAlign w:val="bottom"/>
            <w:gridSpan w:val="6"/>
          </w:tcPr>
          <w:p>
            <w:pPr>
              <w:spacing w:after="0"/>
              <w:rPr>
                <w:sz w:val="16"/>
                <w:szCs w:val="16"/>
                <w:color w:val="auto"/>
              </w:rPr>
            </w:pPr>
          </w:p>
        </w:tc>
        <w:tc>
          <w:tcPr>
            <w:tcW w:w="2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w:t>
            </w:r>
          </w:p>
        </w:tc>
      </w:tr>
    </w:tbl>
    <w:p>
      <w:pPr>
        <w:spacing w:after="0" w:line="222" w:lineRule="exact"/>
        <w:rPr>
          <w:sz w:val="20"/>
          <w:szCs w:val="20"/>
          <w:color w:val="auto"/>
        </w:rPr>
      </w:pPr>
    </w:p>
    <w:p>
      <w:pPr>
        <w:ind w:left="160" w:right="100" w:firstLine="436"/>
        <w:spacing w:after="0" w:line="271" w:lineRule="auto"/>
        <w:rPr>
          <w:sz w:val="20"/>
          <w:szCs w:val="20"/>
          <w:color w:val="auto"/>
        </w:rPr>
      </w:pPr>
      <w:r>
        <w:rPr>
          <w:rFonts w:ascii="Times New Roman" w:cs="Times New Roman" w:eastAsia="Times New Roman" w:hAnsi="Times New Roman"/>
          <w:sz w:val="17"/>
          <w:szCs w:val="17"/>
          <w:color w:val="auto"/>
        </w:rPr>
        <w:t>Neither we nor the underwriters have authorized anyone to provide you with information different from that contained in this prospectus, any amendment or supplement to this prospectus, or any free writing prospectus prepared by us or authorized to be provided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authorized to be provided on our behalf.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73"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We and the underwriters are offering to sell, and seeking offers to buy, shares of our Class A common stock only in jurisdictions where offers and sales are permitted.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84"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Through and including         ,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51"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Following this offering, Medline Holdings will be the predecessor of Medline Inc. for financial reporting purposes.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(as defined herein) lack economic substance and therefore will be accounted for in a manner consistent with a reorganization of entities under common control. As a result, the consolidated financial statements of Medline Inc. will recognize the assets and liabilities received in the Reorganization Transactions at their historical carrying amounts, as reflected in the historical financial statements of Medline Holdings. Medline Inc. will consolidate Medline Holdings on its consolidated financial statements and record a non-controlling interest related to the Units (as defined herein) held by the Continuing Unitholders (as defined herein) on its consolidated balance sheet and statement of comprehensive income. See “Organizational Structure.”</w:t>
      </w:r>
    </w:p>
    <w:p>
      <w:pPr>
        <w:spacing w:after="0" w:line="85"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The historical financial information of Medline Inc. has not been included in this prospectus as it is a newly incorporated entity, has no business transactions or activities to date, and had no assets or liabilities during the periods presented in this prospectus.</w:t>
      </w:r>
    </w:p>
    <w:p>
      <w:pPr>
        <w:spacing w:after="0" w:line="162"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84"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Offering Transactions (as defined herein), to Medline Holdings, LP and its consolidated subsidiaries and (2) after the Offering Transactions to Medline Inc. and its consolidated subsidiaries.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used in this prospectus, unless otherwise noted or the context requires otherwise:</w:t>
      </w:r>
    </w:p>
    <w:p>
      <w:pPr>
        <w:spacing w:after="0" w:line="127" w:lineRule="exact"/>
        <w:rPr>
          <w:sz w:val="20"/>
          <w:szCs w:val="20"/>
          <w:color w:val="auto"/>
        </w:rPr>
      </w:pPr>
    </w:p>
    <w:p>
      <w:pPr>
        <w:ind w:left="1140" w:hanging="43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refers to investment funds associated with Blackstone Inc.</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refers to investment funds associated with The Carlyle Group Inc.</w:t>
      </w:r>
    </w:p>
    <w:p>
      <w:pPr>
        <w:spacing w:after="0" w:line="127" w:lineRule="exact"/>
        <w:rPr>
          <w:rFonts w:ascii="Times New Roman" w:cs="Times New Roman" w:eastAsia="Times New Roman" w:hAnsi="Times New Roman"/>
          <w:sz w:val="18"/>
          <w:szCs w:val="18"/>
          <w:color w:val="auto"/>
        </w:rPr>
      </w:pPr>
    </w:p>
    <w:p>
      <w:pPr>
        <w:ind w:left="1140" w:hanging="438"/>
        <w:spacing w:after="0" w:line="255"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refers to the interests in Medline Holdings called “Class A Units” that are outstanding prior to the Reclassification. In connection with the Reclassification, (i) Class A Units held by Continuing Common Unitholders will be converted into Common Units and (ii) Class A Units held by Exchanging Class A Unitholders will be directly or indirectly exchanged for shares of Class A common stock. For additional information, see “Management—Compensation Arrangements to be Adopted in Connection with this Offering—Treatment of Existing Equity Interests.”</w:t>
      </w:r>
    </w:p>
    <w:p>
      <w:pPr>
        <w:spacing w:after="0" w:line="90" w:lineRule="exact"/>
        <w:rPr>
          <w:rFonts w:ascii="Times New Roman" w:cs="Times New Roman" w:eastAsia="Times New Roman" w:hAnsi="Times New Roman"/>
          <w:sz w:val="18"/>
          <w:szCs w:val="18"/>
          <w:color w:val="auto"/>
        </w:rPr>
      </w:pPr>
    </w:p>
    <w:p>
      <w:pPr>
        <w:ind w:left="1140" w:right="140" w:hanging="438"/>
        <w:spacing w:after="0" w:line="254"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refers to the interests in Medline Holdings called “Class B Units” that are outstanding prior to the Reclassification, and does not include CUPI Units. In connection with the Reclassification, (i) Class B Units held by Continuing Incentive Unitholders will be converted into Incentive Units and (ii) Class B Units held by Exchanging Class B Unitholders will be directly or indirectly exchanged for shares of Class A common stock (in the case of vested Class B Units) and/or restricted shares of Class A common stock (in the case of unvested Class B Units). For additional information, see “Management—Compensation Arrangements to be Adopted in Connection with this Offering—Treatment of Existing Equity Interests.”</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1"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14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refers to the new class of units of Medline Holdings created by the Reclassification as described under “Organizational Structure” and does not include Incentive Units.</w:t>
      </w:r>
    </w:p>
    <w:p>
      <w:pPr>
        <w:spacing w:after="0" w:line="68" w:lineRule="exact"/>
        <w:rPr>
          <w:rFonts w:ascii="Times New Roman" w:cs="Times New Roman" w:eastAsia="Times New Roman" w:hAnsi="Times New Roman"/>
          <w:sz w:val="18"/>
          <w:szCs w:val="18"/>
          <w:color w:val="auto"/>
        </w:rPr>
      </w:pPr>
    </w:p>
    <w:p>
      <w:pPr>
        <w:ind w:left="1140" w:right="22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Common Unitholders” refers to certain pre-IPO holders of Class A Units and/or CUPI Units who will hold Common Units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ind w:left="1140" w:right="62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Incentive Unitholders” refers to certain pre-IPO holders of Class B Units who will hold Incentive Units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Unitholders” refers collectively to Continuing Common Unitholders and Continuing Incentive Unitholders.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55"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refers to the interests in Medline Holdings that are designated as “Catch-Up Profits Interests Units” and outstanding prior to the Reclassification. In connection with the Reclassification, (i) CUPI Units held by Continuing Common Unitholders will be converted into Common Units and (ii) CUPI Units held by Exchanging CUPI Unitholders will be directly or indirectly exchanged for shares of Class A common stock. For additional information, see “Management—Compensation Arrangements to be Adopted in Connection with this Offering—Treatment of Existing Equity Interests.”</w:t>
      </w:r>
    </w:p>
    <w:p>
      <w:pPr>
        <w:spacing w:after="0" w:line="90" w:lineRule="exact"/>
        <w:rPr>
          <w:rFonts w:ascii="Times New Roman" w:cs="Times New Roman" w:eastAsia="Times New Roman" w:hAnsi="Times New Roman"/>
          <w:sz w:val="18"/>
          <w:szCs w:val="18"/>
          <w:color w:val="auto"/>
        </w:rPr>
      </w:pPr>
    </w:p>
    <w:p>
      <w:pPr>
        <w:ind w:left="1140" w:right="360" w:hanging="438"/>
        <w:spacing w:after="0" w:line="308"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“Designating Stockholder” refers to each of our Principal Stockholders and Hux with whom we intend to enter into separate director nomination agreements, as described in “Certain Relationships and Related Person Transactions—Director Nomination Agreements.”</w:t>
      </w:r>
    </w:p>
    <w:p>
      <w:pPr>
        <w:spacing w:after="0" w:line="46" w:lineRule="exact"/>
        <w:rPr>
          <w:rFonts w:ascii="Times New Roman" w:cs="Times New Roman" w:eastAsia="Times New Roman" w:hAnsi="Times New Roman"/>
          <w:sz w:val="17"/>
          <w:szCs w:val="17"/>
          <w:color w:val="auto"/>
        </w:rPr>
      </w:pPr>
    </w:p>
    <w:p>
      <w:pPr>
        <w:ind w:left="1140" w:right="4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Class A Unitholder” refers to pre-IPO holders of Class A Units whose Class A Units will be directly or indirectly exchanged for shares of Class A common stock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jc w:val="both"/>
        <w:ind w:left="1140" w:right="60" w:hanging="438"/>
        <w:spacing w:after="0" w:line="263"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Class B Unitholder” refers to pre-IPO holders of Class B Units whose Class B Units will be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81" w:lineRule="exact"/>
        <w:rPr>
          <w:rFonts w:ascii="Times New Roman" w:cs="Times New Roman" w:eastAsia="Times New Roman" w:hAnsi="Times New Roman"/>
          <w:sz w:val="18"/>
          <w:szCs w:val="18"/>
          <w:color w:val="auto"/>
        </w:rPr>
      </w:pPr>
    </w:p>
    <w:p>
      <w:pPr>
        <w:ind w:left="1140" w:right="26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CUPI Unitholder” refers to pre-IPO holders of CUPI Units whose CUPI Units will be directly or indirectly exchanged for shares of Class A common stock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Unitholders” refers collectively to Exchanging Class A Unitholders, Exchanging CUPI Unitholders, and Exchanging Class B Unitholders.</w:t>
      </w:r>
    </w:p>
    <w:p>
      <w:pPr>
        <w:spacing w:after="0" w:line="68"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owners” or “pre-IPO owners” refer to our Principal Stockholders, our Other Pre-IPO Investors and management and other equity holders who are the owners of Medline Holdings immediately prior to the Reorganization Transactions.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“H&amp;F” refers to investment funds associated with Hellman &amp; Friedman LLC.</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“Hux” refers to Hux Investment Pte. Ltd.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“IDNs” refers to integrated delivery networks.</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55"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90" w:lineRule="exact"/>
        <w:rPr>
          <w:rFonts w:ascii="Times New Roman" w:cs="Times New Roman" w:eastAsia="Times New Roman" w:hAnsi="Times New Roman"/>
          <w:sz w:val="18"/>
          <w:szCs w:val="18"/>
          <w:color w:val="auto"/>
        </w:rPr>
      </w:pPr>
    </w:p>
    <w:p>
      <w:pPr>
        <w:ind w:left="1140" w:right="52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the “Company,” “we,” “us,” and “our” refer (1) prior to the consummation of the Offering Transactions described under “Organizational Structure—Offering Transactions,” to Medline</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1"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spacing w:after="0" w:line="278" w:lineRule="auto"/>
        <w:rPr>
          <w:sz w:val="20"/>
          <w:szCs w:val="20"/>
          <w:color w:val="auto"/>
        </w:rPr>
      </w:pPr>
      <w:r>
        <w:rPr>
          <w:rFonts w:ascii="Times New Roman" w:cs="Times New Roman" w:eastAsia="Times New Roman" w:hAnsi="Times New Roman"/>
          <w:sz w:val="18"/>
          <w:szCs w:val="18"/>
          <w:color w:val="auto"/>
        </w:rPr>
        <w:t>Holdings, LP and its consolidated subsidiaries and (2) after the Offering Transactions described under “Organizational Structure—Offering Transactions,” to Medline Inc. and its consolidated subsidiaries.</w:t>
      </w:r>
    </w:p>
    <w:p>
      <w:pPr>
        <w:spacing w:after="0" w:line="69" w:lineRule="exact"/>
        <w:rPr>
          <w:sz w:val="20"/>
          <w:szCs w:val="20"/>
          <w:color w:val="auto"/>
        </w:rPr>
      </w:pPr>
    </w:p>
    <w:p>
      <w:pPr>
        <w:ind w:left="1140" w:right="500" w:hanging="438"/>
        <w:spacing w:after="0" w:line="263"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81" w:lineRule="exact"/>
        <w:rPr>
          <w:rFonts w:ascii="Times New Roman" w:cs="Times New Roman" w:eastAsia="Times New Roman" w:hAnsi="Times New Roman"/>
          <w:sz w:val="18"/>
          <w:szCs w:val="18"/>
          <w:color w:val="auto"/>
        </w:rPr>
      </w:pPr>
    </w:p>
    <w:p>
      <w:pPr>
        <w:ind w:left="1140" w:right="50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“Mills Family” refers to the holders of equity interests of Medline Holdings immediately prior to this offering that are affiliated with members of the Mills family.</w:t>
      </w:r>
    </w:p>
    <w:p>
      <w:pPr>
        <w:spacing w:after="0" w:line="68" w:lineRule="exact"/>
        <w:rPr>
          <w:rFonts w:ascii="Times New Roman" w:cs="Times New Roman" w:eastAsia="Times New Roman" w:hAnsi="Times New Roman"/>
          <w:sz w:val="18"/>
          <w:szCs w:val="18"/>
          <w:color w:val="auto"/>
        </w:rPr>
      </w:pPr>
    </w:p>
    <w:p>
      <w:pPr>
        <w:ind w:left="1140" w:right="106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Transactions” refers to the offering of Class A common stock hereby and certain related transactions, as defined in “Organizational Structure—Offering Transactions.”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Pre-IPO Investors” refers collectively to Hux and Platinum Falcon.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Falcon” refers to Platinum Falcon B 2018 RSC Limited.</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Stockholders” refers to certain of our pre-IPO owners that will receive shares of Class A common stock of Medline Inc. pursuant to the Blocker Transfers as defined and described in “Organizational Structure—Blocker Transfers.”</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refers to a relationship for which there is a multi-year distribution agreement between Medline and a customer, whereby the customer agrees to use Medline for the vast majority of its med-surg product needs.</w:t>
      </w:r>
    </w:p>
    <w:p>
      <w:pPr>
        <w:spacing w:after="0" w:line="55" w:lineRule="exact"/>
        <w:rPr>
          <w:rFonts w:ascii="Times New Roman" w:cs="Times New Roman" w:eastAsia="Times New Roman" w:hAnsi="Times New Roman"/>
          <w:sz w:val="18"/>
          <w:szCs w:val="18"/>
          <w:color w:val="auto"/>
        </w:rPr>
      </w:pPr>
    </w:p>
    <w:p>
      <w:pPr>
        <w:jc w:val="both"/>
        <w:ind w:left="1140" w:right="2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68" w:lineRule="exact"/>
        <w:rPr>
          <w:rFonts w:ascii="Times New Roman" w:cs="Times New Roman" w:eastAsia="Times New Roman" w:hAnsi="Times New Roman"/>
          <w:sz w:val="18"/>
          <w:szCs w:val="18"/>
          <w:color w:val="auto"/>
        </w:rPr>
      </w:pPr>
    </w:p>
    <w:p>
      <w:pPr>
        <w:ind w:left="1140" w:right="20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46" w:lineRule="exact"/>
        <w:rPr>
          <w:rFonts w:ascii="Times New Roman" w:cs="Times New Roman" w:eastAsia="Times New Roman" w:hAnsi="Times New Roman"/>
          <w:sz w:val="18"/>
          <w:szCs w:val="18"/>
          <w:color w:val="auto"/>
        </w:rPr>
      </w:pPr>
    </w:p>
    <w:p>
      <w:pPr>
        <w:ind w:left="1140" w:hanging="438"/>
        <w:spacing w:after="0" w:line="255"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90"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Stockholders” refers collectively to Blackstone, Carlyle, H&amp;F, and the Mills Family.</w:t>
      </w:r>
    </w:p>
    <w:p>
      <w:pPr>
        <w:spacing w:after="0" w:line="127" w:lineRule="exact"/>
        <w:rPr>
          <w:rFonts w:ascii="Times New Roman" w:cs="Times New Roman" w:eastAsia="Times New Roman" w:hAnsi="Times New Roman"/>
          <w:sz w:val="18"/>
          <w:szCs w:val="18"/>
          <w:color w:val="auto"/>
        </w:rPr>
      </w:pPr>
    </w:p>
    <w:p>
      <w:pPr>
        <w:ind w:left="1140" w:right="320" w:hanging="438"/>
        <w:spacing w:after="0" w:line="263"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81"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refers to the transactions described under “Organizational Structure—Reclassification and Amendment and Restatement of the Limited Partnership Agreement of Medline Holdings.”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Acquisition” refers to the acquisition on October 21, 2021 by our Sponsors of a majority interest in Medline Holdings and certain transactions related thereto.</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refers collectively to Blackstone, Carlyle, and H&amp;F.</w:t>
      </w:r>
    </w:p>
    <w:p>
      <w:pPr>
        <w:spacing w:after="0" w:line="127" w:lineRule="exact"/>
        <w:rPr>
          <w:rFonts w:ascii="Times New Roman" w:cs="Times New Roman" w:eastAsia="Times New Roman" w:hAnsi="Times New Roman"/>
          <w:sz w:val="18"/>
          <w:szCs w:val="18"/>
          <w:color w:val="auto"/>
        </w:rPr>
      </w:pPr>
    </w:p>
    <w:p>
      <w:pPr>
        <w:ind w:left="1140" w:right="280" w:hanging="438"/>
        <w:spacing w:after="0" w:line="263"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w:t>
      </w:r>
    </w:p>
    <w:p>
      <w:pPr>
        <w:spacing w:after="0" w:line="1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1"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520"/>
        <w:spacing w:after="0" w:line="278" w:lineRule="auto"/>
        <w:rPr>
          <w:sz w:val="20"/>
          <w:szCs w:val="20"/>
          <w:color w:val="auto"/>
        </w:rPr>
      </w:pPr>
      <w:r>
        <w:rPr>
          <w:rFonts w:ascii="Times New Roman" w:cs="Times New Roman" w:eastAsia="Times New Roman" w:hAnsi="Times New Roman"/>
          <w:sz w:val="18"/>
          <w:szCs w:val="18"/>
          <w:color w:val="auto"/>
        </w:rPr>
        <w:t>packaging, third-party logistics, inventory rationalization and route planning. Supply Chain Solutions is one of our two reportable segments.</w:t>
      </w:r>
    </w:p>
    <w:p>
      <w:pPr>
        <w:spacing w:after="0" w:line="69" w:lineRule="exact"/>
        <w:rPr>
          <w:sz w:val="20"/>
          <w:szCs w:val="20"/>
          <w:color w:val="auto"/>
        </w:rPr>
      </w:pPr>
    </w:p>
    <w:p>
      <w:pPr>
        <w:ind w:left="1140" w:right="460" w:hanging="438"/>
        <w:spacing w:after="0" w:line="278"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236855</wp:posOffset>
            </wp:positionV>
            <wp:extent cx="1460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Unless indicated otherwise, the information included in this prospectus assumes no exercise by the underwriters of their option to purchase up to an additional         shares of Class A common stock from Medline Inc. and that the shares of Class A common stock to be sold in this offering are sold at $        per share, which is the midpoint of the price range indicated on the front cover of this prospectus.</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20"/>
          </w:cols>
          <w:pgMar w:left="320" w:top="451"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97790</wp:posOffset>
            </wp:positionV>
            <wp:extent cx="5163185" cy="6479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3185" cy="64795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97790</wp:posOffset>
            </wp:positionV>
            <wp:extent cx="5163185" cy="6496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3185" cy="6496685"/>
                    </a:xfrm>
                    <a:prstGeom prst="rect">
                      <a:avLst/>
                    </a:prstGeom>
                    <a:noFill/>
                  </pic:spPr>
                </pic:pic>
              </a:graphicData>
            </a:graphic>
          </wp:anchor>
        </w:drawing>
      </w:r>
    </w:p>
    <w:p>
      <w:pPr>
        <w:sectPr>
          <w:pgSz w:w="11900" w:h="16838" w:orient="portrait"/>
          <w:cols w:equalWidth="0" w:num="1">
            <w:col w:w="10139"/>
          </w:cols>
          <w:pgMar w:left="320" w:top="45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297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6297295"/>
                    </a:xfrm>
                    <a:prstGeom prst="rect">
                      <a:avLst/>
                    </a:prstGeom>
                    <a:noFill/>
                  </pic:spPr>
                </pic:pic>
              </a:graphicData>
            </a:graphic>
          </wp:anchor>
        </w:drawing>
      </w:r>
    </w:p>
    <w:p>
      <w:pPr>
        <w:spacing w:after="0" w:line="2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3" w:lineRule="exact"/>
        <w:rPr>
          <w:sz w:val="20"/>
          <w:szCs w:val="20"/>
          <w:color w:val="auto"/>
        </w:rPr>
      </w:pPr>
    </w:p>
    <w:p>
      <w:pPr>
        <w:ind w:left="340" w:right="60" w:firstLine="422"/>
        <w:spacing w:after="0" w:line="278"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the sections entitled “Risk Factors” and “Management’s Discussion and Analysis of Financial Condition and Results of Operations” as well as the consolidated financial statements and the related notes thereto included elsewhere in this prospectus before you decide to invest in shares of our Class A common stock.</w:t>
      </w:r>
    </w:p>
    <w:p>
      <w:pPr>
        <w:spacing w:after="0" w:line="2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mission is to make healthcare run better by delivering improved clinical, financial, and operational outcomes.</w:t>
      </w:r>
    </w:p>
    <w:p>
      <w:pPr>
        <w:spacing w:after="0" w:line="3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Note: Amounts were calculated in accordance with the historical accounting standards applicable to the Company in the relevant period.</w:t>
      </w:r>
    </w:p>
    <w:p>
      <w:pPr>
        <w:spacing w:after="0" w:line="3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320" w:top="451"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245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6245860"/>
                    </a:xfrm>
                    <a:prstGeom prst="rect">
                      <a:avLst/>
                    </a:prstGeom>
                    <a:noFill/>
                  </pic:spPr>
                </pic:pic>
              </a:graphicData>
            </a:graphic>
          </wp:anchor>
        </w:drawing>
      </w:r>
    </w:p>
    <w:p>
      <w:pPr>
        <w:spacing w:after="0" w:line="289"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92" w:lineRule="exact"/>
        <w:rPr>
          <w:sz w:val="20"/>
          <w:szCs w:val="20"/>
          <w:color w:val="auto"/>
        </w:rPr>
      </w:pPr>
    </w:p>
    <w:p>
      <w:pPr>
        <w:ind w:left="340" w:right="20" w:firstLine="422"/>
        <w:spacing w:after="0" w:line="254" w:lineRule="auto"/>
        <w:rPr>
          <w:sz w:val="20"/>
          <w:szCs w:val="20"/>
          <w:color w:val="auto"/>
        </w:rPr>
      </w:pPr>
      <w:r>
        <w:rPr>
          <w:rFonts w:ascii="Times New Roman" w:cs="Times New Roman" w:eastAsia="Times New Roman" w:hAnsi="Times New Roman"/>
          <w:sz w:val="18"/>
          <w:szCs w:val="18"/>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184" w:lineRule="exact"/>
        <w:rPr>
          <w:sz w:val="20"/>
          <w:szCs w:val="20"/>
          <w:color w:val="auto"/>
        </w:rPr>
      </w:pPr>
    </w:p>
    <w:p>
      <w:pPr>
        <w:ind w:left="340" w:firstLine="422"/>
        <w:spacing w:after="0" w:line="269" w:lineRule="auto"/>
        <w:rPr>
          <w:sz w:val="20"/>
          <w:szCs w:val="20"/>
          <w:color w:val="auto"/>
        </w:rPr>
      </w:pPr>
      <w:r>
        <w:rPr>
          <w:rFonts w:ascii="Times New Roman" w:cs="Times New Roman" w:eastAsia="Times New Roman" w:hAnsi="Times New Roman"/>
          <w:sz w:val="17"/>
          <w:szCs w:val="17"/>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1" w:right="6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4853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4853305"/>
                    </a:xfrm>
                    <a:prstGeom prst="rect">
                      <a:avLst/>
                    </a:prstGeom>
                    <a:noFill/>
                  </pic:spPr>
                </pic:pic>
              </a:graphicData>
            </a:graphic>
          </wp:anchor>
        </w:drawing>
      </w:r>
    </w:p>
    <w:p>
      <w:pPr>
        <w:spacing w:after="0" w:line="289" w:lineRule="exact"/>
        <w:rPr>
          <w:sz w:val="20"/>
          <w:szCs w:val="20"/>
          <w:color w:val="auto"/>
        </w:rPr>
      </w:pPr>
    </w:p>
    <w:p>
      <w:pPr>
        <w:ind w:left="340" w:firstLine="422"/>
        <w:spacing w:after="0" w:line="254" w:lineRule="auto"/>
        <w:rPr>
          <w:sz w:val="20"/>
          <w:szCs w:val="20"/>
          <w:color w:val="auto"/>
        </w:rPr>
      </w:pPr>
      <w:r>
        <w:rPr>
          <w:rFonts w:ascii="Times New Roman" w:cs="Times New Roman" w:eastAsia="Times New Roman" w:hAnsi="Times New Roman"/>
          <w:sz w:val="18"/>
          <w:szCs w:val="18"/>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84" w:lineRule="exact"/>
        <w:rPr>
          <w:sz w:val="20"/>
          <w:szCs w:val="20"/>
          <w:color w:val="auto"/>
        </w:rPr>
      </w:pPr>
    </w:p>
    <w:p>
      <w:pPr>
        <w:ind w:left="340" w:right="20" w:firstLine="422"/>
        <w:spacing w:after="0" w:line="254" w:lineRule="auto"/>
        <w:rPr>
          <w:sz w:val="20"/>
          <w:szCs w:val="20"/>
          <w:color w:val="auto"/>
        </w:rPr>
      </w:pPr>
      <w:r>
        <w:rPr>
          <w:rFonts w:ascii="Times New Roman" w:cs="Times New Roman" w:eastAsia="Times New Roman" w:hAnsi="Times New Roman"/>
          <w:sz w:val="18"/>
          <w:szCs w:val="18"/>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84" w:lineRule="exact"/>
        <w:rPr>
          <w:sz w:val="20"/>
          <w:szCs w:val="20"/>
          <w:color w:val="auto"/>
        </w:rPr>
      </w:pPr>
    </w:p>
    <w:p>
      <w:pPr>
        <w:ind w:left="340" w:right="60" w:firstLine="422"/>
        <w:spacing w:after="0" w:line="255" w:lineRule="auto"/>
        <w:rPr>
          <w:sz w:val="20"/>
          <w:szCs w:val="20"/>
          <w:color w:val="auto"/>
        </w:rPr>
      </w:pPr>
      <w:r>
        <w:rPr>
          <w:rFonts w:ascii="Times New Roman" w:cs="Times New Roman" w:eastAsia="Times New Roman" w:hAnsi="Times New Roman"/>
          <w:sz w:val="18"/>
          <w:szCs w:val="18"/>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84" w:lineRule="exact"/>
        <w:rPr>
          <w:sz w:val="20"/>
          <w:szCs w:val="20"/>
          <w:color w:val="auto"/>
        </w:rPr>
      </w:pPr>
    </w:p>
    <w:p>
      <w:pPr>
        <w:ind w:left="340" w:right="240" w:firstLine="422"/>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3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225" w:lineRule="exact"/>
        <w:rPr>
          <w:sz w:val="20"/>
          <w:szCs w:val="20"/>
          <w:color w:val="auto"/>
        </w:rPr>
      </w:pPr>
    </w:p>
    <w:p>
      <w:pPr>
        <w:ind w:left="340" w:firstLine="422"/>
        <w:spacing w:after="0" w:line="308" w:lineRule="auto"/>
        <w:rPr>
          <w:sz w:val="20"/>
          <w:szCs w:val="20"/>
          <w:color w:val="auto"/>
        </w:rPr>
      </w:pPr>
      <w:r>
        <w:rPr>
          <w:rFonts w:ascii="Times New Roman" w:cs="Times New Roman" w:eastAsia="Times New Roman" w:hAnsi="Times New Roman"/>
          <w:sz w:val="17"/>
          <w:szCs w:val="17"/>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1" w:right="6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721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672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340" w:right="60" w:firstLine="42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Medline Brand</w:t>
      </w:r>
      <w:r>
        <w:rPr>
          <w:rFonts w:ascii="Times New Roman" w:cs="Times New Roman" w:eastAsia="Times New Roman" w:hAnsi="Times New Roman"/>
          <w:sz w:val="18"/>
          <w:szCs w:val="18"/>
          <w:color w:val="auto"/>
        </w:rPr>
        <w:t>. We offer our customers approximately 190,000 med-surg products through our Medline Brand segment. We have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 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29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320" w:top="452" w:right="7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348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6348095"/>
                    </a:xfrm>
                    <a:prstGeom prst="rect">
                      <a:avLst/>
                    </a:prstGeom>
                    <a:noFill/>
                  </pic:spPr>
                </pic:pic>
              </a:graphicData>
            </a:graphic>
          </wp:anchor>
        </w:drawing>
      </w:r>
    </w:p>
    <w:p>
      <w:pPr>
        <w:spacing w:after="0" w:line="289" w:lineRule="exact"/>
        <w:rPr>
          <w:sz w:val="20"/>
          <w:szCs w:val="20"/>
          <w:color w:val="auto"/>
        </w:rPr>
      </w:pPr>
    </w:p>
    <w:p>
      <w:pPr>
        <w:ind w:left="340" w:right="140" w:firstLine="422"/>
        <w:spacing w:after="0" w:line="258" w:lineRule="auto"/>
        <w:rPr>
          <w:sz w:val="20"/>
          <w:szCs w:val="20"/>
          <w:color w:val="auto"/>
        </w:rPr>
      </w:pPr>
      <w:r>
        <w:rPr>
          <w:rFonts w:ascii="Times New Roman" w:cs="Times New Roman" w:eastAsia="Times New Roman" w:hAnsi="Times New Roman"/>
          <w:sz w:val="18"/>
          <w:szCs w:val="18"/>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to our customer base.</w:t>
      </w:r>
    </w:p>
    <w:p>
      <w:pPr>
        <w:spacing w:after="0" w:line="180" w:lineRule="exact"/>
        <w:rPr>
          <w:sz w:val="20"/>
          <w:szCs w:val="20"/>
          <w:color w:val="auto"/>
        </w:rPr>
      </w:pPr>
    </w:p>
    <w:p>
      <w:pPr>
        <w:ind w:left="340" w:right="40" w:firstLine="422"/>
        <w:spacing w:after="0" w:line="258" w:lineRule="auto"/>
        <w:rPr>
          <w:sz w:val="20"/>
          <w:szCs w:val="20"/>
          <w:color w:val="auto"/>
        </w:rPr>
      </w:pPr>
      <w:r>
        <w:rPr>
          <w:rFonts w:ascii="Times New Roman" w:cs="Times New Roman" w:eastAsia="Times New Roman" w:hAnsi="Times New Roman"/>
          <w:sz w:val="18"/>
          <w:szCs w:val="18"/>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80" w:lineRule="exact"/>
        <w:rPr>
          <w:sz w:val="20"/>
          <w:szCs w:val="20"/>
          <w:color w:val="auto"/>
        </w:rPr>
      </w:pPr>
    </w:p>
    <w:p>
      <w:pPr>
        <w:ind w:left="340" w:right="180" w:firstLine="422"/>
        <w:spacing w:after="0" w:line="255" w:lineRule="auto"/>
        <w:rPr>
          <w:sz w:val="20"/>
          <w:szCs w:val="20"/>
          <w:color w:val="auto"/>
        </w:rPr>
      </w:pPr>
      <w:r>
        <w:rPr>
          <w:rFonts w:ascii="Times New Roman" w:cs="Times New Roman" w:eastAsia="Times New Roman" w:hAnsi="Times New Roman"/>
          <w:sz w:val="18"/>
          <w:szCs w:val="18"/>
          <w:color w:val="auto"/>
        </w:rPr>
        <w:t>Our combination of value, quality, and service has allowed our Medline Brand products to hold the leading position across many of our key product families. Medline Brand products are used by the 100 largest health systems and hospitals across the country, as identified by Becker’s Hospital Review as of December 31, 2024, measured by number of hospitals and beds, respectively. Furthermore, we generated $1.2 billion of Medline Brand net sales for fiscal year 2024 through other distributors. These relationships allow us to highlight the value proposition of our Medline Brand and distribution network, which over time creates opportunities to earn Prime Vendor agreements for those customers.</w:t>
      </w:r>
    </w:p>
    <w:p>
      <w:pPr>
        <w:spacing w:after="0" w:line="180"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Solutions. </w:t>
      </w:r>
      <w:r>
        <w:rPr>
          <w:rFonts w:ascii="Times New Roman" w:cs="Times New Roman" w:eastAsia="Times New Roman" w:hAnsi="Times New Roman"/>
          <w:sz w:val="18"/>
          <w:szCs w:val="18"/>
          <w:color w:val="auto"/>
        </w:rPr>
        <w:t>We offer approximately 145,000 med-surg products from over 1,250 third-party suppliers, including nearly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88" w:lineRule="exact"/>
        <w:rPr>
          <w:sz w:val="20"/>
          <w:szCs w:val="20"/>
          <w:color w:val="auto"/>
        </w:rPr>
      </w:pPr>
    </w:p>
    <w:p>
      <w:pPr>
        <w:ind w:left="340" w:right="120" w:firstLine="422"/>
        <w:spacing w:after="0" w:line="258" w:lineRule="auto"/>
        <w:rPr>
          <w:sz w:val="20"/>
          <w:szCs w:val="20"/>
          <w:color w:val="auto"/>
        </w:rPr>
      </w:pPr>
      <w:r>
        <w:rPr>
          <w:rFonts w:ascii="Times New Roman" w:cs="Times New Roman" w:eastAsia="Times New Roman" w:hAnsi="Times New Roman"/>
          <w:sz w:val="18"/>
          <w:szCs w:val="18"/>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76" w:lineRule="exact"/>
        <w:rPr>
          <w:sz w:val="20"/>
          <w:szCs w:val="20"/>
          <w:color w:val="auto"/>
        </w:rPr>
      </w:pPr>
    </w:p>
    <w:p>
      <w:pPr>
        <w:ind w:left="340" w:right="40" w:firstLine="42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Prime Vendor Model. </w:t>
      </w:r>
      <w:r>
        <w:rPr>
          <w:rFonts w:ascii="Times New Roman" w:cs="Times New Roman" w:eastAsia="Times New Roman" w:hAnsi="Times New Roman"/>
          <w:sz w:val="18"/>
          <w:szCs w:val="18"/>
          <w:color w:val="auto"/>
        </w:rPr>
        <w:t>In our Prime Vendor relationships, we enter into long-term agreements, typically structured with five-year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82" w:lineRule="exact"/>
        <w:rPr>
          <w:sz w:val="20"/>
          <w:szCs w:val="20"/>
          <w:color w:val="auto"/>
        </w:rPr>
      </w:pPr>
    </w:p>
    <w:p>
      <w:pPr>
        <w:ind w:left="340" w:right="20" w:firstLine="422"/>
        <w:spacing w:after="0" w:line="251" w:lineRule="auto"/>
        <w:rPr>
          <w:sz w:val="20"/>
          <w:szCs w:val="20"/>
          <w:color w:val="auto"/>
        </w:rPr>
      </w:pPr>
      <w:r>
        <w:rPr>
          <w:rFonts w:ascii="Times New Roman" w:cs="Times New Roman" w:eastAsia="Times New Roman" w:hAnsi="Times New Roman"/>
          <w:sz w:val="18"/>
          <w:szCs w:val="18"/>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w:t>
      </w: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1"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755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6755765"/>
                    </a:xfrm>
                    <a:prstGeom prst="rect">
                      <a:avLst/>
                    </a:prstGeom>
                    <a:noFill/>
                  </pic:spPr>
                </pic:pic>
              </a:graphicData>
            </a:graphic>
          </wp:anchor>
        </w:drawing>
      </w:r>
    </w:p>
    <w:p>
      <w:pPr>
        <w:spacing w:after="0" w:line="289" w:lineRule="exact"/>
        <w:rPr>
          <w:sz w:val="20"/>
          <w:szCs w:val="20"/>
          <w:color w:val="auto"/>
        </w:rPr>
      </w:pPr>
    </w:p>
    <w:p>
      <w:pPr>
        <w:ind w:left="340" w:right="20"/>
        <w:spacing w:after="0" w:line="263" w:lineRule="auto"/>
        <w:rPr>
          <w:sz w:val="20"/>
          <w:szCs w:val="20"/>
          <w:color w:val="auto"/>
        </w:rPr>
      </w:pPr>
      <w:r>
        <w:rPr>
          <w:rFonts w:ascii="Times New Roman" w:cs="Times New Roman" w:eastAsia="Times New Roman" w:hAnsi="Times New Roman"/>
          <w:sz w:val="18"/>
          <w:szCs w:val="18"/>
          <w:color w:val="auto"/>
        </w:rPr>
        <w:t>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75" w:lineRule="exact"/>
        <w:rPr>
          <w:sz w:val="20"/>
          <w:szCs w:val="20"/>
          <w:color w:val="auto"/>
        </w:rPr>
      </w:pPr>
    </w:p>
    <w:p>
      <w:pPr>
        <w:ind w:left="340" w:firstLine="422"/>
        <w:spacing w:after="0" w:line="249" w:lineRule="auto"/>
        <w:rPr>
          <w:sz w:val="20"/>
          <w:szCs w:val="20"/>
          <w:color w:val="auto"/>
        </w:rPr>
      </w:pPr>
      <w:r>
        <w:rPr>
          <w:rFonts w:ascii="Times New Roman" w:cs="Times New Roman" w:eastAsia="Times New Roman" w:hAnsi="Times New Roman"/>
          <w:sz w:val="18"/>
          <w:szCs w:val="18"/>
          <w:color w:val="auto"/>
        </w:rPr>
        <w:t>Our differentiated capabilities have enabled us to grow and scale our Prime Vendor model over time. Over just the past six years, we have signed new Prime Vendor agreements representing approximately $7.8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 Risks Related to Our Business, Industry and Operations—Our failure to establish and maintain Prime Vendor relationships may cause our revenue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Note: Data represents average Medline Brand net sales percentage mix across cohorts 2014 – 2023.</w:t>
      </w:r>
    </w:p>
    <w:p>
      <w:pPr>
        <w:spacing w:after="0" w:line="202" w:lineRule="exact"/>
        <w:rPr>
          <w:sz w:val="20"/>
          <w:szCs w:val="20"/>
          <w:color w:val="auto"/>
        </w:rPr>
      </w:pPr>
    </w:p>
    <w:p>
      <w:pPr>
        <w:ind w:left="340" w:right="360" w:firstLine="422"/>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Distribution Network. </w:t>
      </w:r>
      <w:r>
        <w:rPr>
          <w:rFonts w:ascii="Times New Roman" w:cs="Times New Roman" w:eastAsia="Times New Roman" w:hAnsi="Times New Roman"/>
          <w:sz w:val="18"/>
          <w:szCs w:val="18"/>
          <w:color w:val="auto"/>
        </w:rPr>
        <w:t>We have a differentiated network of 69 global distribution centers, 45 of which are in the United States.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centers are strategically located to provide next-day delivery to 95% of</w:t>
      </w:r>
    </w:p>
    <w:p>
      <w:pPr>
        <w:spacing w:after="0" w:line="2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320" w:top="451" w:right="7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840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6840855"/>
                    </a:xfrm>
                    <a:prstGeom prst="rect">
                      <a:avLst/>
                    </a:prstGeom>
                    <a:noFill/>
                  </pic:spPr>
                </pic:pic>
              </a:graphicData>
            </a:graphic>
          </wp:anchor>
        </w:drawing>
      </w:r>
    </w:p>
    <w:p>
      <w:pPr>
        <w:spacing w:after="0" w:line="289" w:lineRule="exact"/>
        <w:rPr>
          <w:sz w:val="20"/>
          <w:szCs w:val="20"/>
          <w:color w:val="auto"/>
        </w:rPr>
      </w:pPr>
    </w:p>
    <w:p>
      <w:pPr>
        <w:ind w:left="340" w:right="40"/>
        <w:spacing w:after="0" w:line="251" w:lineRule="auto"/>
        <w:rPr>
          <w:sz w:val="20"/>
          <w:szCs w:val="20"/>
          <w:color w:val="auto"/>
        </w:rPr>
      </w:pPr>
      <w:r>
        <w:rPr>
          <w:rFonts w:ascii="Times New Roman" w:cs="Times New Roman" w:eastAsia="Times New Roman" w:hAnsi="Times New Roman"/>
          <w:sz w:val="18"/>
          <w:szCs w:val="18"/>
          <w:color w:val="auto"/>
        </w:rPr>
        <w:t>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We currently have approximately 25% in excess capacity across our platform to support our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Commercial Platform. </w:t>
      </w:r>
      <w:r>
        <w:rPr>
          <w:rFonts w:ascii="Times New Roman" w:cs="Times New Roman" w:eastAsia="Times New Roman" w:hAnsi="Times New Roman"/>
          <w:sz w:val="18"/>
          <w:szCs w:val="18"/>
          <w:color w:val="auto"/>
        </w:rPr>
        <w:t>Our deep connectivity to our customers is driven by the strength of our dedicated and tenured commercial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8" w:lineRule="exact"/>
        <w:rPr>
          <w:sz w:val="20"/>
          <w:szCs w:val="20"/>
          <w:color w:val="auto"/>
        </w:rPr>
      </w:pPr>
    </w:p>
    <w:p>
      <w:pPr>
        <w:ind w:left="340" w:right="300" w:firstLine="422"/>
        <w:spacing w:after="0" w:line="278" w:lineRule="auto"/>
        <w:rPr>
          <w:sz w:val="20"/>
          <w:szCs w:val="20"/>
          <w:color w:val="auto"/>
        </w:rPr>
      </w:pPr>
      <w:r>
        <w:rPr>
          <w:rFonts w:ascii="Times New Roman" w:cs="Times New Roman" w:eastAsia="Times New Roman" w:hAnsi="Times New Roman"/>
          <w:sz w:val="18"/>
          <w:szCs w:val="18"/>
          <w:color w:val="auto"/>
        </w:rPr>
        <w:t>We estimate our total addressable market (“TAM”) to be approximately $375 billion globally. Of this amount, we estimate that the United States represents an approximately $175 billion opportunity, diversified across acute care and</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1"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7035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7035800"/>
                    </a:xfrm>
                    <a:prstGeom prst="rect">
                      <a:avLst/>
                    </a:prstGeom>
                    <a:noFill/>
                  </pic:spPr>
                </pic:pic>
              </a:graphicData>
            </a:graphic>
          </wp:anchor>
        </w:drawing>
      </w:r>
    </w:p>
    <w:p>
      <w:pPr>
        <w:spacing w:after="0" w:line="289" w:lineRule="exact"/>
        <w:rPr>
          <w:sz w:val="20"/>
          <w:szCs w:val="20"/>
          <w:color w:val="auto"/>
        </w:rPr>
      </w:pPr>
    </w:p>
    <w:p>
      <w:pPr>
        <w:ind w:left="340" w:right="480"/>
        <w:spacing w:after="0" w:line="263" w:lineRule="auto"/>
        <w:rPr>
          <w:sz w:val="20"/>
          <w:szCs w:val="20"/>
          <w:color w:val="auto"/>
        </w:rPr>
      </w:pPr>
      <w:r>
        <w:rPr>
          <w:rFonts w:ascii="Times New Roman" w:cs="Times New Roman" w:eastAsia="Times New Roman" w:hAnsi="Times New Roman"/>
          <w:sz w:val="18"/>
          <w:szCs w:val="18"/>
          <w:color w:val="auto"/>
        </w:rPr>
        <w:t>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75" w:lineRule="exact"/>
        <w:rPr>
          <w:sz w:val="20"/>
          <w:szCs w:val="20"/>
          <w:color w:val="auto"/>
        </w:rPr>
      </w:pPr>
    </w:p>
    <w:p>
      <w:pPr>
        <w:ind w:left="340" w:firstLine="422"/>
        <w:spacing w:after="0" w:line="254" w:lineRule="auto"/>
        <w:rPr>
          <w:sz w:val="20"/>
          <w:szCs w:val="20"/>
          <w:color w:val="auto"/>
        </w:rPr>
      </w:pPr>
      <w:r>
        <w:rPr>
          <w:rFonts w:ascii="Times New Roman" w:cs="Times New Roman" w:eastAsia="Times New Roman" w:hAnsi="Times New Roman"/>
          <w:sz w:val="18"/>
          <w:szCs w:val="18"/>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84" w:lineRule="exact"/>
        <w:rPr>
          <w:sz w:val="20"/>
          <w:szCs w:val="20"/>
          <w:color w:val="auto"/>
        </w:rPr>
      </w:pPr>
    </w:p>
    <w:p>
      <w:pPr>
        <w:ind w:left="340" w:right="120" w:firstLine="422"/>
        <w:spacing w:after="0" w:line="278" w:lineRule="auto"/>
        <w:rPr>
          <w:sz w:val="20"/>
          <w:szCs w:val="20"/>
          <w:color w:val="auto"/>
        </w:rPr>
      </w:pPr>
      <w:r>
        <w:rPr>
          <w:rFonts w:ascii="Times New Roman" w:cs="Times New Roman" w:eastAsia="Times New Roman" w:hAnsi="Times New Roman"/>
          <w:sz w:val="18"/>
          <w:szCs w:val="18"/>
          <w:color w:val="auto"/>
        </w:rPr>
        <w:t>International markets also represent an attractive opportunity, as net sales outside of the United States represented only 6.9% of our total net sales for the year ended December 31, 2024.</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market opportunity is enhanced by the following dynamics:</w:t>
      </w:r>
    </w:p>
    <w:p>
      <w:pPr>
        <w:spacing w:after="0" w:line="125" w:lineRule="exact"/>
        <w:rPr>
          <w:sz w:val="20"/>
          <w:szCs w:val="20"/>
          <w:color w:val="auto"/>
        </w:rPr>
      </w:pPr>
    </w:p>
    <w:p>
      <w:pPr>
        <w:ind w:left="1280" w:right="66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Margin Pressure Across End Markets: </w:t>
      </w:r>
      <w:r>
        <w:rPr>
          <w:rFonts w:ascii="Times New Roman" w:cs="Times New Roman" w:eastAsia="Times New Roman" w:hAnsi="Times New Roman"/>
          <w:sz w:val="18"/>
          <w:szCs w:val="18"/>
          <w:color w:val="auto"/>
        </w:rPr>
        <w:t>Hospitals generally operate at a low margin; given these dynamics, health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are heavily focused on mitigating costs and increasing the quality of care.</w:t>
      </w:r>
    </w:p>
    <w:p>
      <w:pPr>
        <w:spacing w:after="0" w:line="65" w:lineRule="exact"/>
        <w:rPr>
          <w:rFonts w:ascii="Times New Roman" w:cs="Times New Roman" w:eastAsia="Times New Roman" w:hAnsi="Times New Roman"/>
          <w:sz w:val="18"/>
          <w:szCs w:val="18"/>
          <w:color w:val="auto"/>
        </w:rPr>
      </w:pPr>
    </w:p>
    <w:p>
      <w:pPr>
        <w:ind w:left="1280" w:right="44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 in Volumes Outside of the Hospital: </w:t>
      </w:r>
      <w:r>
        <w:rPr>
          <w:rFonts w:ascii="Times New Roman" w:cs="Times New Roman" w:eastAsia="Times New Roman" w:hAnsi="Times New Roman"/>
          <w:sz w:val="18"/>
          <w:szCs w:val="18"/>
          <w:color w:val="auto"/>
        </w:rPr>
        <w:t>As overall healthcare utilization increases, higher acuity procedures continue to shift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lower-cost sites of care, such as surgery centers and physician offices.</w:t>
      </w:r>
    </w:p>
    <w:p>
      <w:pPr>
        <w:spacing w:after="0" w:line="65" w:lineRule="exact"/>
        <w:rPr>
          <w:rFonts w:ascii="Times New Roman" w:cs="Times New Roman" w:eastAsia="Times New Roman" w:hAnsi="Times New Roman"/>
          <w:sz w:val="18"/>
          <w:szCs w:val="18"/>
          <w:color w:val="auto"/>
        </w:rPr>
      </w:pPr>
    </w:p>
    <w:p>
      <w:pPr>
        <w:ind w:left="1280" w:right="30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Healthcare Consolidation: </w:t>
      </w:r>
      <w:r>
        <w:rPr>
          <w:rFonts w:ascii="Times New Roman" w:cs="Times New Roman" w:eastAsia="Times New Roman" w:hAnsi="Times New Roman"/>
          <w:sz w:val="18"/>
          <w:szCs w:val="18"/>
          <w:color w:val="auto"/>
        </w:rPr>
        <w:t>Consolidation activity is expected to continue, as hospitals combine to drive scale and create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to serve the continuum of care.</w:t>
      </w:r>
    </w:p>
    <w:p>
      <w:pPr>
        <w:spacing w:after="0" w:line="65" w:lineRule="exact"/>
        <w:rPr>
          <w:rFonts w:ascii="Times New Roman" w:cs="Times New Roman" w:eastAsia="Times New Roman" w:hAnsi="Times New Roman"/>
          <w:sz w:val="18"/>
          <w:szCs w:val="18"/>
          <w:color w:val="auto"/>
        </w:rPr>
      </w:pPr>
    </w:p>
    <w:p>
      <w:pPr>
        <w:ind w:left="1280" w:right="32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Chain Resiliency: </w:t>
      </w:r>
      <w:r>
        <w:rPr>
          <w:rFonts w:ascii="Times New Roman" w:cs="Times New Roman" w:eastAsia="Times New Roman" w:hAnsi="Times New Roman"/>
          <w:sz w:val="18"/>
          <w:szCs w:val="18"/>
          <w:color w:val="auto"/>
        </w:rPr>
        <w:t>Supply chain disruptions and shortages have revealed the industry’s need for in-stock products and short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timeframes.</w:t>
      </w:r>
    </w:p>
    <w:p>
      <w:pPr>
        <w:spacing w:after="0" w:line="2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Value Creation for Key Stakeholders</w:t>
      </w:r>
    </w:p>
    <w:p>
      <w:pPr>
        <w:spacing w:after="0" w:line="118" w:lineRule="exact"/>
        <w:rPr>
          <w:sz w:val="20"/>
          <w:szCs w:val="20"/>
          <w:color w:val="auto"/>
        </w:rPr>
      </w:pPr>
    </w:p>
    <w:p>
      <w:pPr>
        <w:ind w:left="340" w:right="100" w:firstLine="422"/>
        <w:spacing w:after="0" w:line="278" w:lineRule="auto"/>
        <w:rPr>
          <w:sz w:val="20"/>
          <w:szCs w:val="20"/>
          <w:color w:val="auto"/>
        </w:rPr>
      </w:pPr>
      <w:r>
        <w:rPr>
          <w:rFonts w:ascii="Times New Roman" w:cs="Times New Roman" w:eastAsia="Times New Roman" w:hAnsi="Times New Roman"/>
          <w:sz w:val="18"/>
          <w:szCs w:val="18"/>
          <w:color w:val="auto"/>
        </w:rPr>
        <w:t>Our integrated business model helps us to address the needs of the market today and enables us to drive value for key constituents across the healthcare system.</w:t>
      </w:r>
    </w:p>
    <w:p>
      <w:pPr>
        <w:spacing w:after="0" w:line="2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Healthcare providers:</w:t>
      </w:r>
    </w:p>
    <w:p>
      <w:pPr>
        <w:spacing w:after="0" w:line="129" w:lineRule="exact"/>
        <w:rPr>
          <w:sz w:val="20"/>
          <w:szCs w:val="20"/>
          <w:color w:val="auto"/>
        </w:rPr>
      </w:pPr>
    </w:p>
    <w:p>
      <w:pPr>
        <w:ind w:left="1280" w:right="60" w:hanging="410"/>
        <w:spacing w:after="0" w:line="278"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high-quality, competitively priced Medline Brand products deliver material cost savings to providers, many of whom face margin pressures.</w:t>
      </w:r>
    </w:p>
    <w:p>
      <w:pPr>
        <w:spacing w:after="0" w:line="68" w:lineRule="exact"/>
        <w:rPr>
          <w:rFonts w:ascii="Times New Roman" w:cs="Times New Roman" w:eastAsia="Times New Roman" w:hAnsi="Times New Roman"/>
          <w:sz w:val="18"/>
          <w:szCs w:val="18"/>
          <w:color w:val="auto"/>
        </w:rPr>
      </w:pPr>
    </w:p>
    <w:p>
      <w:pPr>
        <w:ind w:left="1280" w:right="280" w:hanging="410"/>
        <w:spacing w:after="0" w:line="278"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Prime Vendor model enables the cost-effective management of products, inventory, distribution, and delivery across sites of care.</w:t>
      </w:r>
    </w:p>
    <w:p>
      <w:pPr>
        <w:spacing w:after="0" w:line="138" w:lineRule="exact"/>
        <w:rPr>
          <w:rFonts w:ascii="Times New Roman" w:cs="Times New Roman" w:eastAsia="Times New Roman" w:hAnsi="Times New Roman"/>
          <w:sz w:val="17"/>
          <w:szCs w:val="17"/>
          <w:color w:val="auto"/>
        </w:rPr>
      </w:pPr>
    </w:p>
    <w:p>
      <w:pPr>
        <w:ind w:left="1280" w:right="160" w:hanging="410"/>
        <w:spacing w:after="0" w:line="255"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129" w:lineRule="exact"/>
        <w:rPr>
          <w:sz w:val="20"/>
          <w:szCs w:val="20"/>
          <w:color w:val="auto"/>
        </w:rPr>
      </w:pPr>
    </w:p>
    <w:p>
      <w:pPr>
        <w:ind w:left="1280" w:right="20" w:hanging="410"/>
        <w:spacing w:after="0" w:line="308" w:lineRule="auto"/>
        <w:tabs>
          <w:tab w:leader="none" w:pos="1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2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320" w:top="451" w:right="6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7120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7120890"/>
                    </a:xfrm>
                    <a:prstGeom prst="rect">
                      <a:avLst/>
                    </a:prstGeom>
                    <a:noFill/>
                  </pic:spPr>
                </pic:pic>
              </a:graphicData>
            </a:graphic>
          </wp:anchor>
        </w:drawing>
      </w:r>
    </w:p>
    <w:p>
      <w:pPr>
        <w:spacing w:after="0" w:line="289" w:lineRule="exact"/>
        <w:rPr>
          <w:sz w:val="20"/>
          <w:szCs w:val="20"/>
          <w:color w:val="auto"/>
        </w:rPr>
      </w:pPr>
    </w:p>
    <w:p>
      <w:pPr>
        <w:ind w:left="1280" w:right="220" w:hanging="410"/>
        <w:spacing w:after="0" w:line="278"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educational materials and at-home care kits help patients take an active role in their own care, which improves health outcomes and patient satisfaction.</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thoughtfully designed products and services creates positive patient experiences.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direct-to-consumer channel increases access to our high-quality, cost-effective products.</w:t>
      </w:r>
    </w:p>
    <w:p>
      <w:pPr>
        <w:spacing w:after="0" w:line="3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Product suppliers:</w:t>
      </w:r>
    </w:p>
    <w:p>
      <w:pPr>
        <w:spacing w:after="0" w:line="129" w:lineRule="exact"/>
        <w:rPr>
          <w:sz w:val="20"/>
          <w:szCs w:val="20"/>
          <w:color w:val="auto"/>
        </w:rPr>
      </w:pPr>
    </w:p>
    <w:p>
      <w:pPr>
        <w:ind w:left="1280" w:hanging="410"/>
        <w:spacing w:after="0"/>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scaled platform provides third-party product suppliers with access to our commercial team and a large and diverse customer base.</w:t>
      </w:r>
    </w:p>
    <w:p>
      <w:pPr>
        <w:spacing w:after="0" w:line="138" w:lineRule="exact"/>
        <w:rPr>
          <w:rFonts w:ascii="Times New Roman" w:cs="Times New Roman" w:eastAsia="Times New Roman" w:hAnsi="Times New Roman"/>
          <w:sz w:val="17"/>
          <w:szCs w:val="17"/>
          <w:color w:val="auto"/>
        </w:rPr>
      </w:pPr>
    </w:p>
    <w:p>
      <w:pPr>
        <w:ind w:left="1280" w:hanging="410"/>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levels ensure that suppliers’ products are delivered reliably and on time.</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across the healthcare continuum provides opportunities to serve every site of care.</w:t>
      </w:r>
    </w:p>
    <w:p>
      <w:pPr>
        <w:spacing w:after="0" w:line="3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ability to earn and retain customers is driven by a number of specific qualities that are critical to our success.</w:t>
      </w:r>
    </w:p>
    <w:p>
      <w:pPr>
        <w:spacing w:after="0" w:line="217" w:lineRule="exact"/>
        <w:rPr>
          <w:sz w:val="20"/>
          <w:szCs w:val="20"/>
          <w:color w:val="auto"/>
        </w:rPr>
      </w:pPr>
    </w:p>
    <w:p>
      <w:pPr>
        <w:ind w:left="340" w:right="12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Customer-Focused Culture. </w:t>
      </w:r>
      <w:r>
        <w:rPr>
          <w:rFonts w:ascii="Times New Roman" w:cs="Times New Roman" w:eastAsia="Times New Roman" w:hAnsi="Times New Roman"/>
          <w:sz w:val="18"/>
          <w:szCs w:val="18"/>
          <w:color w:val="auto"/>
        </w:rPr>
        <w:t>Customers are at the heart of what we do. Our best-in-class business model, entrepreneurial spirit,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80"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Platform Advantage. </w:t>
      </w:r>
      <w:r>
        <w:rPr>
          <w:rFonts w:ascii="Times New Roman" w:cs="Times New Roman" w:eastAsia="Times New Roman" w:hAnsi="Times New Roman"/>
          <w:sz w:val="18"/>
          <w:szCs w:val="18"/>
          <w:color w:val="auto"/>
        </w:rPr>
        <w:t>We are the largest provider of med-surg and supply chain solutions serving all points of care, based on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1"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948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5948680"/>
                    </a:xfrm>
                    <a:prstGeom prst="rect">
                      <a:avLst/>
                    </a:prstGeom>
                    <a:noFill/>
                  </pic:spPr>
                </pic:pic>
              </a:graphicData>
            </a:graphic>
          </wp:anchor>
        </w:drawing>
      </w:r>
    </w:p>
    <w:p>
      <w:pPr>
        <w:spacing w:after="0" w:line="285" w:lineRule="exact"/>
        <w:rPr>
          <w:sz w:val="20"/>
          <w:szCs w:val="20"/>
          <w:color w:val="auto"/>
        </w:rPr>
      </w:pPr>
    </w:p>
    <w:p>
      <w:pPr>
        <w:ind w:left="340" w:right="80" w:firstLine="42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Product Portfolio. </w:t>
      </w:r>
      <w:r>
        <w:rPr>
          <w:rFonts w:ascii="Times New Roman" w:cs="Times New Roman" w:eastAsia="Times New Roman" w:hAnsi="Times New Roman"/>
          <w:sz w:val="18"/>
          <w:szCs w:val="18"/>
          <w:color w:val="auto"/>
        </w:rPr>
        <w:t>We offer approximately 190,000 Medline Brand products across our product categories. We have a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of successfully bringing new products to market, with more than 2,100 granted patents and more than 400 clearances under Section 510(k) of the Federal Food, Drug and Cosmetic Act (“510(k)”). Over the last three years, we have successfully launched 268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78" w:lineRule="exact"/>
        <w:rPr>
          <w:sz w:val="20"/>
          <w:szCs w:val="20"/>
          <w:color w:val="auto"/>
        </w:rPr>
      </w:pPr>
    </w:p>
    <w:p>
      <w:pPr>
        <w:ind w:left="340" w:right="10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Unrivaled Distribution Capabilities. </w:t>
      </w:r>
      <w:r>
        <w:rPr>
          <w:rFonts w:ascii="Times New Roman" w:cs="Times New Roman" w:eastAsia="Times New Roman" w:hAnsi="Times New Roman"/>
          <w:sz w:val="18"/>
          <w:szCs w:val="18"/>
          <w:color w:val="auto"/>
        </w:rPr>
        <w:t>Medline’s breadth and footprint today is the result of decades of significant investments,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80" w:lineRule="exact"/>
        <w:rPr>
          <w:sz w:val="20"/>
          <w:szCs w:val="20"/>
          <w:color w:val="auto"/>
        </w:rPr>
      </w:pPr>
    </w:p>
    <w:p>
      <w:pPr>
        <w:ind w:left="340" w:right="340" w:firstLine="42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Clinical Solutions. </w:t>
      </w:r>
      <w:r>
        <w:rPr>
          <w:rFonts w:ascii="Times New Roman" w:cs="Times New Roman" w:eastAsia="Times New Roman" w:hAnsi="Times New Roman"/>
          <w:sz w:val="17"/>
          <w:szCs w:val="17"/>
          <w:color w:val="auto"/>
        </w:rPr>
        <w:t>Medline’s clinical solutions empower frontline teams with best practice guidance, education and training, and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61" w:lineRule="exact"/>
        <w:rPr>
          <w:sz w:val="20"/>
          <w:szCs w:val="20"/>
          <w:color w:val="auto"/>
        </w:rPr>
      </w:pPr>
    </w:p>
    <w:p>
      <w:pPr>
        <w:ind w:left="340" w:right="80" w:firstLine="42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Returns to Scale. </w:t>
      </w:r>
      <w:r>
        <w:rPr>
          <w:rFonts w:ascii="Times New Roman" w:cs="Times New Roman" w:eastAsia="Times New Roman" w:hAnsi="Times New Roman"/>
          <w:sz w:val="18"/>
          <w:szCs w:val="18"/>
          <w:color w:val="auto"/>
        </w:rPr>
        <w:t>As we grow, Medline is uniquely positioned to benefit from our vertically integrated model and over 1,300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8" w:lineRule="exact"/>
        <w:rPr>
          <w:sz w:val="20"/>
          <w:szCs w:val="20"/>
          <w:color w:val="auto"/>
        </w:rPr>
      </w:pPr>
    </w:p>
    <w:p>
      <w:pPr>
        <w:ind w:left="340" w:firstLine="422"/>
        <w:spacing w:after="0" w:line="308" w:lineRule="auto"/>
        <w:rPr>
          <w:sz w:val="20"/>
          <w:szCs w:val="20"/>
          <w:color w:val="auto"/>
        </w:rPr>
      </w:pPr>
      <w:r>
        <w:rPr>
          <w:rFonts w:ascii="Times New Roman" w:cs="Times New Roman" w:eastAsia="Times New Roman" w:hAnsi="Times New Roman"/>
          <w:sz w:val="17"/>
          <w:szCs w:val="17"/>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Net Sales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280" w:right="180" w:hanging="410"/>
        <w:spacing w:after="0" w:line="25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with our Prime Vendor Customers</w:t>
      </w:r>
      <w:r>
        <w:rPr>
          <w:rFonts w:ascii="Times New Roman" w:cs="Times New Roman" w:eastAsia="Times New Roman" w:hAnsi="Times New Roman"/>
          <w:sz w:val="18"/>
          <w:szCs w:val="18"/>
          <w:color w:val="auto"/>
        </w:rPr>
        <w:t>: We have achieved a greater than 98% average Prime Vendor retention rate over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1"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195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4200" cy="6195060"/>
                    </a:xfrm>
                    <a:prstGeom prst="rect">
                      <a:avLst/>
                    </a:prstGeom>
                    <a:noFill/>
                  </pic:spPr>
                </pic:pic>
              </a:graphicData>
            </a:graphic>
          </wp:anchor>
        </w:drawing>
      </w:r>
    </w:p>
    <w:p>
      <w:pPr>
        <w:spacing w:after="0" w:line="287" w:lineRule="exact"/>
        <w:rPr>
          <w:sz w:val="20"/>
          <w:szCs w:val="20"/>
          <w:color w:val="auto"/>
        </w:rPr>
      </w:pPr>
    </w:p>
    <w:p>
      <w:pPr>
        <w:ind w:left="1280" w:right="180" w:hanging="410"/>
        <w:spacing w:after="0" w:line="258"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Winning New Prime Vendor Customers</w:t>
      </w:r>
      <w:r>
        <w:rPr>
          <w:rFonts w:ascii="Times New Roman" w:cs="Times New Roman" w:eastAsia="Times New Roman" w:hAnsi="Times New Roman"/>
          <w:sz w:val="18"/>
          <w:szCs w:val="18"/>
          <w:color w:val="auto"/>
        </w:rPr>
        <w:t>: We continue to earn new Prime Vendor customers, which has been a key driver of sustained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86" w:lineRule="exact"/>
        <w:rPr>
          <w:rFonts w:ascii="Times New Roman" w:cs="Times New Roman" w:eastAsia="Times New Roman" w:hAnsi="Times New Roman"/>
          <w:sz w:val="18"/>
          <w:szCs w:val="18"/>
          <w:color w:val="auto"/>
        </w:rPr>
      </w:pPr>
    </w:p>
    <w:p>
      <w:pPr>
        <w:ind w:left="1280" w:right="260" w:hanging="410"/>
        <w:spacing w:after="0" w:line="26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Medline Brand with Non-Prime Vendor Customers</w:t>
      </w:r>
      <w:r>
        <w:rPr>
          <w:rFonts w:ascii="Times New Roman" w:cs="Times New Roman" w:eastAsia="Times New Roman" w:hAnsi="Times New Roman"/>
          <w:sz w:val="18"/>
          <w:szCs w:val="18"/>
          <w:color w:val="auto"/>
        </w:rPr>
        <w:t>: An increasing number of non-Prime Vendor customers are choosing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Medline Brand. We will continue to provide high-quality, cost-effective products that meet their med-surg needs and accelerate our expansion within these customers.</w:t>
      </w:r>
    </w:p>
    <w:p>
      <w:pPr>
        <w:spacing w:after="0" w:line="79" w:lineRule="exact"/>
        <w:rPr>
          <w:rFonts w:ascii="Times New Roman" w:cs="Times New Roman" w:eastAsia="Times New Roman" w:hAnsi="Times New Roman"/>
          <w:sz w:val="18"/>
          <w:szCs w:val="18"/>
          <w:color w:val="auto"/>
        </w:rPr>
      </w:pPr>
    </w:p>
    <w:p>
      <w:pPr>
        <w:ind w:left="1280" w:right="80" w:hanging="410"/>
        <w:spacing w:after="0" w:line="286"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Continuous Product Innovation</w:t>
      </w:r>
      <w:r>
        <w:rPr>
          <w:rFonts w:ascii="Times New Roman" w:cs="Times New Roman" w:eastAsia="Times New Roman" w:hAnsi="Times New Roman"/>
          <w:sz w:val="17"/>
          <w:szCs w:val="17"/>
          <w:color w:val="auto"/>
        </w:rPr>
        <w:t>: Innovation is embedded within our product teams, who leverage our salesforce, customer feedback,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63" w:lineRule="exact"/>
        <w:rPr>
          <w:rFonts w:ascii="Times New Roman" w:cs="Times New Roman" w:eastAsia="Times New Roman" w:hAnsi="Times New Roman"/>
          <w:sz w:val="17"/>
          <w:szCs w:val="17"/>
          <w:color w:val="auto"/>
        </w:rPr>
      </w:pPr>
    </w:p>
    <w:p>
      <w:pPr>
        <w:ind w:left="1280" w:right="20" w:hanging="410"/>
        <w:spacing w:after="0" w:line="278"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Channel Expansion</w:t>
      </w:r>
      <w:r>
        <w:rPr>
          <w:rFonts w:ascii="Times New Roman" w:cs="Times New Roman" w:eastAsia="Times New Roman" w:hAnsi="Times New Roman"/>
          <w:sz w:val="17"/>
          <w:szCs w:val="17"/>
          <w:color w:val="auto"/>
        </w:rPr>
        <w:t>: We will continue to evaluate new opportunities to expand our TAM and the markets we serve. We currently serve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70" w:lineRule="exact"/>
        <w:rPr>
          <w:rFonts w:ascii="Times New Roman" w:cs="Times New Roman" w:eastAsia="Times New Roman" w:hAnsi="Times New Roman"/>
          <w:sz w:val="17"/>
          <w:szCs w:val="17"/>
          <w:color w:val="auto"/>
        </w:rPr>
      </w:pPr>
    </w:p>
    <w:p>
      <w:pPr>
        <w:ind w:left="1280" w:hanging="410"/>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value proposition can help customers across markets internationally, and we expect to tap into the</w:t>
      </w:r>
    </w:p>
    <w:p>
      <w:pPr>
        <w:spacing w:after="0" w:line="27" w:lineRule="exact"/>
        <w:rPr>
          <w:rFonts w:ascii="Times New Roman" w:cs="Times New Roman" w:eastAsia="Times New Roman" w:hAnsi="Times New Roman"/>
          <w:sz w:val="18"/>
          <w:szCs w:val="18"/>
          <w:color w:val="auto"/>
        </w:rPr>
      </w:pPr>
    </w:p>
    <w:p>
      <w:pPr>
        <w:jc w:val="both"/>
        <w:ind w:left="1280"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89" w:lineRule="exact"/>
        <w:rPr>
          <w:rFonts w:ascii="Times New Roman" w:cs="Times New Roman" w:eastAsia="Times New Roman" w:hAnsi="Times New Roman"/>
          <w:sz w:val="18"/>
          <w:szCs w:val="18"/>
          <w:color w:val="auto"/>
        </w:rPr>
      </w:pPr>
    </w:p>
    <w:p>
      <w:pPr>
        <w:ind w:left="1280" w:right="60" w:hanging="410"/>
        <w:spacing w:after="0" w:line="25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M&amp;A Execution</w:t>
      </w:r>
      <w:r>
        <w:rPr>
          <w:rFonts w:ascii="Times New Roman" w:cs="Times New Roman" w:eastAsia="Times New Roman" w:hAnsi="Times New Roman"/>
          <w:sz w:val="18"/>
          <w:szCs w:val="18"/>
          <w:color w:val="auto"/>
        </w:rPr>
        <w:t>: Our disciplined, global M&amp;A strategy is focused on pursuing adjacent products and services, as well as expanding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2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Earnings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280" w:hanging="410"/>
        <w:spacing w:after="0" w:line="250"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Medline Brand Conversion Opportunity</w:t>
      </w:r>
      <w:r>
        <w:rPr>
          <w:rFonts w:ascii="Times New Roman" w:cs="Times New Roman" w:eastAsia="Times New Roman" w:hAnsi="Times New Roman"/>
          <w:sz w:val="18"/>
          <w:szCs w:val="18"/>
          <w:color w:val="auto"/>
        </w:rPr>
        <w:t>: To help our customers achieve cost savings, we provide them with Medline Brand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1"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35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4200" cy="6356350"/>
                    </a:xfrm>
                    <a:prstGeom prst="rect">
                      <a:avLst/>
                    </a:prstGeom>
                    <a:noFill/>
                  </pic:spPr>
                </pic:pic>
              </a:graphicData>
            </a:graphic>
          </wp:anchor>
        </w:drawing>
      </w:r>
    </w:p>
    <w:p>
      <w:pPr>
        <w:spacing w:after="0" w:line="289"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18"/>
          <w:szCs w:val="18"/>
          <w:color w:val="auto"/>
        </w:rPr>
        <w:t>counterparts. Therefore, we assume our historical estimates will continue with future conversions. For further information on potential risks relating to this conversion opportunity, please refer to “Risk Factors—Risks Related to Our Business, Industry and Operations— Our failure to establish and maintain Prime Vendor relationships may cause our revenue to decline.”</w:t>
      </w:r>
    </w:p>
    <w:p>
      <w:pPr>
        <w:spacing w:after="0" w:line="80" w:lineRule="exact"/>
        <w:rPr>
          <w:sz w:val="20"/>
          <w:szCs w:val="20"/>
          <w:color w:val="auto"/>
        </w:rPr>
      </w:pPr>
    </w:p>
    <w:p>
      <w:pPr>
        <w:jc w:val="both"/>
        <w:ind w:left="1280" w:right="100" w:hanging="410"/>
        <w:spacing w:after="0" w:line="258"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Execution</w:t>
      </w:r>
      <w:r>
        <w:rPr>
          <w:rFonts w:ascii="Times New Roman" w:cs="Times New Roman" w:eastAsia="Times New Roman" w:hAnsi="Times New Roman"/>
          <w:sz w:val="18"/>
          <w:szCs w:val="18"/>
          <w:color w:val="auto"/>
        </w:rPr>
        <w:t>: To strengthen our cost advantage on Medline Brand products, we continuously improve our procurement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8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118" w:lineRule="exact"/>
        <w:rPr>
          <w:sz w:val="20"/>
          <w:szCs w:val="20"/>
          <w:color w:val="auto"/>
        </w:rPr>
      </w:pPr>
    </w:p>
    <w:p>
      <w:pPr>
        <w:ind w:left="340" w:right="40" w:firstLine="422"/>
        <w:spacing w:after="0" w:line="255" w:lineRule="auto"/>
        <w:rPr>
          <w:sz w:val="20"/>
          <w:szCs w:val="20"/>
          <w:color w:val="auto"/>
        </w:rPr>
      </w:pPr>
      <w:r>
        <w:rPr>
          <w:rFonts w:ascii="Times New Roman" w:cs="Times New Roman" w:eastAsia="Times New Roman" w:hAnsi="Times New Roman"/>
          <w:sz w:val="18"/>
          <w:szCs w:val="18"/>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culture is guided by our six core values:</w:t>
      </w:r>
    </w:p>
    <w:p>
      <w:pPr>
        <w:spacing w:after="0" w:line="127" w:lineRule="exact"/>
        <w:rPr>
          <w:sz w:val="20"/>
          <w:szCs w:val="20"/>
          <w:color w:val="auto"/>
        </w:rPr>
      </w:pPr>
    </w:p>
    <w:p>
      <w:pPr>
        <w:ind w:left="1280" w:hanging="410"/>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relentlessly focus on customers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 agility and flexibility</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solve problems with grit and determination</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to succeed</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practice purposeful candor</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relationships matter</w:t>
      </w:r>
    </w:p>
    <w:p>
      <w:pPr>
        <w:spacing w:after="0" w:line="221" w:lineRule="exact"/>
        <w:rPr>
          <w:sz w:val="20"/>
          <w:szCs w:val="20"/>
          <w:color w:val="auto"/>
        </w:rPr>
      </w:pPr>
    </w:p>
    <w:p>
      <w:pPr>
        <w:ind w:left="340" w:right="80" w:firstLine="422"/>
        <w:spacing w:after="0" w:line="258" w:lineRule="auto"/>
        <w:rPr>
          <w:sz w:val="20"/>
          <w:szCs w:val="20"/>
          <w:color w:val="auto"/>
        </w:rPr>
      </w:pPr>
      <w:r>
        <w:rPr>
          <w:rFonts w:ascii="Times New Roman" w:cs="Times New Roman" w:eastAsia="Times New Roman" w:hAnsi="Times New Roman"/>
          <w:sz w:val="18"/>
          <w:szCs w:val="18"/>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 and Best Employers for Women.</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18" w:lineRule="exact"/>
        <w:rPr>
          <w:sz w:val="20"/>
          <w:szCs w:val="20"/>
          <w:color w:val="auto"/>
        </w:rPr>
      </w:pPr>
    </w:p>
    <w:p>
      <w:pPr>
        <w:ind w:left="340" w:right="180" w:firstLine="422"/>
        <w:spacing w:after="0" w:line="258" w:lineRule="auto"/>
        <w:rPr>
          <w:sz w:val="20"/>
          <w:szCs w:val="20"/>
          <w:color w:val="auto"/>
        </w:rPr>
      </w:pPr>
      <w:r>
        <w:rPr>
          <w:rFonts w:ascii="Times New Roman" w:cs="Times New Roman" w:eastAsia="Times New Roman" w:hAnsi="Times New Roman"/>
          <w:sz w:val="18"/>
          <w:szCs w:val="18"/>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Prior to the completion of this offering:</w:t>
      </w:r>
    </w:p>
    <w:p>
      <w:pPr>
        <w:spacing w:after="0" w:line="86" w:lineRule="exact"/>
        <w:rPr>
          <w:sz w:val="20"/>
          <w:szCs w:val="20"/>
          <w:color w:val="auto"/>
        </w:rPr>
      </w:pPr>
    </w:p>
    <w:p>
      <w:pPr>
        <w:ind w:left="1280" w:right="180" w:hanging="517"/>
        <w:spacing w:after="0" w:line="278"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Pre-IPO Stockholders will receive shares of Class A common stock of Medline Inc. pursuant to the Blocker Transfers as defined and described in “Organizational Structure—Blocker Transfers”;</w:t>
      </w:r>
    </w:p>
    <w:p>
      <w:pPr>
        <w:spacing w:after="0" w:line="68" w:lineRule="exact"/>
        <w:rPr>
          <w:rFonts w:ascii="Times New Roman" w:cs="Times New Roman" w:eastAsia="Times New Roman" w:hAnsi="Times New Roman"/>
          <w:sz w:val="18"/>
          <w:szCs w:val="18"/>
          <w:color w:val="auto"/>
        </w:rPr>
      </w:pPr>
    </w:p>
    <w:p>
      <w:pPr>
        <w:ind w:left="1280" w:right="560" w:hanging="517"/>
        <w:spacing w:after="0" w:line="263"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partnership agreement of Medline Holdings will be amended and restated to, among other things, modify its capital structure by reclassifying its interests as follows (such reclassification, the “Reclassification,” as further described under “Organizational Structure—Reclassification and</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1" w:right="6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872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34200" cy="5872480"/>
                    </a:xfrm>
                    <a:prstGeom prst="rect">
                      <a:avLst/>
                    </a:prstGeom>
                    <a:noFill/>
                  </pic:spPr>
                </pic:pic>
              </a:graphicData>
            </a:graphic>
          </wp:anchor>
        </w:drawing>
      </w: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Amendment and Restatement of the Limited Partnership Agreement of Medline Holdings” and “Management—Compensation</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Arrangements to be Adopted in Connection with this Offering—Treatment of Existing Equity Interests”):</w:t>
      </w:r>
    </w:p>
    <w:p>
      <w:pPr>
        <w:spacing w:after="0" w:line="109" w:lineRule="exact"/>
        <w:rPr>
          <w:sz w:val="20"/>
          <w:szCs w:val="20"/>
          <w:color w:val="auto"/>
        </w:rPr>
      </w:pPr>
    </w:p>
    <w:p>
      <w:pPr>
        <w:ind w:left="1680" w:hanging="289"/>
        <w:spacing w:after="0"/>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held by Continuing Common Unitholders will be converted into Common Units;</w:t>
      </w:r>
    </w:p>
    <w:p>
      <w:pPr>
        <w:spacing w:after="0" w:line="127" w:lineRule="exact"/>
        <w:rPr>
          <w:rFonts w:ascii="Times New Roman" w:cs="Times New Roman" w:eastAsia="Times New Roman" w:hAnsi="Times New Roman"/>
          <w:sz w:val="18"/>
          <w:szCs w:val="18"/>
          <w:color w:val="auto"/>
        </w:rPr>
      </w:pPr>
    </w:p>
    <w:p>
      <w:pPr>
        <w:ind w:left="1680" w:hanging="289"/>
        <w:spacing w:after="0"/>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held by Continuing Common Unitholders will be converted into Common Units; and</w:t>
      </w:r>
    </w:p>
    <w:p>
      <w:pPr>
        <w:spacing w:after="0" w:line="127" w:lineRule="exact"/>
        <w:rPr>
          <w:rFonts w:ascii="Times New Roman" w:cs="Times New Roman" w:eastAsia="Times New Roman" w:hAnsi="Times New Roman"/>
          <w:sz w:val="18"/>
          <w:szCs w:val="18"/>
          <w:color w:val="auto"/>
        </w:rPr>
      </w:pPr>
    </w:p>
    <w:p>
      <w:pPr>
        <w:ind w:left="1680" w:hanging="289"/>
        <w:spacing w:after="0"/>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held by Continuing Incentive Unitholders will be converted into Incentive Units;</w:t>
      </w:r>
    </w:p>
    <w:p>
      <w:pPr>
        <w:spacing w:after="0" w:line="127" w:lineRule="exact"/>
        <w:rPr>
          <w:rFonts w:ascii="Times New Roman" w:cs="Times New Roman" w:eastAsia="Times New Roman" w:hAnsi="Times New Roman"/>
          <w:sz w:val="18"/>
          <w:szCs w:val="18"/>
          <w:color w:val="auto"/>
        </w:rPr>
      </w:pPr>
    </w:p>
    <w:p>
      <w:pPr>
        <w:ind w:left="1280" w:right="260" w:hanging="517"/>
        <w:spacing w:after="0" w:line="27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Common Unitholders will receive the number of shares of Class B common stock of Medline Inc. equivalent to the number of Common Units held by each such Continuing Common Unitholder; and</w:t>
      </w:r>
    </w:p>
    <w:p>
      <w:pPr>
        <w:spacing w:after="0" w:line="68"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CUPI Units, and Class B Units that are not reclassified as set forth in (2) above will be treated as follows:</w:t>
      </w:r>
    </w:p>
    <w:p>
      <w:pPr>
        <w:spacing w:after="0" w:line="127" w:lineRule="exact"/>
        <w:rPr>
          <w:rFonts w:ascii="Times New Roman" w:cs="Times New Roman" w:eastAsia="Times New Roman" w:hAnsi="Times New Roman"/>
          <w:sz w:val="18"/>
          <w:szCs w:val="18"/>
          <w:color w:val="auto"/>
        </w:rPr>
      </w:pPr>
    </w:p>
    <w:p>
      <w:pPr>
        <w:ind w:left="1680" w:right="200" w:hanging="289"/>
        <w:spacing w:after="0" w:line="278"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held by Exchanging Class A Unitholders will be directly or indirectly exchanged for shares of Class A common stock;</w:t>
      </w:r>
    </w:p>
    <w:p>
      <w:pPr>
        <w:spacing w:after="0" w:line="68" w:lineRule="exact"/>
        <w:rPr>
          <w:rFonts w:ascii="Times New Roman" w:cs="Times New Roman" w:eastAsia="Times New Roman" w:hAnsi="Times New Roman"/>
          <w:sz w:val="18"/>
          <w:szCs w:val="18"/>
          <w:color w:val="auto"/>
        </w:rPr>
      </w:pPr>
    </w:p>
    <w:p>
      <w:pPr>
        <w:ind w:left="1680" w:right="40" w:hanging="289"/>
        <w:spacing w:after="0" w:line="278"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held by Exchanging CUPI Unitholders will be directly or indirectly exchanged for shares of Class A common stock; and</w:t>
      </w:r>
    </w:p>
    <w:p>
      <w:pPr>
        <w:spacing w:after="0" w:line="68" w:lineRule="exact"/>
        <w:rPr>
          <w:rFonts w:ascii="Times New Roman" w:cs="Times New Roman" w:eastAsia="Times New Roman" w:hAnsi="Times New Roman"/>
          <w:sz w:val="18"/>
          <w:szCs w:val="18"/>
          <w:color w:val="auto"/>
        </w:rPr>
      </w:pPr>
    </w:p>
    <w:p>
      <w:pPr>
        <w:ind w:left="1680" w:right="220" w:hanging="289"/>
        <w:spacing w:after="0" w:line="263"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75"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84" w:lineRule="exact"/>
        <w:rPr>
          <w:sz w:val="20"/>
          <w:szCs w:val="20"/>
          <w:color w:val="auto"/>
        </w:rPr>
      </w:pPr>
    </w:p>
    <w:p>
      <w:pPr>
        <w:ind w:left="340" w:right="40" w:firstLine="422"/>
        <w:spacing w:after="0" w:line="268"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An unvested Incentive Unit will not be exchangeable unless and until such Incentive Unit vests. See “Certain Relationships and Related Person Transactions—Medline Holdings Amended and Restated Limited Partnership Agreement.”</w:t>
      </w:r>
    </w:p>
    <w:p>
      <w:pPr>
        <w:spacing w:after="0" w:line="175" w:lineRule="exact"/>
        <w:rPr>
          <w:sz w:val="20"/>
          <w:szCs w:val="20"/>
          <w:color w:val="auto"/>
        </w:rPr>
      </w:pPr>
    </w:p>
    <w:p>
      <w:pPr>
        <w:ind w:left="340" w:right="180" w:firstLine="422"/>
        <w:spacing w:after="0" w:line="255" w:lineRule="auto"/>
        <w:rPr>
          <w:sz w:val="20"/>
          <w:szCs w:val="20"/>
          <w:color w:val="auto"/>
        </w:rPr>
      </w:pPr>
      <w:r>
        <w:rPr>
          <w:rFonts w:ascii="Times New Roman" w:cs="Times New Roman" w:eastAsia="Times New Roman" w:hAnsi="Times New Roman"/>
          <w:sz w:val="18"/>
          <w:szCs w:val="18"/>
          <w:color w:val="auto"/>
        </w:rPr>
        <w:t>We intend to grant options to purchase shares of Class A common stock under the Omnibus Incentive Plan (as defined herein) to certain Exchanging Class B Unitholders in substitution for a portion of the economic benefit to which the Class B Units are entitled prior to this offering that is not reflected in the exchange of Class B Units to shares of Class A common stock. In addition, we intend to grant restricted stock units (“RSUs”) in respect of Class A common stock to certain Exchanging Unitholders to compensate them for the loss of opportunity to participate in the tax receivable agreement, in which they would have had the opportunity to</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320" w:top="451" w:right="6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532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4200" cy="5532755"/>
                    </a:xfrm>
                    <a:prstGeom prst="rect">
                      <a:avLst/>
                    </a:prstGeom>
                    <a:noFill/>
                  </pic:spPr>
                </pic:pic>
              </a:graphicData>
            </a:graphic>
          </wp:anchor>
        </w:drawing>
      </w:r>
    </w:p>
    <w:p>
      <w:pPr>
        <w:spacing w:after="0" w:line="289" w:lineRule="exact"/>
        <w:rPr>
          <w:sz w:val="20"/>
          <w:szCs w:val="20"/>
          <w:color w:val="auto"/>
        </w:rPr>
      </w:pPr>
    </w:p>
    <w:p>
      <w:pPr>
        <w:ind w:left="340" w:right="240"/>
        <w:spacing w:after="0" w:line="263" w:lineRule="auto"/>
        <w:rPr>
          <w:sz w:val="20"/>
          <w:szCs w:val="20"/>
          <w:color w:val="auto"/>
        </w:rPr>
      </w:pPr>
      <w:r>
        <w:rPr>
          <w:rFonts w:ascii="Times New Roman" w:cs="Times New Roman" w:eastAsia="Times New Roman" w:hAnsi="Times New Roman"/>
          <w:sz w:val="18"/>
          <w:szCs w:val="18"/>
          <w:color w:val="auto"/>
        </w:rPr>
        <w:t>participate had their units not been exchanged for shares of Class A common stock. See “Organizational Structure—Reclassification and Amendment and Restatement of the Limited Partnership Agreement of Medline Holdings” and “Management—Compensation Arrangements to be Adopted in Connection with this Offering—Equity Award Grants.”</w:t>
      </w:r>
    </w:p>
    <w:p>
      <w:pPr>
        <w:spacing w:after="0" w:line="175" w:lineRule="exact"/>
        <w:rPr>
          <w:sz w:val="20"/>
          <w:szCs w:val="20"/>
          <w:color w:val="auto"/>
        </w:rPr>
      </w:pPr>
    </w:p>
    <w:p>
      <w:pPr>
        <w:ind w:left="340" w:right="180" w:firstLine="422"/>
        <w:spacing w:after="0" w:line="253" w:lineRule="auto"/>
        <w:rPr>
          <w:sz w:val="20"/>
          <w:szCs w:val="20"/>
          <w:color w:val="auto"/>
        </w:rPr>
      </w:pPr>
      <w:r>
        <w:rPr>
          <w:rFonts w:ascii="Times New Roman" w:cs="Times New Roman" w:eastAsia="Times New Roman" w:hAnsi="Times New Roman"/>
          <w:sz w:val="18"/>
          <w:szCs w:val="18"/>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84" w:lineRule="exact"/>
        <w:rPr>
          <w:sz w:val="20"/>
          <w:szCs w:val="20"/>
          <w:color w:val="auto"/>
        </w:rPr>
      </w:pPr>
    </w:p>
    <w:p>
      <w:pPr>
        <w:ind w:left="340" w:right="200" w:firstLine="422"/>
        <w:spacing w:after="0" w:line="251" w:lineRule="auto"/>
        <w:rPr>
          <w:sz w:val="20"/>
          <w:szCs w:val="20"/>
          <w:color w:val="auto"/>
        </w:rPr>
      </w:pPr>
      <w:r>
        <w:rPr>
          <w:rFonts w:ascii="Times New Roman" w:cs="Times New Roman" w:eastAsia="Times New Roman" w:hAnsi="Times New Roman"/>
          <w:sz w:val="18"/>
          <w:szCs w:val="18"/>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92" w:lineRule="exact"/>
        <w:rPr>
          <w:sz w:val="20"/>
          <w:szCs w:val="20"/>
          <w:color w:val="auto"/>
        </w:rPr>
      </w:pPr>
    </w:p>
    <w:p>
      <w:pPr>
        <w:ind w:left="340" w:right="180" w:firstLine="422"/>
        <w:spacing w:after="0" w:line="267" w:lineRule="auto"/>
        <w:rPr>
          <w:sz w:val="20"/>
          <w:szCs w:val="20"/>
          <w:color w:val="auto"/>
        </w:rPr>
      </w:pPr>
      <w:r>
        <w:rPr>
          <w:rFonts w:ascii="Times New Roman" w:cs="Times New Roman" w:eastAsia="Times New Roman" w:hAnsi="Times New Roman"/>
          <w:sz w:val="17"/>
          <w:szCs w:val="17"/>
          <w:color w:val="auto"/>
        </w:rPr>
        <w:t>Prior to the completion of this offering, we will enter into a tax receivable agreement with certain of our pre-IPO owners that provides for the payment by Medline Inc. to such pre-IPO owners of 90% of certain tax benefits, if any, that Medline Inc. realizes, or is deemed to realize (calculated using certain assumptions), as a result of (i) Medline Inc.’s allocable share of the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w:t>
      </w:r>
    </w:p>
    <w:p>
      <w:pPr>
        <w:spacing w:after="0" w:line="1" w:lineRule="exact"/>
        <w:rPr>
          <w:sz w:val="20"/>
          <w:szCs w:val="20"/>
          <w:color w:val="auto"/>
        </w:rPr>
      </w:pPr>
    </w:p>
    <w:p>
      <w:pPr>
        <w:ind w:left="340" w:right="240" w:firstLine="8"/>
        <w:spacing w:after="0" w:line="262" w:lineRule="auto"/>
        <w:tabs>
          <w:tab w:leader="none" w:pos="65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acquires in connection with this offering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w:t>
      </w:r>
    </w:p>
    <w:p>
      <w:pPr>
        <w:spacing w:after="0" w:line="5" w:lineRule="exact"/>
        <w:rPr>
          <w:sz w:val="20"/>
          <w:szCs w:val="20"/>
          <w:color w:val="auto"/>
        </w:rPr>
      </w:pPr>
    </w:p>
    <w:p>
      <w:pPr>
        <w:ind w:left="340"/>
        <w:spacing w:after="0"/>
        <w:tabs>
          <w:tab w:leader="none" w:pos="6200" w:val="left"/>
        </w:tabs>
        <w:rPr>
          <w:sz w:val="20"/>
          <w:szCs w:val="20"/>
          <w:color w:val="auto"/>
        </w:rPr>
      </w:pPr>
      <w:r>
        <w:rPr>
          <w:rFonts w:ascii="Times New Roman" w:cs="Times New Roman" w:eastAsia="Times New Roman" w:hAnsi="Times New Roman"/>
          <w:sz w:val="18"/>
          <w:szCs w:val="18"/>
          <w:color w:val="auto"/>
        </w:rPr>
        <w:t xml:space="preserve">continued ownership of us by the pre-IPO owners. Assuming: (i) a price of $    </w:t>
      </w:r>
      <w:r>
        <w:rPr>
          <w:sz w:val="20"/>
          <w:szCs w:val="20"/>
          <w:color w:val="auto"/>
        </w:rPr>
        <w:tab/>
      </w:r>
      <w:r>
        <w:rPr>
          <w:rFonts w:ascii="Times New Roman" w:cs="Times New Roman" w:eastAsia="Times New Roman" w:hAnsi="Times New Roman"/>
          <w:sz w:val="17"/>
          <w:szCs w:val="17"/>
          <w:color w:val="auto"/>
        </w:rPr>
        <w:t>per share of our Class A common stock (based on an assumed</w:t>
      </w:r>
    </w:p>
    <w:tbl>
      <w:tblPr>
        <w:tblLayout w:type="fixed"/>
        <w:tblInd w:w="160" w:type="dxa"/>
        <w:tblCellMar>
          <w:top w:w="0" w:type="dxa"/>
          <w:left w:w="0" w:type="dxa"/>
          <w:bottom w:w="0" w:type="dxa"/>
          <w:right w:w="0" w:type="dxa"/>
        </w:tblCellMar>
      </w:tblPr>
      <w:tr>
        <w:trPr>
          <w:trHeight w:val="202"/>
        </w:trPr>
        <w:tc>
          <w:tcPr>
            <w:tcW w:w="24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 xml:space="preserve">initial public offering price of $ </w:t>
            </w:r>
          </w:p>
        </w:tc>
        <w:tc>
          <w:tcPr>
            <w:tcW w:w="8440" w:type="dxa"/>
            <w:vAlign w:val="bottom"/>
          </w:tcPr>
          <w:p>
            <w:pPr>
              <w:jc w:val="right"/>
              <w:ind w:right="411"/>
              <w:spacing w:after="0" w:line="202" w:lineRule="exact"/>
              <w:rPr>
                <w:sz w:val="20"/>
                <w:szCs w:val="20"/>
                <w:color w:val="auto"/>
              </w:rPr>
            </w:pPr>
            <w:r>
              <w:rPr>
                <w:rFonts w:ascii="Times New Roman" w:cs="Times New Roman" w:eastAsia="Times New Roman" w:hAnsi="Times New Roman"/>
                <w:sz w:val="18"/>
                <w:szCs w:val="18"/>
                <w:color w:val="auto"/>
              </w:rPr>
              <w:t>      per share, the midpoint of the estimated price range set forth on the cover page of this prospectus); (ii) a</w:t>
            </w: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constant corporate tax rate of  </w:t>
            </w:r>
          </w:p>
        </w:tc>
        <w:tc>
          <w:tcPr>
            <w:tcW w:w="8440" w:type="dxa"/>
            <w:vAlign w:val="bottom"/>
          </w:tcPr>
          <w:p>
            <w:pPr>
              <w:jc w:val="right"/>
              <w:ind w:right="1971"/>
              <w:spacing w:after="0"/>
              <w:rPr>
                <w:sz w:val="20"/>
                <w:szCs w:val="20"/>
                <w:color w:val="auto"/>
              </w:rPr>
            </w:pPr>
            <w:r>
              <w:rPr>
                <w:rFonts w:ascii="Times New Roman" w:cs="Times New Roman" w:eastAsia="Times New Roman" w:hAnsi="Times New Roman"/>
                <w:sz w:val="18"/>
                <w:szCs w:val="18"/>
                <w:color w:val="auto"/>
                <w:w w:val="98"/>
              </w:rPr>
              <w:t>%; (iii) we will have sufficient taxable income to fully utilize the tax benefits; and (iv) no</w:t>
            </w:r>
          </w:p>
        </w:tc>
      </w:tr>
      <w:tr>
        <w:trPr>
          <w:trHeight w:val="170"/>
        </w:trPr>
        <w:tc>
          <w:tcPr>
            <w:tcW w:w="248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r>
      <w:tr>
        <w:trPr>
          <w:trHeight w:val="358"/>
        </w:trPr>
        <w:tc>
          <w:tcPr>
            <w:tcW w:w="2480" w:type="dxa"/>
            <w:vAlign w:val="bottom"/>
          </w:tcPr>
          <w:p>
            <w:pPr>
              <w:spacing w:after="0"/>
              <w:rPr>
                <w:sz w:val="24"/>
                <w:szCs w:val="24"/>
                <w:color w:val="auto"/>
              </w:rPr>
            </w:pPr>
          </w:p>
        </w:tc>
        <w:tc>
          <w:tcPr>
            <w:tcW w:w="8440" w:type="dxa"/>
            <w:vAlign w:val="bottom"/>
          </w:tcPr>
          <w:p>
            <w:pPr>
              <w:jc w:val="right"/>
              <w:ind w:right="5271"/>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080"/>
          </w:cols>
          <w:pgMar w:left="320" w:top="451"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39020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4200" cy="3902075"/>
                    </a:xfrm>
                    <a:prstGeom prst="rect">
                      <a:avLst/>
                    </a:prstGeom>
                    <a:noFill/>
                  </pic:spPr>
                </pic:pic>
              </a:graphicData>
            </a:graphic>
          </wp:anchor>
        </w:drawing>
      </w:r>
    </w:p>
    <w:p>
      <w:pPr>
        <w:spacing w:after="0" w:line="289" w:lineRule="exact"/>
        <w:rPr>
          <w:sz w:val="20"/>
          <w:szCs w:val="20"/>
          <w:color w:val="auto"/>
        </w:rPr>
      </w:pPr>
    </w:p>
    <w:p>
      <w:pPr>
        <w:ind w:left="340" w:right="100"/>
        <w:spacing w:after="0" w:line="250" w:lineRule="auto"/>
        <w:rPr>
          <w:sz w:val="20"/>
          <w:szCs w:val="20"/>
          <w:color w:val="auto"/>
        </w:rPr>
      </w:pPr>
      <w:r>
        <w:rPr>
          <w:rFonts w:ascii="Times New Roman" w:cs="Times New Roman" w:eastAsia="Times New Roman" w:hAnsi="Times New Roman"/>
          <w:sz w:val="18"/>
          <w:szCs w:val="18"/>
          <w:color w:val="auto"/>
        </w:rPr>
        <w:t>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we estimate that we would, as a result of the Offering Transactions and such hypothetical exchange, record a deferred tax asset of approximately $    million and that the aggregate noncurrent liability we would record based on our estimate of the aggregate amount that Medline Inc. would pay under the tax receivable agreement is approximately $    million, generally payable over a 15-year period. For each 5% increase (decrease) in the price per share of our Class A common stock (and therefore the value of the Common Units exchanged), our deferred tax asset would increase (decrease) by approximately $    million and the related liability for payments under the tax receivable agreement would increase (decrease) by approximately $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 Tax Receivable Agreement.”</w:t>
      </w:r>
    </w:p>
    <w:p>
      <w:pPr>
        <w:spacing w:after="0" w:line="193" w:lineRule="exact"/>
        <w:rPr>
          <w:sz w:val="20"/>
          <w:szCs w:val="20"/>
          <w:color w:val="auto"/>
        </w:rPr>
      </w:pPr>
    </w:p>
    <w:p>
      <w:pPr>
        <w:ind w:left="340" w:right="40" w:firstLine="422"/>
        <w:spacing w:after="0" w:line="253" w:lineRule="auto"/>
        <w:rPr>
          <w:sz w:val="20"/>
          <w:szCs w:val="20"/>
          <w:color w:val="auto"/>
        </w:rPr>
      </w:pPr>
      <w:r>
        <w:rPr>
          <w:rFonts w:ascii="Times New Roman" w:cs="Times New Roman" w:eastAsia="Times New Roman" w:hAnsi="Times New Roman"/>
          <w:sz w:val="18"/>
          <w:szCs w:val="18"/>
          <w:color w:val="auto"/>
        </w:rPr>
        <w:t>Our post-offering organizational structure, as described above, is commonly referred to as an umbrella partnership-C-corporation (“UP-C”) structure. This organizational structure will allow the Continuing Unitholders to retain their equity ownership in Medline Holdings, an entity that is classified as a partnership for U.S. federal income tax purposes, in the form of Units. Investors in this offering, the Pre-IPO Stockholders and 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84"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Medline Inc. will consolidate Medline Holdings in its consolidated financial statements and record a non-controlling interest related to the Units held by the Continuing Unitholders on its consolidated balance sheet and statement of comprehensive income.</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320" w:top="451" w:right="6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2204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34200" cy="6220460"/>
                    </a:xfrm>
                    <a:prstGeom prst="rect">
                      <a:avLst/>
                    </a:prstGeom>
                    <a:noFill/>
                  </pic:spPr>
                </pic:pic>
              </a:graphicData>
            </a:graphic>
          </wp:anchor>
        </w:drawing>
      </w:r>
    </w:p>
    <w:p>
      <w:pPr>
        <w:spacing w:after="0" w:line="289" w:lineRule="exact"/>
        <w:rPr>
          <w:sz w:val="20"/>
          <w:szCs w:val="20"/>
          <w:color w:val="auto"/>
        </w:rPr>
      </w:pPr>
    </w:p>
    <w:p>
      <w:pPr>
        <w:ind w:left="340" w:right="940" w:firstLine="422"/>
        <w:spacing w:after="0" w:line="278" w:lineRule="auto"/>
        <w:rPr>
          <w:sz w:val="20"/>
          <w:szCs w:val="20"/>
          <w:color w:val="auto"/>
        </w:rPr>
      </w:pPr>
      <w:r>
        <w:rPr>
          <w:rFonts w:ascii="Times New Roman" w:cs="Times New Roman" w:eastAsia="Times New Roman" w:hAnsi="Times New Roman"/>
          <w:sz w:val="18"/>
          <w:szCs w:val="18"/>
          <w:color w:val="auto"/>
        </w:rPr>
        <w:t>The simplified diagram below depicts our organizational structure immediately following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  Certain intermediate holding companies that are not material to this offering have been omitted from the structure chart.</w:t>
      </w:r>
    </w:p>
    <w:p>
      <w:pPr>
        <w:spacing w:after="0" w:line="2" w:lineRule="exact"/>
        <w:rPr>
          <w:sz w:val="20"/>
          <w:szCs w:val="20"/>
          <w:color w:val="auto"/>
        </w:rPr>
      </w:pPr>
    </w:p>
    <w:p>
      <w:pPr>
        <w:ind w:left="760" w:right="240" w:hanging="412"/>
        <w:spacing w:after="0" w:line="219"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our Class A common stock and Class B common stock entitles its holder to one vote on all matters to be voted on by the stockholders generally. For additional information, see “Description of Capital Stock—Common Stock.”</w:t>
      </w:r>
    </w:p>
    <w:tbl>
      <w:tblPr>
        <w:tblLayout w:type="fixed"/>
        <w:tblInd w:w="340" w:type="dxa"/>
        <w:tblCellMar>
          <w:top w:w="0" w:type="dxa"/>
          <w:left w:w="0" w:type="dxa"/>
          <w:bottom w:w="0" w:type="dxa"/>
          <w:right w:w="0" w:type="dxa"/>
        </w:tblCellMar>
      </w:tblPr>
      <w:tr>
        <w:trPr>
          <w:trHeight w:val="132"/>
        </w:trPr>
        <w:tc>
          <w:tcPr>
            <w:tcW w:w="300" w:type="dxa"/>
            <w:vAlign w:val="bottom"/>
          </w:tcPr>
          <w:p>
            <w:pPr>
              <w:jc w:val="right"/>
              <w:ind w:right="49"/>
              <w:spacing w:after="0" w:line="132" w:lineRule="exact"/>
              <w:rPr>
                <w:sz w:val="20"/>
                <w:szCs w:val="20"/>
                <w:color w:val="auto"/>
              </w:rPr>
            </w:pPr>
            <w:r>
              <w:rPr>
                <w:rFonts w:ascii="Times New Roman" w:cs="Times New Roman" w:eastAsia="Times New Roman" w:hAnsi="Times New Roman"/>
                <w:sz w:val="14"/>
                <w:szCs w:val="14"/>
                <w:color w:val="auto"/>
                <w:w w:val="97"/>
              </w:rPr>
              <w:t>(2)</w:t>
            </w:r>
          </w:p>
        </w:tc>
        <w:tc>
          <w:tcPr>
            <w:tcW w:w="10180" w:type="dxa"/>
            <w:vAlign w:val="bottom"/>
          </w:tcPr>
          <w:p>
            <w:pPr>
              <w:ind w:left="120"/>
              <w:spacing w:after="0" w:line="132" w:lineRule="exact"/>
              <w:rPr>
                <w:sz w:val="20"/>
                <w:szCs w:val="20"/>
                <w:color w:val="auto"/>
              </w:rPr>
            </w:pPr>
            <w:r>
              <w:rPr>
                <w:rFonts w:ascii="Times New Roman" w:cs="Times New Roman" w:eastAsia="Times New Roman" w:hAnsi="Times New Roman"/>
                <w:sz w:val="14"/>
                <w:szCs w:val="14"/>
                <w:color w:val="auto"/>
              </w:rPr>
              <w:t>At the time of this offering,          shares of Class A common stock would be issuable upon the exchange of an equivalent number of Common Units into which outstanding</w:t>
            </w:r>
          </w:p>
        </w:tc>
      </w:tr>
      <w:tr>
        <w:trPr>
          <w:trHeight w:val="147"/>
        </w:trPr>
        <w:tc>
          <w:tcPr>
            <w:tcW w:w="300" w:type="dxa"/>
            <w:vAlign w:val="bottom"/>
          </w:tcPr>
          <w:p>
            <w:pPr>
              <w:spacing w:after="0"/>
              <w:rPr>
                <w:sz w:val="12"/>
                <w:szCs w:val="12"/>
                <w:color w:val="auto"/>
              </w:rPr>
            </w:pPr>
          </w:p>
        </w:tc>
        <w:tc>
          <w:tcPr>
            <w:tcW w:w="101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Incentive Units held by the Continuing Incentive Unitholders may be converted (assuming an offering price of $      per share of Class A common stock, which is the midpoint</w:t>
            </w:r>
          </w:p>
        </w:tc>
      </w:tr>
      <w:tr>
        <w:trPr>
          <w:trHeight w:val="147"/>
        </w:trPr>
        <w:tc>
          <w:tcPr>
            <w:tcW w:w="300" w:type="dxa"/>
            <w:vAlign w:val="bottom"/>
          </w:tcPr>
          <w:p>
            <w:pPr>
              <w:spacing w:after="0"/>
              <w:rPr>
                <w:sz w:val="12"/>
                <w:szCs w:val="12"/>
                <w:color w:val="auto"/>
              </w:rPr>
            </w:pPr>
          </w:p>
        </w:tc>
        <w:tc>
          <w:tcPr>
            <w:tcW w:w="101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of the price range set forth on the cover of this prospectus, and assuming such Incentive Units are fully vested and converted to Common Units). For additional information, see</w:t>
            </w:r>
          </w:p>
        </w:tc>
      </w:tr>
      <w:tr>
        <w:trPr>
          <w:trHeight w:val="147"/>
        </w:trPr>
        <w:tc>
          <w:tcPr>
            <w:tcW w:w="300" w:type="dxa"/>
            <w:vAlign w:val="bottom"/>
          </w:tcPr>
          <w:p>
            <w:pPr>
              <w:spacing w:after="0"/>
              <w:rPr>
                <w:sz w:val="12"/>
                <w:szCs w:val="12"/>
                <w:color w:val="auto"/>
              </w:rPr>
            </w:pPr>
          </w:p>
        </w:tc>
        <w:tc>
          <w:tcPr>
            <w:tcW w:w="101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“Organizational Structure—Reclassification and Amendment and Restatement of the Limited Partnership Agreement of Medline Holdings” and “Certain Relationships and</w:t>
            </w:r>
          </w:p>
        </w:tc>
      </w:tr>
      <w:tr>
        <w:trPr>
          <w:trHeight w:val="185"/>
        </w:trPr>
        <w:tc>
          <w:tcPr>
            <w:tcW w:w="300" w:type="dxa"/>
            <w:vAlign w:val="bottom"/>
          </w:tcPr>
          <w:p>
            <w:pPr>
              <w:spacing w:after="0"/>
              <w:rPr>
                <w:sz w:val="16"/>
                <w:szCs w:val="16"/>
                <w:color w:val="auto"/>
              </w:rPr>
            </w:pPr>
          </w:p>
        </w:tc>
        <w:tc>
          <w:tcPr>
            <w:tcW w:w="10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Related Person Transactions—Medline Holdings Amended and Restated Limited Partnership Agreement.”</w:t>
            </w:r>
          </w:p>
        </w:tc>
      </w:tr>
    </w:tbl>
    <w:p>
      <w:pPr>
        <w:spacing w:after="0" w:line="180"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Upon consummation of the Reorganization Transactions and immediately prior to this offering, our pre-IPO owners will hold shares and interests that may be exchanged or settled for an aggregate of         million shares of Class A common stock, which we refer to as the “diluted pre-IPO shares outstanding,” consisting of (i) issued and outstanding shares of Class A common stock held by our Pre-IPO Stockholders and Exchanging Unitholders; (ii) shares of Class A common stock issuable on a one-for-one basis in exchange for Common Units held by our Continuing Common Unitholders; (iii) shares of Class A common stock issuable on a one-for-one basis in exchange for Common Units into which outstanding Incentive Units that will be held by the Continuing Incentive Unitholders may be converted; (iv) shares of Class A common stock in respect of RSUs to be granted to certain Exchanging Unitholders to compensate them for the loss of the opportunity to participate in the tax receivable agreement; and (v) shares of Class A common stock issuable upon exercise of stock options to be granted to certain Exchanging Class B Unitholders in substitution for a portion of the economic benefit to which the Class B Units are entitled prior to this offering that is not reflected in the exchange of Class B Units to shares</w:t>
      </w:r>
    </w:p>
    <w:p>
      <w:pPr>
        <w:spacing w:after="0" w:line="2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320" w:top="451"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39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34200" cy="6390640"/>
                    </a:xfrm>
                    <a:prstGeom prst="rect">
                      <a:avLst/>
                    </a:prstGeom>
                    <a:noFill/>
                  </pic:spPr>
                </pic:pic>
              </a:graphicData>
            </a:graphic>
          </wp:anchor>
        </w:drawing>
      </w:r>
    </w:p>
    <w:p>
      <w:pPr>
        <w:spacing w:after="0" w:line="289" w:lineRule="exact"/>
        <w:rPr>
          <w:sz w:val="20"/>
          <w:szCs w:val="20"/>
          <w:color w:val="auto"/>
        </w:rPr>
      </w:pPr>
    </w:p>
    <w:p>
      <w:pPr>
        <w:ind w:left="340" w:right="60"/>
        <w:spacing w:after="0" w:line="255" w:lineRule="auto"/>
        <w:rPr>
          <w:sz w:val="20"/>
          <w:szCs w:val="20"/>
          <w:color w:val="auto"/>
        </w:rPr>
      </w:pPr>
      <w:r>
        <w:rPr>
          <w:rFonts w:ascii="Times New Roman" w:cs="Times New Roman" w:eastAsia="Times New Roman" w:hAnsi="Times New Roman"/>
          <w:sz w:val="18"/>
          <w:szCs w:val="18"/>
          <w:color w:val="auto"/>
        </w:rPr>
        <w:t>of Class A common stock. Although the relative ownership among these categories of pre-IPO owners and the number of shares of Class A common stock into which their respective interests may be exchanged or settled will depend on the actual offering price, the total diluted pre-IPO shares outstanding will not change. The table below sets forth the relative ownership of the diluted pre-IPO shares outstanding among our pre-IPO owners assuming an offering price at the low point, the midpoint and the high point, respectively, of the price range set forth on the front cover of this prospectus.</w:t>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(Amounts in millions)</w:t>
            </w:r>
          </w:p>
        </w:tc>
        <w:tc>
          <w:tcPr>
            <w:tcW w:w="46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auto"/>
            </w:tcBorders>
            <w:vMerge w:val="continue"/>
          </w:tcPr>
          <w:p>
            <w:pPr>
              <w:spacing w:after="0"/>
              <w:rPr>
                <w:sz w:val="11"/>
                <w:szCs w:val="11"/>
                <w:color w:val="auto"/>
              </w:rPr>
            </w:pPr>
          </w:p>
        </w:tc>
        <w:tc>
          <w:tcPr>
            <w:tcW w:w="4680" w:type="dxa"/>
            <w:vAlign w:val="bottom"/>
          </w:tcPr>
          <w:p>
            <w:pPr>
              <w:spacing w:after="0"/>
              <w:rPr>
                <w:sz w:val="11"/>
                <w:szCs w:val="11"/>
                <w:color w:val="auto"/>
              </w:rPr>
            </w:pPr>
          </w:p>
        </w:tc>
        <w:tc>
          <w:tcPr>
            <w:tcW w:w="130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          (Low)</w:t>
            </w:r>
          </w:p>
        </w:tc>
        <w:tc>
          <w:tcPr>
            <w:tcW w:w="2000" w:type="dxa"/>
            <w:vAlign w:val="bottom"/>
          </w:tcPr>
          <w:p>
            <w:pPr>
              <w:ind w:left="460"/>
              <w:spacing w:after="0" w:line="127" w:lineRule="exact"/>
              <w:rPr>
                <w:sz w:val="20"/>
                <w:szCs w:val="20"/>
                <w:color w:val="auto"/>
              </w:rPr>
            </w:pPr>
            <w:r>
              <w:rPr>
                <w:rFonts w:ascii="Times New Roman" w:cs="Times New Roman" w:eastAsia="Times New Roman" w:hAnsi="Times New Roman"/>
                <w:sz w:val="14"/>
                <w:szCs w:val="14"/>
                <w:b w:val="1"/>
                <w:bCs w:val="1"/>
                <w:color w:val="auto"/>
              </w:rPr>
              <w:t>$        (Midpoint)</w:t>
            </w:r>
          </w:p>
        </w:tc>
        <w:tc>
          <w:tcPr>
            <w:tcW w:w="1260" w:type="dxa"/>
            <w:vAlign w:val="bottom"/>
          </w:tcPr>
          <w:p>
            <w:pPr>
              <w:ind w:left="460"/>
              <w:spacing w:after="0" w:line="127" w:lineRule="exact"/>
              <w:rPr>
                <w:sz w:val="20"/>
                <w:szCs w:val="20"/>
                <w:color w:val="auto"/>
              </w:rPr>
            </w:pPr>
            <w:r>
              <w:rPr>
                <w:rFonts w:ascii="Times New Roman" w:cs="Times New Roman" w:eastAsia="Times New Roman" w:hAnsi="Times New Roman"/>
                <w:sz w:val="14"/>
                <w:szCs w:val="14"/>
                <w:b w:val="1"/>
                <w:bCs w:val="1"/>
                <w:color w:val="auto"/>
              </w:rPr>
              <w:t>$        (High)</w:t>
            </w:r>
          </w:p>
        </w:tc>
        <w:tc>
          <w:tcPr>
            <w:tcW w:w="0" w:type="dxa"/>
            <w:vAlign w:val="bottom"/>
          </w:tcPr>
          <w:p>
            <w:pPr>
              <w:spacing w:after="0"/>
              <w:rPr>
                <w:sz w:val="1"/>
                <w:szCs w:val="1"/>
                <w:color w:val="auto"/>
              </w:rPr>
            </w:pPr>
          </w:p>
        </w:tc>
      </w:tr>
    </w:tbl>
    <w:p>
      <w:pPr>
        <w:ind w:left="360"/>
        <w:spacing w:after="0"/>
        <w:rPr>
          <w:sz w:val="20"/>
          <w:szCs w:val="20"/>
          <w:color w:val="auto"/>
        </w:rPr>
      </w:pPr>
      <w:r>
        <w:rPr>
          <w:rFonts w:ascii="Times New Roman" w:cs="Times New Roman" w:eastAsia="Times New Roman" w:hAnsi="Times New Roman"/>
          <w:sz w:val="18"/>
          <w:szCs w:val="18"/>
          <w:color w:val="auto"/>
        </w:rPr>
        <w:t>Shares of Class A common stock held by Pre-IPO Stockholders and</w:t>
      </w:r>
    </w:p>
    <w:p>
      <w:pPr>
        <w:spacing w:after="0" w:line="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Exchanging Unitholders</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Common</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Units held by our Continuing Common Unitholders</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as-</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converted Incentive Units held by Continuing Incentive</w:t>
      </w:r>
    </w:p>
    <w:p>
      <w:pPr>
        <w:ind w:left="540"/>
        <w:spacing w:after="0" w:line="185" w:lineRule="auto"/>
        <w:rPr>
          <w:sz w:val="20"/>
          <w:szCs w:val="20"/>
          <w:color w:val="auto"/>
        </w:rPr>
      </w:pPr>
      <w:r>
        <w:rPr>
          <w:rFonts w:ascii="Times New Roman" w:cs="Times New Roman" w:eastAsia="Times New Roman" w:hAnsi="Times New Roman"/>
          <w:sz w:val="17"/>
          <w:szCs w:val="17"/>
          <w:color w:val="auto"/>
        </w:rPr>
        <w:t>Unitholders</w:t>
      </w:r>
      <w:r>
        <w:rPr>
          <w:rFonts w:ascii="Times New Roman" w:cs="Times New Roman" w:eastAsia="Times New Roman" w:hAnsi="Times New Roman"/>
          <w:sz w:val="25"/>
          <w:szCs w:val="25"/>
          <w:color w:val="auto"/>
          <w:vertAlign w:val="superscript"/>
        </w:rPr>
        <w:t>(1)</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Shares of Class A common stock in respect of RSUs to be granted to</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certain Exchanging Unitholders</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Shares of Class A common stock issuable upon exercise of stock</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options to be granted to certain Exchanging Class B Unitholders</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71" w:lineRule="exact"/>
        <w:rPr>
          <w:sz w:val="20"/>
          <w:szCs w:val="20"/>
          <w:color w:val="auto"/>
        </w:rPr>
      </w:pPr>
    </w:p>
    <w:p>
      <w:pPr>
        <w:ind w:left="760" w:right="80" w:hanging="412"/>
        <w:spacing w:after="0" w:line="255" w:lineRule="auto"/>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this offering the Continuing Incentive Unitholders will hold an aggregate of           Incentive Units outstanding with a weighted-average participation threshold of $        per Incentive Unit.</w:t>
      </w:r>
    </w:p>
    <w:p>
      <w:pPr>
        <w:spacing w:after="0" w:line="27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Investment Risks</w:t>
      </w:r>
    </w:p>
    <w:p>
      <w:pPr>
        <w:spacing w:after="0" w:line="118" w:lineRule="exact"/>
        <w:rPr>
          <w:sz w:val="20"/>
          <w:szCs w:val="20"/>
          <w:color w:val="auto"/>
        </w:rPr>
      </w:pPr>
    </w:p>
    <w:p>
      <w:pPr>
        <w:ind w:left="340" w:right="80" w:firstLine="422"/>
        <w:spacing w:after="0" w:line="263" w:lineRule="auto"/>
        <w:rPr>
          <w:sz w:val="20"/>
          <w:szCs w:val="20"/>
          <w:color w:val="auto"/>
        </w:rPr>
      </w:pPr>
      <w:r>
        <w:rPr>
          <w:rFonts w:ascii="Times New Roman" w:cs="Times New Roman" w:eastAsia="Times New Roman" w:hAnsi="Times New Roman"/>
          <w:sz w:val="18"/>
          <w:szCs w:val="18"/>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82" w:lineRule="exact"/>
        <w:rPr>
          <w:sz w:val="20"/>
          <w:szCs w:val="20"/>
          <w:color w:val="auto"/>
        </w:rPr>
      </w:pPr>
    </w:p>
    <w:p>
      <w:pPr>
        <w:ind w:left="1280" w:right="380" w:hanging="410"/>
        <w:spacing w:after="0" w:line="27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proper function, security and availability of our information technology systems and data, as well as those of third parties throughout our global supply chain, to operate our business.</w:t>
      </w:r>
    </w:p>
    <w:p>
      <w:pPr>
        <w:spacing w:after="0" w:line="68" w:lineRule="exact"/>
        <w:rPr>
          <w:rFonts w:ascii="Times New Roman" w:cs="Times New Roman" w:eastAsia="Times New Roman" w:hAnsi="Times New Roman"/>
          <w:sz w:val="18"/>
          <w:szCs w:val="18"/>
          <w:color w:val="auto"/>
        </w:rPr>
      </w:pPr>
    </w:p>
    <w:p>
      <w:pPr>
        <w:ind w:left="1280" w:right="560" w:hanging="410"/>
        <w:spacing w:after="0" w:line="27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operations are subject to inherent risks that could materially adversely affect our business, results of operations and financial condition.</w:t>
      </w:r>
    </w:p>
    <w:p>
      <w:pPr>
        <w:spacing w:after="0" w:line="68" w:lineRule="exact"/>
        <w:rPr>
          <w:rFonts w:ascii="Times New Roman" w:cs="Times New Roman" w:eastAsia="Times New Roman" w:hAnsi="Times New Roman"/>
          <w:sz w:val="18"/>
          <w:szCs w:val="18"/>
          <w:color w:val="auto"/>
        </w:rPr>
      </w:pPr>
    </w:p>
    <w:p>
      <w:pPr>
        <w:ind w:left="1280" w:right="580" w:hanging="410"/>
        <w:spacing w:after="0" w:line="308" w:lineRule="auto"/>
        <w:tabs>
          <w:tab w:leader="none" w:pos="12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46" w:lineRule="exact"/>
        <w:rPr>
          <w:rFonts w:ascii="Times New Roman" w:cs="Times New Roman" w:eastAsia="Times New Roman" w:hAnsi="Times New Roman"/>
          <w:sz w:val="17"/>
          <w:szCs w:val="17"/>
          <w:color w:val="auto"/>
        </w:rPr>
      </w:pPr>
    </w:p>
    <w:p>
      <w:pPr>
        <w:ind w:left="1280" w:right="820" w:hanging="410"/>
        <w:spacing w:after="0" w:line="27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environmental, health and safety requirements, and our operations involve hazardous and other environmentally sensitive substances.</w:t>
      </w:r>
    </w:p>
    <w:p>
      <w:pPr>
        <w:spacing w:after="0" w:line="68" w:lineRule="exact"/>
        <w:rPr>
          <w:rFonts w:ascii="Times New Roman" w:cs="Times New Roman" w:eastAsia="Times New Roman" w:hAnsi="Times New Roman"/>
          <w:sz w:val="18"/>
          <w:szCs w:val="18"/>
          <w:color w:val="auto"/>
        </w:rPr>
      </w:pPr>
    </w:p>
    <w:p>
      <w:pPr>
        <w:ind w:left="1280" w:right="620" w:hanging="410"/>
        <w:spacing w:after="0" w:line="27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derive fully the anticipated benefits from our existing or future acquisitions, joint ventures, investments, dispositions, or other strategic transactions.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have an adverse effect on our business, results of operations and financial condition.</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could have a significant impact on our results of operations.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and cash flows may be adversely affected by inflationary pressures.</w:t>
      </w:r>
    </w:p>
    <w:p>
      <w:pPr>
        <w:spacing w:after="0" w:line="3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320" w:top="451" w:right="7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4692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34200" cy="4692015"/>
                    </a:xfrm>
                    <a:prstGeom prst="rect">
                      <a:avLst/>
                    </a:prstGeom>
                    <a:noFill/>
                  </pic:spPr>
                </pic:pic>
              </a:graphicData>
            </a:graphic>
          </wp:anchor>
        </w:drawing>
      </w:r>
    </w:p>
    <w:p>
      <w:pPr>
        <w:spacing w:after="0" w:line="289" w:lineRule="exact"/>
        <w:rPr>
          <w:sz w:val="20"/>
          <w:szCs w:val="20"/>
          <w:color w:val="auto"/>
        </w:rPr>
      </w:pPr>
    </w:p>
    <w:p>
      <w:pPr>
        <w:ind w:left="1280" w:right="340" w:hanging="410"/>
        <w:spacing w:after="0" w:line="278"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and domestic macro-economic and political conditions could materially adversely affect our business, results of operations and financial condition.</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with accelerating pricing pressure and changes in technology.</w:t>
      </w:r>
    </w:p>
    <w:p>
      <w:pPr>
        <w:spacing w:after="0" w:line="127" w:lineRule="exact"/>
        <w:rPr>
          <w:rFonts w:ascii="Times New Roman" w:cs="Times New Roman" w:eastAsia="Times New Roman" w:hAnsi="Times New Roman"/>
          <w:sz w:val="18"/>
          <w:szCs w:val="18"/>
          <w:color w:val="auto"/>
        </w:rPr>
      </w:pPr>
    </w:p>
    <w:p>
      <w:pPr>
        <w:ind w:left="1280" w:right="80" w:hanging="410"/>
        <w:spacing w:after="0" w:line="278"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develop and retain key employees.</w:t>
      </w:r>
    </w:p>
    <w:p>
      <w:pPr>
        <w:spacing w:after="0" w:line="127" w:lineRule="exact"/>
        <w:rPr>
          <w:rFonts w:ascii="Times New Roman" w:cs="Times New Roman" w:eastAsia="Times New Roman" w:hAnsi="Times New Roman"/>
          <w:sz w:val="18"/>
          <w:szCs w:val="18"/>
          <w:color w:val="auto"/>
        </w:rPr>
      </w:pPr>
    </w:p>
    <w:p>
      <w:pPr>
        <w:jc w:val="both"/>
        <w:ind w:left="1280" w:right="140" w:hanging="410"/>
        <w:spacing w:after="0" w:line="263"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81"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Designating Stockholders will continue to hold a significant percentage of our stock, and their interests may conflict with ours or yours in the future.</w:t>
      </w:r>
    </w:p>
    <w:p>
      <w:pPr>
        <w:spacing w:after="0" w:line="162" w:lineRule="exact"/>
        <w:rPr>
          <w:sz w:val="20"/>
          <w:szCs w:val="20"/>
          <w:color w:val="auto"/>
        </w:rPr>
      </w:pPr>
    </w:p>
    <w:p>
      <w:pPr>
        <w:ind w:left="340" w:firstLine="422"/>
        <w:spacing w:after="0" w:line="278" w:lineRule="auto"/>
        <w:rPr>
          <w:sz w:val="20"/>
          <w:szCs w:val="20"/>
          <w:color w:val="auto"/>
        </w:rPr>
      </w:pPr>
      <w:r>
        <w:rPr>
          <w:rFonts w:ascii="Times New Roman" w:cs="Times New Roman" w:eastAsia="Times New Roman" w:hAnsi="Times New Roman"/>
          <w:sz w:val="18"/>
          <w:szCs w:val="18"/>
          <w:color w:val="auto"/>
        </w:rPr>
        <w:t>Before you invest in our Class A common stock, you should carefully consider all of the information in this prospectus, including matters set forth under the heading “Risk Factors.”</w:t>
      </w:r>
    </w:p>
    <w:p>
      <w:pPr>
        <w:spacing w:after="0" w:line="26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18" w:lineRule="exact"/>
        <w:rPr>
          <w:sz w:val="20"/>
          <w:szCs w:val="20"/>
          <w:color w:val="auto"/>
        </w:rPr>
      </w:pPr>
    </w:p>
    <w:p>
      <w:pPr>
        <w:ind w:left="340" w:right="40" w:firstLine="422"/>
        <w:spacing w:after="0" w:line="255" w:lineRule="auto"/>
        <w:rPr>
          <w:sz w:val="20"/>
          <w:szCs w:val="20"/>
          <w:color w:val="auto"/>
        </w:rPr>
      </w:pPr>
      <w:r>
        <w:rPr>
          <w:rFonts w:ascii="Times New Roman" w:cs="Times New Roman" w:eastAsia="Times New Roman" w:hAnsi="Times New Roman"/>
          <w:sz w:val="18"/>
          <w:szCs w:val="18"/>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84" w:lineRule="exact"/>
        <w:rPr>
          <w:sz w:val="20"/>
          <w:szCs w:val="20"/>
          <w:color w:val="auto"/>
        </w:rPr>
      </w:pPr>
    </w:p>
    <w:p>
      <w:pPr>
        <w:ind w:left="340" w:right="460" w:firstLine="422"/>
        <w:spacing w:after="0" w:line="278" w:lineRule="auto"/>
        <w:rPr>
          <w:sz w:val="20"/>
          <w:szCs w:val="20"/>
          <w:color w:val="auto"/>
        </w:rPr>
      </w:pPr>
      <w:r>
        <w:rPr>
          <w:rFonts w:ascii="Times New Roman" w:cs="Times New Roman" w:eastAsia="Times New Roman" w:hAnsi="Times New Roman"/>
          <w:sz w:val="18"/>
          <w:szCs w:val="18"/>
          <w:color w:val="auto"/>
        </w:rPr>
        <w:t>In 2023, as part of a multi-year succession planning process, we elevated Jim Boyle to Chief Executive Officer, with Charles N. Mills, Andrew J. Mills, and James D. Abrams continuing to serve on our board.</w:t>
      </w:r>
    </w:p>
    <w:p>
      <w:pPr>
        <w:spacing w:after="0" w:line="162" w:lineRule="exact"/>
        <w:rPr>
          <w:sz w:val="20"/>
          <w:szCs w:val="20"/>
          <w:color w:val="auto"/>
        </w:rPr>
      </w:pPr>
    </w:p>
    <w:p>
      <w:pPr>
        <w:ind w:left="340" w:right="40" w:firstLine="422"/>
        <w:spacing w:after="0" w:line="258" w:lineRule="auto"/>
        <w:rPr>
          <w:sz w:val="20"/>
          <w:szCs w:val="20"/>
          <w:color w:val="auto"/>
        </w:rPr>
      </w:pPr>
      <w:r>
        <w:rPr>
          <w:rFonts w:ascii="Times New Roman" w:cs="Times New Roman" w:eastAsia="Times New Roman" w:hAnsi="Times New Roman"/>
          <w:sz w:val="18"/>
          <w:szCs w:val="18"/>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8"/>
          <w:szCs w:val="18"/>
          <w:i w:val="1"/>
          <w:iCs w:val="1"/>
          <w:color w:val="auto"/>
        </w:rPr>
        <w:t>www.medline.com</w:t>
      </w:r>
      <w:r>
        <w:rPr>
          <w:rFonts w:ascii="Times New Roman" w:cs="Times New Roman" w:eastAsia="Times New Roman" w:hAnsi="Times New Roman"/>
          <w:sz w:val="18"/>
          <w:szCs w:val="18"/>
          <w:color w:val="auto"/>
        </w:rPr>
        <w:t xml:space="preserve">.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 can be accessed through, our website is not part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p>
    <w:p>
      <w:pPr>
        <w:spacing w:after="0" w:line="30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20"/>
          </w:cols>
          <w:pgMar w:left="320" w:top="451" w:right="7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159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34200" cy="5159375"/>
                    </a:xfrm>
                    <a:prstGeom prst="rect">
                      <a:avLst/>
                    </a:prstGeom>
                    <a:noFill/>
                  </pic:spPr>
                </pic:pic>
              </a:graphicData>
            </a:graphic>
          </wp:anchor>
        </w:drawing>
      </w:r>
    </w:p>
    <w:p>
      <w:pPr>
        <w:spacing w:after="0" w:line="28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00"/>
          </w:cols>
          <w:pgMar w:left="320" w:top="451" w:right="779" w:bottom="1440" w:gutter="0" w:footer="0" w:header="0"/>
        </w:sectPr>
      </w:pP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Class A common stock offered by Medline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        shares (or         shares if the underwriters exercise in full their option to purchase additional shares of Class A common stock).</w:t>
      </w:r>
    </w:p>
    <w:p>
      <w:pPr>
        <w:spacing w:after="0" w:line="189" w:lineRule="exact"/>
        <w:rPr>
          <w:sz w:val="20"/>
          <w:szCs w:val="20"/>
          <w:color w:val="auto"/>
        </w:rPr>
      </w:pPr>
    </w:p>
    <w:p>
      <w:pPr>
        <w:sectPr>
          <w:pgSz w:w="11900" w:h="16838" w:orient="portrait"/>
          <w:cols w:equalWidth="0" w:num="2">
            <w:col w:w="3720" w:space="620"/>
            <w:col w:w="6460"/>
          </w:cols>
          <w:pgMar w:left="320" w:top="451" w:right="779" w:bottom="1440" w:gutter="0" w:footer="0" w:header="0"/>
          <w:type w:val="continuous"/>
        </w:sectPr>
      </w:pPr>
    </w:p>
    <w:tbl>
      <w:tblPr>
        <w:tblLayout w:type="fixed"/>
        <w:tblInd w:w="340" w:type="dxa"/>
        <w:tblCellMar>
          <w:top w:w="0" w:type="dxa"/>
          <w:left w:w="0" w:type="dxa"/>
          <w:bottom w:w="0" w:type="dxa"/>
          <w:right w:w="0" w:type="dxa"/>
        </w:tblCellMar>
      </w:tblP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Class A common stock outstanding, after giving effect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(or             shares if the underwriters exercise in full their option to</w:t>
            </w:r>
          </w:p>
        </w:tc>
      </w:tr>
      <w:tr>
        <w:trPr>
          <w:trHeight w:val="233"/>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this offering</w:t>
            </w:r>
          </w:p>
        </w:tc>
        <w:tc>
          <w:tcPr>
            <w:tcW w:w="64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purchase additional shares of Class A common stock).</w:t>
            </w:r>
          </w:p>
        </w:tc>
      </w:tr>
      <w:tr>
        <w:trPr>
          <w:trHeight w:val="44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outstanding after this offering,</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(which does not reflect any shares of Class A common stock issuable in</w:t>
            </w:r>
          </w:p>
        </w:tc>
      </w:tr>
      <w:tr>
        <w:trPr>
          <w:trHeight w:val="21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assuming exchange of all Common Units held by the</w:t>
            </w:r>
          </w:p>
        </w:tc>
        <w:tc>
          <w:tcPr>
            <w:tcW w:w="64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exchange for as-converted Incentive Units).</w:t>
            </w:r>
          </w:p>
        </w:tc>
      </w:tr>
      <w:tr>
        <w:trPr>
          <w:trHeight w:val="233"/>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Continuing Common Unitholders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80" w:type="dxa"/>
            <w:vAlign w:val="bottom"/>
          </w:tcPr>
          <w:p>
            <w:pPr>
              <w:spacing w:after="0"/>
              <w:rPr>
                <w:sz w:val="20"/>
                <w:szCs w:val="20"/>
                <w:color w:val="auto"/>
              </w:rPr>
            </w:pPr>
          </w:p>
        </w:tc>
      </w:tr>
      <w:tr>
        <w:trPr>
          <w:trHeight w:val="44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Class B common stock outstanding, after giving effect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all of which will be held by the Continuing Common Unitholders (or</w:t>
            </w:r>
          </w:p>
        </w:tc>
      </w:tr>
      <w:tr>
        <w:trPr>
          <w:trHeight w:val="21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this offering</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if the underwriters exercise in full their option to purchase additional</w:t>
            </w:r>
          </w:p>
        </w:tc>
      </w:tr>
      <w:tr>
        <w:trPr>
          <w:trHeight w:val="233"/>
        </w:trPr>
        <w:tc>
          <w:tcPr>
            <w:tcW w:w="3940" w:type="dxa"/>
            <w:vAlign w:val="bottom"/>
          </w:tcPr>
          <w:p>
            <w:pPr>
              <w:spacing w:after="0"/>
              <w:rPr>
                <w:sz w:val="20"/>
                <w:szCs w:val="20"/>
                <w:color w:val="auto"/>
              </w:rPr>
            </w:pPr>
          </w:p>
        </w:tc>
        <w:tc>
          <w:tcPr>
            <w:tcW w:w="64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shares of Class A common stock).</w:t>
            </w:r>
          </w:p>
        </w:tc>
      </w:tr>
    </w:tbl>
    <w:p>
      <w:pPr>
        <w:spacing w:after="0" w:line="200" w:lineRule="exact"/>
        <w:rPr>
          <w:sz w:val="20"/>
          <w:szCs w:val="20"/>
          <w:color w:val="auto"/>
        </w:rPr>
      </w:pPr>
    </w:p>
    <w:p>
      <w:pPr>
        <w:sectPr>
          <w:pgSz w:w="11900" w:h="16838" w:orient="portrait"/>
          <w:cols w:equalWidth="0" w:num="1">
            <w:col w:w="10800"/>
          </w:cols>
          <w:pgMar w:left="320" w:top="451" w:right="779" w:bottom="1440" w:gutter="0" w:footer="0" w:header="0"/>
          <w:type w:val="continuous"/>
        </w:sectPr>
      </w:pPr>
    </w:p>
    <w:p>
      <w:pPr>
        <w:spacing w:after="0" w:line="22" w:lineRule="exact"/>
        <w:rPr>
          <w:sz w:val="20"/>
          <w:szCs w:val="20"/>
          <w:color w:val="auto"/>
        </w:rPr>
      </w:pPr>
    </w:p>
    <w:p>
      <w:pPr>
        <w:ind w:left="420" w:hanging="77"/>
        <w:spacing w:after="0" w:line="278" w:lineRule="auto"/>
        <w:rPr>
          <w:sz w:val="20"/>
          <w:szCs w:val="20"/>
          <w:color w:val="auto"/>
        </w:rPr>
      </w:pPr>
      <w:r>
        <w:rPr>
          <w:rFonts w:ascii="Times New Roman" w:cs="Times New Roman" w:eastAsia="Times New Roman" w:hAnsi="Times New Roman"/>
          <w:sz w:val="18"/>
          <w:szCs w:val="18"/>
          <w:color w:val="auto"/>
        </w:rPr>
        <w:t>Voting power held by investors in this offering, after giving effect to this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  % (or   %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100" w:space="240"/>
            <w:col w:w="6460"/>
          </w:cols>
          <w:pgMar w:left="320" w:top="451" w:right="77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Voting power held by our pre-IPO owners, after giving    % (or    % if the underwriters exercise in full their option to purchase additional shares</w:t>
      </w:r>
    </w:p>
    <w:p>
      <w:pPr>
        <w:spacing w:after="0" w:line="37" w:lineRule="exact"/>
        <w:rPr>
          <w:sz w:val="20"/>
          <w:szCs w:val="20"/>
          <w:color w:val="auto"/>
        </w:rPr>
      </w:pPr>
    </w:p>
    <w:p>
      <w:pPr>
        <w:ind w:left="420"/>
        <w:spacing w:after="0"/>
        <w:tabs>
          <w:tab w:leader="none" w:pos="4320" w:val="left"/>
        </w:tabs>
        <w:rPr>
          <w:sz w:val="20"/>
          <w:szCs w:val="20"/>
          <w:color w:val="auto"/>
        </w:rPr>
      </w:pPr>
      <w:r>
        <w:rPr>
          <w:rFonts w:ascii="Times New Roman" w:cs="Times New Roman" w:eastAsia="Times New Roman" w:hAnsi="Times New Roman"/>
          <w:sz w:val="18"/>
          <w:szCs w:val="18"/>
          <w:color w:val="auto"/>
        </w:rPr>
        <w:t>effect to this offering</w:t>
      </w:r>
      <w:r>
        <w:rPr>
          <w:sz w:val="20"/>
          <w:szCs w:val="20"/>
          <w:color w:val="auto"/>
        </w:rPr>
        <w:tab/>
      </w:r>
      <w:r>
        <w:rPr>
          <w:rFonts w:ascii="Times New Roman" w:cs="Times New Roman" w:eastAsia="Times New Roman" w:hAnsi="Times New Roman"/>
          <w:sz w:val="17"/>
          <w:szCs w:val="17"/>
          <w:color w:val="auto"/>
        </w:rPr>
        <w:t>of Class A common stock).</w:t>
      </w:r>
    </w:p>
    <w:p>
      <w:pPr>
        <w:spacing w:after="0" w:line="242" w:lineRule="exact"/>
        <w:rPr>
          <w:sz w:val="20"/>
          <w:szCs w:val="20"/>
          <w:color w:val="auto"/>
        </w:rPr>
      </w:pPr>
    </w:p>
    <w:p>
      <w:pPr>
        <w:ind w:left="340"/>
        <w:spacing w:after="0"/>
        <w:tabs>
          <w:tab w:leader="none" w:pos="43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estimate that the proceeds to Medline Inc. from this offering, after deducting estimated</w:t>
      </w:r>
    </w:p>
    <w:p>
      <w:pPr>
        <w:spacing w:after="0" w:line="26" w:lineRule="exact"/>
        <w:rPr>
          <w:sz w:val="20"/>
          <w:szCs w:val="20"/>
          <w:color w:val="auto"/>
        </w:rPr>
      </w:pPr>
    </w:p>
    <w:p>
      <w:pPr>
        <w:ind w:left="4340" w:right="140"/>
        <w:spacing w:after="0" w:line="252" w:lineRule="auto"/>
        <w:rPr>
          <w:sz w:val="20"/>
          <w:szCs w:val="20"/>
          <w:color w:val="auto"/>
        </w:rPr>
      </w:pPr>
      <w:r>
        <w:rPr>
          <w:rFonts w:ascii="Times New Roman" w:cs="Times New Roman" w:eastAsia="Times New Roman" w:hAnsi="Times New Roman"/>
          <w:sz w:val="18"/>
          <w:szCs w:val="18"/>
          <w:color w:val="auto"/>
        </w:rPr>
        <w:t>underwriting discounts and commissions, will be approximately $        million (or $        million if the underwriters exercise in full their option to purchase additional shares of Class A common stock).</w:t>
      </w:r>
    </w:p>
    <w:p>
      <w:pPr>
        <w:spacing w:after="0" w:line="212" w:lineRule="exact"/>
        <w:rPr>
          <w:sz w:val="20"/>
          <w:szCs w:val="20"/>
          <w:color w:val="auto"/>
        </w:rPr>
      </w:pPr>
    </w:p>
    <w:p>
      <w:pPr>
        <w:ind w:left="4340" w:right="40"/>
        <w:spacing w:after="0" w:line="252" w:lineRule="auto"/>
        <w:rPr>
          <w:sz w:val="20"/>
          <w:szCs w:val="20"/>
          <w:color w:val="auto"/>
        </w:rPr>
      </w:pPr>
      <w:r>
        <w:rPr>
          <w:rFonts w:ascii="Times New Roman" w:cs="Times New Roman" w:eastAsia="Times New Roman" w:hAnsi="Times New Roman"/>
          <w:sz w:val="18"/>
          <w:szCs w:val="18"/>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Common Units from Medline Holdings, as described under “Organizational Structure— Offering Transactions,” which Medline Holdings will in turn use for general corporate purposes, including the repayment of indebtedness, and to bear all of the expenses of this offering. We estimate these offering expenses</w:t>
      </w:r>
    </w:p>
    <w:p>
      <w:pPr>
        <w:spacing w:after="0" w:line="3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00"/>
          </w:cols>
          <w:pgMar w:left="320" w:top="451" w:right="7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169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4200" cy="6169660"/>
                    </a:xfrm>
                    <a:prstGeom prst="rect">
                      <a:avLst/>
                    </a:prstGeom>
                    <a:noFill/>
                  </pic:spPr>
                </pic:pic>
              </a:graphicData>
            </a:graphic>
          </wp:anchor>
        </w:drawing>
      </w:r>
    </w:p>
    <w:p>
      <w:pPr>
        <w:spacing w:after="0" w:line="2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xml:space="preserve">(excluding underwriting discounts and commissions) will be approximately $          </w:t>
      </w:r>
    </w:p>
    <w:p>
      <w:pPr>
        <w:spacing w:after="0" w:line="26"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2760" w:type="dxa"/>
            <w:vAlign w:val="bottom"/>
          </w:tcPr>
          <w:p>
            <w:pPr>
              <w:spacing w:after="0"/>
              <w:rPr>
                <w:sz w:val="20"/>
                <w:szCs w:val="20"/>
                <w:color w:val="auto"/>
              </w:rPr>
            </w:pP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million. See “Use of Proceeds.”</w:t>
            </w:r>
          </w:p>
        </w:tc>
      </w:tr>
      <w:tr>
        <w:trPr>
          <w:trHeight w:val="430"/>
        </w:trPr>
        <w:tc>
          <w:tcPr>
            <w:tcW w:w="2760" w:type="dxa"/>
            <w:vAlign w:val="bottom"/>
          </w:tcPr>
          <w:p>
            <w:pPr>
              <w:spacing w:after="0"/>
              <w:rPr>
                <w:sz w:val="24"/>
                <w:szCs w:val="24"/>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Medline Inc. intends to use any proceeds from the issuance of shares pursuant to any</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exercise by the underwriters of their option to purchase additional shares of Class A</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common stock to purchase or redeem outstanding equity interests from certain of our</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pre-IPO owners at a price per equity interest equal to the initial public offering price per</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share of our Class A common stock less the underwriting discounts and commissions, as</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described under “Organizational Structure—Offering Transactions.” Accordingly, we will</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not retain any of these proceeds. See “Principal Stockholders” for information regarding</w:t>
            </w:r>
          </w:p>
        </w:tc>
      </w:tr>
      <w:tr>
        <w:trPr>
          <w:trHeight w:val="233"/>
        </w:trPr>
        <w:tc>
          <w:tcPr>
            <w:tcW w:w="2760" w:type="dxa"/>
            <w:vAlign w:val="bottom"/>
          </w:tcPr>
          <w:p>
            <w:pPr>
              <w:spacing w:after="0"/>
              <w:rPr>
                <w:sz w:val="20"/>
                <w:szCs w:val="20"/>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proceeds from this offering that may be paid to certain of our pre-IPO owners.</w:t>
            </w:r>
          </w:p>
        </w:tc>
      </w:tr>
      <w:tr>
        <w:trPr>
          <w:trHeight w:val="43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to be</w:t>
            </w:r>
          </w:p>
        </w:tc>
      </w:tr>
      <w:tr>
        <w:trPr>
          <w:trHeight w:val="233"/>
        </w:trPr>
        <w:tc>
          <w:tcPr>
            <w:tcW w:w="2760" w:type="dxa"/>
            <w:vAlign w:val="bottom"/>
          </w:tcPr>
          <w:p>
            <w:pPr>
              <w:spacing w:after="0"/>
              <w:rPr>
                <w:sz w:val="20"/>
                <w:szCs w:val="20"/>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voted on by stockholders generally.</w:t>
            </w:r>
          </w:p>
        </w:tc>
      </w:tr>
      <w:tr>
        <w:trPr>
          <w:trHeight w:val="436"/>
        </w:trPr>
        <w:tc>
          <w:tcPr>
            <w:tcW w:w="2760" w:type="dxa"/>
            <w:vAlign w:val="bottom"/>
          </w:tcPr>
          <w:p>
            <w:pPr>
              <w:spacing w:after="0"/>
              <w:rPr>
                <w:sz w:val="24"/>
                <w:szCs w:val="24"/>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Continuing Common Unitholders will hold all of the initially outstanding shares of our</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Class B common stock and, upon conversion of vested Incentive Units for Common Units,</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converting holders will also receive an equivalent number of shares of Class B common</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stock. The shares of Class B common stock will have no economic rights but will entitle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each holder to one vote for each share held of record on all matters to be voted on by</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stockholders generally, with the number of shares of Class B common stock held by each</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Continuing Unitholder being equivalent to the number of Common Units held by each such</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Continuing Unitholder. If at any time the ratio at which Common Units are exchangeable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for shares of our Class A common stock changes from one-for-one as described under</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“Certain Relationships and Related Person Transactions—Exchange Agreement,” the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number of votes to which Class B common stockholders are entitled will be adjusted</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accordingly. Holders of shares of our Class B common stock will vote together with</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holders of our Class A common stock as a single class on all matters on which stockholders</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are entitled to vote generally, except as otherwise required by law. See “Description of</w:t>
            </w:r>
          </w:p>
        </w:tc>
      </w:tr>
      <w:tr>
        <w:trPr>
          <w:trHeight w:val="233"/>
        </w:trPr>
        <w:tc>
          <w:tcPr>
            <w:tcW w:w="2760" w:type="dxa"/>
            <w:vAlign w:val="bottom"/>
          </w:tcPr>
          <w:p>
            <w:pPr>
              <w:spacing w:after="0"/>
              <w:rPr>
                <w:sz w:val="20"/>
                <w:szCs w:val="20"/>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Capital Stock—Common Stock—Class B Common Stock.”</w:t>
            </w:r>
          </w:p>
        </w:tc>
      </w:tr>
      <w:tr>
        <w:trPr>
          <w:trHeight w:val="43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We have no current plans to pay dividends on our Class A common stock following this</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offering. The declaration, amount, and payment of any future dividends will be at the sole</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discretion of our board of directors and will depend on general economic and business</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conditions; our financial condition and operating results; our available cash; current and</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anticipated cash needs; capital requirements; contractual, legal, tax, and regulatory</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restrictions and implications on the payment of dividends by us to our stockholders or by</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our subsidiaries (including Medline Holdings) to us; and such other factors as our board of</w:t>
            </w:r>
          </w:p>
        </w:tc>
      </w:tr>
      <w:tr>
        <w:trPr>
          <w:trHeight w:val="214"/>
        </w:trPr>
        <w:tc>
          <w:tcPr>
            <w:tcW w:w="276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directors may deem relevant. Holders of Class B common stock are not entitled to any</w:t>
            </w:r>
          </w:p>
        </w:tc>
      </w:tr>
      <w:tr>
        <w:trPr>
          <w:trHeight w:val="233"/>
        </w:trPr>
        <w:tc>
          <w:tcPr>
            <w:tcW w:w="2760" w:type="dxa"/>
            <w:vAlign w:val="bottom"/>
          </w:tcPr>
          <w:p>
            <w:pPr>
              <w:spacing w:after="0"/>
              <w:rPr>
                <w:sz w:val="20"/>
                <w:szCs w:val="20"/>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dividends.</w:t>
            </w:r>
          </w:p>
        </w:tc>
      </w:tr>
      <w:tr>
        <w:trPr>
          <w:trHeight w:val="436"/>
        </w:trPr>
        <w:tc>
          <w:tcPr>
            <w:tcW w:w="2760" w:type="dxa"/>
            <w:vAlign w:val="bottom"/>
          </w:tcPr>
          <w:p>
            <w:pPr>
              <w:spacing w:after="0"/>
              <w:rPr>
                <w:sz w:val="24"/>
                <w:szCs w:val="24"/>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Medline Inc. is a holding company and has no material assets other than its equity interests</w:t>
            </w:r>
          </w:p>
        </w:tc>
      </w:tr>
      <w:tr>
        <w:trPr>
          <w:trHeight w:val="233"/>
        </w:trPr>
        <w:tc>
          <w:tcPr>
            <w:tcW w:w="2760" w:type="dxa"/>
            <w:vAlign w:val="bottom"/>
          </w:tcPr>
          <w:p>
            <w:pPr>
              <w:spacing w:after="0"/>
              <w:rPr>
                <w:sz w:val="20"/>
                <w:szCs w:val="20"/>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held directly or indirectly through wholly</w:t>
            </w:r>
          </w:p>
        </w:tc>
      </w:tr>
      <w:tr>
        <w:trPr>
          <w:trHeight w:val="170"/>
        </w:trPr>
        <w:tc>
          <w:tcPr>
            <w:tcW w:w="276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tcPr>
          <w:p>
            <w:pPr>
              <w:spacing w:after="0"/>
              <w:rPr>
                <w:sz w:val="14"/>
                <w:szCs w:val="14"/>
                <w:color w:val="auto"/>
              </w:rPr>
            </w:pPr>
          </w:p>
        </w:tc>
      </w:tr>
      <w:tr>
        <w:trPr>
          <w:trHeight w:val="358"/>
        </w:trPr>
        <w:tc>
          <w:tcPr>
            <w:tcW w:w="2760" w:type="dxa"/>
            <w:vAlign w:val="bottom"/>
          </w:tcPr>
          <w:p>
            <w:pPr>
              <w:spacing w:after="0"/>
              <w:rPr>
                <w:sz w:val="24"/>
                <w:szCs w:val="24"/>
                <w:color w:val="auto"/>
              </w:rPr>
            </w:pPr>
          </w:p>
        </w:tc>
        <w:tc>
          <w:tcPr>
            <w:tcW w:w="81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080"/>
          </w:cols>
          <w:pgMar w:left="320" w:top="45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0" w:lineRule="exact"/>
        <w:rPr>
          <w:sz w:val="20"/>
          <w:szCs w:val="20"/>
          <w:color w:val="auto"/>
        </w:rPr>
      </w:pPr>
    </w:p>
    <w:tbl>
      <w:tblPr>
        <w:tblLayout w:type="fixed"/>
        <w:tblInd w:w="170" w:type="dxa"/>
        <w:tblCellMar>
          <w:top w:w="0" w:type="dxa"/>
          <w:left w:w="0" w:type="dxa"/>
          <w:bottom w:w="0" w:type="dxa"/>
          <w:right w:w="0" w:type="dxa"/>
        </w:tblCellMar>
      </w:tblPr>
      <w:tr>
        <w:trPr>
          <w:trHeight w:val="373"/>
        </w:trPr>
        <w:tc>
          <w:tcPr>
            <w:tcW w:w="3960" w:type="dxa"/>
            <w:vAlign w:val="bottom"/>
            <w:tcBorders>
              <w:top w:val="single" w:sz="8" w:color="auto"/>
              <w:left w:val="single" w:sz="8" w:color="auto"/>
            </w:tcBorders>
          </w:tcPr>
          <w:p>
            <w:pPr>
              <w:spacing w:after="0"/>
              <w:rPr>
                <w:sz w:val="24"/>
                <w:szCs w:val="24"/>
                <w:color w:val="auto"/>
              </w:rPr>
            </w:pPr>
          </w:p>
        </w:tc>
        <w:tc>
          <w:tcPr>
            <w:tcW w:w="69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owned subsidiaries in Medline Holdings. We intend to cause Medline Holdings to make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distributions to us in an amount sufficient to cover cash dividends, if any, declared by us. If</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Medline Holdings makes such distributions to Medline Inc., the other holders of Common</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Units and any participating Incentive Units (as described below) will be entitled to receive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equivalent pro rata distributions. Incentive Units initially will not be entitled to receive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distributions (other than tax distributions) until holders of Common Units have received a</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minimum return as provided in the amended and restated limited partnership agreement of</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Medline Holdings. However, Incentive Units will have the benefit of adjustment provisions</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that will reduce the participation threshold for distributions in respect of which they do not</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participate until there is no participation threshold, at and after which time the Incentive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Units would participate pro rata with distributions on Common Units. The adjustment to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participation threshold of an Incentive Unit for distributions in respect of which such</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Incentive Unit does not participate will be factored into calculating the number of Common</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Units the holder of vested Incentive Units would receive upon conversion of a vested</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Incentive Unit for a Common Unit.</w:t>
            </w:r>
          </w:p>
        </w:tc>
      </w:tr>
      <w:tr>
        <w:trPr>
          <w:trHeight w:val="409"/>
        </w:trPr>
        <w:tc>
          <w:tcPr>
            <w:tcW w:w="396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Under the terms of the amended and restated limited partnership agreement, Medline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Holdings is obligated to make tax distributions to holders of Units (including Medline Inc.)</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at certain assumed tax rates. See “Risk Factors—Risks Related to Our Organizational</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Structure—Medline Inc. is a holding company and its only material assets after completion</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of this offering will be its equity interests held directly or indirectly through wholly owned</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subsidiaries in Medline Holdings, and it is accordingly dependent upon distributions from</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Medline Holdings to pay taxes, make payments under the tax receivable agreement, and</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pay dividends.”</w:t>
            </w:r>
          </w:p>
        </w:tc>
      </w:tr>
      <w:tr>
        <w:trPr>
          <w:trHeight w:val="436"/>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rights of holders of Common Units and</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Prior to this offering, we will enter into an exchange agreement with the Continuing</w:t>
            </w:r>
          </w:p>
        </w:tc>
      </w:tr>
      <w:tr>
        <w:trPr>
          <w:trHeight w:val="214"/>
        </w:trPr>
        <w:tc>
          <w:tcPr>
            <w:tcW w:w="39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Incentive Units</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Unitholders so that they may, after the completion of this offering (subject to the terms of</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exchange agreement), exchange their Common Units (including Common Units issued</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upon conversion of vested Incentive Units) for shares of Class A common stock of Medline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 on a one-for-one basis, subject to customary conversion rate adjustments for stock</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splits, stock dividends and reclassifications, whereupon an equivalent number of shares of</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Class B common stock held by each such Continuing Unitholder will be automatically</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transferred to us and cancelled and retired upon any such exchange. See “Certain</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Relationships and Related Person Transactions—Exchange Agreement.”</w:t>
            </w:r>
          </w:p>
        </w:tc>
      </w:tr>
      <w:tr>
        <w:trPr>
          <w:trHeight w:val="436"/>
        </w:trPr>
        <w:tc>
          <w:tcPr>
            <w:tcW w:w="396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Subject to certain restrictions, the holders of vested Incentive Units will have the right to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 their vested Incentive Units into a number of Common Units that will generally be</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equal to (a) the product of the number of vested Incentive Units to be converted with</w:t>
            </w:r>
          </w:p>
        </w:tc>
      </w:tr>
      <w:tr>
        <w:trPr>
          <w:trHeight w:val="170"/>
        </w:trPr>
        <w:tc>
          <w:tcPr>
            <w:tcW w:w="3960" w:type="dxa"/>
            <w:vAlign w:val="bottom"/>
            <w:tcBorders>
              <w:left w:val="single" w:sz="8" w:color="auto"/>
              <w:bottom w:val="single" w:sz="8" w:color="auto"/>
            </w:tcBorders>
          </w:tcPr>
          <w:p>
            <w:pPr>
              <w:spacing w:after="0"/>
              <w:rPr>
                <w:sz w:val="14"/>
                <w:szCs w:val="14"/>
                <w:color w:val="auto"/>
              </w:rPr>
            </w:pPr>
          </w:p>
        </w:tc>
        <w:tc>
          <w:tcPr>
            <w:tcW w:w="6960" w:type="dxa"/>
            <w:vAlign w:val="bottom"/>
            <w:tcBorders>
              <w:bottom w:val="single" w:sz="8" w:color="auto"/>
              <w:right w:val="single" w:sz="8" w:color="auto"/>
            </w:tcBorders>
          </w:tcPr>
          <w:p>
            <w:pPr>
              <w:spacing w:after="0"/>
              <w:rPr>
                <w:sz w:val="14"/>
                <w:szCs w:val="14"/>
                <w:color w:val="auto"/>
              </w:rPr>
            </w:pPr>
          </w:p>
        </w:tc>
      </w:tr>
      <w:tr>
        <w:trPr>
          <w:trHeight w:val="358"/>
        </w:trPr>
        <w:tc>
          <w:tcPr>
            <w:tcW w:w="3960" w:type="dxa"/>
            <w:vAlign w:val="bottom"/>
          </w:tcPr>
          <w:p>
            <w:pPr>
              <w:spacing w:after="0"/>
              <w:rPr>
                <w:sz w:val="24"/>
                <w:szCs w:val="24"/>
                <w:color w:val="auto"/>
              </w:rPr>
            </w:pPr>
          </w:p>
        </w:tc>
        <w:tc>
          <w:tcPr>
            <w:tcW w:w="69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080"/>
          </w:cols>
          <w:pgMar w:left="320" w:top="451"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0" w:lineRule="exact"/>
        <w:rPr>
          <w:sz w:val="20"/>
          <w:szCs w:val="20"/>
          <w:color w:val="auto"/>
        </w:rPr>
      </w:pPr>
    </w:p>
    <w:tbl>
      <w:tblPr>
        <w:tblLayout w:type="fixed"/>
        <w:tblInd w:w="170" w:type="dxa"/>
        <w:tblCellMar>
          <w:top w:w="0" w:type="dxa"/>
          <w:left w:w="0" w:type="dxa"/>
          <w:bottom w:w="0" w:type="dxa"/>
          <w:right w:w="0" w:type="dxa"/>
        </w:tblCellMar>
      </w:tblPr>
      <w:tr>
        <w:trPr>
          <w:trHeight w:val="373"/>
        </w:trPr>
        <w:tc>
          <w:tcPr>
            <w:tcW w:w="3100" w:type="dxa"/>
            <w:vAlign w:val="bottom"/>
            <w:tcBorders>
              <w:top w:val="single" w:sz="8" w:color="auto"/>
              <w:left w:val="single" w:sz="8" w:color="auto"/>
            </w:tcBorders>
          </w:tcPr>
          <w:p>
            <w:pPr>
              <w:spacing w:after="0"/>
              <w:rPr>
                <w:sz w:val="24"/>
                <w:szCs w:val="24"/>
                <w:color w:val="auto"/>
              </w:rPr>
            </w:pPr>
          </w:p>
        </w:tc>
        <w:tc>
          <w:tcPr>
            <w:tcW w:w="782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 given per unit participation threshold and then-current difference between the per unit</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value of a Common Unit at the time of the conversion (based on the public trading price of</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 share of Class A common stock) and the per unit participation threshold of such vested</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Incentive Units divided by (b) the per unit value of a Common Unit at the time of the</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conversion (based on the public trading price of a share of Class A common stock), subject</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certain adjustments. See “Certain Relationships and Related Person Transactions—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Medline Holdings Amended and Restated Limited Partnership Agreement.” Common</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Units received upon conversion will be exchangeable on a one-for-one basis for shares of</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Class A common stock of Medline Inc. in accordance with the terms of the exchange</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agreement. An unvested Incentive Unit will not be exchangeable unless and until such</w:t>
            </w:r>
          </w:p>
        </w:tc>
      </w:tr>
      <w:tr>
        <w:trPr>
          <w:trHeight w:val="233"/>
        </w:trPr>
        <w:tc>
          <w:tcPr>
            <w:tcW w:w="310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Incentive Unit vests.</w:t>
            </w:r>
          </w:p>
        </w:tc>
      </w:tr>
      <w:tr>
        <w:trPr>
          <w:trHeight w:val="436"/>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Prior to the completion of this offering, we will enter into a tax receivable agreement with</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certain of our pre-IPO owners that provides for the payment by Medline Inc. to such</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pre-IPO owners of 90% of certain tax benefits, if any, that Medline Inc. realizes, or is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deemed to realize (calculated using certain assumptions), as a result of (i) Medline Inc.’s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allocable share of the existing tax basis in Medline Holdings’ assets acquired in this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offering, (ii) increases in Medline Inc.’s allocable share of existing tax basis and tax basis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adjustments to the tangible and intangible assets of Medline Holdings as a result of sales or</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exchanges of Common Units (including Common Units issued upon conversion of vested</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Incentive Units) in connection with or after this offering, (iii) Medline Inc.’s utilization of</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certain tax attributes (including any existing tax basis) of the Blocker Companies, which</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Medline Inc. acquires in connection with this offering as described under “Organizational</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Structure—Blocker Transfers,” and (iv) certain other tax benefits related to entering into</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tax receivable agreement, including tax benefits attributable to payments under the tax</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receivable agreement. Sales or exchanges of Common Units (including Common Units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issued upon conversion of vested Incentive Units) are expected to result in increases in the</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tax basis of the assets of Medline Holdings. The existing tax basis, increases in existing tax</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basis and tax basis adjustments generated over time may increase (for tax purposes)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depreciation and amortization deductions available to Medline Inc. for tax purposes and,</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therefore, may reduce the amount of U.S. federal, state and local tax that Medline Inc.</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would otherwise be required to pay in the future. Actual tax benefits realized by Medline</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Inc. may differ from tax benefits calculated under the tax receivable agreement as a result</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of the use of certain assumptions in the tax receivable agreement, including the use of an</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assumed blended state and local income tax rate of 6% (as adjusted to take into account the</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U.S. federal tax benefit of such taxes) to calculate tax benefits. This payment obligation is</w:t>
            </w:r>
          </w:p>
        </w:tc>
      </w:tr>
      <w:tr>
        <w:trPr>
          <w:trHeight w:val="214"/>
        </w:trPr>
        <w:tc>
          <w:tcPr>
            <w:tcW w:w="310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an obligation of Medline Inc. and not of Medline Holdings. See “Certain Relationships and</w:t>
            </w:r>
          </w:p>
        </w:tc>
      </w:tr>
      <w:tr>
        <w:trPr>
          <w:trHeight w:val="233"/>
        </w:trPr>
        <w:tc>
          <w:tcPr>
            <w:tcW w:w="310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Related Person Transactions—Tax Receivable Agreement.”</w:t>
            </w:r>
          </w:p>
        </w:tc>
      </w:tr>
      <w:tr>
        <w:trPr>
          <w:trHeight w:val="170"/>
        </w:trPr>
        <w:tc>
          <w:tcPr>
            <w:tcW w:w="3100" w:type="dxa"/>
            <w:vAlign w:val="bottom"/>
            <w:tcBorders>
              <w:left w:val="single" w:sz="8" w:color="auto"/>
              <w:bottom w:val="single" w:sz="8" w:color="auto"/>
            </w:tcBorders>
          </w:tcPr>
          <w:p>
            <w:pPr>
              <w:spacing w:after="0"/>
              <w:rPr>
                <w:sz w:val="14"/>
                <w:szCs w:val="14"/>
                <w:color w:val="auto"/>
              </w:rPr>
            </w:pPr>
          </w:p>
        </w:tc>
        <w:tc>
          <w:tcPr>
            <w:tcW w:w="7820" w:type="dxa"/>
            <w:vAlign w:val="bottom"/>
            <w:tcBorders>
              <w:bottom w:val="single" w:sz="8" w:color="auto"/>
              <w:right w:val="single" w:sz="8" w:color="auto"/>
            </w:tcBorders>
          </w:tcPr>
          <w:p>
            <w:pPr>
              <w:spacing w:after="0"/>
              <w:rPr>
                <w:sz w:val="14"/>
                <w:szCs w:val="14"/>
                <w:color w:val="auto"/>
              </w:rPr>
            </w:pPr>
          </w:p>
        </w:tc>
      </w:tr>
      <w:tr>
        <w:trPr>
          <w:trHeight w:val="358"/>
        </w:trPr>
        <w:tc>
          <w:tcPr>
            <w:tcW w:w="3100" w:type="dxa"/>
            <w:vAlign w:val="bottom"/>
          </w:tcPr>
          <w:p>
            <w:pPr>
              <w:spacing w:after="0"/>
              <w:rPr>
                <w:sz w:val="24"/>
                <w:szCs w:val="24"/>
                <w:color w:val="auto"/>
              </w:rPr>
            </w:pPr>
          </w:p>
        </w:tc>
        <w:tc>
          <w:tcPr>
            <w:tcW w:w="7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080"/>
          </w:cols>
          <w:pgMar w:left="320" w:top="451"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3226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4200" cy="6322695"/>
                    </a:xfrm>
                    <a:prstGeom prst="rect">
                      <a:avLst/>
                    </a:prstGeom>
                    <a:noFill/>
                  </pic:spPr>
                </pic:pic>
              </a:graphicData>
            </a:graphic>
          </wp:anchor>
        </w:drawing>
      </w:r>
    </w:p>
    <w:p>
      <w:pPr>
        <w:sectPr>
          <w:pgSz w:w="11900" w:h="16838" w:orient="portrait"/>
          <w:cols w:equalWidth="0" w:num="1">
            <w:col w:w="10780"/>
          </w:cols>
          <w:pgMar w:left="320" w:top="451" w:right="799" w:bottom="1440" w:gutter="0" w:footer="0" w:header="0"/>
        </w:sectPr>
      </w:pPr>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See “Risk Factors” for a discussion of risks you should carefully consider before deciding to invest in our Class A common stock.</w:t>
      </w:r>
    </w:p>
    <w:p>
      <w:pPr>
        <w:spacing w:after="0" w:line="189" w:lineRule="exact"/>
        <w:rPr>
          <w:sz w:val="20"/>
          <w:szCs w:val="20"/>
          <w:color w:val="auto"/>
        </w:rPr>
      </w:pPr>
    </w:p>
    <w:p>
      <w:pPr>
        <w:sectPr>
          <w:pgSz w:w="11900" w:h="16838" w:orient="portrait"/>
          <w:cols w:equalWidth="0" w:num="2">
            <w:col w:w="3620" w:space="720"/>
            <w:col w:w="6440"/>
          </w:cols>
          <w:pgMar w:left="320" w:top="451" w:right="799" w:bottom="1440" w:gutter="0" w:footer="0" w:header="0"/>
          <w:type w:val="continuous"/>
        </w:sectPr>
      </w:pPr>
    </w:p>
    <w:p>
      <w:pPr>
        <w:ind w:left="420" w:hanging="77"/>
        <w:spacing w:after="0" w:line="278" w:lineRule="auto"/>
        <w:rPr>
          <w:sz w:val="20"/>
          <w:szCs w:val="20"/>
          <w:color w:val="auto"/>
        </w:rPr>
      </w:pPr>
      <w:r>
        <w:rPr>
          <w:rFonts w:ascii="Times New Roman" w:cs="Times New Roman" w:eastAsia="Times New Roman" w:hAnsi="Times New Roman"/>
          <w:sz w:val="18"/>
          <w:szCs w:val="18"/>
          <w:color w:val="auto"/>
        </w:rPr>
        <w:t>Certain U.S. federal income tax consequences to non-U.S. holders</w:t>
      </w:r>
    </w:p>
    <w:p>
      <w:pPr>
        <w:spacing w:after="0" w:line="20" w:lineRule="exact"/>
        <w:rPr>
          <w:sz w:val="20"/>
          <w:szCs w:val="20"/>
          <w:color w:val="auto"/>
        </w:rPr>
      </w:pPr>
      <w:r>
        <w:rPr>
          <w:sz w:val="20"/>
          <w:szCs w:val="20"/>
          <w:color w:val="auto"/>
        </w:rPr>
        <w:br w:type="column"/>
      </w: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For a discussion of certain U.S. federal income tax consequences that may be relevant to non-U.S. stockholders, see “Certain U.S. Federal Income Tax Consequences to Non-U.S. Holders.”</w:t>
      </w:r>
    </w:p>
    <w:p>
      <w:pPr>
        <w:spacing w:after="0" w:line="200" w:lineRule="exact"/>
        <w:rPr>
          <w:sz w:val="20"/>
          <w:szCs w:val="20"/>
          <w:color w:val="auto"/>
        </w:rPr>
      </w:pPr>
    </w:p>
    <w:p>
      <w:pPr>
        <w:sectPr>
          <w:pgSz w:w="11900" w:h="16838" w:orient="portrait"/>
          <w:cols w:equalWidth="0" w:num="2">
            <w:col w:w="3820" w:space="520"/>
            <w:col w:w="6440"/>
          </w:cols>
          <w:pgMar w:left="320" w:top="451" w:right="79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“MDLN”</w:t>
      </w:r>
    </w:p>
    <w:p>
      <w:pPr>
        <w:spacing w:after="0" w:line="200" w:lineRule="exact"/>
        <w:rPr>
          <w:sz w:val="20"/>
          <w:szCs w:val="20"/>
          <w:color w:val="auto"/>
        </w:rPr>
      </w:pPr>
    </w:p>
    <w:p>
      <w:pPr>
        <w:sectPr>
          <w:pgSz w:w="11900" w:h="16838" w:orient="portrait"/>
          <w:cols w:equalWidth="0" w:num="2">
            <w:col w:w="3620" w:space="720"/>
            <w:col w:w="6440"/>
          </w:cols>
          <w:pgMar w:left="320" w:top="451" w:right="799" w:bottom="1440" w:gutter="0" w:footer="0" w:header="0"/>
          <w:type w:val="continuous"/>
        </w:sectPr>
      </w:pPr>
    </w:p>
    <w:p>
      <w:pPr>
        <w:spacing w:after="0" w:line="34" w:lineRule="exact"/>
        <w:rPr>
          <w:sz w:val="20"/>
          <w:szCs w:val="20"/>
          <w:color w:val="auto"/>
        </w:rPr>
      </w:pPr>
    </w:p>
    <w:p>
      <w:pPr>
        <w:ind w:left="340" w:right="140" w:firstLine="422"/>
        <w:spacing w:after="0" w:line="278" w:lineRule="auto"/>
        <w:rPr>
          <w:sz w:val="20"/>
          <w:szCs w:val="20"/>
          <w:color w:val="auto"/>
        </w:rPr>
      </w:pPr>
      <w:r>
        <w:rPr>
          <w:rFonts w:ascii="Times New Roman" w:cs="Times New Roman" w:eastAsia="Times New Roman" w:hAnsi="Times New Roman"/>
          <w:sz w:val="18"/>
          <w:szCs w:val="18"/>
          <w:color w:val="auto"/>
        </w:rPr>
        <w:t>In this prospectus, unless otherwise indicated, the number of shares of Class A common stock outstanding and the other information based thereon does not reflect:</w:t>
      </w:r>
    </w:p>
    <w:p>
      <w:pPr>
        <w:spacing w:after="0" w:line="69"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9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   shares of Class A common stock issuable upon exercise of the underwriters’ option to purchase additional shares of Class A</w:t>
            </w:r>
          </w:p>
        </w:tc>
      </w:tr>
      <w:tr>
        <w:trPr>
          <w:trHeight w:val="233"/>
        </w:trPr>
        <w:tc>
          <w:tcPr>
            <w:tcW w:w="240" w:type="dxa"/>
            <w:vAlign w:val="bottom"/>
          </w:tcPr>
          <w:p>
            <w:pPr>
              <w:spacing w:after="0"/>
              <w:rPr>
                <w:sz w:val="20"/>
                <w:szCs w:val="20"/>
                <w:color w:val="auto"/>
              </w:rPr>
            </w:pP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 from Medline Inc.;</w:t>
            </w:r>
          </w:p>
        </w:tc>
        <w:tc>
          <w:tcPr>
            <w:tcW w:w="18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   shares of Class A common stock issuable upon exchange of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Common Units (or, if the underwriters exercise their</w:t>
            </w:r>
          </w:p>
        </w:tc>
      </w:tr>
      <w:tr>
        <w:trPr>
          <w:trHeight w:val="214"/>
        </w:trPr>
        <w:tc>
          <w:tcPr>
            <w:tcW w:w="240" w:type="dxa"/>
            <w:vAlign w:val="bottom"/>
          </w:tcPr>
          <w:p>
            <w:pPr>
              <w:spacing w:after="0"/>
              <w:rPr>
                <w:sz w:val="18"/>
                <w:szCs w:val="18"/>
                <w:color w:val="auto"/>
              </w:rPr>
            </w:pPr>
          </w:p>
        </w:tc>
        <w:tc>
          <w:tcPr>
            <w:tcW w:w="5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option to purchase additional shares of Class A common stock,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shares of Class A common stock issuable upon exchange of</w:t>
            </w:r>
          </w:p>
        </w:tc>
      </w:tr>
      <w:tr>
        <w:trPr>
          <w:trHeight w:val="233"/>
        </w:trPr>
        <w:tc>
          <w:tcPr>
            <w:tcW w:w="24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9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Common Units) that will be held by the Continuing Common Unitholders immediately following this offering;</w:t>
            </w:r>
          </w:p>
        </w:tc>
      </w:tr>
      <w:tr>
        <w:trPr>
          <w:trHeight w:val="3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9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shares of Class A common stock that may be granted under the Medline Inc. 2025 Omnibus Incentive Plan (the “Omnibus</w:t>
            </w:r>
          </w:p>
        </w:tc>
      </w:tr>
    </w:tbl>
    <w:p>
      <w:pPr>
        <w:ind w:left="1280" w:right="60"/>
        <w:spacing w:after="0" w:line="256" w:lineRule="auto"/>
        <w:rPr>
          <w:sz w:val="20"/>
          <w:szCs w:val="20"/>
          <w:color w:val="auto"/>
        </w:rPr>
      </w:pPr>
      <w:r>
        <w:rPr>
          <w:rFonts w:ascii="Times New Roman" w:cs="Times New Roman" w:eastAsia="Times New Roman" w:hAnsi="Times New Roman"/>
          <w:sz w:val="18"/>
          <w:szCs w:val="18"/>
          <w:color w:val="auto"/>
        </w:rPr>
        <w:t>Incentive Plan”), which includes shares of Class A common stock issuable upon exercise, vesting or settlement, as applicable, of the following employee equity grants, in each case, to be awarded in connection with the offering:</w:t>
      </w:r>
    </w:p>
    <w:p>
      <w:pPr>
        <w:spacing w:after="0" w:line="88" w:lineRule="exact"/>
        <w:rPr>
          <w:sz w:val="20"/>
          <w:szCs w:val="20"/>
          <w:color w:val="auto"/>
        </w:rPr>
      </w:pPr>
    </w:p>
    <w:p>
      <w:pPr>
        <w:ind w:left="1680" w:right="180" w:hanging="289"/>
        <w:spacing w:after="0" w:line="274" w:lineRule="auto"/>
        <w:tabs>
          <w:tab w:leader="none" w:pos="1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 of Class A common stock issuable in exchange for an equivalent number of Common Units into which       outstanding Incentive Units held by the Continuing Incentive Unitholders are convertible (assuming such Incentive Units are</w:t>
      </w:r>
    </w:p>
    <w:tbl>
      <w:tblPr>
        <w:tblLayout w:type="fixed"/>
        <w:tblInd w:w="860" w:type="dxa"/>
        <w:tblCellMar>
          <w:top w:w="0" w:type="dxa"/>
          <w:left w:w="0" w:type="dxa"/>
          <w:bottom w:w="0" w:type="dxa"/>
          <w:right w:w="0" w:type="dxa"/>
        </w:tblCellMar>
      </w:tblPr>
      <w:tr>
        <w:trPr>
          <w:trHeight w:val="233"/>
        </w:trPr>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fully vested), which units have a weighted average per unit participation threshold of $         ;</w:t>
            </w:r>
          </w:p>
        </w:tc>
      </w:tr>
      <w:tr>
        <w:trPr>
          <w:trHeight w:val="297"/>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in respect of stock options to be granted to certain Exchanging Class B Unitholders</w:t>
            </w:r>
          </w:p>
        </w:tc>
      </w:tr>
      <w:tr>
        <w:trPr>
          <w:trHeight w:val="214"/>
        </w:trPr>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(assuming an offering price of $      per share of Class A common stock, which is the midpoint of the price range set forth on</w:t>
            </w:r>
          </w:p>
        </w:tc>
      </w:tr>
      <w:tr>
        <w:trPr>
          <w:trHeight w:val="214"/>
        </w:trPr>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the cover of this prospectus) with an exercise price per share equal to or higher than the initial public offering price per share of</w:t>
            </w:r>
          </w:p>
        </w:tc>
      </w:tr>
      <w:tr>
        <w:trPr>
          <w:trHeight w:val="233"/>
        </w:trPr>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Class A common stock; and</w:t>
            </w:r>
          </w:p>
        </w:tc>
      </w:tr>
      <w:tr>
        <w:trPr>
          <w:trHeight w:val="315"/>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of Class A common stock underlying RSUs to be granted to certain Exchanging Unitholders, which will be</w:t>
            </w:r>
          </w:p>
        </w:tc>
      </w:tr>
      <w:tr>
        <w:trPr>
          <w:trHeight w:val="214"/>
        </w:trPr>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issuable upon the settlement of such RSUs following the later of the date that is       days following the completion of this</w:t>
            </w:r>
          </w:p>
        </w:tc>
      </w:tr>
      <w:tr>
        <w:trPr>
          <w:trHeight w:val="214"/>
        </w:trPr>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offering and the existing vesting date of the underlying unit (assuming an offering price of $      per share of Class A common</w:t>
            </w:r>
          </w:p>
        </w:tc>
      </w:tr>
      <w:tr>
        <w:trPr>
          <w:trHeight w:val="233"/>
        </w:trPr>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which is the midpoint of the price range set forth on the cover of this prospectus).</w:t>
            </w: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9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additional shares of Class A common stock that may be granted under the Omnibus Incentive Plan, including awards we</w:t>
            </w:r>
          </w:p>
        </w:tc>
      </w:tr>
      <w:tr>
        <w:trPr>
          <w:trHeight w:val="214"/>
        </w:trPr>
        <w:tc>
          <w:tcPr>
            <w:tcW w:w="240" w:type="dxa"/>
            <w:vAlign w:val="bottom"/>
          </w:tcPr>
          <w:p>
            <w:pPr>
              <w:spacing w:after="0"/>
              <w:rPr>
                <w:sz w:val="18"/>
                <w:szCs w:val="18"/>
                <w:color w:val="auto"/>
              </w:rPr>
            </w:pPr>
          </w:p>
        </w:tc>
        <w:tc>
          <w:tcPr>
            <w:tcW w:w="9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expect to grant to our independent directors, see “Management—Compensation Arrangements to be Adopted in Connection with this</w:t>
            </w:r>
          </w:p>
        </w:tc>
      </w:tr>
      <w:tr>
        <w:trPr>
          <w:trHeight w:val="233"/>
        </w:trPr>
        <w:tc>
          <w:tcPr>
            <w:tcW w:w="240" w:type="dxa"/>
            <w:vAlign w:val="bottom"/>
          </w:tcPr>
          <w:p>
            <w:pPr>
              <w:spacing w:after="0"/>
              <w:rPr>
                <w:sz w:val="20"/>
                <w:szCs w:val="20"/>
                <w:color w:val="auto"/>
              </w:rPr>
            </w:pPr>
          </w:p>
        </w:tc>
        <w:tc>
          <w:tcPr>
            <w:tcW w:w="1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7"/>
              </w:rPr>
              <w:t>Offering”; or</w:t>
            </w:r>
          </w:p>
        </w:tc>
        <w:tc>
          <w:tcPr>
            <w:tcW w:w="8560" w:type="dxa"/>
            <w:vAlign w:val="bottom"/>
          </w:tcPr>
          <w:p>
            <w:pPr>
              <w:spacing w:after="0"/>
              <w:rPr>
                <w:sz w:val="20"/>
                <w:szCs w:val="20"/>
                <w:color w:val="auto"/>
              </w:rPr>
            </w:pPr>
          </w:p>
        </w:tc>
      </w:tr>
      <w:tr>
        <w:trPr>
          <w:trHeight w:val="3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9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shares of Class A common stock available for issuance under the Medline Inc. 2025 Employee Stock Purchase Plan (the</w:t>
            </w:r>
          </w:p>
        </w:tc>
      </w:tr>
    </w:tbl>
    <w:p>
      <w:pPr>
        <w:ind w:left="1280"/>
        <w:spacing w:after="0"/>
        <w:rPr>
          <w:sz w:val="20"/>
          <w:szCs w:val="20"/>
          <w:color w:val="auto"/>
        </w:rPr>
      </w:pPr>
      <w:r>
        <w:rPr>
          <w:rFonts w:ascii="Times New Roman" w:cs="Times New Roman" w:eastAsia="Times New Roman" w:hAnsi="Times New Roman"/>
          <w:sz w:val="18"/>
          <w:szCs w:val="18"/>
          <w:color w:val="auto"/>
        </w:rPr>
        <w:t>“ESPP”).</w:t>
      </w:r>
    </w:p>
    <w:p>
      <w:pPr>
        <w:spacing w:after="0" w:line="202"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See “Management—Compensation Arrangements to be Adopted in Connection with this Offering—Omnibus Incentive Plan,” “Management— Compensation Arrangements to be Adopted in Connection with this Offering—Employee Stock Purchase Plan,” “Management—Compensation Arrangements to be Adopted in Connection with this Offering—Treatment of Existing Equity Awards,” and “Management—Compensation Arrangements to be Adopted in Connection with this Offering—Equity Award Grants.”</w:t>
      </w:r>
    </w:p>
    <w:p>
      <w:pPr>
        <w:spacing w:after="0" w:line="3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80"/>
          </w:cols>
          <w:pgMar w:left="320" w:top="451" w:right="7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125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4200" cy="5125085"/>
                    </a:xfrm>
                    <a:prstGeom prst="rect">
                      <a:avLst/>
                    </a:prstGeom>
                    <a:noFill/>
                  </pic:spPr>
                </pic:pic>
              </a:graphicData>
            </a:graphic>
          </wp:anchor>
        </w:drawing>
      </w:r>
    </w:p>
    <w:p>
      <w:pPr>
        <w:spacing w:after="0" w:line="28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Summary Historical and Pro Forma Consolidated Financial and Other Data</w:t>
      </w:r>
    </w:p>
    <w:p>
      <w:pPr>
        <w:spacing w:after="0" w:line="225" w:lineRule="exact"/>
        <w:rPr>
          <w:sz w:val="20"/>
          <w:szCs w:val="20"/>
          <w:color w:val="auto"/>
        </w:rPr>
      </w:pPr>
    </w:p>
    <w:p>
      <w:pPr>
        <w:ind w:left="340" w:right="40" w:firstLine="422"/>
        <w:spacing w:after="0" w:line="251" w:lineRule="auto"/>
        <w:rPr>
          <w:sz w:val="20"/>
          <w:szCs w:val="20"/>
          <w:color w:val="auto"/>
        </w:rPr>
      </w:pPr>
      <w:r>
        <w:rPr>
          <w:rFonts w:ascii="Times New Roman" w:cs="Times New Roman" w:eastAsia="Times New Roman" w:hAnsi="Times New Roman"/>
          <w:sz w:val="18"/>
          <w:szCs w:val="18"/>
          <w:color w:val="auto"/>
        </w:rPr>
        <w:t>The following table presents the summary historical consolidated financial and other data for Medline Holdings and its subsidiaries and the summary pro forma consolidated financial and other data for Medline Inc. for the periods and at the dates indicated.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Medline Inc. will consolidate Medline Holdings on its consolidated financial statements and record a non-controlling interest related to the Units held by our Continuing Unitholders on its consolidated balance sheet and consolidated statement of comprehensive income.</w:t>
      </w:r>
    </w:p>
    <w:p>
      <w:pPr>
        <w:spacing w:after="0" w:line="189" w:lineRule="exact"/>
        <w:rPr>
          <w:sz w:val="20"/>
          <w:szCs w:val="20"/>
          <w:color w:val="auto"/>
        </w:rPr>
      </w:pPr>
    </w:p>
    <w:p>
      <w:pPr>
        <w:ind w:left="340" w:right="100" w:firstLine="422"/>
        <w:spacing w:after="0" w:line="263" w:lineRule="auto"/>
        <w:rPr>
          <w:sz w:val="20"/>
          <w:szCs w:val="20"/>
          <w:color w:val="auto"/>
        </w:rPr>
      </w:pPr>
      <w:r>
        <w:rPr>
          <w:rFonts w:ascii="Times New Roman" w:cs="Times New Roman" w:eastAsia="Times New Roman" w:hAnsi="Times New Roman"/>
          <w:sz w:val="18"/>
          <w:szCs w:val="18"/>
          <w:color w:val="auto"/>
        </w:rPr>
        <w:t>The summary consolidated statements of comprehensive income data and statements of cash flows data presented below for the years ended December 31, 2024, 2023 and 2022 and the summary consolidated balance sheet data presented below as of December 31, 2024 and 2023 have been derived from the consolidated financial statements of Medline Holdings included elsewhere in this prospectus.</w:t>
      </w:r>
    </w:p>
    <w:p>
      <w:pPr>
        <w:spacing w:after="0" w:line="175" w:lineRule="exact"/>
        <w:rPr>
          <w:sz w:val="20"/>
          <w:szCs w:val="20"/>
          <w:color w:val="auto"/>
        </w:rPr>
      </w:pPr>
    </w:p>
    <w:p>
      <w:pPr>
        <w:ind w:left="340" w:firstLine="422"/>
        <w:spacing w:after="0" w:line="308" w:lineRule="auto"/>
        <w:rPr>
          <w:sz w:val="20"/>
          <w:szCs w:val="20"/>
          <w:color w:val="auto"/>
        </w:rPr>
      </w:pPr>
      <w:r>
        <w:rPr>
          <w:rFonts w:ascii="Times New Roman" w:cs="Times New Roman" w:eastAsia="Times New Roman" w:hAnsi="Times New Roman"/>
          <w:sz w:val="17"/>
          <w:szCs w:val="17"/>
          <w:color w:val="auto"/>
        </w:rPr>
        <w:t>The summary historical consolidated financial and other data of Medline Inc. has not been presented because Medline Inc. is a newly incorporated entity, has had no business transactions or activities to date, and had no assets or liabilities during the periods presented in this section.</w:t>
      </w:r>
    </w:p>
    <w:p>
      <w:pPr>
        <w:spacing w:after="0" w:line="140"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expected for any future period. You should read the summary historical consolidated financial data below, together with the consolidated financial statements and related notes thereto included elsewhere in this prospectus, as well as “Organizational Structure,” “Unaudited Pro Forma Consolidated Financial Information,” “Management’s Discussion and Analysis of Financial Condition and Results of Operations,” “Description of Certain Indebtedness” and the other information included elsewhere in this prospectus.</w:t>
      </w:r>
    </w:p>
    <w:p>
      <w:pPr>
        <w:spacing w:after="0" w:line="184"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The summary unaudited pro forma consolidated financial data of Medline Inc. presented below has been derived from our unaudited pro forma consolidated financial information included elsewhere in this prospectus. The summary unaudited pro forma consolidated statements of comprehensive income data for the year ended December 31, 2024 gives effect to the Reorganization Transactions and the Offering Transactions as if they had occurred on January 1, 2024. The summary unaudited pro forma consolidated balance sheet data as of December 31, 2024 gives effect to the transactions described under “Unaudited Pro Forma Consolidated Financial Information,” including the sale by us of        shares of Class A common stock in this offering at an assumed initial public offering price of $        per share (the midpoint of the range set forth on the cover page of this prospectus) and the application of the proceeds therefrom as described in “Use of Proceeds” as if they had occurred on December 31, 2024. The following summary unaudited consolidated pro forma financial information is presented for illustrative purposes only and is not necessarily indicative of the operating results or financial position that would have occurred if the relevant transactions had been consummated on the dates</w:t>
      </w: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0"/>
          </w:cols>
          <w:pgMar w:left="320" w:top="451" w:right="6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3138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34200" cy="6313805"/>
                    </a:xfrm>
                    <a:prstGeom prst="rect">
                      <a:avLst/>
                    </a:prstGeom>
                    <a:noFill/>
                  </pic:spPr>
                </pic:pic>
              </a:graphicData>
            </a:graphic>
          </wp:anchor>
        </w:drawing>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indicated, nor is it indicative of future operating results or financial position. See “Unaudited Pro Forma Consolidated Financial Information.”</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520" w:type="dxa"/>
            <w:vAlign w:val="bottom"/>
          </w:tcPr>
          <w:p>
            <w:pPr>
              <w:spacing w:after="0"/>
              <w:rPr>
                <w:sz w:val="10"/>
                <w:szCs w:val="10"/>
                <w:color w:val="auto"/>
              </w:rPr>
            </w:pPr>
          </w:p>
        </w:tc>
        <w:tc>
          <w:tcPr>
            <w:tcW w:w="980" w:type="dxa"/>
            <w:vAlign w:val="bottom"/>
            <w:gridSpan w:val="4"/>
          </w:tcPr>
          <w:p>
            <w:pPr>
              <w:jc w:val="right"/>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80" w:type="dxa"/>
            <w:vAlign w:val="bottom"/>
          </w:tcPr>
          <w:p>
            <w:pPr>
              <w:spacing w:after="0"/>
              <w:rPr>
                <w:sz w:val="10"/>
                <w:szCs w:val="10"/>
                <w:color w:val="auto"/>
              </w:rPr>
            </w:pPr>
          </w:p>
        </w:tc>
        <w:tc>
          <w:tcPr>
            <w:tcW w:w="1220" w:type="dxa"/>
            <w:vAlign w:val="bottom"/>
            <w:gridSpan w:val="4"/>
          </w:tcPr>
          <w:p>
            <w:pPr>
              <w:ind w:left="6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0"/>
                <w:szCs w:val="10"/>
                <w:color w:val="auto"/>
              </w:rPr>
            </w:pPr>
          </w:p>
        </w:tc>
        <w:tc>
          <w:tcPr>
            <w:tcW w:w="82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(Amounts in millions, other than per share data)</w:t>
            </w:r>
          </w:p>
        </w:tc>
        <w:tc>
          <w:tcPr>
            <w:tcW w:w="50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2"/>
                <w:szCs w:val="12"/>
                <w:color w:val="auto"/>
              </w:rPr>
            </w:pPr>
          </w:p>
        </w:tc>
        <w:tc>
          <w:tcPr>
            <w:tcW w:w="980" w:type="dxa"/>
            <w:vAlign w:val="bottom"/>
            <w:gridSpan w:val="4"/>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1220" w:type="dxa"/>
            <w:vAlign w:val="bottom"/>
            <w:gridSpan w:val="4"/>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120" w:type="dxa"/>
            <w:vAlign w:val="bottom"/>
            <w:gridSpan w:val="4"/>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5200" w:type="dxa"/>
            <w:vAlign w:val="bottom"/>
            <w:gridSpan w:val="2"/>
            <w:vMerge w:val="continue"/>
          </w:tcPr>
          <w:p>
            <w:pPr>
              <w:spacing w:after="0"/>
              <w:rPr>
                <w:sz w:val="14"/>
                <w:szCs w:val="14"/>
                <w:color w:val="auto"/>
              </w:rPr>
            </w:pPr>
          </w:p>
        </w:tc>
        <w:tc>
          <w:tcPr>
            <w:tcW w:w="1340" w:type="dxa"/>
            <w:vAlign w:val="bottom"/>
            <w:gridSpan w:val="2"/>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50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Statements of Comprehensive Income:</w:t>
            </w:r>
          </w:p>
        </w:tc>
        <w:tc>
          <w:tcPr>
            <w:tcW w:w="5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34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5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19"/>
                <w:szCs w:val="19"/>
                <w:color w:val="auto"/>
              </w:rPr>
            </w:pPr>
          </w:p>
        </w:tc>
        <w:tc>
          <w:tcPr>
            <w:tcW w:w="84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Income (Loss) Per Share: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Pro forma weighted-average shares used to compute net income per</w:t>
            </w: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gridSpan w:val="8"/>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0" w:type="dxa"/>
            <w:vAlign w:val="bottom"/>
          </w:tcPr>
          <w:p>
            <w:pPr>
              <w:spacing w:after="0" w:line="20" w:lineRule="exact"/>
              <w:rPr>
                <w:sz w:val="1"/>
                <w:szCs w:val="1"/>
                <w:color w:val="auto"/>
              </w:rPr>
            </w:pPr>
          </w:p>
        </w:tc>
      </w:tr>
      <w:tr>
        <w:trPr>
          <w:trHeight w:val="207"/>
        </w:trPr>
        <w:tc>
          <w:tcPr>
            <w:tcW w:w="52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Borders>
              <w:top w:val="single" w:sz="8" w:color="auto"/>
            </w:tcBorders>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vMerge w:val="restart"/>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right"/>
              <w:ind w:right="600"/>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320"/>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4"/>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1220" w:type="dxa"/>
            <w:vAlign w:val="bottom"/>
            <w:gridSpan w:val="4"/>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120" w:type="dxa"/>
            <w:vAlign w:val="bottom"/>
            <w:gridSpan w:val="4"/>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52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50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5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34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partners’ capital / shareholders’ equity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340" w:type="dxa"/>
            <w:vAlign w:val="bottom"/>
          </w:tcPr>
          <w:p>
            <w:pPr>
              <w:spacing w:after="0"/>
              <w:rPr>
                <w:sz w:val="20"/>
                <w:szCs w:val="20"/>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16,744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5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016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34200" cy="6016625"/>
                    </a:xfrm>
                    <a:prstGeom prst="rect">
                      <a:avLst/>
                    </a:prstGeom>
                    <a:noFill/>
                  </pic:spPr>
                </pic:pic>
              </a:graphicData>
            </a:graphic>
          </wp:anchor>
        </w:drawing>
      </w:r>
    </w:p>
    <w:p>
      <w:pPr>
        <w:spacing w:after="0" w:line="28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4"/>
          </w:tcPr>
          <w:p>
            <w:pPr>
              <w:jc w:val="center"/>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4"/>
          </w:tcPr>
          <w:p>
            <w:pPr>
              <w:jc w:val="center"/>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536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Statements of Cash Flows Data:</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80" w:type="dxa"/>
            <w:vAlign w:val="bottom"/>
          </w:tcPr>
          <w:p>
            <w:pPr>
              <w:spacing w:after="0"/>
              <w:rPr>
                <w:sz w:val="18"/>
                <w:szCs w:val="18"/>
                <w:color w:val="auto"/>
              </w:rPr>
            </w:pPr>
          </w:p>
        </w:tc>
        <w:tc>
          <w:tcPr>
            <w:tcW w:w="6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400" w:type="dxa"/>
            <w:vAlign w:val="bottom"/>
          </w:tcPr>
          <w:p>
            <w:pPr>
              <w:spacing w:after="0"/>
              <w:rPr>
                <w:sz w:val="18"/>
                <w:szCs w:val="18"/>
                <w:color w:val="auto"/>
              </w:rPr>
            </w:pP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69"/>
        </w:trPr>
        <w:tc>
          <w:tcPr>
            <w:tcW w:w="5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tcPr>
          <w:p>
            <w:pPr>
              <w:jc w:val="center"/>
              <w:ind w:right="580"/>
              <w:spacing w:after="0" w:line="14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gridSpan w:val="5"/>
          </w:tcPr>
          <w:p>
            <w:pPr>
              <w:jc w:val="right"/>
              <w:ind w:right="46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0"/>
                <w:szCs w:val="10"/>
                <w:color w:val="auto"/>
              </w:rPr>
            </w:pPr>
          </w:p>
        </w:tc>
        <w:tc>
          <w:tcPr>
            <w:tcW w:w="1420" w:type="dxa"/>
            <w:vAlign w:val="bottom"/>
            <w:gridSpan w:val="5"/>
          </w:tcPr>
          <w:p>
            <w:pPr>
              <w:jc w:val="center"/>
              <w:ind w:right="58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0"/>
                <w:szCs w:val="10"/>
                <w:color w:val="auto"/>
              </w:rPr>
            </w:pPr>
          </w:p>
        </w:tc>
        <w:tc>
          <w:tcPr>
            <w:tcW w:w="82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 except percentages)</w:t>
            </w:r>
          </w:p>
        </w:tc>
        <w:tc>
          <w:tcPr>
            <w:tcW w:w="900" w:type="dxa"/>
            <w:vAlign w:val="bottom"/>
          </w:tcPr>
          <w:p>
            <w:pPr>
              <w:spacing w:after="0"/>
              <w:rPr>
                <w:sz w:val="12"/>
                <w:szCs w:val="12"/>
                <w:color w:val="auto"/>
              </w:rPr>
            </w:pPr>
          </w:p>
        </w:tc>
        <w:tc>
          <w:tcPr>
            <w:tcW w:w="124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142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8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174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Financial Data:</w:t>
            </w:r>
          </w:p>
        </w:tc>
        <w:tc>
          <w:tcPr>
            <w:tcW w:w="9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Medline Brand segment net sales</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Medline Brand Segment Adjusted EBITDA</w:t>
            </w:r>
            <w:r>
              <w:rPr>
                <w:rFonts w:ascii="Times New Roman" w:cs="Times New Roman" w:eastAsia="Times New Roman" w:hAnsi="Times New Roman"/>
                <w:sz w:val="24"/>
                <w:szCs w:val="24"/>
                <w:color w:val="auto"/>
                <w:vertAlign w:val="superscript"/>
              </w:rPr>
              <w:t>(1)</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Medline Brand Segment Adjusted EBITDA margin</w:t>
            </w:r>
            <w:r>
              <w:rPr>
                <w:rFonts w:ascii="Times New Roman" w:cs="Times New Roman" w:eastAsia="Times New Roman" w:hAnsi="Times New Roman"/>
                <w:sz w:val="24"/>
                <w:szCs w:val="24"/>
                <w:color w:val="auto"/>
                <w:vertAlign w:val="superscript"/>
              </w:rPr>
              <w:t>(1)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 segment net sales</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Supply Chain Solutions Segment Adjusted EBITDA</w:t>
            </w:r>
            <w:r>
              <w:rPr>
                <w:rFonts w:ascii="Times New Roman" w:cs="Times New Roman" w:eastAsia="Times New Roman" w:hAnsi="Times New Roman"/>
                <w:sz w:val="24"/>
                <w:szCs w:val="24"/>
                <w:color w:val="auto"/>
                <w:vertAlign w:val="superscript"/>
              </w:rPr>
              <w:t>(1)</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Supply Chain Solutions Segment Adjusted EBITDA margin</w:t>
            </w:r>
            <w:r>
              <w:rPr>
                <w:rFonts w:ascii="Times New Roman" w:cs="Times New Roman" w:eastAsia="Times New Roman" w:hAnsi="Times New Roman"/>
                <w:sz w:val="24"/>
                <w:szCs w:val="24"/>
                <w:color w:val="auto"/>
                <w:vertAlign w:val="superscript"/>
              </w:rPr>
              <w:t>(1)</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4"/>
        </w:trPr>
        <w:tc>
          <w:tcPr>
            <w:tcW w:w="53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4"/>
                <w:szCs w:val="24"/>
                <w:color w:val="auto"/>
                <w:vertAlign w:val="superscript"/>
              </w:rPr>
              <w:t>(2)</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5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(2)</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right="380" w:hanging="412"/>
        <w:spacing w:after="0" w:line="227" w:lineRule="auto"/>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18—Segment Information” of our audited consolidated financial statements, included elsewhere in this prospectus. Segment Adjusted EBITDA margin is Segment Adjusted EBITDA divided by segment net sales.</w:t>
      </w:r>
    </w:p>
    <w:p>
      <w:pPr>
        <w:ind w:left="760" w:right="240" w:hanging="412"/>
        <w:spacing w:after="0" w:line="235" w:lineRule="auto"/>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74" w:lineRule="exact"/>
        <w:rPr>
          <w:sz w:val="20"/>
          <w:szCs w:val="20"/>
          <w:color w:val="auto"/>
        </w:rPr>
      </w:pPr>
    </w:p>
    <w:p>
      <w:pPr>
        <w:ind w:left="780" w:right="240"/>
        <w:spacing w:after="0" w:line="258" w:lineRule="auto"/>
        <w:rPr>
          <w:sz w:val="20"/>
          <w:szCs w:val="20"/>
          <w:color w:val="auto"/>
        </w:rPr>
      </w:pPr>
      <w:r>
        <w:rPr>
          <w:rFonts w:ascii="Times New Roman" w:cs="Times New Roman" w:eastAsia="Times New Roman" w:hAnsi="Times New Roman"/>
          <w:sz w:val="18"/>
          <w:szCs w:val="18"/>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73" w:lineRule="exact"/>
        <w:rPr>
          <w:sz w:val="20"/>
          <w:szCs w:val="20"/>
          <w:color w:val="auto"/>
        </w:rPr>
      </w:pPr>
    </w:p>
    <w:p>
      <w:pPr>
        <w:ind w:left="780"/>
        <w:spacing w:after="0" w:line="251" w:lineRule="auto"/>
        <w:rPr>
          <w:sz w:val="20"/>
          <w:szCs w:val="20"/>
          <w:color w:val="auto"/>
        </w:rPr>
      </w:pPr>
      <w:r>
        <w:rPr>
          <w:rFonts w:ascii="Times New Roman" w:cs="Times New Roman" w:eastAsia="Times New Roman" w:hAnsi="Times New Roman"/>
          <w:sz w:val="18"/>
          <w:szCs w:val="18"/>
          <w:color w:val="auto"/>
        </w:rPr>
        <w:t>We evaluate our operating performance using Adjusted EBITDA and Adjusted EBITDA Margin. We define Adjusted EBITDA as net income (loss) before (i) interest expense, net, (ii) provision for income taxes, (iii) depreciation and amortization, and (iv) other adjustments to eliminate the impact of certain items that we do not consider indicative of our ongoing operating performance, including inventory-related adjustments, stock-based compensation, change of control expenses, acquisition and integration-related adjustments, litigation charges, net, and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320" w:top="451"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144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4200" cy="6144260"/>
                    </a:xfrm>
                    <a:prstGeom prst="rect">
                      <a:avLst/>
                    </a:prstGeom>
                    <a:noFill/>
                  </pic:spPr>
                </pic:pic>
              </a:graphicData>
            </a:graphic>
          </wp:anchor>
        </w:drawing>
      </w:r>
    </w:p>
    <w:p>
      <w:pPr>
        <w:spacing w:after="0" w:line="289" w:lineRule="exact"/>
        <w:rPr>
          <w:sz w:val="20"/>
          <w:szCs w:val="20"/>
          <w:color w:val="auto"/>
        </w:rPr>
      </w:pPr>
    </w:p>
    <w:p>
      <w:pPr>
        <w:ind w:left="780"/>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118" w:lineRule="exact"/>
        <w:rPr>
          <w:sz w:val="20"/>
          <w:szCs w:val="20"/>
          <w:color w:val="auto"/>
        </w:rPr>
      </w:pPr>
    </w:p>
    <w:p>
      <w:pPr>
        <w:ind w:left="340" w:right="60" w:firstLine="422"/>
        <w:spacing w:after="0" w:line="278"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(loss), the most comparable GAAP financial measure, to Adjusted EBITDA and Adjusted EBITDA Margin for the periods indicated.</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940"/>
              <w:spacing w:after="0" w:line="14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260" w:type="dxa"/>
            <w:vAlign w:val="bottom"/>
          </w:tcPr>
          <w:p>
            <w:pPr>
              <w:spacing w:after="0"/>
              <w:rPr>
                <w:sz w:val="10"/>
                <w:szCs w:val="10"/>
                <w:color w:val="auto"/>
              </w:rPr>
            </w:pPr>
          </w:p>
        </w:tc>
        <w:tc>
          <w:tcPr>
            <w:tcW w:w="1200" w:type="dxa"/>
            <w:vAlign w:val="bottom"/>
            <w:gridSpan w:val="3"/>
          </w:tcPr>
          <w:p>
            <w:pPr>
              <w:jc w:val="right"/>
              <w:ind w:right="42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80" w:type="dxa"/>
            <w:vAlign w:val="bottom"/>
          </w:tcPr>
          <w:p>
            <w:pPr>
              <w:spacing w:after="0"/>
              <w:rPr>
                <w:sz w:val="10"/>
                <w:szCs w:val="10"/>
                <w:color w:val="auto"/>
              </w:rPr>
            </w:pPr>
          </w:p>
        </w:tc>
        <w:tc>
          <w:tcPr>
            <w:tcW w:w="1680" w:type="dxa"/>
            <w:vAlign w:val="bottom"/>
            <w:gridSpan w:val="3"/>
          </w:tcPr>
          <w:p>
            <w:pPr>
              <w:jc w:val="center"/>
              <w:ind w:right="840"/>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 except percentages)</w:t>
            </w:r>
          </w:p>
        </w:tc>
        <w:tc>
          <w:tcPr>
            <w:tcW w:w="120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c>
          <w:tcPr>
            <w:tcW w:w="1680" w:type="dxa"/>
            <w:vAlign w:val="bottom"/>
            <w:gridSpan w:val="3"/>
          </w:tcPr>
          <w:p>
            <w:pPr>
              <w:jc w:val="center"/>
              <w:ind w:right="8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526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tax</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Inventory-related adjustments</w:t>
            </w:r>
            <w:r>
              <w:rPr>
                <w:rFonts w:ascii="Times New Roman" w:cs="Times New Roman" w:eastAsia="Times New Roman" w:hAnsi="Times New Roman"/>
                <w:sz w:val="24"/>
                <w:szCs w:val="24"/>
                <w:color w:val="auto"/>
                <w:vertAlign w:val="superscript"/>
              </w:rPr>
              <w:t>(2)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Change of control expenses</w:t>
            </w:r>
            <w:r>
              <w:rPr>
                <w:rFonts w:ascii="Times New Roman" w:cs="Times New Roman" w:eastAsia="Times New Roman" w:hAnsi="Times New Roman"/>
                <w:sz w:val="24"/>
                <w:szCs w:val="24"/>
                <w:color w:val="auto"/>
                <w:vertAlign w:val="superscript"/>
              </w:rPr>
              <w:t>(3)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Litigation charges, net</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Other non-core charges (gains)</w:t>
            </w:r>
            <w:r>
              <w:rPr>
                <w:rFonts w:ascii="Times New Roman" w:cs="Times New Roman" w:eastAsia="Times New Roman" w:hAnsi="Times New Roman"/>
                <w:sz w:val="24"/>
                <w:szCs w:val="24"/>
                <w:color w:val="auto"/>
                <w:vertAlign w:val="superscript"/>
              </w:rPr>
              <w:t>(5)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7"/>
                <w:szCs w:val="17"/>
                <w:color w:val="auto"/>
              </w:rPr>
              <w:t>Net income (loss) margin</w:t>
            </w:r>
            <w:r>
              <w:rPr>
                <w:rFonts w:ascii="Times New Roman" w:cs="Times New Roman" w:eastAsia="Times New Roman" w:hAnsi="Times New Roman"/>
                <w:sz w:val="24"/>
                <w:szCs w:val="24"/>
                <w:color w:val="auto"/>
                <w:vertAlign w:val="superscript"/>
              </w:rPr>
              <w:t>(6)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line="247"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760" w:right="80" w:hanging="412"/>
        <w:spacing w:after="0" w:line="255"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$630 million, $607 million and $607 million of amortization of intangibles for the years ended December 31, 2024, 2023 and 2022, respectively, and $75 million, $77 million and $78 million of depreciation associated with acquisitions for the years ended December 31, 2024, 2023 and 2022, respectively.</w:t>
      </w:r>
    </w:p>
    <w:p>
      <w:pPr>
        <w:spacing w:after="0" w:line="1" w:lineRule="exact"/>
        <w:rPr>
          <w:rFonts w:ascii="Times New Roman" w:cs="Times New Roman" w:eastAsia="Times New Roman" w:hAnsi="Times New Roman"/>
          <w:sz w:val="18"/>
          <w:szCs w:val="18"/>
          <w:color w:val="auto"/>
        </w:rPr>
      </w:pPr>
    </w:p>
    <w:p>
      <w:pPr>
        <w:ind w:left="760" w:hanging="412"/>
        <w:spacing w:after="0" w:line="24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$53 million, $61 million, and $154 million of inventory adjustments associated with non-cash last-in, first-out reserves, which removes the entire impact of last-in, first-out (“LIFO”) for the years ended December 31, 2024, 2023 and 2022, respectively, and $25 million, $90 million, and $11 million of amortization of the inventory step-up resulting from acquisitions for the years ended December 31, 2024, 2023 and 2022, respectively.</w:t>
      </w:r>
    </w:p>
    <w:p>
      <w:pPr>
        <w:ind w:left="760" w:right="40" w:hanging="412"/>
        <w:spacing w:after="0" w:line="267" w:lineRule="auto"/>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w:t>
      </w: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80"/>
          </w:cols>
          <w:pgMar w:left="320" w:top="451" w:right="6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2543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34200" cy="2543175"/>
                    </a:xfrm>
                    <a:prstGeom prst="rect">
                      <a:avLst/>
                    </a:prstGeom>
                    <a:noFill/>
                  </pic:spPr>
                </pic:pic>
              </a:graphicData>
            </a:graphic>
          </wp:anchor>
        </w:drawing>
      </w:r>
    </w:p>
    <w:p>
      <w:pPr>
        <w:spacing w:after="0" w:line="289"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2" w:lineRule="exact"/>
        <w:rPr>
          <w:sz w:val="20"/>
          <w:szCs w:val="20"/>
          <w:color w:val="auto"/>
        </w:rPr>
      </w:pPr>
    </w:p>
    <w:p>
      <w:pPr>
        <w:jc w:val="both"/>
        <w:ind w:left="760" w:right="180" w:hanging="412"/>
        <w:spacing w:after="0" w:line="24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represents $2 million of legal costs. For the year ended December 31, 2023, represents settlement charges of $163 million related to the ethylene oxide (“EtO”) litigation and $3 million of other legal costs, net of $(5) million of insurance recoveries.</w:t>
      </w:r>
    </w:p>
    <w:p>
      <w:pPr>
        <w:ind w:left="760" w:hanging="412"/>
        <w:spacing w:after="0" w:line="24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other non-core charges (gains), including $(1) million, $18 million and $16 million of (gains) losses on disposal of assets and exits; $(6) million, $15 million and $(10) million of realized and unrealized foreign exchange and investment losses (gains); $22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ind w:left="760" w:right="320" w:hanging="412"/>
        <w:spacing w:after="0" w:line="25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margin represents net income (loss) divided by net sales and Adjusted EBITDA Margin represents Adjusted EBITDA divided by net sales.</w:t>
      </w:r>
    </w:p>
    <w:p>
      <w:pPr>
        <w:spacing w:after="0" w:line="30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00"/>
          </w:cols>
          <w:pgMar w:left="320" w:top="452" w:right="7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and the other information set forth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Our global operations are subject to inherent risks that could materially adversely affect our business, results of operations, and financial condition.</w:t>
      </w:r>
    </w:p>
    <w:p>
      <w:pPr>
        <w:spacing w:after="0" w:line="129"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global operations are subject to risks that may materially adversely affect our business, results of operations, and financial condition. We import a significant percentage of our Medline Brand products from outside of the United States, including 8% of our costs of goods sold from China for the year ended December 31, 2024. As a result of our global operations, we may experience, among other things:</w:t>
      </w:r>
    </w:p>
    <w:p>
      <w:pPr>
        <w:spacing w:after="0" w:line="82" w:lineRule="exact"/>
        <w:rPr>
          <w:sz w:val="20"/>
          <w:szCs w:val="20"/>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relating to staffing and managing foreign operations;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inherent in sourcing products, establishing channels of distribution, and contract manufacturing in foreign markets;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ending foreign distribution relationships where the distributor exclusively or predominantly markets and sells Medline Brand products;</w:t>
      </w:r>
    </w:p>
    <w:p>
      <w:pPr>
        <w:spacing w:after="0" w:line="68" w:lineRule="exact"/>
        <w:rPr>
          <w:rFonts w:ascii="Times New Roman" w:cs="Times New Roman" w:eastAsia="Times New Roman" w:hAnsi="Times New Roman"/>
          <w:sz w:val="18"/>
          <w:szCs w:val="18"/>
          <w:color w:val="auto"/>
        </w:rPr>
      </w:pPr>
    </w:p>
    <w:p>
      <w:pPr>
        <w:ind w:left="1140" w:right="480" w:hanging="438"/>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related to transparency regarding extended international supply chains and labor risk based on sourcing footprint, including compliance with labor and human rights laws, that might arise despite reasonable efforts to mitigate this risk;</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trade agreements and international trade relationships;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difficulty of collecting receivables in foreign jurisdictions;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repatriating cash from our foreign operations to the United States;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63"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requirements including, without limitation, compliance with the U.S. Foreign Corrupt Practices Act (the “FCPA”); UK bribery laws and similar anti-bribery, anti-corruption, and economic sanctions laws and regulations; laws pertaining to the accuracy of our internal books and records; and environmental, health, and safety laws and regulations;</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new or unanticipated litigation developments, and the status of litigation matters;</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difficulties in importing or exporting our products and trade laws, import/export tariffs, quotas, sanctions, or penalties, custom duties, and other trade restrictions;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our intellectual property;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regulatory, legal, economic, and political changes in foreign markets;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regulations that impact our operations, including purchases of capital equipment;</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1"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6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tax, governmental, or other regulatory investigations, enforcements, and penalties, which may lead to informational requests and audits;</w:t>
      </w:r>
    </w:p>
    <w:p>
      <w:pPr>
        <w:spacing w:after="0" w:line="68" w:lineRule="exact"/>
        <w:rPr>
          <w:rFonts w:ascii="Times New Roman" w:cs="Times New Roman" w:eastAsia="Times New Roman" w:hAnsi="Times New Roman"/>
          <w:sz w:val="18"/>
          <w:szCs w:val="18"/>
          <w:color w:val="auto"/>
        </w:rPr>
      </w:pPr>
    </w:p>
    <w:p>
      <w:pPr>
        <w:ind w:left="1140" w:right="14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disturbances, geopolitical turmoil, including terrorism, war, or political or military coups (including, without limitation, the ongoing wars in Ukraine and the Middle East);</w:t>
      </w:r>
    </w:p>
    <w:p>
      <w:pPr>
        <w:spacing w:after="0" w:line="68" w:lineRule="exact"/>
        <w:rPr>
          <w:rFonts w:ascii="Times New Roman" w:cs="Times New Roman" w:eastAsia="Times New Roman" w:hAnsi="Times New Roman"/>
          <w:sz w:val="18"/>
          <w:szCs w:val="18"/>
          <w:color w:val="auto"/>
        </w:rPr>
      </w:pPr>
    </w:p>
    <w:p>
      <w:pPr>
        <w:ind w:left="1140" w:right="24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including physical risks such as impacts from extreme weather events and other potential physical consequences;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legal, and regulatory impacts, including but not limited to those that affect the import of goods or require supply chain transparency and impacts as a result of the 2024 U.S. presidential election;</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developments;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expectations and reputational risk;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 such as the COVID-19 pandemic.</w:t>
      </w:r>
    </w:p>
    <w:p>
      <w:pPr>
        <w:spacing w:after="0" w:line="221"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See also “—Uncertain global and domestic macro-economic and political conditions could materially adversely affect our business, results of operations, and financial condition.”</w:t>
      </w:r>
    </w:p>
    <w:p>
      <w:pPr>
        <w:spacing w:after="0" w:line="265"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derive fully the anticipated benefits from our existing or future acquisitions, joint ventures, investments, dispositions, or other strategic transactions.</w:t>
      </w:r>
    </w:p>
    <w:p>
      <w:pPr>
        <w:spacing w:after="0" w:line="53"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spacing w:after="0" w:line="175"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spacing w:after="0" w:line="175"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spacing w:after="0" w:line="167"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 pursue and complete strategic transactions and divestitures and manage post-closing arrangements. If a transaction does occur, we may not be able to realize any value created by the transaction.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have an adverse effect on our business, results of operations, and financial condition.</w:t>
      </w:r>
    </w:p>
    <w:p>
      <w:pPr>
        <w:spacing w:after="0" w:line="118" w:lineRule="exact"/>
        <w:rPr>
          <w:sz w:val="20"/>
          <w:szCs w:val="20"/>
          <w:color w:val="auto"/>
        </w:rPr>
      </w:pPr>
    </w:p>
    <w:p>
      <w:pPr>
        <w:ind w:left="160" w:right="900" w:firstLine="436"/>
        <w:spacing w:after="0" w:line="278" w:lineRule="auto"/>
        <w:rPr>
          <w:sz w:val="20"/>
          <w:szCs w:val="20"/>
          <w:color w:val="auto"/>
        </w:rPr>
      </w:pPr>
      <w:r>
        <w:rPr>
          <w:rFonts w:ascii="Times New Roman" w:cs="Times New Roman" w:eastAsia="Times New Roman" w:hAnsi="Times New Roman"/>
          <w:sz w:val="18"/>
          <w:szCs w:val="18"/>
          <w:color w:val="auto"/>
        </w:rPr>
        <w:t>Many healthcare industry companies, including healthcare systems, distributors, manufacturers, suppliers, providers, and insurers, are consolidating or have formed strategic alliances. We expect that market demand,</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40"/>
          </w:cols>
          <w:pgMar w:left="320" w:top="452"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government regulation, third-party coverage and reimbursement policies, and societal pressures will continue to change the healthcare industry worldwide, resulting in further business consolidations and alliances among our customers. Although we believe consolidation in the healthcare industry represents a potential market opportunity as discussed in the “Summary” and “Business” sections, the effects of this consolidation on our business may be unpredictable and could have a material adverse effect on our business, results of operations, and financial condition. For example,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with accelerating pricing pressure and changes in technology.</w:t>
      </w:r>
    </w:p>
    <w:p>
      <w:pPr>
        <w:spacing w:after="0" w:line="118" w:lineRule="exact"/>
        <w:rPr>
          <w:sz w:val="20"/>
          <w:szCs w:val="20"/>
          <w:color w:val="auto"/>
        </w:rPr>
      </w:pPr>
    </w:p>
    <w:p>
      <w:pPr>
        <w:ind w:left="160" w:right="200" w:firstLine="436"/>
        <w:spacing w:after="0" w:line="251" w:lineRule="auto"/>
        <w:rPr>
          <w:sz w:val="20"/>
          <w:szCs w:val="20"/>
          <w:color w:val="auto"/>
        </w:rPr>
      </w:pPr>
      <w:r>
        <w:rPr>
          <w:rFonts w:ascii="Times New Roman" w:cs="Times New Roman" w:eastAsia="Times New Roman" w:hAnsi="Times New Roman"/>
          <w:sz w:val="18"/>
          <w:szCs w:val="18"/>
          <w:color w:val="auto"/>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spacing w:after="0" w:line="192"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spacing w:after="0" w:line="184"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spacing w:after="0" w:line="180" w:lineRule="exact"/>
        <w:rPr>
          <w:sz w:val="20"/>
          <w:szCs w:val="20"/>
          <w:color w:val="auto"/>
        </w:rPr>
      </w:pPr>
    </w:p>
    <w:p>
      <w:pPr>
        <w:ind w:left="160" w:right="240" w:firstLine="436"/>
        <w:spacing w:after="0" w:line="285" w:lineRule="auto"/>
        <w:rPr>
          <w:sz w:val="20"/>
          <w:szCs w:val="20"/>
          <w:color w:val="auto"/>
        </w:rPr>
      </w:pPr>
      <w:r>
        <w:rPr>
          <w:rFonts w:ascii="Times New Roman" w:cs="Times New Roman" w:eastAsia="Times New Roman" w:hAnsi="Times New Roman"/>
          <w:sz w:val="17"/>
          <w:szCs w:val="17"/>
          <w:color w:val="auto"/>
        </w:rPr>
        <w:t>Furthermore, our ability to compete effectively is increasingly dependent on access to and interpretation of data. Data quality impacts customer ordering, order fulfillment, and higher order processing. If we fail to effectively implement and maintain data governance structures across our businesses or to effectively interpret and utilize such data, our operations could be impacted and we may be at a competitive disadvantage.</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Changes to the U.S. and global healthcare environments may not be favorable to us.</w:t>
      </w:r>
    </w:p>
    <w:p>
      <w:pPr>
        <w:spacing w:after="0" w:line="118"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2"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color w:val="auto"/>
        </w:rPr>
        <w:t>state or federal level, or efforts by healthcare insurance companies to further limit payments for products and services. The industry has undergone, and, as a result of the recent presidential and congressional elections, is expected to further undergo significant changes. In the past, these changes have included a general decline in Medicare and Medicaid reimbursement levels, efforts by healthcare insurance companies to limit or reduce payments to pharmacies and providers, the basis for payments beginning to transition from a fee-for-service model to value-based payments and risk-sharing models, and the industry shifting away from traditional healthcare venues like hospitals and into clinics, physician offices, and patients’ homes. The impact of future legislative proposals and executive orders that may bring significant changes to the healthcare industry, including as a result of the recent U.S. elections,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w:t>
      </w:r>
    </w:p>
    <w:p>
      <w:pPr>
        <w:spacing w:after="0" w:line="192"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Increases in shipping costs or service issues with our third-party shippers could harm our business.</w:t>
      </w:r>
    </w:p>
    <w:p>
      <w:pPr>
        <w:spacing w:after="0" w:line="118"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Israel-Hamas war, Ukraine, and other regions have brought, and could further bring about, disruption, instability, and volatility in global markets, supply chains, and logistics operations, including the current shipping disruptions and related shipping cost increases in the Red Sea and surrounding waterways,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challenges or delays in our sourcing of new products and technologies could have an adverse impact on our long-term success.</w:t>
      </w:r>
    </w:p>
    <w:p>
      <w:pPr>
        <w:spacing w:after="0" w:line="118"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Our continued growth and success depends on our ability to source new and differentiated products and services that address the evolving healthcare needs of patients, providers, and consumers. Sourcing successful 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 uncertainty over third-party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2"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concentration in and dependence on certain healthcare provider customers and GPOs.</w:t>
      </w:r>
    </w:p>
    <w:p>
      <w:pPr>
        <w:spacing w:after="0" w:line="118" w:lineRule="exact"/>
        <w:rPr>
          <w:sz w:val="20"/>
          <w:szCs w:val="20"/>
          <w:color w:val="auto"/>
        </w:rPr>
      </w:pPr>
    </w:p>
    <w:p>
      <w:pPr>
        <w:ind w:left="160" w:right="160" w:firstLine="436"/>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our top five U.S. customers represented approximately $2.6 billion (or 10.4%) of our net sales. In addition, for the year ended December 31, 2024, approximately $17.1 billion (or 67% of consolidated net sales and 72% of U.S. net sales) was from sales to member hospitals under contract with our largest GPOs: Vizient Supply, LLC, Premier Healthcare Alliance, L.P., and HealthTrust Purchasing Group, L.P. 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develop, and retain key employees.</w:t>
      </w:r>
    </w:p>
    <w:p>
      <w:pPr>
        <w:spacing w:after="0" w:line="118" w:lineRule="exact"/>
        <w:rPr>
          <w:sz w:val="20"/>
          <w:szCs w:val="20"/>
          <w:color w:val="auto"/>
        </w:rPr>
      </w:pPr>
    </w:p>
    <w:p>
      <w:pPr>
        <w:ind w:left="160" w:right="60" w:firstLine="436"/>
        <w:spacing w:after="0" w:line="250" w:lineRule="auto"/>
        <w:rPr>
          <w:sz w:val="20"/>
          <w:szCs w:val="20"/>
          <w:color w:val="auto"/>
        </w:rPr>
      </w:pPr>
      <w:r>
        <w:rPr>
          <w:rFonts w:ascii="Times New Roman" w:cs="Times New Roman" w:eastAsia="Times New Roman" w:hAnsi="Times New Roman"/>
          <w:sz w:val="18"/>
          <w:szCs w:val="18"/>
          <w:color w:val="auto"/>
        </w:rPr>
        <w:t>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caused in part by the COVID-19 pandemic and responsive measures,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w:t>
      </w:r>
    </w:p>
    <w:p>
      <w:pPr>
        <w:spacing w:after="0" w:line="190"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We may also experience sudden loss of key personnel due to a variety of causes, such as illness or the competitive factors above. Our ability to effectively succession plan, and to execute such plans, is also important to our long-term success. In addition, recent legal and regulatory changes affect our ability to enforce post-termination obligations from certain employees with respect to non-competition, non-solicitation, and protection of confidential information, which may negatively impact our ability to retain employees and protect our information and relationships with customers and other third parties.</w:t>
      </w:r>
    </w:p>
    <w:p>
      <w:pPr>
        <w:spacing w:after="0" w:line="287"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depend on the proper functioning of our critical facilities and distribution networks and could be negatively impacted by events outside our control.</w:t>
      </w:r>
    </w:p>
    <w:p>
      <w:pPr>
        <w:spacing w:after="0" w:line="53"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Our business depends on the proper functioning of our business processes and critical facilities and our logistics and distribution networks as well as those of our third-party suppliers. We have a differentiated network of 33 manufacturing facilities, 69 global distribution facilities, and a fleet of more than 2,000 MedTrans trucks. Disruptions impacting our critical facilities or our logistics and distribution networks, including those caused by infrastructure, information, and equipment malfunction; failure to follow specific protocols and procedures; facility shutdowns; recalls or quality problems; regulatory enforcement actions; increased shipping times; defective raw materials; labor shortages; tariffs or other import or export restrictions; natural disasters such as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40"/>
          </w:cols>
          <w:pgMar w:left="320" w:top="452"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340"/>
        <w:spacing w:after="0" w:line="258" w:lineRule="auto"/>
        <w:rPr>
          <w:sz w:val="20"/>
          <w:szCs w:val="20"/>
          <w:color w:val="auto"/>
        </w:rPr>
      </w:pPr>
      <w:r>
        <w:rPr>
          <w:rFonts w:ascii="Times New Roman" w:cs="Times New Roman" w:eastAsia="Times New Roman" w:hAnsi="Times New Roman"/>
          <w:sz w:val="18"/>
          <w:szCs w:val="18"/>
          <w:color w:val="auto"/>
        </w:rPr>
        <w:t>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spacing w:after="0" w:line="283" w:lineRule="exact"/>
        <w:rPr>
          <w:sz w:val="20"/>
          <w:szCs w:val="20"/>
          <w:color w:val="auto"/>
        </w:rPr>
      </w:pPr>
    </w:p>
    <w:p>
      <w:pPr>
        <w:ind w:left="160" w:right="6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 charges related to goodwill, identified intangible assets, and fixed assets that would reduce our reported assets and earnings.</w:t>
      </w:r>
    </w:p>
    <w:p>
      <w:pPr>
        <w:spacing w:after="0" w:line="53"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 may not realize the expected benefits from the entry into new or amended contracts, planned cost savings, and business improvement initiatives.</w:t>
      </w:r>
    </w:p>
    <w:p>
      <w:pPr>
        <w:spacing w:after="0" w:line="129"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w:t>
      </w:r>
    </w:p>
    <w:p>
      <w:pPr>
        <w:spacing w:after="0" w:line="287"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53" w:lineRule="exact"/>
        <w:rPr>
          <w:sz w:val="20"/>
          <w:szCs w:val="20"/>
          <w:color w:val="auto"/>
        </w:rPr>
      </w:pPr>
    </w:p>
    <w:p>
      <w:pPr>
        <w:ind w:left="160" w:right="40" w:firstLine="436"/>
        <w:spacing w:after="0" w:line="270" w:lineRule="auto"/>
        <w:rPr>
          <w:sz w:val="20"/>
          <w:szCs w:val="20"/>
          <w:color w:val="auto"/>
        </w:rPr>
      </w:pPr>
      <w:r>
        <w:rPr>
          <w:rFonts w:ascii="Times New Roman" w:cs="Times New Roman" w:eastAsia="Times New Roman" w:hAnsi="Times New Roman"/>
          <w:sz w:val="17"/>
          <w:szCs w:val="17"/>
          <w:color w:val="auto"/>
        </w:rPr>
        <w:t>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product-related information with respect to our products, whether manufactured by Medline or our third-party manufacturers, have occurred and may occur in the future and have resulted in and may result in product recalls.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w:t>
      </w:r>
    </w:p>
    <w:p>
      <w:pPr>
        <w:spacing w:after="0" w:line="172"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Strong product quality is critical to the success of our goods and services. If we or our third-party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 and as a result, could tarnish our brand and lead to adverse effects on our business, financial condition, and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60"/>
          </w:cols>
          <w:pgMar w:left="320" w:top="452"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63" w:lineRule="auto"/>
        <w:rPr>
          <w:sz w:val="20"/>
          <w:szCs w:val="20"/>
          <w:color w:val="auto"/>
        </w:rPr>
      </w:pPr>
      <w:r>
        <w:rPr>
          <w:rFonts w:ascii="Times New Roman" w:cs="Times New Roman" w:eastAsia="Times New Roman" w:hAnsi="Times New Roman"/>
          <w:sz w:val="18"/>
          <w:szCs w:val="18"/>
          <w:color w:val="auto"/>
        </w:rPr>
        <w:t>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w:t>
      </w:r>
    </w:p>
    <w:p>
      <w:pPr>
        <w:spacing w:after="0" w:line="175"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Any such problems, including quality issues at our third-party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establish and maintain Prime Vendor relationships may cause our revenue to decline.</w:t>
      </w:r>
    </w:p>
    <w:p>
      <w:pPr>
        <w:spacing w:after="0" w:line="118"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Our ability to earn Prime Vendor agreements is an important revenue driver for us. Our active Prime Vendor agreements as of December 31, 2024 generated approximately 62.9% ($16.0 billion) of net sales for the year ended December 31, 2024.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As part of our growth strategy, we seek to drive customer savings through the conversion of Supply Chain Solutions products to like-for-like Medline Brand products, which we typically expect to have higher margins. There are no assurances that we will be successful in executing this strategy. Conversion of Supply Chain Solutions products to Medline Brand products will depend on a number of factors, many of which are not in our control, including our ability to successfully market Medline Brand products and Prime Vendor customer adoption of Medline Brand products. While we historically have earned higher margins upon conversion from third-party national brand products to like-for-like Medline Brand products, there are no assurances future conversions will yield similar margins. Additionally, because of the lower average prices for Medline Brand products, there is typically a negative impact on net sales upon the conversion of Supply Chain Solutions products to like-for-like Medline Brand products if volume is assumed to be constant. Moreover, for new Prime Vendor customers, Medline Brand products typically represent a lower portion of the customer’s product mix compared to existing Prime Vendor customers. As a result, our margins may be negatively impacted by sales to new Prime Vendor customers. If we are unable to effectively execute our conversion strategy, it could adversely impact our margins, as well as our business, financial condition, and results of operations.</w:t>
      </w:r>
    </w:p>
    <w:p>
      <w:pPr>
        <w:spacing w:after="0" w:line="290"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53"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We have experienced, and may continue to experience, increased pressure to lower the prices for certain of our goods and services due to pricing pressure from managed care organizations and other third-party payers, increased market power of GPOs,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 negatively impact our financial results. Although we may seek to obtain similar terms from manufacturers to</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1"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260"/>
        <w:spacing w:after="0" w:line="263" w:lineRule="auto"/>
        <w:rPr>
          <w:sz w:val="20"/>
          <w:szCs w:val="20"/>
          <w:color w:val="auto"/>
        </w:rPr>
      </w:pPr>
      <w:r>
        <w:rPr>
          <w:rFonts w:ascii="Times New Roman" w:cs="Times New Roman" w:eastAsia="Times New Roman" w:hAnsi="Times New Roman"/>
          <w:sz w:val="18"/>
          <w:szCs w:val="18"/>
          <w:color w:val="auto"/>
        </w:rPr>
        <w:t>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spacing w:after="0" w:line="278" w:lineRule="exact"/>
        <w:rPr>
          <w:sz w:val="20"/>
          <w:szCs w:val="20"/>
          <w:color w:val="auto"/>
        </w:rPr>
      </w:pPr>
    </w:p>
    <w:p>
      <w:pPr>
        <w:ind w:left="160"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failure by or loss of a third-party manufacturer or supplier or other manufacturing or supply-related impacts could result in delays and increased costs, which may adversely affect our business.</w:t>
      </w:r>
    </w:p>
    <w:p>
      <w:pPr>
        <w:spacing w:after="0" w:line="5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and supply certain raw materials, component parts, and finished goods. For example, we utilize a network of more than 500 global partners across a diversified set of approximately 40 countries for the vast majority of the other two-thirds of our Medline Brand products that are not manufactured at our manufacturing facilities, and, through our Supply Chain Solutions segment, we offer med-surg products from over 1,250 third-party suppliers. We depend on these third-party manufacturers to allocate a portion of their manufacturing capacity sufficient to meet our needs, to produce products of acceptable quality and at acceptable manufacturing yields, and to deliver those 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spacing w:after="0" w:line="184" w:lineRule="exact"/>
        <w:rPr>
          <w:sz w:val="20"/>
          <w:szCs w:val="20"/>
          <w:color w:val="auto"/>
        </w:rPr>
      </w:pPr>
    </w:p>
    <w:p>
      <w:pPr>
        <w:ind w:left="160" w:right="140" w:firstLine="436"/>
        <w:spacing w:after="0" w:line="266" w:lineRule="auto"/>
        <w:rPr>
          <w:sz w:val="20"/>
          <w:szCs w:val="20"/>
          <w:color w:val="auto"/>
        </w:rPr>
      </w:pPr>
      <w:r>
        <w:rPr>
          <w:rFonts w:ascii="Times New Roman" w:cs="Times New Roman" w:eastAsia="Times New Roman" w:hAnsi="Times New Roman"/>
          <w:sz w:val="17"/>
          <w:szCs w:val="17"/>
          <w:color w:val="auto"/>
        </w:rPr>
        <w:t>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establish additional or replacement suppliers or third-party manufacturers in a timely or cost-effective manner, partly as a result of U.S. Food and Drug Administration (“FDA”) and other regulations that require, among other things, qualification and registration of replacement suppliers and third-party manufacturers, regulatory clearance, authorization, or certification of the products that will be manufactured, and validation of materials, components, and processes prior to their use in or with our products.</w:t>
      </w:r>
    </w:p>
    <w:p>
      <w:pPr>
        <w:spacing w:after="0" w:line="179"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w:t>
      </w:r>
    </w:p>
    <w:p>
      <w:pPr>
        <w:spacing w:after="0" w:line="184"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 certain components or materials due to regulations and requirements of the FDA, other regulatory authorities,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2"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Regulation and Legal Proceedings</w:t>
      </w:r>
    </w:p>
    <w:p>
      <w:pPr>
        <w:spacing w:after="0" w:line="114" w:lineRule="exact"/>
        <w:rPr>
          <w:sz w:val="20"/>
          <w:szCs w:val="20"/>
          <w:color w:val="auto"/>
        </w:rPr>
      </w:pPr>
    </w:p>
    <w:p>
      <w:pPr>
        <w:ind w:left="160" w:right="8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the proper function, security, and availability of our information technology systems and data, as well as those of third parties throughout our global supply chain, to operate our business.</w:t>
      </w:r>
    </w:p>
    <w:p>
      <w:pPr>
        <w:spacing w:after="0" w:line="53" w:lineRule="exact"/>
        <w:rPr>
          <w:sz w:val="20"/>
          <w:szCs w:val="20"/>
          <w:color w:val="auto"/>
        </w:rPr>
      </w:pPr>
    </w:p>
    <w:p>
      <w:pPr>
        <w:ind w:left="160" w:right="20" w:firstLine="436"/>
        <w:spacing w:after="0" w:line="249"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to operate our business and securely process, transmit and store any personally identifiable information (“Personal Data”), protected health information (“PHI”) and other sensitive and confidential data in connection with it, which includes our own proprietary applications and tools (e.g., PrefConnect and FitRight Connect) and a wide variety of third-party 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 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w:t>
      </w:r>
    </w:p>
    <w:p>
      <w:pPr>
        <w:spacing w:after="0" w:line="199"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w:t>
      </w:r>
    </w:p>
    <w:p>
      <w:pPr>
        <w:spacing w:after="0" w:line="180"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Measures taken to protect our systems, those of our contractors or third-party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 infrastructure could create system disruptions, shutdowns, delays in generating or the corruption or loss of data</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2"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53" w:lineRule="auto"/>
        <w:rPr>
          <w:sz w:val="20"/>
          <w:szCs w:val="20"/>
          <w:color w:val="auto"/>
        </w:rPr>
      </w:pPr>
      <w:r>
        <w:rPr>
          <w:rFonts w:ascii="Times New Roman" w:cs="Times New Roman" w:eastAsia="Times New Roman" w:hAnsi="Times New Roman"/>
          <w:sz w:val="18"/>
          <w:szCs w:val="18"/>
          <w:color w:val="auto"/>
        </w:rPr>
        <w:t>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spacing w:after="0" w:line="184"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the Health Insurance Portability and Accountability Act of 1996, as amended, and the regulations that implement the law and its amendments (collectively, “HIPAA”), the EU’s General Data Protection Regulation and its UK equivalent (“UK GDPR” and collectively,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w:t>
      </w:r>
    </w:p>
    <w:p>
      <w:pPr>
        <w:spacing w:after="0" w:line="19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Furthermore, if any of our critical suppliers or service providers is the target of a cybersecurity or ransomware attack or experiences any other kind of adverse event impacting relevant information technology 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w:t>
      </w:r>
    </w:p>
    <w:p>
      <w:pPr>
        <w:spacing w:after="0" w:line="184"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60"/>
          </w:cols>
          <w:pgMar w:left="320" w:top="451"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53"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Our products and technologies, as well as our business activities and government contracts, are subject to a complex set of regulations and rigorous enforcement, including by the FDA, the U.S. Department of Justice (“DOJ”), the U.S. Department of Health and Human Services (“HHS”) Office of the Inspector General, U.S. Environmental Protection Agency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 We cannot guarantee that we will be able to obtain or maintain the required marketing clearances, authorizations, or certifications to market our new products or for enhancements or modifications to existing products. Obtaining the necessary clearances,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 Additionally, significant changes to operations at, funding of, or restructuring of such governmental authorities, including but not limited to a government shutdown, decreases in staff who are able to review product submissions, reductions or other changes in funding provided to such governmental authorities, and changes in policy and enforcement priorities, may adversely affect our business.</w:t>
      </w:r>
    </w:p>
    <w:p>
      <w:pPr>
        <w:spacing w:after="0" w:line="193" w:lineRule="exact"/>
        <w:rPr>
          <w:sz w:val="20"/>
          <w:szCs w:val="20"/>
          <w:color w:val="auto"/>
        </w:rPr>
      </w:pPr>
    </w:p>
    <w:p>
      <w:pPr>
        <w:ind w:left="160" w:right="60" w:firstLine="436"/>
        <w:spacing w:after="0" w:line="249" w:lineRule="auto"/>
        <w:rPr>
          <w:sz w:val="20"/>
          <w:szCs w:val="20"/>
          <w:color w:val="auto"/>
        </w:rPr>
      </w:pPr>
      <w:r>
        <w:rPr>
          <w:rFonts w:ascii="Times New Roman" w:cs="Times New Roman" w:eastAsia="Times New Roman" w:hAnsi="Times New Roman"/>
          <w:sz w:val="18"/>
          <w:szCs w:val="18"/>
          <w:color w:val="auto"/>
        </w:rPr>
        <w:t>Both before and after a product is commercially marketed, we have responsibilities under the FDA, the European Union Medical Device Regulation (“EU MDR”), and other applicable U.S. and non-U.S. regulations, including with respect to clinical studies, quality systems, manufacturing, imports, and labeling and promotional practices. We may conduct and participate in clinical studies to obtain marketing clearance, authorization, or certification for new products and new indications for existing products. Unfavorable clinical data from existing or future clinical studies or unfavorable performance evaluations, assessments, and testing may adversely impact our ability to obtain product clearances,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 included, notices of inspectional observations (FDA Form 483s), warning letters, or other forms of enforcement. 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spacing w:after="0" w:line="201" w:lineRule="exact"/>
        <w:rPr>
          <w:sz w:val="20"/>
          <w:szCs w:val="20"/>
          <w:color w:val="auto"/>
        </w:rPr>
      </w:pPr>
    </w:p>
    <w:p>
      <w:pPr>
        <w:ind w:left="160" w:right="220" w:firstLine="436"/>
        <w:spacing w:after="0" w:line="255" w:lineRule="auto"/>
        <w:rPr>
          <w:sz w:val="20"/>
          <w:szCs w:val="20"/>
          <w:color w:val="auto"/>
        </w:rPr>
      </w:pPr>
      <w:r>
        <w:rPr>
          <w:rFonts w:ascii="Times New Roman" w:cs="Times New Roman" w:eastAsia="Times New Roman" w:hAnsi="Times New Roman"/>
          <w:sz w:val="18"/>
          <w:szCs w:val="18"/>
          <w:color w:val="auto"/>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authorization, or certification, require certificates of non-U.S. governments for exports, require corrective actions, seek an injunction, and/or require us to notify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1"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European Union (“EU”), penalties for regulatory non-compliance could also be severe, including fines, revocation or suspension of a company’s products or quality management system certificates, and criminal sanctions. Any adverse regulatory action, depending on its magnitude, may require termination of distribution, impose operating restrictions, result in shutdowns or delays in the introduction of products into the market, restrict us from effectively marketing and selling our products, and limit our ability to obtain future clearances, authorizations or certifications, licenses, registrations, or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w:t>
      </w:r>
    </w:p>
    <w:p>
      <w:pPr>
        <w:spacing w:after="0" w:line="19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 in civil and/or criminal proceedings, substantial fines, penalties, and/or administrative remedies, including exclusion from government reimbursement programs, debarment, and/or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spacing w:after="0" w:line="184" w:lineRule="exact"/>
        <w:rPr>
          <w:sz w:val="20"/>
          <w:szCs w:val="20"/>
          <w:color w:val="auto"/>
        </w:rPr>
      </w:pPr>
    </w:p>
    <w:p>
      <w:pPr>
        <w:ind w:left="160" w:right="140" w:firstLine="436"/>
        <w:spacing w:after="0" w:line="267" w:lineRule="auto"/>
        <w:rPr>
          <w:sz w:val="20"/>
          <w:szCs w:val="20"/>
          <w:color w:val="auto"/>
        </w:rPr>
      </w:pPr>
      <w:r>
        <w:rPr>
          <w:rFonts w:ascii="Times New Roman" w:cs="Times New Roman" w:eastAsia="Times New Roman" w:hAnsi="Times New Roman"/>
          <w:sz w:val="17"/>
          <w:szCs w:val="17"/>
          <w:color w:val="auto"/>
        </w:rPr>
        <w:t>Finally, we also have contracts with government entities, which are subject to risks such as lack of funding, a government’s refusal to make payments, and complex legal compliance requirements. For example, government contract purchase obligations are typically subject to the availability of government funding, which may be eliminated, and governments may also refuse to meet purchase obligations. Our government contracts might not be renewed or might be terminated for convenience by the government with little or no prior notice, which could have a material adverse effect on our business, results of operations, and financial condition. Additionally, we have experienced requests under certain customer contracts, including certain government contracts,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We have also experienced requests under certain commercial and government contracts for conditions related to sustainability or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spacing w:after="0" w:line="279" w:lineRule="exact"/>
        <w:rPr>
          <w:sz w:val="20"/>
          <w:szCs w:val="20"/>
          <w:color w:val="auto"/>
        </w:rPr>
      </w:pPr>
    </w:p>
    <w:p>
      <w:pPr>
        <w:ind w:left="160" w:right="5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environmental, health, and safety requirements, and our operations involve hazardous and other environmentally sensitive substances.</w:t>
      </w:r>
    </w:p>
    <w:p>
      <w:pPr>
        <w:spacing w:after="0" w:line="53"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per- and polyfluoroalkyl substances, or “PFAS”), consumer products, emissions or discharges of substances into the environment, investigation and remediation of contamination at various sites, and chemical constituents (including PFAS) in products. Our suppliers are also subject to such requirements, and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2"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360"/>
        <w:spacing w:after="0" w:line="278" w:lineRule="auto"/>
        <w:rPr>
          <w:sz w:val="20"/>
          <w:szCs w:val="20"/>
          <w:color w:val="auto"/>
        </w:rPr>
      </w:pPr>
      <w:r>
        <w:rPr>
          <w:rFonts w:ascii="Times New Roman" w:cs="Times New Roman" w:eastAsia="Times New Roman" w:hAnsi="Times New Roman"/>
          <w:sz w:val="18"/>
          <w:szCs w:val="18"/>
          <w:color w:val="auto"/>
        </w:rPr>
        <w:t>any failure by, or inability of, our suppliers to comply with such requirements could result in shortages of products or capacity that could impact our operations.</w:t>
      </w:r>
    </w:p>
    <w:p>
      <w:pPr>
        <w:spacing w:after="0" w:line="162"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w:t>
      </w:r>
    </w:p>
    <w:p>
      <w:pPr>
        <w:spacing w:after="0" w:line="192"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 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w:t>
      </w:r>
    </w:p>
    <w:p>
      <w:pPr>
        <w:spacing w:after="0" w:line="187"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spacing w:after="0" w:line="283"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53" w:lineRule="exact"/>
        <w:rPr>
          <w:sz w:val="20"/>
          <w:szCs w:val="20"/>
          <w:color w:val="auto"/>
        </w:rPr>
      </w:pPr>
    </w:p>
    <w:p>
      <w:pPr>
        <w:ind w:left="160" w:firstLine="436"/>
        <w:spacing w:after="0" w:line="267" w:lineRule="auto"/>
        <w:rPr>
          <w:sz w:val="20"/>
          <w:szCs w:val="20"/>
          <w:color w:val="auto"/>
        </w:rPr>
      </w:pPr>
      <w:r>
        <w:rPr>
          <w:rFonts w:ascii="Times New Roman" w:cs="Times New Roman" w:eastAsia="Times New Roman" w:hAnsi="Times New Roman"/>
          <w:sz w:val="17"/>
          <w:szCs w:val="17"/>
          <w:color w:val="auto"/>
        </w:rPr>
        <w:t>We are subject to applicable anti-corruption, anti-bribery, and similar laws, such as the FCPA, the U.S. domestic bribery statute in 18 U.S.C. § 201, and similar laws in other jurisdictions in which we operate. Anti-corruption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1"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w:t>
      </w:r>
    </w:p>
    <w:p>
      <w:pPr>
        <w:spacing w:after="0" w:line="192"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Our policies and procedures designed to promote compliance by us and our directors, officers, employees, representatives, consultants, sales agents, distributors, or other third parties with the FCPA, OFAC restrictions, 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w:t>
      </w:r>
    </w:p>
    <w:p>
      <w:pPr>
        <w:spacing w:after="0" w:line="287"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53"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Our business includes Processing performed on any Personal Data of our applicants, employees and other workforce members (current and former), customers’ and vendors’ employees and other workforce members and other third parties as well as PHI where we meet the definition of a Covered Entity or a Business Associate (as such terms are defined under HIPAA) for certain parts of our business. We are directly or indirectly subject to numerous and evolving federal, state, and foreign laws and regulations relating to the Processing of Personal Data and PHI, such as HIPAA, the GDPR, the California Consumer Privacy Act, which was further expanded by the California Privacy Rights Act of 2020 (“CPRA” and collectively, “CCPA”), and similar data privacy legislation enacted or under consideration by various other U.S. states. Laws and regulations relating to privacy and data protection are continually evolving and subject to potentially differing interpretations and levels of enforcement by various courts and regulators, including in connection with changes in governmental administrations.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spacing w:after="0" w:line="189" w:lineRule="exact"/>
        <w:rPr>
          <w:sz w:val="20"/>
          <w:szCs w:val="20"/>
          <w:color w:val="auto"/>
        </w:rPr>
      </w:pPr>
    </w:p>
    <w:p>
      <w:pPr>
        <w:ind w:left="160" w:right="60" w:firstLine="436"/>
        <w:spacing w:after="0" w:line="270" w:lineRule="auto"/>
        <w:rPr>
          <w:sz w:val="20"/>
          <w:szCs w:val="20"/>
          <w:color w:val="auto"/>
        </w:rPr>
      </w:pPr>
      <w:r>
        <w:rPr>
          <w:rFonts w:ascii="Times New Roman" w:cs="Times New Roman" w:eastAsia="Times New Roman" w:hAnsi="Times New Roman"/>
          <w:sz w:val="17"/>
          <w:szCs w:val="17"/>
          <w:color w:val="auto"/>
        </w:rPr>
        <w:t>In the United States, the Federal Trade Commission (the “FTC”) is increasingly active in regulating health-related privacy and security. The FTC has taken enforcement actions against companies for statements or promises made about the privacy or security of health information through Section 5 of the Federal Trade Commission Act (the “FTCA”), which prohibits unfair or deceptive acts or practices, as well as through the Health Breach Notification Rule (“HBNR”), which applies to certain “personal health record-related entities” or “third party service providers.” We may also be subject to scrutiny by federal and state regulators, partners, and consumers of our collection, use and disclosure of consumer Personal Data, including consumer health data. Additionally, federal and state consumer protection laws are increasingly being applied by FTC and states’ Attorneys General to regulate the collection, use, storage, and disclosure of Personal Data, through websites or otherwise, and to regulate the presentation of website content.</w:t>
      </w:r>
    </w:p>
    <w:p>
      <w:pPr>
        <w:spacing w:after="0" w:line="1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60"/>
          </w:cols>
          <w:pgMar w:left="320" w:top="451"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00" w:firstLine="436"/>
        <w:spacing w:after="0" w:line="251" w:lineRule="auto"/>
        <w:rPr>
          <w:sz w:val="20"/>
          <w:szCs w:val="20"/>
          <w:color w:val="auto"/>
        </w:rPr>
      </w:pPr>
      <w:r>
        <w:rPr>
          <w:rFonts w:ascii="Times New Roman" w:cs="Times New Roman" w:eastAsia="Times New Roman" w:hAnsi="Times New Roman"/>
          <w:sz w:val="18"/>
          <w:szCs w:val="18"/>
          <w:color w:val="auto"/>
        </w:rPr>
        <w:t>At the state level in the United States, the CCPA, which increased the privacy protections afforded California residents with respect to Personal Data that is not subject to and handled in compliance with HIPAA, limits how we may Process Personal Data of California residents by, among other things, establishing data privacy rights for California residents and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requires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89"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Similarly, many foreign laws and regulations, including in countries in which we currently operate, govern the Processing of Personal Data. For example, the GDPR imposes strict requirements for controllers and processors in any country with respect to the Personal Data of EU and UK residents. Non-compliance with the GDPR can result in substantial fines and other penalties, required changes to our business practices and reputational harm, any of which could have an adverse effect on our business.</w:t>
      </w:r>
    </w:p>
    <w:p>
      <w:pPr>
        <w:spacing w:after="0" w:line="180"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In the event of a privacy or security incident or claim that we or a third party with which we do business has violated 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 of consumer confidence, reduced sales and profits, complications in executing our growth initiatives, and regulatory and legal risk, including enforcement action,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spacing w:after="0" w:line="292" w:lineRule="exact"/>
        <w:rPr>
          <w:sz w:val="20"/>
          <w:szCs w:val="20"/>
          <w:color w:val="auto"/>
        </w:rPr>
      </w:pPr>
    </w:p>
    <w:p>
      <w:pPr>
        <w:jc w:val="both"/>
        <w:ind w:left="160"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67"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error—potentially materially</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0"/>
          </w:cols>
          <w:pgMar w:left="320" w:top="451"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40"/>
        <w:spacing w:after="0" w:line="258" w:lineRule="auto"/>
        <w:rPr>
          <w:sz w:val="20"/>
          <w:szCs w:val="20"/>
          <w:color w:val="auto"/>
        </w:rPr>
      </w:pPr>
      <w:r>
        <w:rPr>
          <w:rFonts w:ascii="Times New Roman" w:cs="Times New Roman" w:eastAsia="Times New Roman" w:hAnsi="Times New Roman"/>
          <w:sz w:val="18"/>
          <w:szCs w:val="18"/>
          <w:color w:val="auto"/>
        </w:rPr>
        <w:t>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w:t>
      </w:r>
    </w:p>
    <w:p>
      <w:pPr>
        <w:spacing w:after="0" w:line="180"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could be exposed to risks to the extent third-party service providers or any counterparties use Machine Learning Technology in their business activities, notwithstanding any preventative policies aimed at restricting or 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w:t>
      </w:r>
    </w:p>
    <w:p>
      <w:pPr>
        <w:spacing w:after="0" w:line="187"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w:t>
      </w:r>
    </w:p>
    <w:p>
      <w:pPr>
        <w:spacing w:after="0" w:line="175" w:lineRule="exact"/>
        <w:rPr>
          <w:sz w:val="20"/>
          <w:szCs w:val="20"/>
          <w:color w:val="auto"/>
        </w:rPr>
      </w:pPr>
    </w:p>
    <w:p>
      <w:pPr>
        <w:ind w:left="160" w:firstLine="436"/>
        <w:spacing w:after="0" w:line="265" w:lineRule="auto"/>
        <w:rPr>
          <w:sz w:val="20"/>
          <w:szCs w:val="20"/>
          <w:color w:val="auto"/>
        </w:rPr>
      </w:pPr>
      <w:r>
        <w:rPr>
          <w:rFonts w:ascii="Times New Roman" w:cs="Times New Roman" w:eastAsia="Times New Roman" w:hAnsi="Times New Roman"/>
          <w:sz w:val="17"/>
          <w:szCs w:val="17"/>
          <w:color w:val="auto"/>
        </w:rPr>
        <w:t>In recent years, the use of Machine Learning Technology has come under increased regulatory scrutiny, especially in the case of generative AI and related developments, due to the potential harm to individuals where Personal Data or intellectual property is processed or where models are trained on vast data sets that include Personal Data or intellectual property. The Biden administration took several actions related to Machine Learning Technology, some of which have since been overturned by the Trump administration. One example of FDA actions related to AI is the FDA’s January 2025 draft guidance document “Artificial Intelligence-Enabled Device Software Functions: Lifestyle Management and Marketing Submission Recommendations.” Various U.S. states are in the process of enacting (or have already enacted) new laws and regulations that are aimed at providing individuals with additional protections in connection with Machine Learning Technology. It is unclear what, if any, of the current administration’s initiatives related to Machine Learning Technology will be continued, modified, revoked, or replaced by the Trump administration. 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 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improve our services.</w:t>
      </w:r>
    </w:p>
    <w:p>
      <w:pPr>
        <w:spacing w:after="0" w:line="287" w:lineRule="exact"/>
        <w:rPr>
          <w:sz w:val="20"/>
          <w:szCs w:val="20"/>
          <w:color w:val="auto"/>
        </w:rPr>
      </w:pPr>
    </w:p>
    <w:p>
      <w:pPr>
        <w:ind w:left="160" w:right="3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53"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1"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Other such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w:t>
      </w:r>
    </w:p>
    <w:p>
      <w:pPr>
        <w:spacing w:after="0" w:line="184" w:lineRule="exact"/>
        <w:rPr>
          <w:sz w:val="20"/>
          <w:szCs w:val="20"/>
          <w:color w:val="auto"/>
        </w:rPr>
      </w:pPr>
    </w:p>
    <w:p>
      <w:pPr>
        <w:ind w:left="160" w:right="100" w:firstLine="436"/>
        <w:spacing w:after="0" w:line="277" w:lineRule="auto"/>
        <w:rPr>
          <w:sz w:val="20"/>
          <w:szCs w:val="20"/>
          <w:color w:val="auto"/>
        </w:rPr>
      </w:pPr>
      <w:r>
        <w:rPr>
          <w:rFonts w:ascii="Times New Roman" w:cs="Times New Roman" w:eastAsia="Times New Roman" w:hAnsi="Times New Roman"/>
          <w:sz w:val="17"/>
          <w:szCs w:val="17"/>
          <w:color w:val="auto"/>
        </w:rPr>
        <w:t>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70"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litigation brought by third parties claiming infringement, misappropriation, or other violation by us of their intellectual property rights.</w:t>
      </w:r>
    </w:p>
    <w:p>
      <w:pPr>
        <w:spacing w:after="0" w:line="53"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 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spacing w:after="0" w:line="297"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and financial condition.</w:t>
      </w:r>
    </w:p>
    <w:p>
      <w:pPr>
        <w:spacing w:after="0" w:line="53"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spacing w:after="0" w:line="187"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Our business could be affected by current and future local, state, federal, and international laws, regulations, treaties, agreements, and policies related to greenhouse gas emissions and climate change. Some existing laws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20"/>
        <w:spacing w:after="0" w:line="252" w:lineRule="auto"/>
        <w:rPr>
          <w:sz w:val="20"/>
          <w:szCs w:val="20"/>
          <w:color w:val="auto"/>
        </w:rPr>
      </w:pPr>
      <w:r>
        <w:rPr>
          <w:rFonts w:ascii="Times New Roman" w:cs="Times New Roman" w:eastAsia="Times New Roman" w:hAnsi="Times New Roman"/>
          <w:sz w:val="18"/>
          <w:szCs w:val="18"/>
          <w:color w:val="auto"/>
        </w:rPr>
        <w:t>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spacing w:after="0" w:line="290" w:lineRule="exact"/>
        <w:rPr>
          <w:sz w:val="20"/>
          <w:szCs w:val="20"/>
          <w:color w:val="auto"/>
        </w:rPr>
      </w:pPr>
    </w:p>
    <w:p>
      <w:pPr>
        <w:ind w:left="160" w:right="4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ESG matters or the failure or perceived failure to meet our ESG goals may increase our costs, harm our reputation or adversely affect our business.</w:t>
      </w:r>
    </w:p>
    <w:p>
      <w:pPr>
        <w:spacing w:after="0" w:line="53"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Companies are facing increasing scrutiny from investors, customers, patients, consumers, employees, proxy advisory firms, nongovernmental organizations, and other stakeholders related to environmental, social, and governance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Moreover, in recent years “anti-ESG” and “anti–diversity, equity, and inclusion” sentiments have gained momentum across the United States, with several dozen states, the U.S. Congress, and the U.S. Executive Branch having proposed or enacted “anti-ESG” or “anti–diversity, equity, and inclusion” policies, legislation, executive orders or initiatives, or issued related legal opinions. Further, we may from time to time engage in various efforts, including setting policies and goals or making voluntary or required statements and disclosures. The policies, goals, statements, and disclosures reflect our current circumstances, plans, and aspirations at the time they are 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and meeting relevant ESG goals in a timely manner, our reputation, attractiveness as an investment, business partner, or acquiror, access to and costs of capital, financial results, and stock price may suffer. If our sustainability practices do not meet evolving stakeholders’ expectations and standards, or if we are unable to satisfy all stakeholders, our reputation, ability to attract or retain employees, financial condition, results of operations, and cash flows could be negatively impacted. In addition, even if we are effective at addressing ESG and sustainability matters, we may experience increased costs to execute upon these goals that may not be offset by any benefit to our reputation, which could have an adverse impact on our business and financial condition.</w:t>
      </w: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disputes, which could adversely impact our business, results of operations, and financial condition.</w:t>
      </w:r>
    </w:p>
    <w:p>
      <w:pPr>
        <w:spacing w:after="0" w:line="118"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We are routinely party to a number of lawsuits, settlement discussions, mediations, arbitrations, demands, investigations, and other disputes, including those related to commercial matters and contracts, personal injury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51"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0" w:lineRule="auto"/>
        <w:rPr>
          <w:sz w:val="20"/>
          <w:szCs w:val="20"/>
          <w:color w:val="auto"/>
        </w:rPr>
      </w:pPr>
      <w:r>
        <w:rPr>
          <w:rFonts w:ascii="Times New Roman" w:cs="Times New Roman" w:eastAsia="Times New Roman" w:hAnsi="Times New Roman"/>
          <w:sz w:val="18"/>
          <w:szCs w:val="18"/>
          <w:color w:val="auto"/>
        </w:rPr>
        <w:t>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Even claims without merit could subject us to adverse publicity, harm our reputation, require us to incur significant legal fees, or cause us to modify our pay or other practices. Any of these events could have a material adverse effect on our business, results of operations, 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w:t>
      </w:r>
    </w:p>
    <w:p>
      <w:pPr>
        <w:spacing w:after="0" w:line="193" w:lineRule="exact"/>
        <w:rPr>
          <w:sz w:val="20"/>
          <w:szCs w:val="20"/>
          <w:color w:val="auto"/>
        </w:rPr>
      </w:pPr>
    </w:p>
    <w:p>
      <w:pPr>
        <w:ind w:left="160" w:right="40" w:firstLine="436"/>
        <w:spacing w:after="0" w:line="271" w:lineRule="auto"/>
        <w:rPr>
          <w:sz w:val="20"/>
          <w:szCs w:val="20"/>
          <w:color w:val="auto"/>
        </w:rPr>
      </w:pPr>
      <w:r>
        <w:rPr>
          <w:rFonts w:ascii="Times New Roman" w:cs="Times New Roman" w:eastAsia="Times New Roman" w:hAnsi="Times New Roman"/>
          <w:sz w:val="17"/>
          <w:szCs w:val="17"/>
          <w:color w:val="auto"/>
        </w:rPr>
        <w:t>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w:t>
      </w:r>
    </w:p>
    <w:p>
      <w:pPr>
        <w:spacing w:after="0" w:line="276" w:lineRule="exact"/>
        <w:rPr>
          <w:sz w:val="20"/>
          <w:szCs w:val="20"/>
          <w:color w:val="auto"/>
        </w:rPr>
      </w:pPr>
    </w:p>
    <w:p>
      <w:pPr>
        <w:ind w:left="160"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5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federal False Claims Act (“FCA”), Physician Self-Referral Law (the “Stark Law”), Anti-Kickback Statute (“AKS”), the Civil Monetary Penalties Statute, HIPAA, and the Physician Payments Sunshine Act). See “Business—Government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spacing w:after="0" w:line="187"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 willfully offering, paying, soliciting, or receiving any remuneration to induce or reward, or in return for the referral of an individual for, or the purchasing, ordering, or recommending of items or services, for which</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60"/>
          </w:cols>
          <w:pgMar w:left="320" w:top="451"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spacing w:after="0" w:line="184" w:lineRule="exact"/>
        <w:rPr>
          <w:sz w:val="20"/>
          <w:szCs w:val="20"/>
          <w:color w:val="auto"/>
        </w:rPr>
      </w:pPr>
    </w:p>
    <w:p>
      <w:pPr>
        <w:ind w:left="160" w:right="20" w:firstLine="436"/>
        <w:spacing w:after="0" w:line="267" w:lineRule="auto"/>
        <w:rPr>
          <w:sz w:val="20"/>
          <w:szCs w:val="20"/>
          <w:color w:val="auto"/>
        </w:rPr>
      </w:pPr>
      <w:r>
        <w:rPr>
          <w:rFonts w:ascii="Times New Roman" w:cs="Times New Roman" w:eastAsia="Times New Roman" w:hAnsi="Times New Roman"/>
          <w:sz w:val="17"/>
          <w:szCs w:val="17"/>
          <w:color w:val="auto"/>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9" w:lineRule="exact"/>
        <w:rPr>
          <w:sz w:val="20"/>
          <w:szCs w:val="20"/>
          <w:color w:val="auto"/>
        </w:rPr>
      </w:pPr>
    </w:p>
    <w:p>
      <w:pPr>
        <w:ind w:left="160" w:right="180" w:firstLine="436"/>
        <w:spacing w:after="0" w:line="255" w:lineRule="auto"/>
        <w:rPr>
          <w:sz w:val="20"/>
          <w:szCs w:val="20"/>
          <w:color w:val="auto"/>
        </w:rPr>
      </w:pPr>
      <w:r>
        <w:rPr>
          <w:rFonts w:ascii="Times New Roman" w:cs="Times New Roman" w:eastAsia="Times New Roman" w:hAnsi="Times New Roman"/>
          <w:sz w:val="18"/>
          <w:szCs w:val="18"/>
          <w:color w:val="auto"/>
        </w:rPr>
        <w:t>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184"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Additionally, we also directly submit claims to governmental healthcare programs as a Medicare-enrolled durable medical equipment, prosthetics, orthotics, and supplies (“DMEPOS”) supplier. As a result, we have been and from time to time are subject to audits by government healthcare programs and third-party payers related to such claims, which may require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program may not cover claims brought against us, deny coverage of claims, or be inadequate to cover future losses.</w:t>
      </w:r>
    </w:p>
    <w:p>
      <w:pPr>
        <w:spacing w:after="0" w:line="118"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We maintain third-party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 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 Waukegan, Illinois, our excess insurance carriers have denied coverage with respect to our settlement payments. As a result of various litigation matters, we recognized $2.0 million of net litigation charges for the year ended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20"/>
        <w:spacing w:after="0" w:line="263" w:lineRule="auto"/>
        <w:rPr>
          <w:sz w:val="20"/>
          <w:szCs w:val="20"/>
          <w:color w:val="auto"/>
        </w:rPr>
      </w:pPr>
      <w:r>
        <w:rPr>
          <w:rFonts w:ascii="Times New Roman" w:cs="Times New Roman" w:eastAsia="Times New Roman" w:hAnsi="Times New Roman"/>
          <w:sz w:val="18"/>
          <w:szCs w:val="18"/>
          <w:color w:val="auto"/>
        </w:rPr>
        <w:t>December 31, 2024. See “—We are involved in legal proceedings and disputes, which could adversely impact our business, results of operations, and financial condition” and “Note 12—Commitments and Contingencies” of our audited consolidated financial statements included elsewhere in this prospectus.</w:t>
      </w:r>
    </w:p>
    <w:p>
      <w:pPr>
        <w:spacing w:after="0" w:line="175"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spacing w:after="0" w:line="287" w:lineRule="exact"/>
        <w:rPr>
          <w:sz w:val="20"/>
          <w:szCs w:val="20"/>
          <w:color w:val="auto"/>
        </w:rPr>
      </w:pPr>
    </w:p>
    <w:p>
      <w:pPr>
        <w:ind w:left="160" w:right="5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and enforce our intellectual property rights, or the failure of the strength or scope of our intellectual property rights, could harm our business, financial condition, and results of operations.</w:t>
      </w:r>
    </w:p>
    <w:p>
      <w:pPr>
        <w:spacing w:after="0" w:line="53"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 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w:t>
      </w:r>
    </w:p>
    <w:p>
      <w:pPr>
        <w:spacing w:after="0" w:line="192"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If we are unable to protect our intellectual property, particularly our patents, brands, and know-how, our intellectual property may be impaired, we may lose a portion of our intellection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Financial and Economic Market Conditions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 significant impact on our results of operations.</w:t>
      </w:r>
    </w:p>
    <w:p>
      <w:pPr>
        <w:spacing w:after="0" w:line="118" w:lineRule="exact"/>
        <w:rPr>
          <w:sz w:val="20"/>
          <w:szCs w:val="20"/>
          <w:color w:val="auto"/>
        </w:rPr>
      </w:pPr>
    </w:p>
    <w:p>
      <w:pPr>
        <w:ind w:left="160" w:right="40" w:firstLine="436"/>
        <w:spacing w:after="0" w:line="285" w:lineRule="auto"/>
        <w:rPr>
          <w:sz w:val="20"/>
          <w:szCs w:val="20"/>
          <w:color w:val="auto"/>
        </w:rPr>
      </w:pPr>
      <w:r>
        <w:rPr>
          <w:rFonts w:ascii="Times New Roman" w:cs="Times New Roman" w:eastAsia="Times New Roman" w:hAnsi="Times New Roman"/>
          <w:sz w:val="17"/>
          <w:szCs w:val="17"/>
          <w:color w:val="auto"/>
        </w:rPr>
        <w:t>We operate in various international markets, including Canada, Mexico, Europe, and the Asia Pacific region, with more significant manufacturing operations in Mexico. For the year ended December 31, 2024, 6.7% of our total net sales and 8.7% of our total expenses related to operations were in currencies other than U.S. dollars, with the majority of our international spend exposed to the euro, Canadian dollar, and Mexican peso. The results of</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52" w:right="5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color w:val="auto"/>
        </w:rPr>
        <w:t>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may be adversely affected by inflationary pressures.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spacing w:after="0" w:line="292" w:lineRule="exact"/>
        <w:rPr>
          <w:sz w:val="20"/>
          <w:szCs w:val="20"/>
          <w:color w:val="auto"/>
        </w:rPr>
      </w:pPr>
    </w:p>
    <w:p>
      <w:pPr>
        <w:ind w:left="160" w:right="2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Uncertain global and domestic macro-economic and political conditions could materially adversely affect our business, results of operations, and financial condition.</w:t>
      </w:r>
    </w:p>
    <w:p>
      <w:pPr>
        <w:spacing w:after="0" w:line="53"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w:t>
      </w:r>
    </w:p>
    <w:p>
      <w:pPr>
        <w:spacing w:after="0" w:line="82" w:lineRule="exact"/>
        <w:rPr>
          <w:sz w:val="20"/>
          <w:szCs w:val="20"/>
          <w:color w:val="auto"/>
        </w:rPr>
      </w:pPr>
    </w:p>
    <w:p>
      <w:pPr>
        <w:ind w:left="1140" w:right="400" w:hanging="438"/>
        <w:spacing w:after="0" w:line="278"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and policies governing foreign trade (including, without limitation, the United States-Mexico-Canada Agreement, the EU-UK Trade and Cooperation Agreement of December 2020, and other international trade agreements);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restrictions on imports and exports;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sanctions, or other protectionist measures;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including further deterioration of, the relationship between the United States and China;</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as a result of the 2024 U.S. presidential election;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debt levels;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levels (and a corresponding increase in the uninsured and underinsured population);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employment laws and regulations;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1"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and strengthening of the dollar, which have and will continue to impact our results of operations;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and energy costs;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inflation on our ability to procure products and our ability to increase prices over time and pass through to our customers price increases we may receive;</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and the availability of certain tax deductions;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or healthcare costs;</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or outbreak of war, terrorism, or public unrest (including, without limitation, the ongoing wars in Ukraine and the Middle East);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policies governing manufacturing, development and investment in territories and countries where we do business.</w:t>
      </w:r>
    </w:p>
    <w:p>
      <w:pPr>
        <w:spacing w:after="0" w:line="221"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The U.S. government recently announced tariffs on products manufactured in several jurisdictions outside the United States, including China, Canada, and Mexico, and has made announcements regarding the potential imposition of tariffs on other jurisdictions. While certain of these announced tariffs have been delayed, the U.S. government may in the future impose, reimpose, increase, or pause tariffs, and countries subject to such tariffs have and, in the future may, impose reciprocal tariffs or impose other protectionist or retaliatory trade measures in response. Any of these actions could increase uncertainties and risks relating to our global operations.</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Global geopolitical conflicts, including the ongoing wars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spacing w:after="0" w:line="18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 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w:t>
      </w:r>
    </w:p>
    <w:p>
      <w:pPr>
        <w:spacing w:after="0" w:line="287"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manufacturing business is exposed to price fluctuations of key commodities, which may negatively impact our results of operations and cash flows.</w:t>
      </w:r>
    </w:p>
    <w:p>
      <w:pPr>
        <w:spacing w:after="0" w:line="53"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 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60"/>
          </w:cols>
          <w:pgMar w:left="320" w:top="451"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4"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53" w:lineRule="exact"/>
        <w:rPr>
          <w:sz w:val="20"/>
          <w:szCs w:val="20"/>
          <w:color w:val="auto"/>
        </w:rPr>
      </w:pPr>
    </w:p>
    <w:p>
      <w:pPr>
        <w:jc w:val="both"/>
        <w:ind w:left="160" w:right="560" w:firstLine="436"/>
        <w:spacing w:after="0" w:line="263" w:lineRule="auto"/>
        <w:rPr>
          <w:sz w:val="20"/>
          <w:szCs w:val="20"/>
          <w:color w:val="auto"/>
        </w:rPr>
      </w:pPr>
      <w:r>
        <w:rPr>
          <w:rFonts w:ascii="Times New Roman" w:cs="Times New Roman" w:eastAsia="Times New Roman" w:hAnsi="Times New Roman"/>
          <w:sz w:val="18"/>
          <w:szCs w:val="18"/>
          <w:color w:val="auto"/>
        </w:rPr>
        <w:t>We have a substantial amount of debt and are permitted to incur a substantial amount of additional indebtedness, including secured debt, to finance working capital, capital expenditures, investments, or acquisitions, or for other purposes. See “Description of Certain Indebtedness.” Our existing debt could have important consequences, the risks of which may increase if we incur any additional debt, including:</w:t>
      </w:r>
    </w:p>
    <w:p>
      <w:pPr>
        <w:spacing w:after="0" w:line="82" w:lineRule="exact"/>
        <w:rPr>
          <w:sz w:val="20"/>
          <w:szCs w:val="20"/>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satisfy our obligations, including debt service requirements under our outstanding debt;</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or other general corporate purposes;</w:t>
      </w:r>
    </w:p>
    <w:p>
      <w:pPr>
        <w:spacing w:after="0" w:line="68" w:lineRule="exact"/>
        <w:rPr>
          <w:rFonts w:ascii="Times New Roman" w:cs="Times New Roman" w:eastAsia="Times New Roman" w:hAnsi="Times New Roman"/>
          <w:sz w:val="18"/>
          <w:szCs w:val="18"/>
          <w:color w:val="auto"/>
        </w:rPr>
      </w:pPr>
    </w:p>
    <w:p>
      <w:pPr>
        <w:ind w:left="1140" w:right="220" w:hanging="438"/>
        <w:spacing w:after="0" w:line="263"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w:t>
      </w:r>
    </w:p>
    <w:p>
      <w:pPr>
        <w:spacing w:after="0" w:line="81" w:lineRule="exact"/>
        <w:rPr>
          <w:rFonts w:ascii="Times New Roman" w:cs="Times New Roman" w:eastAsia="Times New Roman" w:hAnsi="Times New Roman"/>
          <w:sz w:val="18"/>
          <w:szCs w:val="18"/>
          <w:color w:val="auto"/>
        </w:rPr>
      </w:pPr>
    </w:p>
    <w:p>
      <w:pPr>
        <w:ind w:left="1140" w:right="180" w:hanging="438"/>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economic downturns and adverse industry conditions and our flexibility to plan for, or react to, changes in our business or industry is more limited;</w:t>
      </w:r>
    </w:p>
    <w:p>
      <w:pPr>
        <w:spacing w:after="0" w:line="68" w:lineRule="exact"/>
        <w:rPr>
          <w:rFonts w:ascii="Times New Roman" w:cs="Times New Roman" w:eastAsia="Times New Roman" w:hAnsi="Times New Roman"/>
          <w:sz w:val="18"/>
          <w:szCs w:val="18"/>
          <w:color w:val="auto"/>
        </w:rPr>
      </w:pPr>
    </w:p>
    <w:p>
      <w:pPr>
        <w:ind w:left="1140" w:right="20" w:hanging="438"/>
        <w:spacing w:after="0" w:line="263"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capitalize on business opportunities and react to competitive pressures compared to our competitors who are not as highly leveraged, including due to the restrictive covenants in the credit agreement that governs the Senior Secured Credit Facilities (as defined herein) and the indentures that govern the Senior Notes (as defined herein);</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or to refinance debt on favorable terms or at all;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potential or existing customers or vendors to not contract with us due to concerns over our ability to meet our financial obligations.</w:t>
      </w:r>
    </w:p>
    <w:p>
      <w:pPr>
        <w:spacing w:after="0" w:line="232"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spacing w:after="0" w:line="184"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Revolving Credit Facility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w:t>
      </w:r>
    </w:p>
    <w:p>
      <w:pPr>
        <w:spacing w:after="0" w:line="192"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All of the debt under our Senior Secured Credit Facilities bears interest at variable rates. In recent years, we have experienced higher interest expense on our credit facilities due to interest rate increases, and if interest rates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2"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63" w:lineRule="auto"/>
        <w:rPr>
          <w:sz w:val="20"/>
          <w:szCs w:val="20"/>
          <w:color w:val="auto"/>
        </w:rPr>
      </w:pPr>
      <w:r>
        <w:rPr>
          <w:rFonts w:ascii="Times New Roman" w:cs="Times New Roman" w:eastAsia="Times New Roman" w:hAnsi="Times New Roman"/>
          <w:sz w:val="18"/>
          <w:szCs w:val="18"/>
          <w:color w:val="auto"/>
        </w:rPr>
        <w:t>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spacing w:after="0" w:line="17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Furthermore, we amended the credit agreement governing our Senior Secured Credit Facilities in order to transition our dollar-denominated Senior Secured Credit Facilities to the use of the Secured Overnight Financing Rate (“SOFR”) as a replacement for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w:t>
      </w:r>
    </w:p>
    <w:p>
      <w:pPr>
        <w:spacing w:after="0" w:line="292" w:lineRule="exact"/>
        <w:rPr>
          <w:sz w:val="20"/>
          <w:szCs w:val="20"/>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53" w:lineRule="exact"/>
        <w:rPr>
          <w:sz w:val="20"/>
          <w:szCs w:val="20"/>
          <w:color w:val="auto"/>
        </w:rPr>
      </w:pPr>
    </w:p>
    <w:p>
      <w:pPr>
        <w:ind w:left="160" w:right="300" w:firstLine="436"/>
        <w:spacing w:after="0" w:line="308" w:lineRule="auto"/>
        <w:rPr>
          <w:sz w:val="20"/>
          <w:szCs w:val="20"/>
          <w:color w:val="auto"/>
        </w:rPr>
      </w:pPr>
      <w:r>
        <w:rPr>
          <w:rFonts w:ascii="Times New Roman" w:cs="Times New Roman" w:eastAsia="Times New Roman" w:hAnsi="Times New Roman"/>
          <w:sz w:val="17"/>
          <w:szCs w:val="17"/>
          <w:color w:val="auto"/>
        </w:rPr>
        <w:t>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w:t>
      </w:r>
    </w:p>
    <w:p>
      <w:pPr>
        <w:spacing w:after="0" w:line="47" w:lineRule="exact"/>
        <w:rPr>
          <w:sz w:val="20"/>
          <w:szCs w:val="20"/>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issue disqualified stock or preferred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distributions on, or redeem or repurchase, capital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27" w:lineRule="exact"/>
        <w:rPr>
          <w:rFonts w:ascii="Times New Roman" w:cs="Times New Roman" w:eastAsia="Times New Roman" w:hAnsi="Times New Roman"/>
          <w:sz w:val="18"/>
          <w:szCs w:val="18"/>
          <w:color w:val="auto"/>
        </w:rPr>
      </w:pPr>
    </w:p>
    <w:p>
      <w:pPr>
        <w:ind w:left="1140" w:right="260" w:hanging="438"/>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the ability of restricted subsidiaries to make dividends or other payments to the issuer/borrower or the guarantors of the relevant debt;</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subsidiaries as unrestricted subsidiaries;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 that is subordinated in right of payment to the notes;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addition, if borrowings under our Revolving Credit Facility exceed certain thresholds, our subsidiaries are also subject to a first lien net</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leverage ratio financial covenant in the credit agreement that governs the Senior Secured Credit Facilities. See “Description of Certain Indebtedness.”</w:t>
      </w:r>
    </w:p>
    <w:p>
      <w:pPr>
        <w:spacing w:after="0" w:line="202"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80" w:firstLine="436"/>
        <w:spacing w:after="0" w:line="258"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4" w:lineRule="exact"/>
        <w:rPr>
          <w:sz w:val="20"/>
          <w:szCs w:val="20"/>
          <w:color w:val="auto"/>
        </w:rPr>
      </w:pPr>
    </w:p>
    <w:p>
      <w:pPr>
        <w:ind w:left="160"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67" w:lineRule="exact"/>
        <w:rPr>
          <w:sz w:val="20"/>
          <w:szCs w:val="20"/>
          <w:color w:val="auto"/>
        </w:rPr>
      </w:pPr>
    </w:p>
    <w:p>
      <w:pPr>
        <w:ind w:left="160" w:right="40" w:firstLine="436"/>
        <w:spacing w:after="0" w:line="267" w:lineRule="auto"/>
        <w:rPr>
          <w:sz w:val="20"/>
          <w:szCs w:val="20"/>
          <w:color w:val="auto"/>
        </w:rPr>
      </w:pPr>
      <w:r>
        <w:rPr>
          <w:rFonts w:ascii="Times New Roman" w:cs="Times New Roman" w:eastAsia="Times New Roman" w:hAnsi="Times New Roman"/>
          <w:sz w:val="17"/>
          <w:szCs w:val="17"/>
          <w:color w:val="auto"/>
        </w:rPr>
        <w:t>Medline Inc. will be a holding company and after completion of this offering will have no material assets other than its ownership of Common Units held directly or indirectly through wholly owned subsidiaries. Medline Inc. will have no independent means of generating revenue and intends to cause Medline Holdings to make distributions to its holders of Units, including Medline Inc. and the Continuing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w:t>
      </w:r>
    </w:p>
    <w:p>
      <w:pPr>
        <w:spacing w:after="0" w:line="176" w:lineRule="exact"/>
        <w:rPr>
          <w:sz w:val="20"/>
          <w:szCs w:val="20"/>
          <w:color w:val="auto"/>
        </w:rPr>
      </w:pPr>
    </w:p>
    <w:p>
      <w:pPr>
        <w:ind w:left="160" w:firstLine="436"/>
        <w:spacing w:after="0" w:line="269" w:lineRule="auto"/>
        <w:rPr>
          <w:sz w:val="20"/>
          <w:szCs w:val="20"/>
          <w:color w:val="auto"/>
        </w:rPr>
      </w:pPr>
      <w:r>
        <w:rPr>
          <w:rFonts w:ascii="Times New Roman" w:cs="Times New Roman" w:eastAsia="Times New Roman" w:hAnsi="Times New Roman"/>
          <w:sz w:val="17"/>
          <w:szCs w:val="17"/>
          <w:color w:val="auto"/>
        </w:rPr>
        <w:t>Medline Holdings will continue to be treated as a partnership for U.S. federal income tax purposes and, as such, generally will not be subject to any entity-level U.S. federal income tax. Instead, taxable income will be allocated to holders of Units (including Medline Inc.). Accordingly, Medline Inc. will be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 Holdings’ net taxable income will increase over time as the Continuing Unitholders exchange their Common Units (including Common Units issued upon conversion of vested Incentive Units) for shares of Class A common stock. Such increase in Medline Inc.’s tax expenses may have a material adverse effect on our business, results of operations, and financial condition.</w:t>
      </w:r>
    </w:p>
    <w:p>
      <w:pPr>
        <w:spacing w:after="0" w:line="173"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Under the terms of the amended and restated limited partnership agreement, Medline Holdings is obligated to make tax distributions to holders of Units (including Medline Inc.) at certain assumed tax rates. These tax distributions in certain periods are likely to exceed Medline Inc.’s tax liabilities and obligations to make payments under the tax receivable agreement. To the extent that we do not distribute such excess cash as dividends on our Class A common stock or otherwise undertake ameliorative actions between Units and shares of Class A common stock and instead, for example, hold such cash balances, our Continuing Unitholders (other than Medline Inc.) may benefit from any value attributable to such cash balances as a result of their ownership of Class A common stock following a sale or exchange of their Common Units (including Common Units issued upon conversion of vested Incentive Units) for shares of Class A common stock, notwithstanding that such Continuing Unitholders may previously have participated as holders of Units in distributions by Medline Holdings that resulted in such excess cash balances at Medline Inc.</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60"/>
          </w:cols>
          <w:pgMar w:left="320" w:top="452"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Our board of directors, in its sole discretion, will make any determination from time to time with respect to the use of any such excess cash so accumulated, which may include, among other uses, funding repurchases of Class A common stock; acquiring additional newly issued Common Units from Medline Holdings at a per unit price determined by reference to the market value of the Class A common stock; paying dividends, which may include special dividends, on its Class A common stock; or any combination of the foregoing. Although we expect that our board of directors will take commercially reasonable measures to mitigate such excess cash benefit to the Continuing Unitholders, we will have no obligation to distribute such cash (or other available cash other than any declared dividend) to our stockholders or take any such ameliorative actions. See “Certain Relationships and Related Person Transactions—Medline Holdings Amended and Restated Limited Partnership Agreement.”</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tax receivable agreement confers benefits upon certain of our pre-IPO owners.</w:t>
      </w:r>
    </w:p>
    <w:p>
      <w:pPr>
        <w:spacing w:after="0" w:line="118" w:lineRule="exact"/>
        <w:rPr>
          <w:sz w:val="20"/>
          <w:szCs w:val="20"/>
          <w:color w:val="auto"/>
        </w:rPr>
      </w:pPr>
    </w:p>
    <w:p>
      <w:pPr>
        <w:ind w:left="160" w:right="20" w:firstLine="436"/>
        <w:spacing w:after="0" w:line="266" w:lineRule="auto"/>
        <w:rPr>
          <w:sz w:val="20"/>
          <w:szCs w:val="20"/>
          <w:color w:val="auto"/>
        </w:rPr>
      </w:pPr>
      <w:r>
        <w:rPr>
          <w:rFonts w:ascii="Times New Roman" w:cs="Times New Roman" w:eastAsia="Times New Roman" w:hAnsi="Times New Roman"/>
          <w:sz w:val="17"/>
          <w:szCs w:val="17"/>
          <w:color w:val="auto"/>
        </w:rPr>
        <w:t>Our tax receivable agreement confers benefits upon certain of our pre-IPO owners. Prior to the completion of this offering, Medline Inc. will enter into a tax receivable agreement with certain of its pre-IPO owners that provides for the payment by Medline Inc. to such pre-IPO owners of 90% of certain tax benefits, if any, that Medline Inc.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w:t>
      </w:r>
    </w:p>
    <w:p>
      <w:pPr>
        <w:spacing w:after="0" w:line="176"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The payments under the tax receivable agreement are not conditioned upon continued ownership of us by the pre-IPO owners. While the amount of existing tax basis and anticipated tax basis adjustments and utilization of tax attributes, as well as the amount and timing of any payments under the tax receivable agreement, will vary depending upon a</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64" w:lineRule="auto"/>
        <w:rPr>
          <w:sz w:val="20"/>
          <w:szCs w:val="20"/>
          <w:color w:val="auto"/>
        </w:rPr>
      </w:pPr>
      <w:r>
        <w:rPr>
          <w:rFonts w:ascii="Times New Roman" w:cs="Times New Roman" w:eastAsia="Times New Roman" w:hAnsi="Times New Roman"/>
          <w:sz w:val="17"/>
          <w:szCs w:val="17"/>
          <w:color w:val="auto"/>
        </w:rPr>
        <w:t>number of factors, we expect the payments that Medline Inc. may make under the tax receivable agreement will be substantial. Assuming: (i) a price of $    per share of our Class A common stock (based on an assumed initial public offering price of $    per share, the midpoint of the estimated price range set forth on the cover page of this prospectus); (ii) a constant corporate tax rate of   %;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an offering price of $    per share of Class A common stock, which is the midpoint of the price range set forth on the cover of this prospectus, we estimate that we would, as a result of the Offering Transactions and such hypothetical exchange, record a deferred tax asset of approximately $    million and that the aggregate noncurrent liability we would record based on our estimate of the aggregate amount that Medline Inc. would pay under the tax receivable agreement is approximately $    million, generally payable over a 15-year period. For each 5% increase (decrease) in the price per share of our Class A common stock (and therefore the value of the Common Units exchanged), our deferred tax asset would increase (decrease) by approximately $    million and the related liability for payments under the tax receivable agreement would increase (decrease) by approximately $    million. These amounts are estimates and have been prepared for informational purposes only. The actual amount of deferred tax assets and related noncurrent liabilities that we will recognize as a result of any such future exchanges will differ based on, among other things:</w:t>
      </w:r>
    </w:p>
    <w:p>
      <w:pPr>
        <w:spacing w:after="0" w:line="5" w:lineRule="exact"/>
        <w:rPr>
          <w:sz w:val="20"/>
          <w:szCs w:val="20"/>
          <w:color w:val="auto"/>
        </w:rPr>
      </w:pPr>
    </w:p>
    <w:p>
      <w:pPr>
        <w:ind w:left="160" w:right="420" w:firstLine="7"/>
        <w:spacing w:after="0" w:line="250" w:lineRule="auto"/>
        <w:tabs>
          <w:tab w:leader="none" w:pos="3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292" w:lineRule="exact"/>
        <w:rPr>
          <w:sz w:val="20"/>
          <w:szCs w:val="20"/>
          <w:color w:val="auto"/>
        </w:rPr>
      </w:pPr>
    </w:p>
    <w:p>
      <w:pPr>
        <w:ind w:left="1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significantly exceed the actual benefits Medline Inc. realizes in respect of the tax attributes subject to the tax receivable agreement.</w:t>
      </w:r>
    </w:p>
    <w:p>
      <w:pPr>
        <w:spacing w:after="0" w:line="53"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w:t>
      </w:r>
    </w:p>
    <w:p>
      <w:pPr>
        <w:spacing w:after="0" w:line="193"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2"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4" w:lineRule="auto"/>
        <w:rPr>
          <w:sz w:val="20"/>
          <w:szCs w:val="20"/>
          <w:color w:val="auto"/>
        </w:rPr>
      </w:pPr>
      <w:r>
        <w:rPr>
          <w:rFonts w:ascii="Times New Roman" w:cs="Times New Roman" w:eastAsia="Times New Roman" w:hAnsi="Times New Roman"/>
          <w:sz w:val="18"/>
          <w:szCs w:val="18"/>
          <w:color w:val="auto"/>
        </w:rPr>
        <w:t>sufficient to permit Medline Inc. to make payments under the tax receivable agreement after it has paid taxes and other expenses. We may need to seek to raise additional capital, incur indebtedness, or take other measures to finance payments under the tax receivable agreement to the extent our cash resources are insufficient to meet our obligations under the tax receivable agreement as a result of timing discrepancies, insufficient distributions from Medline Holdings, lack of liquidity in Medline Holdings, or otherwise, and these obligations could have the effect of delaying, deferring, or preventing certain mergers, asset sales, other forms of business combinations, or other changes of control. See “Certain Relationships and Related Person Transactions—Tax Receivable Agreement.”</w:t>
      </w:r>
    </w:p>
    <w:p>
      <w:pPr>
        <w:spacing w:after="0" w:line="287" w:lineRule="exact"/>
        <w:rPr>
          <w:sz w:val="20"/>
          <w:szCs w:val="20"/>
          <w:color w:val="auto"/>
        </w:rPr>
      </w:pPr>
    </w:p>
    <w:p>
      <w:pPr>
        <w:jc w:val="both"/>
        <w:ind w:left="160" w:right="12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The application of certain valuation assumptions under the tax receivable agreement in the case of certain changes of control or other events may impair our ability to consummate change of control transactions or negatively impact the value received by owners of our Class A common stock.</w:t>
      </w:r>
    </w:p>
    <w:p>
      <w:pPr>
        <w:spacing w:after="0" w:line="29"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Such payments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114"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Designating Stockholders will continue to hold a significant percentage of our stock, and their interests may conflict with ours or yours in the future.</w:t>
      </w:r>
    </w:p>
    <w:p>
      <w:pPr>
        <w:spacing w:after="0" w:line="53"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Immediately following this offering and the application of net proceeds therefrom, the Designating Stockholders will beneficially own or control approximately   % of the combined voting power of our shares eligible to vote in the election of our directors (or   % if the underwriters exercise in full their option to purchase additional shares of Class A common stock). Moreover, we will agree to nominate to our board individuals designated by the Designating Stockholders in accordance with the director nomination agreements we intend to enter into in connection with this offering. The Designating Stockholders will retain the right to designate directors subject to the maintenance of certain ownership requirements in us. See “Certain Relationships and Related Person Transactions—Director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320" w:top="452" w:right="5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In addition, immediately following this offering and the application of the net proceeds therefrom, the Continuing Common Unitholders (which include certain interests held by our Principal Stockholders) will own   % of the Common Units (or   %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existence of the tax receivable agreement that we will enter into in connection with this offering,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303"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not limit the ability of our Sponsors, the Mills Family, and our Other Pre-IPO Investors to compete with us, and they may have investments in businesses whose interests conflict with ours.</w:t>
      </w:r>
    </w:p>
    <w:p>
      <w:pPr>
        <w:spacing w:after="0" w:line="53"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Our Sponsors, the Mills Family, our Other Pre-IPO Investors, and their respective affiliates engage in a broad spectrum of activities, including investments in businesses that may compete with us. In the ordinary course of their business activities, our Sponsors, the Mills Family, our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our Other Pre-IPO Investors, the Mills Family, subject to limited exceptions, or any of their respective affiliates or any of our directors who are not employed by us (including any non-employee director who serves as one of our officers in both their director and officer capacities) or their affiliates. See “Description of Capital Stock —Conflicts of Interest.” Our Sponsors, the Mills Family, our Other Pre-IPO Investors, and their respective affiliates also may pursue acquisition opportunities that may be complementary to our business, and, as a result, those acquisition opportunities may not be available to us. In addition, our Sponsors, the Mills Family, and our Other Pre-IPO Investors may have an interest in our pursuing acquisitions, divestitures, and other transactions that, in their judgment, could enhance their investment, even though such transactions might involve risks to us and our stockholders.</w:t>
      </w:r>
    </w:p>
    <w:p>
      <w:pPr>
        <w:spacing w:after="0" w:line="290" w:lineRule="exact"/>
        <w:rPr>
          <w:sz w:val="20"/>
          <w:szCs w:val="20"/>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which could lower our profits, make it more difficult to run our business, or divert management’s attention from our business.</w:t>
      </w:r>
    </w:p>
    <w:p>
      <w:pPr>
        <w:spacing w:after="0" w:line="53"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As a public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1"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public company reporting requirements. We also will incur costs associated with the Sarbanes-Oxley Act of 2002 (the “Sarbanes-Oxley Act”) and related rules implemented by the Securities and Exchange Commission (the “SEC”) and Nasdaq, and compliance with these requirements will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290" w:lineRule="exact"/>
        <w:rPr>
          <w:sz w:val="20"/>
          <w:szCs w:val="20"/>
          <w:color w:val="auto"/>
        </w:rPr>
      </w:pPr>
    </w:p>
    <w:p>
      <w:pPr>
        <w:ind w:left="160" w:right="4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3"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As a privately held company, we were not required to evaluate our internal control over financial reporting in a manner that meets the standards of publicly traded companies required by Section 404(a) of the Sarbanes-Oxley Act (“Section 404”).</w:t>
      </w:r>
    </w:p>
    <w:p>
      <w:pPr>
        <w:spacing w:after="0" w:line="16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will be required to attest to the effectiveness of our internal control over financial reporting on an annual basis, beginning with our second annual report.</w:t>
      </w:r>
    </w:p>
    <w:p>
      <w:pPr>
        <w:spacing w:after="0" w:line="19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currently in the process of updating our control processes and automating certain of our procedures and systems in anticipation of becoming a public company, but our internal controls over financial reporting currently do not meet all of the standards contemplated by Section 404 that we will eventually be required to meet.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60"/>
          </w:cols>
          <w:pgMar w:left="320" w:top="451"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63" w:lineRule="auto"/>
        <w:rPr>
          <w:sz w:val="20"/>
          <w:szCs w:val="20"/>
          <w:color w:val="auto"/>
        </w:rPr>
      </w:pPr>
      <w:r>
        <w:rPr>
          <w:rFonts w:ascii="Times New Roman" w:cs="Times New Roman" w:eastAsia="Times New Roman" w:hAnsi="Times New Roman"/>
          <w:sz w:val="18"/>
          <w:szCs w:val="18"/>
          <w:color w:val="auto"/>
        </w:rPr>
        <w:t>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278"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53"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87" w:lineRule="exact"/>
        <w:rPr>
          <w:sz w:val="20"/>
          <w:szCs w:val="20"/>
          <w:color w:val="auto"/>
        </w:rPr>
      </w:pPr>
    </w:p>
    <w:p>
      <w:pPr>
        <w:ind w:left="16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67"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the Company will lead to the development of an active trading market on Nasdaq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8"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87"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53"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2"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00"/>
        <w:spacing w:after="0" w:line="253" w:lineRule="auto"/>
        <w:rPr>
          <w:sz w:val="20"/>
          <w:szCs w:val="20"/>
          <w:color w:val="auto"/>
        </w:rPr>
      </w:pPr>
      <w:r>
        <w:rPr>
          <w:rFonts w:ascii="Times New Roman" w:cs="Times New Roman" w:eastAsia="Times New Roman" w:hAnsi="Times New Roman"/>
          <w:sz w:val="18"/>
          <w:szCs w:val="18"/>
          <w:color w:val="auto"/>
        </w:rPr>
        <w:t>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84" w:lineRule="exact"/>
        <w:rPr>
          <w:sz w:val="20"/>
          <w:szCs w:val="20"/>
          <w:color w:val="auto"/>
        </w:rPr>
      </w:pPr>
    </w:p>
    <w:p>
      <w:pPr>
        <w:ind w:left="160" w:right="320" w:firstLine="436"/>
        <w:spacing w:after="0" w:line="285" w:lineRule="auto"/>
        <w:rPr>
          <w:sz w:val="20"/>
          <w:szCs w:val="20"/>
          <w:color w:val="auto"/>
        </w:rPr>
      </w:pPr>
      <w:r>
        <w:rPr>
          <w:rFonts w:ascii="Times New Roman" w:cs="Times New Roman" w:eastAsia="Times New Roman" w:hAnsi="Times New Roman"/>
          <w:sz w:val="17"/>
          <w:szCs w:val="17"/>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18"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Common Units by the pre-IPO owners. See “Dilution.”</w:t>
      </w:r>
    </w:p>
    <w:p>
      <w:pPr>
        <w:spacing w:after="0" w:line="283" w:lineRule="exact"/>
        <w:rPr>
          <w:sz w:val="20"/>
          <w:szCs w:val="20"/>
          <w:color w:val="auto"/>
        </w:rPr>
      </w:pPr>
    </w:p>
    <w:p>
      <w:pPr>
        <w:ind w:left="160" w:right="9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Class A common stock or Common Units in connection with our incentive plans, acquisitions or otherwise.</w:t>
      </w:r>
    </w:p>
    <w:p>
      <w:pPr>
        <w:spacing w:after="0" w:line="53" w:lineRule="exact"/>
        <w:rPr>
          <w:sz w:val="20"/>
          <w:szCs w:val="20"/>
          <w:color w:val="auto"/>
        </w:rPr>
      </w:pPr>
    </w:p>
    <w:p>
      <w:pPr>
        <w:ind w:left="160" w:right="660" w:firstLine="436"/>
        <w:spacing w:after="0" w:line="259" w:lineRule="auto"/>
        <w:rPr>
          <w:sz w:val="20"/>
          <w:szCs w:val="20"/>
          <w:color w:val="auto"/>
        </w:rPr>
      </w:pPr>
      <w:r>
        <w:rPr>
          <w:rFonts w:ascii="Times New Roman" w:cs="Times New Roman" w:eastAsia="Times New Roman" w:hAnsi="Times New Roman"/>
          <w:sz w:val="18"/>
          <w:szCs w:val="18"/>
          <w:color w:val="auto"/>
        </w:rPr>
        <w:t>After this offering we will have         shares of Class A common stock authorized but unissued, including         shares of Class A common stock issuable upon exchange of Common Units that will be held by the Continuing Common Unitholders (or         shares if the</w:t>
      </w:r>
    </w:p>
    <w:p>
      <w:pPr>
        <w:ind w:left="160"/>
        <w:spacing w:after="0" w:line="222" w:lineRule="auto"/>
        <w:rPr>
          <w:sz w:val="20"/>
          <w:szCs w:val="20"/>
          <w:color w:val="auto"/>
        </w:rPr>
      </w:pPr>
      <w:r>
        <w:rPr>
          <w:rFonts w:ascii="Times New Roman" w:cs="Times New Roman" w:eastAsia="Times New Roman" w:hAnsi="Times New Roman"/>
          <w:sz w:val="10"/>
          <w:szCs w:val="10"/>
          <w:color w:val="auto"/>
        </w:rPr>
        <w:t>underwriters exercise their options to purchase additional shares of our Class A common stock).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Common Units, and which may be exchangeable for shares of our Class A common stock. Additionally, we have reserved an aggregate of         shares of Class A common stock and Common Units for issuance under our Omnibus Incentive Plan,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right="220"/>
        <w:spacing w:after="0" w:line="259" w:lineRule="auto"/>
        <w:rPr>
          <w:sz w:val="20"/>
          <w:szCs w:val="20"/>
          <w:color w:val="auto"/>
        </w:rPr>
      </w:pPr>
      <w:r>
        <w:rPr>
          <w:rFonts w:ascii="Times New Roman" w:cs="Times New Roman" w:eastAsia="Times New Roman" w:hAnsi="Times New Roman"/>
          <w:sz w:val="18"/>
          <w:szCs w:val="18"/>
          <w:color w:val="auto"/>
        </w:rPr>
        <w:t>shares of Class A common stock issuable following vesting and upon exchange for         as-converted Incentive Units held by the Continuing Incentive Unitholders with a weighted average participation threshold of $        per unit. For additional information concerning the awards under</w:t>
      </w:r>
    </w:p>
    <w:p>
      <w:pPr>
        <w:ind w:left="160" w:right="40"/>
        <w:spacing w:after="0" w:line="250" w:lineRule="auto"/>
        <w:rPr>
          <w:sz w:val="20"/>
          <w:szCs w:val="20"/>
          <w:color w:val="auto"/>
        </w:rPr>
      </w:pPr>
      <w:r>
        <w:rPr>
          <w:rFonts w:ascii="Times New Roman" w:cs="Times New Roman" w:eastAsia="Times New Roman" w:hAnsi="Times New Roman"/>
          <w:sz w:val="18"/>
          <w:szCs w:val="18"/>
          <w:color w:val="auto"/>
        </w:rPr>
        <w:t>the Omnibus Incentive Plan that we intend to grant in connection with this offering or that will be outstanding at the time of this offering, see “Summary —The Offering.” There are also shares of Class A common stock reserved for issuance under our ESPP. Any Class A common stock that we issue, including under our Omnibus Incentive Plan, our ESPP, or other equity incentive plans that we may adopt in the future, would dilute the percentage ownership held by the investors who purchase Class A common stock in this offering. See “Dilution.”</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whose terms could materially adversely affect the voting power or value of our Class A common stock.</w:t>
      </w:r>
    </w:p>
    <w:p>
      <w:pPr>
        <w:spacing w:after="0" w:line="118"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us to issue, without the approval of our stockholders, one or more series of preferred stock having such designations, preferences, limitations and relative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2"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87" w:lineRule="exact"/>
        <w:rPr>
          <w:sz w:val="20"/>
          <w:szCs w:val="20"/>
          <w:color w:val="auto"/>
        </w:rPr>
      </w:pPr>
    </w:p>
    <w:p>
      <w:pPr>
        <w:ind w:left="160" w:right="6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53"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shares of our Class A common stock outstanding, or         shares if the underwriters exercise in full their option to purchase additional shares of our Class A common stock. All of the shares of our Class A common stock sold in this offering will be freely tradable without restriction or further registration under the Securities Act, by persons other than our “affiliates,” as that term is defined under Rule 144 of the Securities Act. See “Shares Eligible for Future Sale.”</w:t>
      </w:r>
    </w:p>
    <w:p>
      <w:pPr>
        <w:spacing w:after="0" w:line="184"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In addition, we and the Continuing Unitholders will enter into an exchange agreement under which they (or certain permitted transferees) will have the right, after the completion of this offering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completion of this offering (subject to the terms of the exchange agreement), an aggregate of         Common Units (or         Common Units if the underwriters exercise their option to purchase additional shares of our Class A common stock) may be exchanged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We, our directors, executive officers, and holders of substantially all of our outstanding Common Units immediately prior to this offering have agreed, subject to certain exceptions, not to dispose of or hedge any shares of our Class A common stock (including shares issued upon exchange of Common Units) or securities convertible into or exchangeable for shares of our Class A common stock for 180 days from the date of this prospectus, except with the prior written consent of either Goldman Sachs &amp; Co. LLC or Morgan Stanley &amp; Co. LLC, and one additional representative, on behalf of the underwriters. See “Underwriting.” As a result of the registration rights agreement, however, all of these shares of our Class A common stock (including shares issued upon exchange of Common Units) may be eligible for future sale without restriction, subject to applicable lock-up arrangements. See “Shares Eligible for Future Sale—Registration Rights” and “Certain Relationships and Related Person Transactions—Registration Rights Agreement.”</w:t>
      </w:r>
    </w:p>
    <w:p>
      <w:pPr>
        <w:spacing w:after="0" w:line="200"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Subject to certain limitations and exceptions, pursuant to the terms of the amended and restated limited partnership agreement of Medline Holdings, the Continuing Incentive Unitholders, which will hold           Incentive Units, which have a weighted-average per unit participation threshold of $    per Incentive Unit, will have the right to convert their vested Incentive Units into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one-for-one basis for shares of Class A common stock of Medline Inc. in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451"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accordance with the terms of the exchange agreement. At the time of this offering,      shares of Class A common stock would be issuable upon the exchange of an equivalent number of Common Units into which outstanding Incentive Units that are held by the Continuing Incentive Unitholders may be converted (assuming an offering price of $      per share of Class A common stock, which is the midpoint of the price range set forth on the cover of this prospectus, and assuming such Incentive Units are fully vested and converted to Common Units). In the event that the price of our Class A common stock increases, the number of Common Units a holder of vested Incentive Units would receive upon conversion of such Incentive Units would increase. See “Certain Relationships and Related Person Transactions—Medline Holdings Amended and Restated Limited Partnership Agreement.” The delivery of shares of Class A common stock upon exchange of Common Units received in conversion of Incentive Units will be registered on one or more registration statements on Form S-8, as described below.</w:t>
      </w:r>
    </w:p>
    <w:p>
      <w:pPr>
        <w:spacing w:after="0" w:line="187" w:lineRule="exact"/>
        <w:rPr>
          <w:sz w:val="20"/>
          <w:szCs w:val="20"/>
          <w:color w:val="auto"/>
        </w:rPr>
      </w:pPr>
    </w:p>
    <w:p>
      <w:pPr>
        <w:ind w:left="160" w:right="120" w:firstLine="436"/>
        <w:spacing w:after="0" w:line="252"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 See “Shares Eligible for Future Sale.”</w:t>
      </w:r>
    </w:p>
    <w:p>
      <w:pPr>
        <w:spacing w:after="0" w:line="187"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shares of our Class A common stock or securities convertible into or exchangeable for shares of our Class A common stock issued pursuant to our Omnibus Incentive Plan and our ESPP. Any such Form S-8 registration statements will automatically become effective upon filing. Accordingly, shares registered under such registration statements will be available for sale in the open market. We expect that the initial registration statement on Form S-8 will cover         shares of our Class A common stock.</w:t>
      </w:r>
    </w:p>
    <w:p>
      <w:pPr>
        <w:spacing w:after="0" w:line="184"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87"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53"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82" w:lineRule="exact"/>
        <w:rPr>
          <w:sz w:val="20"/>
          <w:szCs w:val="20"/>
          <w:color w:val="auto"/>
        </w:rPr>
      </w:pPr>
    </w:p>
    <w:p>
      <w:pPr>
        <w:ind w:left="1140" w:right="240" w:hanging="438"/>
        <w:spacing w:after="0" w:line="255"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52"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480" w:hanging="438"/>
        <w:spacing w:after="0" w:line="263"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 and</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other items of business that can be acted upon by stockholders at annual or special meetings.</w:t>
      </w:r>
    </w:p>
    <w:p>
      <w:pPr>
        <w:spacing w:after="0" w:line="162" w:lineRule="exact"/>
        <w:rPr>
          <w:sz w:val="20"/>
          <w:szCs w:val="20"/>
          <w:color w:val="auto"/>
        </w:rPr>
      </w:pPr>
    </w:p>
    <w:p>
      <w:pPr>
        <w:ind w:left="160" w:firstLine="436"/>
        <w:spacing w:after="0" w:line="265" w:lineRule="auto"/>
        <w:rPr>
          <w:sz w:val="20"/>
          <w:szCs w:val="20"/>
          <w:color w:val="auto"/>
        </w:rPr>
      </w:pPr>
      <w:r>
        <w:rPr>
          <w:rFonts w:ascii="Times New Roman" w:cs="Times New Roman" w:eastAsia="Times New Roman" w:hAnsi="Times New Roman"/>
          <w:sz w:val="17"/>
          <w:szCs w:val="17"/>
          <w:color w:val="auto"/>
        </w:rPr>
        <w:t>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 See “Description of Capital Stock—Anti-Takeover Effects of Our Amended and Restated Certificate of Incorporation and Amended and Restated Bylaws and Certain Provisions of Delaware Law—Business Combinations.”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285" w:lineRule="exact"/>
        <w:rPr>
          <w:sz w:val="20"/>
          <w:szCs w:val="20"/>
          <w:color w:val="auto"/>
        </w:rPr>
      </w:pPr>
    </w:p>
    <w:p>
      <w:pPr>
        <w:ind w:left="16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73" w:lineRule="exact"/>
        <w:rPr>
          <w:sz w:val="20"/>
          <w:szCs w:val="20"/>
          <w:color w:val="auto"/>
        </w:rPr>
      </w:pPr>
    </w:p>
    <w:p>
      <w:pPr>
        <w:ind w:left="160" w:right="240" w:firstLine="43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w:t>
      </w:r>
    </w:p>
    <w:p>
      <w:pPr>
        <w:spacing w:after="0" w:line="184"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2"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29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portion of the proceeds from this offering may be used to purchase or redeem outstanding equity interests from certain of our pre-IPO owners and will not be available to fund our operations.</w:t>
      </w:r>
    </w:p>
    <w:p>
      <w:pPr>
        <w:spacing w:after="0" w:line="53" w:lineRule="exact"/>
        <w:rPr>
          <w:sz w:val="20"/>
          <w:szCs w:val="20"/>
          <w:color w:val="auto"/>
        </w:rPr>
      </w:pPr>
    </w:p>
    <w:p>
      <w:pPr>
        <w:ind w:left="160" w:right="200" w:firstLine="436"/>
        <w:spacing w:after="0" w:line="255" w:lineRule="auto"/>
        <w:rPr>
          <w:sz w:val="20"/>
          <w:szCs w:val="20"/>
          <w:color w:val="auto"/>
        </w:rPr>
      </w:pPr>
      <w:r>
        <w:rPr>
          <w:rFonts w:ascii="Times New Roman" w:cs="Times New Roman" w:eastAsia="Times New Roman" w:hAnsi="Times New Roman"/>
          <w:sz w:val="18"/>
          <w:szCs w:val="18"/>
          <w:color w:val="auto"/>
        </w:rPr>
        <w:t>We intend to use any proceeds from the issuance of shares pursuant to any exercise by the underwriters of their option to purchase additional shares of Class A common stock to purchase or redeem outstanding equity interests from certain pre-IPO owners at a price per equity interest equal to the initial public offering price per share of our Class A common stock less the underwriting discounts and commissions, as described under “Organizational Structure—Offering Transactions” and “Use of Proceeds.” Accordingly, we will not retain any of these proceeds, and none of these proceeds will be available to fund our operations, capital expenditures, or acquisition opportunities.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60"/>
          </w:cols>
          <w:pgMar w:left="320" w:top="451"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prospectus. Factors that may cause actual results to differ from expected results include:</w:t>
      </w:r>
    </w:p>
    <w:p>
      <w:pPr>
        <w:spacing w:after="0" w:line="98" w:lineRule="exact"/>
        <w:rPr>
          <w:sz w:val="20"/>
          <w:szCs w:val="20"/>
          <w:color w:val="auto"/>
        </w:rPr>
      </w:pPr>
    </w:p>
    <w:p>
      <w:pPr>
        <w:ind w:left="1140" w:right="340" w:hanging="438"/>
        <w:spacing w:after="0" w:line="308" w:lineRule="auto"/>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46"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in our global operations;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extensive and complex laws and governmental regulations and the cost of adverse regulatory actions;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compliance with environmental, health, and safety requirements;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from the entry into new or amended contracts, planned cost savings, and business improvement initiatives;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government-imposed import policies, tariffs, and legislation;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accelerating price pressure in our markets;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laws, anti-corruption laws, and those laws and regulations pertaining to economic sanctions;</w:t>
      </w:r>
    </w:p>
    <w:p>
      <w:pPr>
        <w:spacing w:after="0" w:line="127" w:lineRule="exact"/>
        <w:rPr>
          <w:rFonts w:ascii="Times New Roman" w:cs="Times New Roman" w:eastAsia="Times New Roman" w:hAnsi="Times New Roman"/>
          <w:sz w:val="18"/>
          <w:szCs w:val="18"/>
          <w:color w:val="auto"/>
        </w:rPr>
      </w:pPr>
    </w:p>
    <w:p>
      <w:pPr>
        <w:ind w:left="1140" w:right="42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we work with to comply with complex and rapidly evolving data privacy, security, and data protection laws and regulations;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increasing use of Machine Learning Technology;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tax legislation and audits by tax authorities;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U.S. and global healthcare environments;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certain significant suppliers and third-party shippers;</w:t>
      </w:r>
    </w:p>
    <w:p>
      <w:pPr>
        <w:spacing w:after="0" w:line="127" w:lineRule="exact"/>
        <w:rPr>
          <w:rFonts w:ascii="Times New Roman" w:cs="Times New Roman" w:eastAsia="Times New Roman" w:hAnsi="Times New Roman"/>
          <w:sz w:val="18"/>
          <w:szCs w:val="18"/>
          <w:color w:val="auto"/>
        </w:rPr>
      </w:pPr>
    </w:p>
    <w:p>
      <w:pPr>
        <w:ind w:left="1140" w:right="98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fluctuations of key commodities and other factors of production including labor and transportation on our manufacturing business;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challenges or delays in the Company’s sourcing of new products and technologies;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in and dependence on certain healthcare provider customers and GPOs;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employees;</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320" w:top="451"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proper functioning of critical facilities and distribution networks;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litigation brought by third parties claiming infringement, misappropriation, or other violation by us of their intellectual property rights;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requirements to recognize impairment charges related to goodwill, identified intangible assets, and fixed assets;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derive fully the anticipated benefits from our existing or future acquisitions, joint ventures, investments, dispositions, or other strategic transactions;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recalls, and product liability claims;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legal, regulatory, and market measures to address climate change;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aspirations, goals, and disclosures related to ESG matters;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legal proceedings we are involved in;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reimbursement of healthcare goods and services;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we work with to reduce expenses if we experience decreasing prices for our goods and services;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insurance program to cover future losses;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positive perceptions of our reputation;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 ability to incur substantially more debt;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the financial risks associated with interest rate fluctuations on our variable rate debt;</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our debt agreements, which may restrict our ability to pursue our business strategies and our ability to comply with them;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“Risk Factors” and elsewhere in this prospectus.</w:t>
      </w:r>
    </w:p>
    <w:p>
      <w:pPr>
        <w:spacing w:after="0" w:line="221"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“Management’s Discussion and Analysis of Financial Condition and Results of Operations.”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87"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prospectus to reflect changed assumptions, the occurrence of unanticipated events, or changes to future operating results over time.</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51"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5"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w:t>
      </w:r>
    </w:p>
    <w:p>
      <w:pPr>
        <w:spacing w:after="0" w:line="180"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89"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In addition, assumptions and estimates of our and our industry’s future performance are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184" w:lineRule="exact"/>
        <w:rPr>
          <w:sz w:val="20"/>
          <w:szCs w:val="20"/>
          <w:color w:val="auto"/>
        </w:rPr>
      </w:pPr>
    </w:p>
    <w:p>
      <w:pPr>
        <w:ind w:left="160" w:firstLine="436"/>
        <w:spacing w:after="0" w:line="277" w:lineRule="auto"/>
        <w:rPr>
          <w:sz w:val="20"/>
          <w:szCs w:val="20"/>
          <w:color w:val="auto"/>
        </w:rPr>
      </w:pPr>
      <w:r>
        <w:rPr>
          <w:rFonts w:ascii="Times New Roman" w:cs="Times New Roman" w:eastAsia="Times New Roman" w:hAnsi="Times New Roman"/>
          <w:sz w:val="17"/>
          <w:szCs w:val="17"/>
          <w:color w:val="auto"/>
        </w:rPr>
        <w:t>Statements regarding our market position (including statements that we are the largest company in a particular market), unless otherwise noted, are based on our 2023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2023 net sales relative to the publicly reported net sales of med-surg products by companies that are both med-surg manufacturers and distributors.</w:t>
      </w:r>
    </w:p>
    <w:p>
      <w:pPr>
        <w:spacing w:after="0" w:line="167" w:lineRule="exact"/>
        <w:rPr>
          <w:sz w:val="20"/>
          <w:szCs w:val="20"/>
          <w:color w:val="auto"/>
        </w:rPr>
      </w:pPr>
    </w:p>
    <w:p>
      <w:pPr>
        <w:ind w:left="160" w:right="220" w:firstLine="436"/>
        <w:spacing w:after="0" w:line="254" w:lineRule="auto"/>
        <w:rPr>
          <w:sz w:val="20"/>
          <w:szCs w:val="20"/>
          <w:color w:val="auto"/>
        </w:rPr>
      </w:pPr>
      <w:r>
        <w:rPr>
          <w:rFonts w:ascii="Times New Roman" w:cs="Times New Roman" w:eastAsia="Times New Roman" w:hAnsi="Times New Roman"/>
          <w:sz w:val="18"/>
          <w:szCs w:val="18"/>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 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5"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We own or have the right to use trademarks, trade names, and service marks used in connection with our business, including, but not limited to, Medline, Curad, Microtek, Hudson, and Proxima, which are protected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1"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19" w:lineRule="auto"/>
        <w:rPr>
          <w:sz w:val="20"/>
          <w:szCs w:val="20"/>
          <w:color w:val="auto"/>
        </w:rPr>
      </w:pPr>
      <w:r>
        <w:rPr>
          <w:rFonts w:ascii="Times New Roman" w:cs="Times New Roman" w:eastAsia="Times New Roman" w:hAnsi="Times New Roman"/>
          <w:sz w:val="18"/>
          <w:szCs w:val="18"/>
          <w:color w:val="auto"/>
        </w:rPr>
        <w:t xml:space="preserve">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40"/>
          </w:cols>
          <w:pgMar w:left="320" w:top="451" w:right="5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Existing Organizational Structure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diagram below depicts our current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2886710</wp:posOffset>
            </wp:positionV>
            <wp:extent cx="7645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4540"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168910</wp:posOffset>
            </wp:positionV>
            <wp:extent cx="1494790" cy="26244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9479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Note: Certain intermediate holding companies that are not material to this offering have been omitted from the structure chart.</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Organizational Structure Following the Transactions</w:t>
      </w:r>
    </w:p>
    <w:p>
      <w:pPr>
        <w:spacing w:after="0" w:line="118" w:lineRule="exact"/>
        <w:rPr>
          <w:sz w:val="20"/>
          <w:szCs w:val="20"/>
          <w:color w:val="auto"/>
        </w:rPr>
      </w:pPr>
    </w:p>
    <w:p>
      <w:pPr>
        <w:ind w:left="160" w:right="20" w:firstLine="436"/>
        <w:spacing w:after="0" w:line="269" w:lineRule="auto"/>
        <w:rPr>
          <w:sz w:val="20"/>
          <w:szCs w:val="20"/>
          <w:color w:val="auto"/>
        </w:rPr>
      </w:pPr>
      <w:r>
        <w:rPr>
          <w:rFonts w:ascii="Times New Roman" w:cs="Times New Roman" w:eastAsia="Times New Roman" w:hAnsi="Times New Roman"/>
          <w:sz w:val="17"/>
          <w:szCs w:val="17"/>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 Medline Inc. will consolidate Medline Holdings in its consolidated financial statements and record a non-controlling interest related to the Units held by the Continuing Unitholders on its consolidated balance sheet and statement of income. As further described herein, prior to the completion of this offering:</w:t>
      </w:r>
    </w:p>
    <w:p>
      <w:pPr>
        <w:spacing w:after="0" w:line="79" w:lineRule="exact"/>
        <w:rPr>
          <w:sz w:val="20"/>
          <w:szCs w:val="20"/>
          <w:color w:val="auto"/>
        </w:rPr>
      </w:pPr>
    </w:p>
    <w:p>
      <w:pPr>
        <w:ind w:left="1140" w:right="200" w:hanging="545"/>
        <w:spacing w:after="0" w:line="27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Pre-IPO Stockholders will receive shares of Class A common stock of Medline Inc. pursuant to the Blocker Transfers as defined and described in “Organizational Structure—Blocker Transfers”;</w:t>
      </w:r>
    </w:p>
    <w:p>
      <w:pPr>
        <w:spacing w:after="0" w:line="68" w:lineRule="exact"/>
        <w:rPr>
          <w:rFonts w:ascii="Times New Roman" w:cs="Times New Roman" w:eastAsia="Times New Roman" w:hAnsi="Times New Roman"/>
          <w:sz w:val="18"/>
          <w:szCs w:val="18"/>
          <w:color w:val="auto"/>
        </w:rPr>
      </w:pPr>
    </w:p>
    <w:p>
      <w:pPr>
        <w:ind w:left="1140" w:hanging="545"/>
        <w:spacing w:after="0" w:line="258"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partnership agreement of Medline Holdings will be amended and restated to, among other things, modify its capital structure by reclassifying its interests as follows (as further described under “Organizational Structure—Reclassification and Amendment and Restatement of the Limited Partnership Agreement of Medline Holdings” and “Management—Compensation Arrangements to be Adopted in Connection with this Offering—Treatment of Existing Equity Interests”):</w:t>
      </w:r>
    </w:p>
    <w:p>
      <w:pPr>
        <w:spacing w:after="0" w:line="86"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held by Continuing Common Unitholders will be converted into Common Units;</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held by Continuing Common Unitholders will be converted into Common Units; and</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51"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580" w:hanging="329"/>
        <w:spacing w:after="0"/>
        <w:tabs>
          <w:tab w:leader="none" w:pos="1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held by Continuing Incentive Unitholders will be converted into Incentive Units;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Common Unitholders will receive the number of shares of Class B common stock of Medline Inc. equivalent to the number of Common Units held by each such Continuing Common Unitholder; and</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CUPI Units, and Class B Units that are not reclassified as set forth in (2) above, will be treated as follows:</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Exchanging Class A Unitholders will be directly or indirectly exchanged for shares of Class A common stock;</w:t>
      </w:r>
    </w:p>
    <w:p>
      <w:pPr>
        <w:spacing w:after="0" w:line="138" w:lineRule="exact"/>
        <w:rPr>
          <w:rFonts w:ascii="Times New Roman" w:cs="Times New Roman" w:eastAsia="Times New Roman" w:hAnsi="Times New Roman"/>
          <w:sz w:val="17"/>
          <w:szCs w:val="17"/>
          <w:color w:val="auto"/>
        </w:rPr>
      </w:pPr>
    </w:p>
    <w:p>
      <w:pPr>
        <w:ind w:left="1580" w:hanging="329"/>
        <w:spacing w:after="0"/>
        <w:tabs>
          <w:tab w:leader="none" w:pos="15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Exchanging CUPI Unitholders will be directly or indirectly exchanged for shares of Class A common stock; and</w:t>
      </w:r>
    </w:p>
    <w:p>
      <w:pPr>
        <w:spacing w:after="0" w:line="138" w:lineRule="exact"/>
        <w:rPr>
          <w:rFonts w:ascii="Times New Roman" w:cs="Times New Roman" w:eastAsia="Times New Roman" w:hAnsi="Times New Roman"/>
          <w:sz w:val="17"/>
          <w:szCs w:val="17"/>
          <w:color w:val="auto"/>
        </w:rPr>
      </w:pPr>
    </w:p>
    <w:p>
      <w:pPr>
        <w:ind w:left="1580" w:right="80" w:hanging="329"/>
        <w:spacing w:after="0" w:line="308" w:lineRule="auto"/>
        <w:tabs>
          <w:tab w:leader="none" w:pos="15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40" w:lineRule="exact"/>
        <w:rPr>
          <w:sz w:val="20"/>
          <w:szCs w:val="20"/>
          <w:color w:val="auto"/>
        </w:rPr>
      </w:pPr>
    </w:p>
    <w:p>
      <w:pPr>
        <w:jc w:val="both"/>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84"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An unvested Incentive Unit will not be exchangeable unless and until such Incentive Unit vests. See “Certain Relationships and Related Person Transactions—Medline Holdings Amended and Restated Limited Partnership Agreement.”</w:t>
      </w:r>
    </w:p>
    <w:p>
      <w:pPr>
        <w:spacing w:after="0" w:line="19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92" w:lineRule="exact"/>
        <w:rPr>
          <w:sz w:val="20"/>
          <w:szCs w:val="20"/>
          <w:color w:val="auto"/>
        </w:rPr>
      </w:pPr>
    </w:p>
    <w:p>
      <w:pPr>
        <w:ind w:left="160" w:right="480" w:firstLine="436"/>
        <w:spacing w:after="0" w:line="278" w:lineRule="auto"/>
        <w:rPr>
          <w:sz w:val="20"/>
          <w:szCs w:val="20"/>
          <w:color w:val="auto"/>
        </w:rPr>
      </w:pPr>
      <w:r>
        <w:rPr>
          <w:rFonts w:ascii="Times New Roman" w:cs="Times New Roman" w:eastAsia="Times New Roman" w:hAnsi="Times New Roman"/>
          <w:sz w:val="18"/>
          <w:szCs w:val="18"/>
          <w:color w:val="auto"/>
        </w:rPr>
        <w:t>Our post-offering organizational structure, as described above, is commonly referred to as an umbrella partnership-C-corporation (or UP-C) structure. This organizational structure will allow the Continuing</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51"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Unitholders to retain their equity ownership in Medline Holdings, an entity that is classified as a partnership for U.S. federal income tax purposes, in the form of Units. Investors in this offering, the Pre-IPO Stockholders, and 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diagram below depicts our organizational structure immediately following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012815" cy="3303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12815" cy="330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4"/>
          <w:szCs w:val="14"/>
          <w:color w:val="auto"/>
        </w:rPr>
        <w:t>Note:</w:t>
        <w:tab/>
        <w:t>Certain intermediate holding companies that are not material to this offering have been omitted from the structure chart.</w:t>
      </w:r>
    </w:p>
    <w:p>
      <w:pPr>
        <w:spacing w:after="0" w:line="2" w:lineRule="exact"/>
        <w:rPr>
          <w:sz w:val="20"/>
          <w:szCs w:val="20"/>
          <w:color w:val="auto"/>
        </w:rPr>
      </w:pPr>
    </w:p>
    <w:p>
      <w:pPr>
        <w:ind w:left="600" w:right="580" w:hanging="433"/>
        <w:spacing w:after="0" w:line="219" w:lineRule="auto"/>
        <w:tabs>
          <w:tab w:leader="none" w:pos="6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our Class A common stock and Class B common stock entitles its holder to one vote on all matters to be voted on by the stockholders generally. For additional information, see “Description of Capital Stock—Common Stock.”</w:t>
      </w:r>
    </w:p>
    <w:tbl>
      <w:tblPr>
        <w:tblLayout w:type="fixed"/>
        <w:tblInd w:w="160" w:type="dxa"/>
        <w:tblCellMar>
          <w:top w:w="0" w:type="dxa"/>
          <w:left w:w="0" w:type="dxa"/>
          <w:bottom w:w="0" w:type="dxa"/>
          <w:right w:w="0" w:type="dxa"/>
        </w:tblCellMar>
      </w:tblPr>
      <w:tr>
        <w:trPr>
          <w:trHeight w:val="132"/>
        </w:trPr>
        <w:tc>
          <w:tcPr>
            <w:tcW w:w="300" w:type="dxa"/>
            <w:vAlign w:val="bottom"/>
          </w:tcPr>
          <w:p>
            <w:pPr>
              <w:jc w:val="right"/>
              <w:ind w:right="49"/>
              <w:spacing w:after="0" w:line="132" w:lineRule="exact"/>
              <w:rPr>
                <w:sz w:val="20"/>
                <w:szCs w:val="20"/>
                <w:color w:val="auto"/>
              </w:rPr>
            </w:pPr>
            <w:r>
              <w:rPr>
                <w:rFonts w:ascii="Times New Roman" w:cs="Times New Roman" w:eastAsia="Times New Roman" w:hAnsi="Times New Roman"/>
                <w:sz w:val="14"/>
                <w:szCs w:val="14"/>
                <w:color w:val="auto"/>
                <w:w w:val="97"/>
              </w:rPr>
              <w:t>(2)</w:t>
            </w:r>
          </w:p>
        </w:tc>
        <w:tc>
          <w:tcPr>
            <w:tcW w:w="10480" w:type="dxa"/>
            <w:vAlign w:val="bottom"/>
          </w:tcPr>
          <w:p>
            <w:pPr>
              <w:ind w:left="140"/>
              <w:spacing w:after="0" w:line="132" w:lineRule="exact"/>
              <w:rPr>
                <w:sz w:val="20"/>
                <w:szCs w:val="20"/>
                <w:color w:val="auto"/>
              </w:rPr>
            </w:pPr>
            <w:r>
              <w:rPr>
                <w:rFonts w:ascii="Times New Roman" w:cs="Times New Roman" w:eastAsia="Times New Roman" w:hAnsi="Times New Roman"/>
                <w:sz w:val="14"/>
                <w:szCs w:val="14"/>
                <w:color w:val="auto"/>
              </w:rPr>
              <w:t>At the time of this offering,                shares of Class A common stock would be issuable upon the exchange of an equivalent number of Common Units into which outstanding</w:t>
            </w:r>
          </w:p>
        </w:tc>
      </w:tr>
      <w:tr>
        <w:trPr>
          <w:trHeight w:val="147"/>
        </w:trPr>
        <w:tc>
          <w:tcPr>
            <w:tcW w:w="300" w:type="dxa"/>
            <w:vAlign w:val="bottom"/>
          </w:tcPr>
          <w:p>
            <w:pPr>
              <w:spacing w:after="0"/>
              <w:rPr>
                <w:sz w:val="12"/>
                <w:szCs w:val="12"/>
                <w:color w:val="auto"/>
              </w:rPr>
            </w:pPr>
          </w:p>
        </w:tc>
        <w:tc>
          <w:tcPr>
            <w:tcW w:w="104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Incentive Units held by the Continuing Incentive Unitholders may be converted (assuming an offering price of $            per share of Class A common stock, which is the midpoint</w:t>
            </w:r>
          </w:p>
        </w:tc>
      </w:tr>
      <w:tr>
        <w:trPr>
          <w:trHeight w:val="147"/>
        </w:trPr>
        <w:tc>
          <w:tcPr>
            <w:tcW w:w="300" w:type="dxa"/>
            <w:vAlign w:val="bottom"/>
          </w:tcPr>
          <w:p>
            <w:pPr>
              <w:spacing w:after="0"/>
              <w:rPr>
                <w:sz w:val="12"/>
                <w:szCs w:val="12"/>
                <w:color w:val="auto"/>
              </w:rPr>
            </w:pPr>
          </w:p>
        </w:tc>
        <w:tc>
          <w:tcPr>
            <w:tcW w:w="104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of the price range set forth on the cover of this prospectus, and assuming such Incentive Units are fully vested and converted to Common Units). For additional information, see</w:t>
            </w:r>
          </w:p>
        </w:tc>
      </w:tr>
      <w:tr>
        <w:trPr>
          <w:trHeight w:val="147"/>
        </w:trPr>
        <w:tc>
          <w:tcPr>
            <w:tcW w:w="300" w:type="dxa"/>
            <w:vAlign w:val="bottom"/>
          </w:tcPr>
          <w:p>
            <w:pPr>
              <w:spacing w:after="0"/>
              <w:rPr>
                <w:sz w:val="12"/>
                <w:szCs w:val="12"/>
                <w:color w:val="auto"/>
              </w:rPr>
            </w:pPr>
          </w:p>
        </w:tc>
        <w:tc>
          <w:tcPr>
            <w:tcW w:w="104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“Organizational Structure—Reclassification and Amendment and Restatement of the Limited Partnership Agreement of Medline Holdings” and “Certain Relationships and Related</w:t>
            </w:r>
          </w:p>
        </w:tc>
      </w:tr>
      <w:tr>
        <w:trPr>
          <w:trHeight w:val="185"/>
        </w:trPr>
        <w:tc>
          <w:tcPr>
            <w:tcW w:w="300" w:type="dxa"/>
            <w:vAlign w:val="bottom"/>
          </w:tcPr>
          <w:p>
            <w:pPr>
              <w:spacing w:after="0"/>
              <w:rPr>
                <w:sz w:val="16"/>
                <w:szCs w:val="16"/>
                <w:color w:val="auto"/>
              </w:rPr>
            </w:pPr>
          </w:p>
        </w:tc>
        <w:tc>
          <w:tcPr>
            <w:tcW w:w="10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Person Transactions—Medline Holdings Amended and Restated Limited Partnership Agreement.”</w:t>
            </w:r>
          </w:p>
        </w:tc>
      </w:tr>
    </w:tbl>
    <w:p>
      <w:pPr>
        <w:spacing w:after="0" w:line="180"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Upon consummation of the Reorganization Transactions and immediately prior to this offering, our pre-IPO owners will hold shares and interests that may be exchanged or settled for an aggregate of           million shares of Class A common stock, which we refer to as the “diluted pre-IPO shares outstanding,” consisting of (i) issued and outstanding shares of Class A common stock held by our Pre-IPO Stockholders and Exchanging Unitholders; (ii) shares of Class A common stock issuable on a one-for-one basis in exchange for Common Units held by our Continuing Common Unitholders; (iii) shares of Class A common stock issuable on a one-for-one basis in exchange for Common Units into which outstanding Incentive Units that will be held by the Continuing</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320" w:top="451" w:right="5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60"/>
        <w:spacing w:after="0" w:line="258" w:lineRule="auto"/>
        <w:rPr>
          <w:sz w:val="20"/>
          <w:szCs w:val="20"/>
          <w:color w:val="auto"/>
        </w:rPr>
      </w:pPr>
      <w:r>
        <w:rPr>
          <w:rFonts w:ascii="Times New Roman" w:cs="Times New Roman" w:eastAsia="Times New Roman" w:hAnsi="Times New Roman"/>
          <w:sz w:val="18"/>
          <w:szCs w:val="18"/>
          <w:color w:val="auto"/>
        </w:rPr>
        <w:t>Incentive Unitholders may be converted; (iv) shares of Class A common stock in respect of RSUs to be granted to certain Exchanging Unitholders to compensate them for the loss of the opportunity to participate in the tax receivable agreement; and (v) shares of Class A common stock issuable upon exercise of stock options to be granted to certain Exchanging Class B Unitholders in substitution for a portion of the economic benefit to which the Class B Units are entitled prior to this offering that is not reflected in the exchange of Class B Units to shares of Class A common stocks.</w:t>
      </w:r>
    </w:p>
    <w:p>
      <w:pPr>
        <w:spacing w:after="0" w:line="180" w:lineRule="exact"/>
        <w:rPr>
          <w:sz w:val="20"/>
          <w:szCs w:val="20"/>
          <w:color w:val="auto"/>
        </w:rPr>
      </w:pPr>
    </w:p>
    <w:p>
      <w:pPr>
        <w:jc w:val="both"/>
        <w:ind w:left="160" w:right="200" w:firstLine="436"/>
        <w:spacing w:after="0" w:line="308" w:lineRule="auto"/>
        <w:rPr>
          <w:sz w:val="20"/>
          <w:szCs w:val="20"/>
          <w:color w:val="auto"/>
        </w:rPr>
      </w:pPr>
      <w:r>
        <w:rPr>
          <w:rFonts w:ascii="Times New Roman" w:cs="Times New Roman" w:eastAsia="Times New Roman" w:hAnsi="Times New Roman"/>
          <w:sz w:val="17"/>
          <w:szCs w:val="17"/>
          <w:color w:val="auto"/>
        </w:rPr>
        <w:t>Although the relative ownership among these categories of pre-IPO owners and the number of shares of Class A common stock into which their respective interests may be exchanged or settled will depend on the actual offering price, the total diluted pre-IPO shares outstanding will not change.</w:t>
      </w:r>
    </w:p>
    <w:p>
      <w:pPr>
        <w:spacing w:after="0" w:line="140"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The table below sets forth the relative ownership of the diluted pre-IPO shares outstanding among our pre-IPO owners assuming an offering price at the low point, the midpoint and the high point, respectively, of the price range set forth on the front cover of this prospectus.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(Amounts in millions)</w:t>
            </w:r>
          </w:p>
        </w:tc>
        <w:tc>
          <w:tcPr>
            <w:tcW w:w="52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vMerge w:val="continue"/>
          </w:tcPr>
          <w:p>
            <w:pPr>
              <w:spacing w:after="0"/>
              <w:rPr>
                <w:sz w:val="11"/>
                <w:szCs w:val="11"/>
                <w:color w:val="auto"/>
              </w:rPr>
            </w:pPr>
          </w:p>
        </w:tc>
        <w:tc>
          <w:tcPr>
            <w:tcW w:w="5220" w:type="dxa"/>
            <w:vAlign w:val="bottom"/>
          </w:tcPr>
          <w:p>
            <w:pPr>
              <w:spacing w:after="0"/>
              <w:rPr>
                <w:sz w:val="11"/>
                <w:szCs w:val="11"/>
                <w:color w:val="auto"/>
              </w:rPr>
            </w:pPr>
          </w:p>
        </w:tc>
        <w:tc>
          <w:tcPr>
            <w:tcW w:w="118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      (Low)</w:t>
            </w:r>
          </w:p>
        </w:tc>
        <w:tc>
          <w:tcPr>
            <w:tcW w:w="1980" w:type="dxa"/>
            <w:vAlign w:val="bottom"/>
          </w:tcPr>
          <w:p>
            <w:pPr>
              <w:ind w:left="480"/>
              <w:spacing w:after="0" w:line="127" w:lineRule="exact"/>
              <w:rPr>
                <w:sz w:val="20"/>
                <w:szCs w:val="20"/>
                <w:color w:val="auto"/>
              </w:rPr>
            </w:pPr>
            <w:r>
              <w:rPr>
                <w:rFonts w:ascii="Times New Roman" w:cs="Times New Roman" w:eastAsia="Times New Roman" w:hAnsi="Times New Roman"/>
                <w:sz w:val="14"/>
                <w:szCs w:val="14"/>
                <w:b w:val="1"/>
                <w:bCs w:val="1"/>
                <w:color w:val="auto"/>
              </w:rPr>
              <w:t>$      (Midpoint)</w:t>
            </w:r>
          </w:p>
        </w:tc>
        <w:tc>
          <w:tcPr>
            <w:tcW w:w="1220" w:type="dxa"/>
            <w:vAlign w:val="bottom"/>
          </w:tcPr>
          <w:p>
            <w:pPr>
              <w:ind w:left="460"/>
              <w:spacing w:after="0" w:line="127" w:lineRule="exact"/>
              <w:rPr>
                <w:sz w:val="20"/>
                <w:szCs w:val="20"/>
                <w:color w:val="auto"/>
              </w:rPr>
            </w:pPr>
            <w:r>
              <w:rPr>
                <w:rFonts w:ascii="Times New Roman" w:cs="Times New Roman" w:eastAsia="Times New Roman" w:hAnsi="Times New Roman"/>
                <w:sz w:val="14"/>
                <w:szCs w:val="14"/>
                <w:b w:val="1"/>
                <w:bCs w:val="1"/>
                <w:color w:val="auto"/>
              </w:rPr>
              <w:t>$      (High)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2717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Shares of Class A common stock held by Pre-IPO Stockholders and</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Exchanging Unitholders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Common Units</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held by our Continuing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271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as-converted</w:t>
      </w:r>
    </w:p>
    <w:p>
      <w:pPr>
        <w:ind w:left="340"/>
        <w:spacing w:after="0" w:line="185" w:lineRule="auto"/>
        <w:rPr>
          <w:sz w:val="20"/>
          <w:szCs w:val="20"/>
          <w:color w:val="auto"/>
        </w:rPr>
      </w:pPr>
      <w:r>
        <w:rPr>
          <w:rFonts w:ascii="Times New Roman" w:cs="Times New Roman" w:eastAsia="Times New Roman" w:hAnsi="Times New Roman"/>
          <w:sz w:val="17"/>
          <w:szCs w:val="17"/>
          <w:color w:val="auto"/>
        </w:rPr>
        <w:t>Incentive Units held by Continuing Incentive Unitholders</w:t>
      </w:r>
      <w:r>
        <w:rPr>
          <w:rFonts w:ascii="Times New Roman" w:cs="Times New Roman" w:eastAsia="Times New Roman" w:hAnsi="Times New Roman"/>
          <w:sz w:val="25"/>
          <w:szCs w:val="25"/>
          <w:color w:val="auto"/>
          <w:vertAlign w:val="superscript"/>
        </w:rPr>
        <w:t>(1)</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Shares of Class A common stock in respect of RSUs to be granted to certain</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Exchanging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2717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340" w:right="5320" w:hanging="177"/>
        <w:spacing w:after="0" w:line="248" w:lineRule="auto"/>
        <w:rPr>
          <w:sz w:val="20"/>
          <w:szCs w:val="20"/>
          <w:color w:val="auto"/>
        </w:rPr>
      </w:pPr>
      <w:r>
        <w:rPr>
          <w:rFonts w:ascii="Times New Roman" w:cs="Times New Roman" w:eastAsia="Times New Roman" w:hAnsi="Times New Roman"/>
          <w:sz w:val="18"/>
          <w:szCs w:val="18"/>
          <w:color w:val="auto"/>
        </w:rPr>
        <w:t>Shares of Class A common stock issuable upon exercise of stock options to be granted to certain Exchanging Class B Unitholders</w:t>
      </w:r>
    </w:p>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7645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(1)</w:t>
            </w:r>
          </w:p>
        </w:tc>
        <w:tc>
          <w:tcPr>
            <w:tcW w:w="10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Upon completion of this offering the Continuing Incentive Unitholders will hold an aggregate of                   Incentive Units outstanding with a weighted-average participation</w:t>
            </w:r>
          </w:p>
        </w:tc>
      </w:tr>
      <w:tr>
        <w:trPr>
          <w:trHeight w:val="185"/>
        </w:trPr>
        <w:tc>
          <w:tcPr>
            <w:tcW w:w="300" w:type="dxa"/>
            <w:vAlign w:val="bottom"/>
          </w:tcPr>
          <w:p>
            <w:pPr>
              <w:spacing w:after="0"/>
              <w:rPr>
                <w:sz w:val="16"/>
                <w:szCs w:val="16"/>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threshold of $      per Incentive Unit.</w:t>
            </w:r>
          </w:p>
        </w:tc>
      </w:tr>
    </w:tbl>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Incorporation of Medline Inc.</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Medline Inc. was incorporated as a Delaware corporation on November 6, 2024. Medline Inc. has not engaged in any business or other activities except in connection with its formation and this offering. The amended and restated certificate of incorporation of Medline Inc. authorizes two classes of common stock, Class A common stock and Class B common stock, each having the terms described in “Description of Capital Stock.”</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Blocker Transfers</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Prior to this offering, our Pre-IPO Stockholders hold their interests in Medline Holdings through Blocker Companies that are taxable as corporations for U.S. federal income tax purposes. At the time of this offering, we will enter into certain restructuring transactions (such transactions, the “Blocker Transfers”) that will result in the Pre-IPO Stockholders acquiring         shares of newly issued Class A common stock in exchange for the acquisition by Medline Inc. of the Blocker Companies and, indirectly, the equivalent number of Common Units held by the Blocker Companies. Each of the Blocker Companies will initially become a wholly owned subsidiary of Medline Inc. and will either be merged into Medline Inc. or will remain a wholly owned subsidiary that is part of the same consolidated group for U.S. federal income tax purposes.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1"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Reclassification and Amendment and Restatement of the Limited Partnership Agreement of Medline Holdings</w:t>
      </w:r>
    </w:p>
    <w:p>
      <w:pPr>
        <w:spacing w:after="0" w:line="118" w:lineRule="exact"/>
        <w:rPr>
          <w:sz w:val="20"/>
          <w:szCs w:val="20"/>
          <w:color w:val="auto"/>
        </w:rPr>
      </w:pPr>
    </w:p>
    <w:p>
      <w:pPr>
        <w:ind w:left="160" w:right="120" w:firstLine="436"/>
        <w:spacing w:after="0" w:line="251" w:lineRule="auto"/>
        <w:rPr>
          <w:sz w:val="20"/>
          <w:szCs w:val="20"/>
          <w:color w:val="auto"/>
        </w:rPr>
      </w:pPr>
      <w:r>
        <w:rPr>
          <w:rFonts w:ascii="Times New Roman" w:cs="Times New Roman" w:eastAsia="Times New Roman" w:hAnsi="Times New Roman"/>
          <w:sz w:val="18"/>
          <w:szCs w:val="18"/>
          <w:color w:val="auto"/>
        </w:rPr>
        <w:t>Prior to the completion of this offering,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will hold their ownership interests directly in Medline Holdings (in the case of the Continuing Unitholders) or Medline Inc. (in the case of the Pre-IPO Stockholders and the Exchanging Unitholders). Immediately following the Reorganization Transactions but prior to the other Offering Transactions described below, there will be         Common Units issued and outstanding.</w:t>
      </w:r>
    </w:p>
    <w:p>
      <w:pPr>
        <w:spacing w:after="0" w:line="19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the Reclassification, Class A Units, CUPI Units, and all vested and unvested Class B Units held by the Exchanging Unitholders that are not reclassified into Units of Medline Holdings will be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such unit would have received. Such shares of Class A common stock shall be restricted shares of Class A common stock, to the extent such shares related to unvested Class B Units, or vested shares of Class A common stock, to the extent such shares related to Class A Units, CUPI Units, or vested Class B Units. Assuming an offering price of $      per share of Class A common stock, which is the midpoint of the range on the front cover of this prospectus, the aggregate number of restricted shares of Class A common stock delivered in respect of the unvested Class B Units that are exchanged for restricted shares of Class A common stock in the Reclassification would be         and the aggregate number of vested shares of Class A common stock delivered in respect of the Class A Units, CUPI Units, and vested Class B Units that are exchanged for shares of Class A common stock in the Reclassification would be         .</w:t>
      </w:r>
    </w:p>
    <w:p>
      <w:pPr>
        <w:spacing w:after="0" w:line="193" w:lineRule="exact"/>
        <w:rPr>
          <w:sz w:val="20"/>
          <w:szCs w:val="20"/>
          <w:color w:val="auto"/>
        </w:rPr>
      </w:pPr>
    </w:p>
    <w:p>
      <w:pPr>
        <w:ind w:left="160" w:right="40" w:firstLine="436"/>
        <w:spacing w:after="0" w:line="266" w:lineRule="auto"/>
        <w:rPr>
          <w:sz w:val="20"/>
          <w:szCs w:val="20"/>
          <w:color w:val="auto"/>
        </w:rPr>
      </w:pPr>
      <w:r>
        <w:rPr>
          <w:rFonts w:ascii="Times New Roman" w:cs="Times New Roman" w:eastAsia="Times New Roman" w:hAnsi="Times New Roman"/>
          <w:sz w:val="17"/>
          <w:szCs w:val="17"/>
          <w:color w:val="auto"/>
        </w:rPr>
        <w:t>In addition, we intend to (i)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and (ii) grant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The precise number of options we grant in respect of the Class B Units held by certain Exchanging Class B Unitholders will be determined based on the initial public offering price. Assuming an offering price of</w:t>
      </w:r>
    </w:p>
    <w:p>
      <w:pPr>
        <w:spacing w:after="0" w:line="3" w:lineRule="exact"/>
        <w:rPr>
          <w:sz w:val="20"/>
          <w:szCs w:val="20"/>
          <w:color w:val="auto"/>
        </w:rPr>
      </w:pPr>
    </w:p>
    <w:p>
      <w:pPr>
        <w:ind w:left="160" w:right="20"/>
        <w:spacing w:after="0" w:line="267" w:lineRule="auto"/>
        <w:rPr>
          <w:sz w:val="20"/>
          <w:szCs w:val="20"/>
          <w:color w:val="auto"/>
        </w:rPr>
      </w:pPr>
      <w:r>
        <w:rPr>
          <w:rFonts w:ascii="Times New Roman" w:cs="Times New Roman" w:eastAsia="Times New Roman" w:hAnsi="Times New Roman"/>
          <w:sz w:val="17"/>
          <w:szCs w:val="17"/>
          <w:color w:val="auto"/>
        </w:rPr>
        <w:t>$      per share of Class A common stock, which is the midpoint of the range on the front cover of this prospectus, the aggregate number of such options granted to such Exchanging Class B Unitholders would be        . The precise number of RSUs we grant in respect of the units held by such Exchanging Unitholders will be based on the initial public offering price. Assuming an offering price of $      per share of Class A common stock, which is the midpoint of the range on the front cover of this prospectus, the aggregate number of RSUs granted to such Exchanging Unitholders would be        . For additional information, see “Management—Compensation Arrangements to be Adopted in Connection with this Offering—Treatment of Existing Equity Interests” and “Management—Compensation Arrangements to be Adopted in Connection with this Offering—Equity Award Grants.”</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Pursuant to the amended and restated limited partnership agreement of Medline Holdings, Medline Inc. will become the sole general partner of Medline Holdings. Accordingly, Medline Inc. will have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92"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The Continuing Unitholders, including Medline Inc., will incur U.S. federal, state, and local income taxes on their allocable share of any taxable income of Medline Holdings. Net profits and net losses of Medline Holdings will generally be allocated to its owners (including Medline Inc.) pro rata in accordance with the percentages of their respective Units held, except as otherwise required by law. The amended and restated limited partnership agreement will provide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87"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will not be exchangeable unless and until such Incentive Unit vests.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18" w:lineRule="exact"/>
        <w:rPr>
          <w:sz w:val="20"/>
          <w:szCs w:val="20"/>
          <w:color w:val="auto"/>
        </w:rPr>
      </w:pPr>
    </w:p>
    <w:p>
      <w:pPr>
        <w:ind w:left="160" w:right="120" w:firstLine="436"/>
        <w:spacing w:after="0" w:line="252" w:lineRule="auto"/>
        <w:rPr>
          <w:sz w:val="20"/>
          <w:szCs w:val="20"/>
          <w:color w:val="auto"/>
        </w:rPr>
      </w:pPr>
      <w:r>
        <w:rPr>
          <w:rFonts w:ascii="Times New Roman" w:cs="Times New Roman" w:eastAsia="Times New Roman" w:hAnsi="Times New Roman"/>
          <w:sz w:val="18"/>
          <w:szCs w:val="18"/>
          <w:color w:val="auto"/>
        </w:rPr>
        <w:t>We and the Continuing Unitholders will enter into an exchange agreement at the time of this offering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the applicable restricted periods described in “Shares Eligible for Future Sale—Lock-Up Agreements,” would be subject to the restrictions described in such section. The exchange agreement will also provide that a holder of Common Units will not have the right to exchange Common Units if Medline Inc. determines that such</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2"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See “Certain Relationships and Related Person Transactions—Exchange Agreement.”</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18" w:lineRule="exact"/>
        <w:rPr>
          <w:sz w:val="20"/>
          <w:szCs w:val="20"/>
          <w:color w:val="auto"/>
        </w:rPr>
      </w:pPr>
    </w:p>
    <w:p>
      <w:pPr>
        <w:ind w:left="160" w:firstLine="436"/>
        <w:spacing w:after="0" w:line="265" w:lineRule="auto"/>
        <w:rPr>
          <w:sz w:val="20"/>
          <w:szCs w:val="20"/>
          <w:color w:val="auto"/>
        </w:rPr>
      </w:pPr>
      <w:r>
        <w:rPr>
          <w:rFonts w:ascii="Times New Roman" w:cs="Times New Roman" w:eastAsia="Times New Roman" w:hAnsi="Times New Roman"/>
          <w:sz w:val="17"/>
          <w:szCs w:val="17"/>
          <w:color w:val="auto"/>
        </w:rPr>
        <w:t>Prior to the completion of this offering, Medline Inc. will enter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of the Blocker Companies, which Medline Inc. acquires in connection with this offering, and (iv) certain other tax benefits related to our entering into the tax receivable agreement, including tax benefits attributable (including any existing tax basis)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Offering Transactions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Medline Inc. intends to use the proceeds (net of underwriting discounts and commissions) from the issuance by it of shares of Class A common stock in this offering (excluding any proceeds from the issuance of shares pursuant to any exercise by the underwriters of their option to purchase additional shares of Class A common stock) to acquire an equivalent number of newly issued Common Units from Medline Holdings. Assuming that the        shares of Class A common stock to be sold by Medline Inc. in this offering are sold at $        per share, which is the midpoint of the range on the front cover of this prospectus, at the time of this offering, Medline Inc. will acquire from Medline Holdings an equivalent number of newly issued Common Units for an aggregate of $        million. The issuance of such newly issued Common Units by Medline Holdings to Medline Inc. will correspondingly dilute the ownership interests of the Continuing Common Unitholders in Medline Holdings. Medline Inc. intends to cause Medline Holdings, in turn, to use these proceeds for general corporate purposes, including the repayment of indebtedness, and to bear all of the expenses of this offering. See “Use of Proceeds.”</w:t>
      </w:r>
    </w:p>
    <w:p>
      <w:pPr>
        <w:spacing w:after="0" w:line="192" w:lineRule="exact"/>
        <w:rPr>
          <w:sz w:val="20"/>
          <w:szCs w:val="20"/>
          <w:color w:val="auto"/>
        </w:rPr>
      </w:pPr>
    </w:p>
    <w:p>
      <w:pPr>
        <w:jc w:val="both"/>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Medline Inc. will use any proceeds (net of underwriting discounts and commissions) from the issuance by it of shares of Class A common stock pursuant to any exercise by the underwriters of their option to purchase additional shares of Class A common stock to purchase or redeem outstanding Common Units and shares 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60"/>
          </w:cols>
          <w:pgMar w:left="320" w:top="451"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3" w:lineRule="auto"/>
        <w:rPr>
          <w:sz w:val="20"/>
          <w:szCs w:val="20"/>
          <w:color w:val="auto"/>
        </w:rPr>
      </w:pPr>
      <w:r>
        <w:rPr>
          <w:rFonts w:ascii="Times New Roman" w:cs="Times New Roman" w:eastAsia="Times New Roman" w:hAnsi="Times New Roman"/>
          <w:sz w:val="18"/>
          <w:szCs w:val="18"/>
          <w:color w:val="auto"/>
        </w:rPr>
        <w:t>Class A common stock from our pre-IPO owners at a price per equity interest equal to the initial public offering price per share of our Class A common stock less the underwriting discounts and commissions. Accordingly, we will not retain any of these proceeds. Assuming that the shares of Class A common stock to be sold by Medline Inc. in this offering are sold at $        per share, which is the midpoint of the range on the front cover of this prospectus, and assuming that the underwriters exercise their option to purchase        additional shares of Class A common stock in full, at the time of this offering, Medline Inc. will purchase or redeem from our pre-IPO owners an equivalent number of outstanding equity interests for an aggregate of $        million. See “Principal Stockholders” for additional information regarding the proceeds from this offering that will be paid to certain of our pre-IPO owners.</w:t>
      </w:r>
    </w:p>
    <w:p>
      <w:pPr>
        <w:spacing w:after="0" w:line="184"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Accordingly, following this offering Medline Inc. will directly or indirectly hold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 in Medline Holdings as a single Common Unit.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a result of the transactions described herein:</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6"/>
              </w:rPr>
              <w:t>the investors in this offering will collectively own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58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   shares of our Class A common stock (or             shares of Class A common</w:t>
            </w:r>
          </w:p>
        </w:tc>
      </w:tr>
      <w:tr>
        <w:trPr>
          <w:trHeight w:val="233"/>
        </w:trPr>
        <w:tc>
          <w:tcPr>
            <w:tcW w:w="240" w:type="dxa"/>
            <w:vAlign w:val="bottom"/>
          </w:tcPr>
          <w:p>
            <w:pPr>
              <w:spacing w:after="0"/>
              <w:rPr>
                <w:sz w:val="20"/>
                <w:szCs w:val="20"/>
                <w:color w:val="auto"/>
              </w:rPr>
            </w:pPr>
          </w:p>
        </w:tc>
        <w:tc>
          <w:tcPr>
            <w:tcW w:w="928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stock if the underwriters exercise in full their option to purchase additional shares of Class A common stock);</w:t>
            </w:r>
          </w:p>
        </w:tc>
        <w:tc>
          <w:tcPr>
            <w:tcW w:w="820" w:type="dxa"/>
            <w:vAlign w:val="bottom"/>
          </w:tcPr>
          <w:p>
            <w:pPr>
              <w:spacing w:after="0"/>
              <w:rPr>
                <w:sz w:val="20"/>
                <w:szCs w:val="20"/>
                <w:color w:val="auto"/>
              </w:rPr>
            </w:pP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w w:val="96"/>
              </w:rPr>
              <w:t>the Pre-IPO Stockholders and the Exchanging Unitholders collectively will hold  </w:t>
            </w:r>
          </w:p>
        </w:tc>
        <w:tc>
          <w:tcPr>
            <w:tcW w:w="8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shares of our Class A common stock (or</w:t>
            </w:r>
          </w:p>
        </w:tc>
      </w:tr>
      <w:tr>
        <w:trPr>
          <w:trHeight w:val="214"/>
        </w:trPr>
        <w:tc>
          <w:tcPr>
            <w:tcW w:w="240" w:type="dxa"/>
            <w:vAlign w:val="bottom"/>
          </w:tcPr>
          <w:p>
            <w:pPr>
              <w:spacing w:after="0"/>
              <w:rPr>
                <w:sz w:val="18"/>
                <w:szCs w:val="18"/>
                <w:color w:val="auto"/>
              </w:rPr>
            </w:pPr>
          </w:p>
        </w:tc>
        <w:tc>
          <w:tcPr>
            <w:tcW w:w="10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         shares of Class A common stock if the underwriters exercise in full their option to purchase additional shares of Class A common</w:t>
            </w:r>
          </w:p>
        </w:tc>
      </w:tr>
      <w:tr>
        <w:trPr>
          <w:trHeight w:val="233"/>
        </w:trPr>
        <w:tc>
          <w:tcPr>
            <w:tcW w:w="24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the Continuing Common Unitholders will hold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Common Units (or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   Common Units if the underwriters exercise in full</w:t>
            </w:r>
          </w:p>
        </w:tc>
      </w:tr>
      <w:tr>
        <w:trPr>
          <w:trHeight w:val="214"/>
        </w:trPr>
        <w:tc>
          <w:tcPr>
            <w:tcW w:w="240" w:type="dxa"/>
            <w:vAlign w:val="bottom"/>
          </w:tcPr>
          <w:p>
            <w:pPr>
              <w:spacing w:after="0"/>
              <w:rPr>
                <w:sz w:val="18"/>
                <w:szCs w:val="18"/>
                <w:color w:val="auto"/>
              </w:rPr>
            </w:pPr>
          </w:p>
        </w:tc>
        <w:tc>
          <w:tcPr>
            <w:tcW w:w="928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 xml:space="preserve">their option to purchase additional shares of Class A common stock) and the Continuing Incentive Unitholders will hold        </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33"/>
        </w:trPr>
        <w:tc>
          <w:tcPr>
            <w:tcW w:w="240" w:type="dxa"/>
            <w:vAlign w:val="bottom"/>
          </w:tcPr>
          <w:p>
            <w:pPr>
              <w:spacing w:after="0"/>
              <w:rPr>
                <w:sz w:val="20"/>
                <w:szCs w:val="20"/>
                <w:color w:val="auto"/>
              </w:rPr>
            </w:pPr>
          </w:p>
        </w:tc>
        <w:tc>
          <w:tcPr>
            <w:tcW w:w="58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xml:space="preserve">Incentive Units with a weighted-average per unit participation threshold of $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0"/>
                <w:szCs w:val="20"/>
                <w:color w:val="auto"/>
              </w:rPr>
            </w:pPr>
          </w:p>
        </w:tc>
        <w:tc>
          <w:tcPr>
            <w:tcW w:w="3080" w:type="dxa"/>
            <w:vAlign w:val="bottom"/>
          </w:tcPr>
          <w:p>
            <w:pPr>
              <w:jc w:val="center"/>
              <w:ind w:right="1571"/>
              <w:spacing w:after="0"/>
              <w:rPr>
                <w:sz w:val="20"/>
                <w:szCs w:val="20"/>
                <w:color w:val="auto"/>
              </w:rPr>
            </w:pPr>
            <w:r>
              <w:rPr>
                <w:rFonts w:ascii="Times New Roman" w:cs="Times New Roman" w:eastAsia="Times New Roman" w:hAnsi="Times New Roman"/>
                <w:sz w:val="18"/>
                <w:szCs w:val="18"/>
                <w:color w:val="auto"/>
                <w:w w:val="98"/>
              </w:rPr>
              <w:t>per Incentive Unit;</w:t>
            </w:r>
          </w:p>
        </w:tc>
        <w:tc>
          <w:tcPr>
            <w:tcW w:w="820" w:type="dxa"/>
            <w:vAlign w:val="bottom"/>
          </w:tcPr>
          <w:p>
            <w:pPr>
              <w:spacing w:after="0"/>
              <w:rPr>
                <w:sz w:val="20"/>
                <w:szCs w:val="20"/>
                <w:color w:val="auto"/>
              </w:rPr>
            </w:pP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Medline Inc. will directly or indirectly hold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Common Units (or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4"/>
                <w:szCs w:val="24"/>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Units if the underwriters exercise in full</w:t>
            </w:r>
          </w:p>
        </w:tc>
      </w:tr>
      <w:tr>
        <w:trPr>
          <w:trHeight w:val="233"/>
        </w:trPr>
        <w:tc>
          <w:tcPr>
            <w:tcW w:w="240" w:type="dxa"/>
            <w:vAlign w:val="bottom"/>
          </w:tcPr>
          <w:p>
            <w:pPr>
              <w:spacing w:after="0"/>
              <w:rPr>
                <w:sz w:val="20"/>
                <w:szCs w:val="20"/>
                <w:color w:val="auto"/>
              </w:rPr>
            </w:pPr>
          </w:p>
        </w:tc>
        <w:tc>
          <w:tcPr>
            <w:tcW w:w="58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their option to purchase additional shares of Class A common stock);</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6"/>
              </w:rPr>
              <w:t>the investors in this offering will collectively have  </w:t>
            </w:r>
          </w:p>
        </w:tc>
        <w:tc>
          <w:tcPr>
            <w:tcW w:w="6180" w:type="dxa"/>
            <w:vAlign w:val="bottom"/>
            <w:gridSpan w:val="8"/>
          </w:tcPr>
          <w:p>
            <w:pPr>
              <w:jc w:val="center"/>
              <w:ind w:right="111"/>
              <w:spacing w:after="0"/>
              <w:rPr>
                <w:sz w:val="20"/>
                <w:szCs w:val="20"/>
                <w:color w:val="auto"/>
              </w:rPr>
            </w:pPr>
            <w:r>
              <w:rPr>
                <w:rFonts w:ascii="Times New Roman" w:cs="Times New Roman" w:eastAsia="Times New Roman" w:hAnsi="Times New Roman"/>
                <w:sz w:val="18"/>
                <w:szCs w:val="18"/>
                <w:color w:val="auto"/>
                <w:w w:val="97"/>
              </w:rPr>
              <w:t>% of the voting power in Medline Inc. (or    % if the underwriters exercise in full</w:t>
            </w:r>
          </w:p>
        </w:tc>
      </w:tr>
      <w:tr>
        <w:trPr>
          <w:trHeight w:val="233"/>
        </w:trPr>
        <w:tc>
          <w:tcPr>
            <w:tcW w:w="240" w:type="dxa"/>
            <w:vAlign w:val="bottom"/>
          </w:tcPr>
          <w:p>
            <w:pPr>
              <w:spacing w:after="0"/>
              <w:rPr>
                <w:sz w:val="20"/>
                <w:szCs w:val="20"/>
                <w:color w:val="auto"/>
              </w:rPr>
            </w:pPr>
          </w:p>
        </w:tc>
        <w:tc>
          <w:tcPr>
            <w:tcW w:w="58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their option to purchase additional shares of Class A common stock); and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w w:val="97"/>
              </w:rPr>
              <w:t>the Pre-IPO Stockholders and the Exchanging Unitholders collectively will have  </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 of the voting power in Medline Inc. (or  </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if the</w:t>
            </w:r>
          </w:p>
        </w:tc>
      </w:tr>
      <w:tr>
        <w:trPr>
          <w:trHeight w:val="214"/>
        </w:trPr>
        <w:tc>
          <w:tcPr>
            <w:tcW w:w="240" w:type="dxa"/>
            <w:vAlign w:val="bottom"/>
          </w:tcPr>
          <w:p>
            <w:pPr>
              <w:spacing w:after="0"/>
              <w:rPr>
                <w:sz w:val="18"/>
                <w:szCs w:val="18"/>
                <w:color w:val="auto"/>
              </w:rPr>
            </w:pPr>
          </w:p>
        </w:tc>
        <w:tc>
          <w:tcPr>
            <w:tcW w:w="928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w w:val="99"/>
              </w:rPr>
              <w:t>underwriters exercise in full their option to purchase additional shares of Class A common stock) and the Continuing Common</w:t>
            </w:r>
          </w:p>
        </w:tc>
        <w:tc>
          <w:tcPr>
            <w:tcW w:w="820" w:type="dxa"/>
            <w:vAlign w:val="bottom"/>
          </w:tcPr>
          <w:p>
            <w:pPr>
              <w:spacing w:after="0"/>
              <w:rPr>
                <w:sz w:val="18"/>
                <w:szCs w:val="18"/>
                <w:color w:val="auto"/>
              </w:rPr>
            </w:pPr>
          </w:p>
        </w:tc>
      </w:tr>
      <w:tr>
        <w:trPr>
          <w:trHeight w:val="233"/>
        </w:trPr>
        <w:tc>
          <w:tcPr>
            <w:tcW w:w="240" w:type="dxa"/>
            <w:vAlign w:val="bottom"/>
          </w:tcPr>
          <w:p>
            <w:pPr>
              <w:spacing w:after="0"/>
              <w:rPr>
                <w:sz w:val="20"/>
                <w:szCs w:val="20"/>
                <w:color w:val="auto"/>
              </w:rPr>
            </w:pPr>
          </w:p>
        </w:tc>
        <w:tc>
          <w:tcPr>
            <w:tcW w:w="10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w w:val="97"/>
              </w:rPr>
              <w:t>Unitholders, as holders of all of the outstanding shares of Class B common stock, will have    % of the voting power in Medline Inc. (or  </w:t>
            </w:r>
          </w:p>
        </w:tc>
      </w:tr>
    </w:tbl>
    <w:p>
      <w:pPr>
        <w:ind w:left="5540" w:right="2340" w:hanging="4410"/>
        <w:spacing w:after="0" w:line="426" w:lineRule="auto"/>
        <w:tabs>
          <w:tab w:leader="none" w:pos="132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underwriters exercise in full their option to purchase additional shares of Class A common stock). 77</w:t>
      </w:r>
    </w:p>
    <w:p>
      <w:pPr>
        <w:sectPr>
          <w:pgSz w:w="11900" w:h="16838" w:orient="portrait"/>
          <w:cols w:equalWidth="0" w:num="1">
            <w:col w:w="11040"/>
          </w:cols>
          <w:pgMar w:left="320" w:top="451"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ind w:left="160" w:right="140" w:firstLine="436"/>
        <w:spacing w:after="0" w:line="251" w:lineRule="auto"/>
        <w:rPr>
          <w:sz w:val="20"/>
          <w:szCs w:val="20"/>
          <w:color w:val="auto"/>
        </w:rPr>
      </w:pPr>
      <w:r>
        <w:rPr>
          <w:rFonts w:ascii="Times New Roman" w:cs="Times New Roman" w:eastAsia="Times New Roman" w:hAnsi="Times New Roman"/>
          <w:sz w:val="18"/>
          <w:szCs w:val="18"/>
          <w:color w:val="auto"/>
        </w:rPr>
        <w:t>We estimate that the proceeds to Medline Inc. from this offering at an assumed initial public offering price of $        per share, which is the midpoint of the price range set forth on the cover page of this prospectus, after deducting estimated underwriting discounts and commissions, will be approximately $        million (or $        million if the underwriters exercise in full their option to purchase additional shares of Class A common stock). A $1.00 increase or decrease in the assumed initial public offering price of $        per share would increase or decrease, as applicable, the proceeds to Medline Inc. from this offering by approximately $        million, assuming the number of shares offered by us remains the same as set forth on the cover page of this prospectus and after deducting the estimated underwriting discounts and commissions (of which approximately $        million would be an increase or decrease, as applicable, in the cash available for general corporate purposes, including the repayment of indebtedness (specific indebtedness to be repaid to be identified in a later pre-effective amendment to the registration statement), and $        million would be an increase or decrease, as applicable, in the cash applied to redeem or repurchase shares of outstanding equity interests from certain pre-IPO owners as described below).</w:t>
      </w:r>
    </w:p>
    <w:p>
      <w:pPr>
        <w:spacing w:after="0" w:line="189"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Common Units from Medline Holdings, as described under “Organizational Structure—Offering Transactions,” which Medline Holdings will in turn use for general corporate purposes, including the repayment of indebtedness (specific indebtedness to be repaid to be identified in a later pre-effective amendment to the registration statement), and to bear all of the expenses of this offering. We estimate these offering expenses (excluding underwriting discounts and commissions) will be approximately $        million.</w:t>
      </w:r>
    </w:p>
    <w:p>
      <w:pPr>
        <w:spacing w:after="0" w:line="184"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Medline Inc. intends to use any proceeds from the issuance of shares pursuant to any exercise by the underwriters of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60"/>
          </w:cols>
          <w:pgMar w:left="320" w:top="451"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following this offering.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will provide that holders of Class B common stock shall not be entitled to any dividends on their shares of Class B common stock.</w:t>
      </w:r>
    </w:p>
    <w:p>
      <w:pPr>
        <w:spacing w:after="0" w:line="187"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94" w:lineRule="exact"/>
        <w:rPr>
          <w:sz w:val="20"/>
          <w:szCs w:val="20"/>
          <w:color w:val="auto"/>
        </w:rPr>
      </w:pPr>
    </w:p>
    <w:p>
      <w:pPr>
        <w:ind w:left="160" w:right="40" w:firstLine="436"/>
        <w:spacing w:after="0" w:line="266" w:lineRule="auto"/>
        <w:rPr>
          <w:sz w:val="20"/>
          <w:szCs w:val="20"/>
          <w:color w:val="auto"/>
        </w:rPr>
      </w:pPr>
      <w:r>
        <w:rPr>
          <w:rFonts w:ascii="Times New Roman" w:cs="Times New Roman" w:eastAsia="Times New Roman" w:hAnsi="Times New Roman"/>
          <w:sz w:val="17"/>
          <w:szCs w:val="17"/>
          <w:color w:val="auto"/>
        </w:rPr>
        <w:t>The amended and restated limited partnership agreement of Medline Holdings will provide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Common Units from Medline Holdings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“Risk Factors— 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dividends.”</w:t>
      </w:r>
    </w:p>
    <w:p>
      <w:pPr>
        <w:spacing w:after="0" w:line="179"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1"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40"/>
          </w:cols>
          <w:pgMar w:left="320" w:top="451"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capitalization as of December 31, 2024:</w:t>
      </w:r>
    </w:p>
    <w:p>
      <w:pPr>
        <w:spacing w:after="0" w:line="127" w:lineRule="exact"/>
        <w:rPr>
          <w:sz w:val="20"/>
          <w:szCs w:val="20"/>
          <w:color w:val="auto"/>
        </w:rPr>
      </w:pPr>
    </w:p>
    <w:p>
      <w:pPr>
        <w:ind w:left="1140" w:hanging="438"/>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27" w:lineRule="exact"/>
        <w:rPr>
          <w:rFonts w:ascii="Times New Roman" w:cs="Times New Roman" w:eastAsia="Times New Roman" w:hAnsi="Times New Roman"/>
          <w:sz w:val="18"/>
          <w:szCs w:val="18"/>
          <w:color w:val="auto"/>
        </w:rPr>
      </w:pPr>
    </w:p>
    <w:p>
      <w:pPr>
        <w:ind w:left="1140" w:right="640" w:hanging="438"/>
        <w:spacing w:after="0" w:line="274" w:lineRule="auto"/>
        <w:tabs>
          <w:tab w:leader="none" w:pos="11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basis prepared in accordance with Article 11 of Regulation S-X giving effect to the transactions described under “Unaudited Pro Forma Consolidated Financial Information,” included elsewhere in the prospectus, which reflects the sale by us of</w:t>
      </w:r>
    </w:p>
    <w:p>
      <w:pPr>
        <w:jc w:val="both"/>
        <w:ind w:left="1140"/>
        <w:spacing w:after="0" w:line="256" w:lineRule="auto"/>
        <w:rPr>
          <w:sz w:val="20"/>
          <w:szCs w:val="20"/>
          <w:color w:val="auto"/>
        </w:rPr>
      </w:pPr>
      <w:r>
        <w:rPr>
          <w:rFonts w:ascii="Times New Roman" w:cs="Times New Roman" w:eastAsia="Times New Roman" w:hAnsi="Times New Roman"/>
          <w:sz w:val="18"/>
          <w:szCs w:val="18"/>
          <w:color w:val="auto"/>
        </w:rPr>
        <w:t>        shares of Class A common stock in this offering at an assumed initial public offering price of $        per share (the midpoint of the range set forth on the cover page of this prospectus) and the application of the proceeds therefrom as described in “Use of Proceeds.”</w:t>
      </w:r>
    </w:p>
    <w:p>
      <w:pPr>
        <w:spacing w:after="0" w:line="182"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The information below is illustrative only and our capitalization following this offering will be adjusted based on the actual initial public offering price and other terms of this offering determined at pricing. Cash and cash equivalents are not components of our total capitalization. You should read this table together with the other information contained in this prospectus, including “Organizational Structure,” “Use of Proceeds,” “Unaudited Pro Forma Consolidated Financial Information,” “Management’s Discussion and Analysis of Financial Condition and Results of Operations,” and the historical financial statements and related notes thereto included elsewhere in this prospectus.</w:t>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44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debt (including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wp:posOffset>
            </wp:positionV>
            <wp:extent cx="6929755" cy="135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jc w:val="right"/>
        <w:ind w:right="5040"/>
        <w:spacing w:after="0"/>
        <w:rPr>
          <w:sz w:val="20"/>
          <w:szCs w:val="20"/>
          <w:color w:val="auto"/>
        </w:rPr>
      </w:pPr>
      <w:r>
        <w:rPr>
          <w:rFonts w:ascii="Times New Roman" w:cs="Times New Roman" w:eastAsia="Times New Roman" w:hAnsi="Times New Roman"/>
          <w:sz w:val="18"/>
          <w:szCs w:val="18"/>
          <w:color w:val="auto"/>
        </w:rPr>
        <w:t>Senior Secured Credit Facilities</w:t>
      </w:r>
    </w:p>
    <w:p>
      <w:pPr>
        <w:spacing w:after="0" w:line="7"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18"/>
          <w:szCs w:val="18"/>
          <w:color w:val="auto"/>
        </w:rPr>
        <w:t>Dollar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880"/>
        <w:spacing w:after="0" w:line="185" w:lineRule="auto"/>
        <w:rPr>
          <w:sz w:val="20"/>
          <w:szCs w:val="20"/>
          <w:color w:val="auto"/>
        </w:rPr>
      </w:pPr>
      <w:r>
        <w:rPr>
          <w:rFonts w:ascii="Times New Roman" w:cs="Times New Roman" w:eastAsia="Times New Roman" w:hAnsi="Times New Roman"/>
          <w:sz w:val="17"/>
          <w:szCs w:val="17"/>
          <w:color w:val="auto"/>
        </w:rPr>
        <w:t>Euro Term Loan Facility</w:t>
      </w:r>
      <w:r>
        <w:rPr>
          <w:rFonts w:ascii="Times New Roman" w:cs="Times New Roman" w:eastAsia="Times New Roman" w:hAnsi="Times New Roman"/>
          <w:sz w:val="25"/>
          <w:szCs w:val="25"/>
          <w:color w:val="auto"/>
          <w:vertAlign w:val="superscript"/>
        </w:rPr>
        <w:t>(2)</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3.875% Senior 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135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5.250% Senior Notes due 2029</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6.250% Senior Secured Notes due 2029</w:t>
      </w:r>
    </w:p>
    <w:p>
      <w:pPr>
        <w:ind w:left="160"/>
        <w:spacing w:after="0" w:line="199" w:lineRule="auto"/>
        <w:rPr>
          <w:sz w:val="20"/>
          <w:szCs w:val="20"/>
          <w:color w:val="auto"/>
        </w:rPr>
      </w:pPr>
      <w:r>
        <w:rPr>
          <w:rFonts w:ascii="Times New Roman" w:cs="Times New Roman" w:eastAsia="Times New Roman" w:hAnsi="Times New Roman"/>
          <w:sz w:val="18"/>
          <w:szCs w:val="18"/>
          <w:color w:val="auto"/>
        </w:rPr>
        <w:t>Total debt (including current maturities)</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135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135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right="980"/>
        <w:spacing w:after="0" w:line="267" w:lineRule="auto"/>
        <w:rPr>
          <w:sz w:val="20"/>
          <w:szCs w:val="20"/>
          <w:color w:val="auto"/>
        </w:rPr>
      </w:pPr>
      <w:r>
        <w:rPr>
          <w:rFonts w:ascii="Times New Roman" w:cs="Times New Roman" w:eastAsia="Times New Roman" w:hAnsi="Times New Roman"/>
          <w:sz w:val="17"/>
          <w:szCs w:val="17"/>
          <w:color w:val="auto"/>
        </w:rPr>
        <w:t>Class A Units, no par value; 128 units issued and outstanding as of December 31, 2024 Stock-based compensation, no par value; 106 units outstanding as of December 31, 2024</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Partners’ capital/shareholders’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Class A Units, no par value, 16,723 units issued and outstanding as of December 31, 2024</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Class B Units, no par value, 721 units issued and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Class B CUPI Units, no par value, 23 units issued and outstanding as of December 31, 2024</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jc w:val="both"/>
        <w:ind w:left="700" w:right="160" w:hanging="177"/>
        <w:spacing w:after="0" w:line="252" w:lineRule="auto"/>
        <w:rPr>
          <w:sz w:val="20"/>
          <w:szCs w:val="20"/>
          <w:color w:val="auto"/>
        </w:rPr>
      </w:pPr>
      <w:r>
        <w:rPr>
          <w:rFonts w:ascii="Times New Roman" w:cs="Times New Roman" w:eastAsia="Times New Roman" w:hAnsi="Times New Roman"/>
          <w:sz w:val="18"/>
          <w:szCs w:val="18"/>
          <w:color w:val="auto"/>
        </w:rPr>
        <w:t>Class A common stock, par value $0.0001 per share, 100,000 shares authorized and no shares issued and outstanding, actual; and     shares authorized and       shares issued and outstanding on a pro forma basis</w:t>
      </w:r>
    </w:p>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7"/>
              <w:spacing w:after="0" w:line="116" w:lineRule="exact"/>
              <w:rPr>
                <w:sz w:val="20"/>
                <w:szCs w:val="20"/>
                <w:color w:val="auto"/>
              </w:rPr>
            </w:pPr>
            <w:r>
              <w:rPr>
                <w:rFonts w:ascii="Times New Roman" w:cs="Times New Roman" w:eastAsia="Times New Roman" w:hAnsi="Times New Roman"/>
                <w:sz w:val="13"/>
                <w:szCs w:val="13"/>
                <w:b w:val="1"/>
                <w:bCs w:val="1"/>
                <w:color w:val="auto"/>
              </w:rPr>
              <w:t>Medline</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26"/>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47"/>
        </w:trPr>
        <w:tc>
          <w:tcPr>
            <w:tcW w:w="20" w:type="dxa"/>
            <w:vAlign w:val="bottom"/>
          </w:tcPr>
          <w:p>
            <w:pPr>
              <w:spacing w:after="0"/>
              <w:rPr>
                <w:sz w:val="12"/>
                <w:szCs w:val="12"/>
                <w:color w:val="auto"/>
              </w:rPr>
            </w:pPr>
          </w:p>
        </w:tc>
        <w:tc>
          <w:tcPr>
            <w:tcW w:w="68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6"/>
              <w:spacing w:after="0" w:line="147" w:lineRule="exact"/>
              <w:rPr>
                <w:sz w:val="20"/>
                <w:szCs w:val="20"/>
                <w:color w:val="auto"/>
              </w:rPr>
            </w:pPr>
            <w:r>
              <w:rPr>
                <w:rFonts w:ascii="Times New Roman" w:cs="Times New Roman" w:eastAsia="Times New Roman" w:hAnsi="Times New Roman"/>
                <w:sz w:val="14"/>
                <w:szCs w:val="14"/>
                <w:b w:val="1"/>
                <w:bCs w:val="1"/>
                <w:color w:val="auto"/>
              </w:rPr>
              <w:t>Medline Inc.</w:t>
            </w:r>
          </w:p>
        </w:tc>
      </w:tr>
      <w:tr>
        <w:trPr>
          <w:trHeight w:val="172"/>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60" w:type="dxa"/>
            <w:vAlign w:val="bottom"/>
            <w:gridSpan w:val="4"/>
          </w:tcPr>
          <w:p>
            <w:pPr>
              <w:jc w:val="center"/>
              <w:ind w:right="26"/>
              <w:spacing w:after="0" w:line="116" w:lineRule="exact"/>
              <w:rPr>
                <w:sz w:val="20"/>
                <w:szCs w:val="20"/>
                <w:color w:val="auto"/>
              </w:rPr>
            </w:pPr>
            <w:r>
              <w:rPr>
                <w:rFonts w:ascii="Times New Roman" w:cs="Times New Roman" w:eastAsia="Times New Roman" w:hAnsi="Times New Roman"/>
                <w:sz w:val="13"/>
                <w:szCs w:val="13"/>
                <w:b w:val="1"/>
                <w:bCs w:val="1"/>
                <w:color w:val="auto"/>
              </w:rPr>
              <w:t>(Dollars in millions, except par</w:t>
            </w:r>
          </w:p>
        </w:tc>
      </w:tr>
      <w:tr>
        <w:trPr>
          <w:trHeight w:val="172"/>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26"/>
              <w:spacing w:after="0"/>
              <w:rPr>
                <w:sz w:val="20"/>
                <w:szCs w:val="20"/>
                <w:color w:val="auto"/>
              </w:rPr>
            </w:pPr>
            <w:r>
              <w:rPr>
                <w:rFonts w:ascii="Times New Roman" w:cs="Times New Roman" w:eastAsia="Times New Roman" w:hAnsi="Times New Roman"/>
                <w:sz w:val="14"/>
                <w:szCs w:val="14"/>
                <w:b w:val="1"/>
                <w:bCs w:val="1"/>
                <w:color w:val="auto"/>
              </w:rPr>
              <w:t>value amounts)</w:t>
            </w:r>
          </w:p>
        </w:tc>
      </w:tr>
      <w:tr>
        <w:trPr>
          <w:trHeight w:val="207"/>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7,612</w:t>
      </w:r>
    </w:p>
    <w:p>
      <w:pPr>
        <w:spacing w:after="0" w:line="2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645</w:t>
      </w:r>
    </w:p>
    <w:p>
      <w:pPr>
        <w:spacing w:after="0" w:line="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4,500</w:t>
      </w:r>
    </w:p>
    <w:p>
      <w:pPr>
        <w:spacing w:after="0" w:line="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2,500</w:t>
      </w:r>
    </w:p>
    <w:p>
      <w:pPr>
        <w:spacing w:after="0" w:line="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502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021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3810</wp:posOffset>
            </wp:positionV>
            <wp:extent cx="64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jc w:val="right"/>
        <w:ind w:right="1820"/>
        <w:spacing w:after="0"/>
        <w:rPr>
          <w:sz w:val="20"/>
          <w:szCs w:val="20"/>
          <w:color w:val="auto"/>
        </w:rPr>
      </w:pPr>
      <w:r>
        <w:rPr>
          <w:rFonts w:ascii="Times New Roman" w:cs="Times New Roman" w:eastAsia="Times New Roman" w:hAnsi="Times New Roman"/>
          <w:sz w:val="18"/>
          <w:szCs w:val="18"/>
          <w:color w:val="auto"/>
        </w:rPr>
        <w:t>16,757</w:t>
      </w:r>
    </w:p>
    <w:p>
      <w:pPr>
        <w:spacing w:after="0" w:line="221"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237</w:t>
      </w:r>
    </w:p>
    <w:p>
      <w:pPr>
        <w:spacing w:after="0" w:line="2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502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021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3810</wp:posOffset>
            </wp:positionV>
            <wp:extent cx="64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366</w:t>
      </w:r>
    </w:p>
    <w:p>
      <w:pPr>
        <w:spacing w:after="0" w:line="221"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15,976</w:t>
      </w:r>
    </w:p>
    <w:p>
      <w:pPr>
        <w:spacing w:after="0" w:line="2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123</w:t>
      </w:r>
    </w:p>
    <w:p>
      <w:pPr>
        <w:spacing w:after="0" w:line="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48</w:t>
      </w:r>
    </w:p>
    <w:p>
      <w:pPr>
        <w:spacing w:after="0" w:line="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50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021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3810</wp:posOffset>
            </wp:positionV>
            <wp:extent cx="64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16,158</w:t>
      </w: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2">
            <w:col w:w="7840" w:space="720"/>
            <w:col w:w="2520"/>
          </w:cols>
          <w:pgMar w:left="320" w:top="451" w:right="4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16"/>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Medline</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26"/>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8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Medline Inc.</w:t>
            </w: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r>
      <w:tr>
        <w:trPr>
          <w:trHeight w:val="116"/>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80" w:type="dxa"/>
            <w:vAlign w:val="bottom"/>
            <w:tcBorders>
              <w:top w:val="single" w:sz="8" w:color="auto"/>
            </w:tcBorders>
            <w:gridSpan w:val="5"/>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(Dollars in millions, except par</w:t>
            </w:r>
          </w:p>
        </w:tc>
        <w:tc>
          <w:tcPr>
            <w:tcW w:w="6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amounts)</w:t>
            </w:r>
          </w:p>
        </w:tc>
      </w:tr>
      <w:tr>
        <w:trPr>
          <w:trHeight w:val="176"/>
        </w:trPr>
        <w:tc>
          <w:tcPr>
            <w:tcW w:w="20" w:type="dxa"/>
            <w:vAlign w:val="bottom"/>
          </w:tcPr>
          <w:p>
            <w:pPr>
              <w:spacing w:after="0"/>
              <w:rPr>
                <w:sz w:val="15"/>
                <w:szCs w:val="15"/>
                <w:color w:val="auto"/>
              </w:rPr>
            </w:pPr>
          </w:p>
        </w:tc>
        <w:tc>
          <w:tcPr>
            <w:tcW w:w="8560" w:type="dxa"/>
            <w:vAlign w:val="bottom"/>
            <w:tcBorders>
              <w:top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$0.0001 per share, 100,000 shares authorized and 10,000 shares issued</w:t>
            </w:r>
          </w:p>
        </w:tc>
        <w:tc>
          <w:tcPr>
            <w:tcW w:w="980" w:type="dxa"/>
            <w:vAlign w:val="bottom"/>
            <w:tcBorders>
              <w:top w:val="single" w:sz="8" w:color="auto"/>
            </w:tcBorders>
            <w:gridSpan w:val="2"/>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and outstanding, actual; and          shares authorized and     </w:t>
            </w:r>
          </w:p>
        </w:tc>
        <w:tc>
          <w:tcPr>
            <w:tcW w:w="4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shares issued and outstanding on a pro</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forma basis</w:t>
            </w:r>
          </w:p>
        </w:tc>
        <w:tc>
          <w:tcPr>
            <w:tcW w:w="3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58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partners’ capital/shareholders’ equity</w:t>
            </w:r>
          </w:p>
        </w:tc>
        <w:tc>
          <w:tcPr>
            <w:tcW w:w="35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560" w:type="dxa"/>
            <w:vAlign w:val="bottom"/>
            <w:gridSpan w:val="3"/>
            <w:shd w:val="clear" w:color="auto" w:fill="CCEEFF"/>
          </w:tcPr>
          <w:p>
            <w:pPr>
              <w:jc w:val="center"/>
              <w:ind w:left="3211"/>
              <w:spacing w:after="0"/>
              <w:rPr>
                <w:sz w:val="20"/>
                <w:szCs w:val="20"/>
                <w:color w:val="auto"/>
              </w:rPr>
            </w:pPr>
            <w:r>
              <w:rPr>
                <w:rFonts w:ascii="Times New Roman" w:cs="Times New Roman" w:eastAsia="Times New Roman" w:hAnsi="Times New Roman"/>
                <w:sz w:val="18"/>
                <w:szCs w:val="18"/>
                <w:color w:val="auto"/>
              </w:rPr>
              <w:t>$  33,281</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$1.00 increase (decrease) in the assumed initial public offering price per share, assuming no change in the number of shares to be sold, would increase (decrease) each of pro forma</w:t>
      </w:r>
    </w:p>
    <w:p>
      <w:pPr>
        <w:spacing w:after="0" w:line="2" w:lineRule="exact"/>
        <w:rPr>
          <w:sz w:val="20"/>
          <w:szCs w:val="20"/>
          <w:color w:val="auto"/>
        </w:rPr>
      </w:pPr>
    </w:p>
    <w:p>
      <w:pPr>
        <w:jc w:val="both"/>
        <w:ind w:left="600" w:right="420"/>
        <w:spacing w:after="0" w:line="219" w:lineRule="auto"/>
        <w:rPr>
          <w:sz w:val="20"/>
          <w:szCs w:val="20"/>
          <w:color w:val="auto"/>
        </w:rPr>
      </w:pPr>
      <w:r>
        <w:rPr>
          <w:rFonts w:ascii="Times New Roman" w:cs="Times New Roman" w:eastAsia="Times New Roman" w:hAnsi="Times New Roman"/>
          <w:sz w:val="14"/>
          <w:szCs w:val="14"/>
          <w:color w:val="auto"/>
        </w:rPr>
        <w:t>total equity and total capitalization by approximately $        million. An increase (decrease) of 1,000,000 shares in the expected number of shares to be sold in the offering (excluding any shares to be sold pursuant to any exercise by the underwriters of their option to purchase additional shares of Class A common stock), assuming no change in the assumed initial offering price per share, would increase (decrease) our pro forma total equity and total capitalization by approximately $        million.</w:t>
      </w:r>
    </w:p>
    <w:p>
      <w:pPr>
        <w:ind w:left="600" w:hanging="433"/>
        <w:spacing w:after="0" w:line="220" w:lineRule="auto"/>
        <w:tabs>
          <w:tab w:leader="none" w:pos="6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exchange rate adjustments.</w:t>
      </w:r>
    </w:p>
    <w:p>
      <w:pPr>
        <w:ind w:left="600" w:hanging="433"/>
        <w:spacing w:after="0"/>
        <w:tabs>
          <w:tab w:leader="none" w:pos="6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unamortized discounts and deferred finance charges of $265 million.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1"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5"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the Class A common stock held by our pre-IPO owners.</w:t>
      </w:r>
    </w:p>
    <w:p>
      <w:pPr>
        <w:spacing w:after="0" w:line="180" w:lineRule="exact"/>
        <w:rPr>
          <w:sz w:val="20"/>
          <w:szCs w:val="20"/>
          <w:color w:val="auto"/>
        </w:rPr>
      </w:pPr>
    </w:p>
    <w:p>
      <w:pPr>
        <w:ind w:left="160" w:right="200" w:firstLine="436"/>
        <w:spacing w:after="0" w:line="255" w:lineRule="auto"/>
        <w:rPr>
          <w:sz w:val="20"/>
          <w:szCs w:val="20"/>
          <w:color w:val="auto"/>
        </w:rPr>
      </w:pPr>
      <w:r>
        <w:rPr>
          <w:rFonts w:ascii="Times New Roman" w:cs="Times New Roman" w:eastAsia="Times New Roman" w:hAnsi="Times New Roman"/>
          <w:sz w:val="18"/>
          <w:szCs w:val="18"/>
          <w:color w:val="auto"/>
        </w:rPr>
        <w:t>Our pro forma net tangible book deficit as of December 31, 2024 was approximately $        million, or $        per share of Class A common stock. Pro forma net tangible book deficit represents the amount of total tangible assets less total liabilities, and pro forma net tangible book deficit per share of Class A common stock represents pro forma net tangible book deficit divided by the number of shares of Class A common stock outstanding, after giving effect to the Reorganization Transactions and assuming that all of the Continuing Common Unitholders in Medline Holdings (other than Medline Inc.) exchanged their Common Units for newly issued shares of Class A common stock on a one-for-one basis.</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After giving effect to the transactions described under “Unaudited Pro Forma Consolidated Financial Information,” including the application of the proceeds from this offering as described in “Use of Proceeds,” after deducting the underwriting discounts and commissions and estimated offering expenses payable by us, our pro forma net tangible book deficit as of December 31, 2024 would have been $        million, or $        per share of Class A common stock. This represents an immediate decrease in net tangible book deficit of $        per share of Class A common stock to our pre-IPO owners and an immediate dilution in net tangible book deficit of $        per share of Class A common stock to investors in this offering.</w:t>
      </w:r>
    </w:p>
    <w:p>
      <w:pPr>
        <w:spacing w:after="0" w:line="18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Class A common stock basis assuming the underwriters do not exercise their option to purchase additional shares of Class A common stock:</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Class A common stock</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4"/>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of Class A common stock as of December 31, 2024</w:t>
            </w: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Class A common stock attributable to investors in</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tangible book deficit per share of Class A common stock after the offering</w:t>
            </w: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Dilution in pro forma net tangible book deficit per share of Class A common stock to investors in this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w:t>
            </w:r>
          </w:p>
        </w:tc>
        <w:tc>
          <w:tcPr>
            <w:tcW w:w="2040" w:type="dxa"/>
            <w:vAlign w:val="bottom"/>
            <w:gridSpan w:val="4"/>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Because the Continuing Common Unitholders will own direct economic interests in Medline Holdings that are not represented with economic interests in Medline Inc., we have presented dilution in pro forma net tangible book deficit per share of Class A common stock to investors in this offering assuming that all of the holders of Common Units in Medline Holdings (other than Medline Inc.) exchanged their Common Units for newly issued shares of Class A common stock on a one-for-one basis in order to more meaningfully present the dilutive impact on the investors in this offering. The above table does not reflect any shares of Class A common stock that would be issuable following the conversion of any vested Incentive Units into Common Units.</w:t>
      </w:r>
    </w:p>
    <w:p>
      <w:pPr>
        <w:spacing w:after="0" w:line="184" w:lineRule="exact"/>
        <w:rPr>
          <w:sz w:val="20"/>
          <w:szCs w:val="20"/>
          <w:color w:val="auto"/>
        </w:rPr>
      </w:pPr>
    </w:p>
    <w:p>
      <w:pPr>
        <w:ind w:left="160" w:right="80" w:firstLine="436"/>
        <w:spacing w:after="0" w:line="259" w:lineRule="auto"/>
        <w:rPr>
          <w:sz w:val="20"/>
          <w:szCs w:val="20"/>
          <w:color w:val="auto"/>
        </w:rPr>
      </w:pPr>
      <w:r>
        <w:rPr>
          <w:rFonts w:ascii="Times New Roman" w:cs="Times New Roman" w:eastAsia="Times New Roman" w:hAnsi="Times New Roman"/>
          <w:sz w:val="18"/>
          <w:szCs w:val="18"/>
          <w:color w:val="auto"/>
        </w:rPr>
        <w:t>A $1.00 increase in the assumed initial public offering price of $        per share of our Class A common stock would increase our pro forma net tangible book value after giving effect to this offering by $        million, or by $        per share of our Class A common stock, assuming the</w:t>
      </w:r>
    </w:p>
    <w:p>
      <w:pPr>
        <w:ind w:left="160" w:right="520"/>
        <w:spacing w:after="0" w:line="256" w:lineRule="auto"/>
        <w:rPr>
          <w:sz w:val="20"/>
          <w:szCs w:val="20"/>
          <w:color w:val="auto"/>
        </w:rPr>
      </w:pPr>
      <w:r>
        <w:rPr>
          <w:rFonts w:ascii="Times New Roman" w:cs="Times New Roman" w:eastAsia="Times New Roman" w:hAnsi="Times New Roman"/>
          <w:sz w:val="18"/>
          <w:szCs w:val="18"/>
          <w:color w:val="auto"/>
        </w:rPr>
        <w:t>number of shares offered by us remains the same and after deducting estimated underwriting discounts and commissions. A $1.00 decrease in the assumed initial public offering price per share would result in equal changes in the opposite direction.</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60"/>
          </w:cols>
          <w:pgMar w:left="320" w:top="451" w:right="5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December 31, 2024,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of the Continuing Common Unitholders in Medline Holdings (other than Medline Inc.) exchanged their Common Units for newly issued shares of our Class A common stock on a one-for-one basis. The following table does not reflect any shares of Class A common stock that would be issuable following the conversion of any vested Incentive Units into Common Units.</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0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Shares of Class A common</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8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0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 of</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80" w:type="dxa"/>
            <w:vAlign w:val="bottom"/>
          </w:tcPr>
          <w:p>
            <w:pPr>
              <w:spacing w:after="0"/>
              <w:rPr>
                <w:sz w:val="10"/>
                <w:szCs w:val="10"/>
                <w:color w:val="auto"/>
              </w:rPr>
            </w:pPr>
          </w:p>
        </w:tc>
        <w:tc>
          <w:tcPr>
            <w:tcW w:w="740" w:type="dxa"/>
            <w:vAlign w:val="bottom"/>
          </w:tcPr>
          <w:p>
            <w:pPr>
              <w:jc w:val="right"/>
              <w:ind w:right="319"/>
              <w:spacing w:after="0" w:line="116" w:lineRule="exact"/>
              <w:rPr>
                <w:sz w:val="20"/>
                <w:szCs w:val="20"/>
                <w:color w:val="auto"/>
              </w:rPr>
            </w:pPr>
            <w:r>
              <w:rPr>
                <w:rFonts w:ascii="Times New Roman" w:cs="Times New Roman" w:eastAsia="Times New Roman" w:hAnsi="Times New Roman"/>
                <w:sz w:val="13"/>
                <w:szCs w:val="13"/>
                <w:b w:val="1"/>
                <w:bCs w:val="1"/>
                <w:color w:val="auto"/>
              </w:rPr>
              <w:t> </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Class 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84"/>
              </w:rPr>
              <w:t>Number </w:t>
            </w:r>
          </w:p>
        </w:tc>
        <w:tc>
          <w:tcPr>
            <w:tcW w:w="380" w:type="dxa"/>
            <w:vAlign w:val="bottom"/>
          </w:tcPr>
          <w:p>
            <w:pPr>
              <w:spacing w:after="0"/>
              <w:rPr>
                <w:sz w:val="14"/>
                <w:szCs w:val="14"/>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3"/>
              </w:rPr>
              <w:t>Percent </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Pre-IPO owners</w:t>
            </w:r>
          </w:p>
        </w:tc>
        <w:tc>
          <w:tcPr>
            <w:tcW w:w="24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gridSpan w:val="3"/>
            <w:shd w:val="clear" w:color="auto" w:fill="CCEEFF"/>
          </w:tcPr>
          <w:p>
            <w:pPr>
              <w:ind w:left="220"/>
              <w:spacing w:after="0" w:line="214"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4"/>
                <w:szCs w:val="24"/>
                <w:color w:val="auto"/>
                <w:vertAlign w:val="superscript"/>
              </w:rPr>
              <w:t>(1)</w:t>
            </w:r>
          </w:p>
        </w:tc>
        <w:tc>
          <w:tcPr>
            <w:tcW w:w="800" w:type="dxa"/>
            <w:vAlign w:val="bottom"/>
            <w:tcBorders>
              <w:right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consideration paid by our pre-IPO owners has not been adjusted for returns on such consideration arising from distributions.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If the underwriters’ option to purchase additional shares is exercised in full, the number of shares held by new investors will be increased</w:t>
      </w:r>
    </w:p>
    <w:p>
      <w:pPr>
        <w:spacing w:after="0" w:line="26"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to        , or approximately   % of the total number of shares of Class A common stock, assuming that all of the Continuing Common Unitholders in Medline Holdings (other than Medline Inc.) exchanged their Common Units for newly issued shares of our Class A common stock on a one-for-one basis.</w:t>
      </w:r>
    </w:p>
    <w:p>
      <w:pPr>
        <w:spacing w:after="0" w:line="185"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In addition, subject to certain limitations and exceptions, the Continuing Incentive Unitholders, which will hold        Incentive Units, which have a weighted-average per unit participation threshold of $      per Incentive Unit, will be able to convert their vested Incentive Units into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one-for-one basis for shares of Class A common stock of Medline Inc. in accordance with the terms of the exchange agreement. At the time of this offering,         shares of Class A common stock would be issuable upon the exchange of an equivalent number of Common Units into which outstanding Incentive Units that are held by the Continuing Incentive Unitholders may be converted (assuming an offering price of $      per share of Class A common stock, which is the midpoint of the price range set forth on the cover of this prospectus, and assuming such Incentive Units are fully vested and converted to Common Units).</w:t>
      </w:r>
    </w:p>
    <w:p>
      <w:pPr>
        <w:spacing w:after="0" w:line="192"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The dilution information above is for illustrative purposes only. Our net tangible book deficit following the consummation of this offering is subject to adjustment based on the actual initial public offering price of our shares of Class A common stock and other terms of this offering determined at pricing.</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1"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225"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Medline Inc. was formed on November 6, 2024. Medline Inc. currently has no assets or liabilities and has conducted no operations to date other than in connection with its incorporation and this offering. The following unaudited pro forma consolidated financial information reflects the impact of the Transactions (as defined herein).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Following the completion of the Transactions, Medline Inc. will be a holding company and its sole material assets will consist of         % of the outstanding Common Units, which it will hold directly or indirectly through wholly owned subsidiaries and will acquire as described in “Organizational Structure—Offering Transactions.” The remaining Common Units will be held by the Continuing Common Unitholders. Medline Inc. will be the sole general partner of Medline Holdings. As the general partner of Medline Holdings, Medline Inc. will operate and control all of the business and affairs of Medline Holdings and its direct and indirect subsidiaries, and, through Medline Holdings, LP and its direct and indirect subsidiaries, conduct its business.</w:t>
      </w:r>
    </w:p>
    <w:p>
      <w:pPr>
        <w:spacing w:after="0" w:line="187"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The unaudited pro forma consolidated balance sheet as of December 31, 2024 and the unaudited pro forma consolidated statement of comprehensive income for the year ended December 31, 2024 present our consolidated financial position and results of operations after giving effect to the following transactions (collectively, the “Transactions”):</w:t>
      </w:r>
    </w:p>
    <w:p>
      <w:pPr>
        <w:spacing w:after="0" w:line="82" w:lineRule="exact"/>
        <w:rPr>
          <w:sz w:val="20"/>
          <w:szCs w:val="20"/>
          <w:color w:val="auto"/>
        </w:rPr>
      </w:pPr>
    </w:p>
    <w:p>
      <w:pPr>
        <w:ind w:left="1140" w:hanging="438"/>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as described under “Organizational Structure”;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us of shares of Class A common stock pursuant to this offering and the application of the proceeds from this offering as</w:t>
      </w:r>
    </w:p>
    <w:p>
      <w:pPr>
        <w:spacing w:after="0" w:line="26" w:lineRule="exact"/>
        <w:rPr>
          <w:sz w:val="20"/>
          <w:szCs w:val="20"/>
          <w:color w:val="auto"/>
        </w:rPr>
      </w:pPr>
    </w:p>
    <w:p>
      <w:pPr>
        <w:ind w:left="1140" w:right="40"/>
        <w:spacing w:after="0" w:line="256" w:lineRule="auto"/>
        <w:rPr>
          <w:sz w:val="20"/>
          <w:szCs w:val="20"/>
          <w:color w:val="auto"/>
        </w:rPr>
      </w:pPr>
      <w:r>
        <w:rPr>
          <w:rFonts w:ascii="Times New Roman" w:cs="Times New Roman" w:eastAsia="Times New Roman" w:hAnsi="Times New Roman"/>
          <w:sz w:val="18"/>
          <w:szCs w:val="18"/>
          <w:color w:val="auto"/>
        </w:rPr>
        <w:t>described in “Use of Proceeds,” based on an assumed initial public offering price of $        per share, after deducting the underwriting discounts and commissions and estimated offering expenses payable by us in connection with this offering.</w:t>
      </w:r>
    </w:p>
    <w:p>
      <w:pPr>
        <w:spacing w:after="0" w:line="182"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Except as otherwise indicated, the unaudited pro forma consolidated financial information presented assumes no exercise by the underwriters of their option to purchase additional shares of Class A common stock in the offering.</w:t>
      </w:r>
    </w:p>
    <w:p>
      <w:pPr>
        <w:spacing w:after="0" w:line="162"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is derived from the historical consolidated financial statements of Medline Holdings. The unaudited pro forma consolidated balance sheet as of December 31, 2024 gives effect to the Transactions as if they had occurred on December 31, 2024. The unaudited pro forma consolidated statement of comprehensive income for the year ended December 31, 2024 gives pro forma effect to the Transactions as if they had occurred on January 1, 2024.</w:t>
      </w:r>
    </w:p>
    <w:p>
      <w:pPr>
        <w:spacing w:after="0" w:line="18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was prepared in accordance with Article 11 of Regulation S-X, using the assumptions set forth in the notes to the unaudited pro forma consolidated financial information. The unaudited pro forma consolidated financial information has been adjusted to include transaction accounting adjustments, which reflect the application of the accounting required by GAAP, linking the effects of the Transactions listed above to Medline Holdings’ historical consolidated financial statements.</w:t>
      </w:r>
    </w:p>
    <w:p>
      <w:pPr>
        <w:spacing w:after="0" w:line="180" w:lineRule="exact"/>
        <w:rPr>
          <w:sz w:val="20"/>
          <w:szCs w:val="20"/>
          <w:color w:val="auto"/>
        </w:rPr>
      </w:pPr>
    </w:p>
    <w:p>
      <w:pPr>
        <w:ind w:left="160" w:right="20" w:firstLine="436"/>
        <w:spacing w:after="0" w:line="270" w:lineRule="auto"/>
        <w:rPr>
          <w:sz w:val="20"/>
          <w:szCs w:val="20"/>
          <w:color w:val="auto"/>
        </w:rPr>
      </w:pPr>
      <w:r>
        <w:rPr>
          <w:rFonts w:ascii="Times New Roman" w:cs="Times New Roman" w:eastAsia="Times New Roman" w:hAnsi="Times New Roman"/>
          <w:sz w:val="17"/>
          <w:szCs w:val="17"/>
          <w:color w:val="auto"/>
        </w:rPr>
        <w:t>For purposes of the unaudited pro forma consolidated financial information, we have assumed that shares of Class A common stock will be issued by us at a price per share equal to the midpoint of the estimated offering price range set forth on the cover page of this prospectus and, as a result, immediately following the completion of this offering, the ownership percentage represented by Common Units not held by Medline Inc. will be</w:t>
      </w:r>
    </w:p>
    <w:p>
      <w:pPr>
        <w:spacing w:after="0" w:line="1" w:lineRule="exact"/>
        <w:rPr>
          <w:sz w:val="20"/>
          <w:szCs w:val="20"/>
          <w:color w:val="auto"/>
        </w:rPr>
      </w:pPr>
    </w:p>
    <w:p>
      <w:pPr>
        <w:ind w:left="160" w:right="60" w:firstLine="7"/>
        <w:spacing w:after="0" w:line="262" w:lineRule="auto"/>
        <w:tabs>
          <w:tab w:leader="none" w:pos="33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 net earnings attributable to Common Units not held indirectly by Medline Inc. will accordingly represent         % of our net earnings. If the underwriters’ option to purchase additional shares is exercised in full, the ownership percentage represented by Common Units not held</w:t>
      </w:r>
    </w:p>
    <w:p>
      <w:pPr>
        <w:spacing w:after="0" w:line="1" w:lineRule="exact"/>
        <w:rPr>
          <w:sz w:val="20"/>
          <w:szCs w:val="20"/>
          <w:color w:val="auto"/>
        </w:rPr>
      </w:pPr>
    </w:p>
    <w:p>
      <w:pPr>
        <w:ind w:left="160" w:right="100"/>
        <w:spacing w:after="0" w:line="256" w:lineRule="auto"/>
        <w:rPr>
          <w:sz w:val="20"/>
          <w:szCs w:val="20"/>
          <w:color w:val="auto"/>
        </w:rPr>
      </w:pPr>
      <w:r>
        <w:rPr>
          <w:rFonts w:ascii="Times New Roman" w:cs="Times New Roman" w:eastAsia="Times New Roman" w:hAnsi="Times New Roman"/>
          <w:sz w:val="18"/>
          <w:szCs w:val="18"/>
          <w:color w:val="auto"/>
        </w:rPr>
        <w:t>by Medline Inc. will be         % and net earnings attributable to Common Units not held by Medline Inc. will accordingly represent         % of our net earnings.</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40"/>
          </w:cols>
          <w:pgMar w:left="320" w:top="451" w:right="5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(including audits over the effectiveness of the company’s internal controls), tax, and legal fees; stock exchange listing fees; and other public company expenses. We have not included any pro forma adjustments relating to these costs in the information below.</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Medline Inc. Further, pro forma adjustments represent management’s best estimates based on information available as of the date of this prospectus and are subject to change as additional information becomes available.</w:t>
      </w:r>
    </w:p>
    <w:p>
      <w:pPr>
        <w:spacing w:after="0" w:line="180"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should be read together with “Organizational Structure,” “Use of Proceeds,” “Capitalization,” “Management’s Discussion and Analysis of Financial Condition and Results of Operations,” and the historical consolidated financial statements and related notes thereto included elsewhere in this prospectus.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1"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8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6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680" w:type="dxa"/>
            <w:vAlign w:val="bottom"/>
          </w:tcPr>
          <w:p>
            <w:pPr>
              <w:spacing w:after="0"/>
              <w:rPr>
                <w:sz w:val="12"/>
                <w:szCs w:val="12"/>
                <w:color w:val="auto"/>
              </w:rPr>
            </w:pPr>
          </w:p>
        </w:tc>
        <w:tc>
          <w:tcPr>
            <w:tcW w:w="7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w w:val="97"/>
              </w:rPr>
              <w:t>Transactions</w:t>
            </w:r>
          </w:p>
        </w:tc>
        <w:tc>
          <w:tcPr>
            <w:tcW w:w="6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02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5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199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xml:space="preserve">       </w:t>
            </w:r>
          </w:p>
        </w:tc>
        <w:tc>
          <w:tcPr>
            <w:tcW w:w="780" w:type="dxa"/>
            <w:vAlign w:val="bottom"/>
            <w:gridSpan w:val="2"/>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40" w:type="dxa"/>
            <w:vAlign w:val="bottom"/>
            <w:gridSpan w:val="7"/>
          </w:tcPr>
          <w:p>
            <w:pPr>
              <w:ind w:left="280"/>
              <w:spacing w:after="0" w:line="147" w:lineRule="exact"/>
              <w:rPr>
                <w:sz w:val="20"/>
                <w:szCs w:val="20"/>
                <w:color w:val="auto"/>
              </w:rPr>
            </w:pPr>
            <w:r>
              <w:rPr>
                <w:rFonts w:ascii="Times New Roman" w:cs="Times New Roman" w:eastAsia="Times New Roman" w:hAnsi="Times New Roman"/>
                <w:sz w:val="14"/>
                <w:szCs w:val="14"/>
                <w:color w:val="auto"/>
              </w:rPr>
              <w:t>Trade accounts receivable, net of allowance for credit losses of $108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3,219</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4,456</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398</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8,272</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4,595</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Deferred tax asset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(a)</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8,065</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14,559</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 long-term assets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487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20" w:type="dxa"/>
            <w:vAlign w:val="bottom"/>
            <w:gridSpan w:val="3"/>
          </w:tcPr>
          <w:p>
            <w:pPr>
              <w:ind w:left="560"/>
              <w:spacing w:after="0" w:line="147" w:lineRule="exact"/>
              <w:rPr>
                <w:sz w:val="20"/>
                <w:szCs w:val="20"/>
                <w:color w:val="auto"/>
              </w:rPr>
            </w:pPr>
            <w:r>
              <w:rPr>
                <w:rFonts w:ascii="Times New Roman" w:cs="Times New Roman" w:eastAsia="Times New Roman" w:hAnsi="Times New Roman"/>
                <w:sz w:val="14"/>
                <w:szCs w:val="14"/>
                <w:color w:val="auto"/>
              </w:rPr>
              <w:t>Total other non-current assets</w:t>
            </w: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23,111</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35,978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060" w:type="dxa"/>
            <w:vAlign w:val="bottom"/>
            <w:gridSpan w:val="8"/>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MEZZANINE EQUITY AND PARTNERS’ CAPITAL / SHAREHOLDERS’</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40" w:type="dxa"/>
            <w:vAlign w:val="bottom"/>
            <w:gridSpan w:val="7"/>
          </w:tcPr>
          <w:p>
            <w:pPr>
              <w:ind w:left="280"/>
              <w:spacing w:after="0" w:line="147" w:lineRule="exact"/>
              <w:rPr>
                <w:sz w:val="20"/>
                <w:szCs w:val="20"/>
                <w:color w:val="auto"/>
              </w:rPr>
            </w:pPr>
            <w:r>
              <w:rPr>
                <w:rFonts w:ascii="Times New Roman" w:cs="Times New Roman" w:eastAsia="Times New Roman" w:hAnsi="Times New Roman"/>
                <w:sz w:val="14"/>
                <w:szCs w:val="14"/>
                <w:color w:val="auto"/>
              </w:rPr>
              <w:t>Current portion of long-term borrowings and other short-term borrowings</w:t>
            </w:r>
          </w:p>
        </w:tc>
        <w:tc>
          <w:tcPr>
            <w:tcW w:w="26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spacing w:after="0"/>
              <w:rPr>
                <w:sz w:val="12"/>
                <w:szCs w:val="12"/>
                <w:color w:val="auto"/>
              </w:rPr>
            </w:pPr>
          </w:p>
        </w:tc>
        <w:tc>
          <w:tcPr>
            <w:tcW w:w="780" w:type="dxa"/>
            <w:vAlign w:val="bottom"/>
            <w:gridSpan w:val="2"/>
          </w:tcPr>
          <w:p>
            <w:pPr>
              <w:ind w:left="6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68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869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gridSpan w:val="5"/>
          </w:tcPr>
          <w:p>
            <w:pPr>
              <w:ind w:left="280"/>
              <w:spacing w:after="0" w:line="147"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1,489</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Income taxes payable</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20" w:type="dxa"/>
            <w:vAlign w:val="bottom"/>
          </w:tcPr>
          <w:p>
            <w:pPr>
              <w:ind w:left="560"/>
              <w:spacing w:after="0" w:line="154"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2,440</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gridSpan w:val="5"/>
          </w:tcPr>
          <w:p>
            <w:pPr>
              <w:ind w:left="280"/>
              <w:spacing w:after="0" w:line="147" w:lineRule="exact"/>
              <w:rPr>
                <w:sz w:val="20"/>
                <w:szCs w:val="20"/>
                <w:color w:val="auto"/>
              </w:rPr>
            </w:pPr>
            <w:r>
              <w:rPr>
                <w:rFonts w:ascii="Times New Roman" w:cs="Times New Roman" w:eastAsia="Times New Roman" w:hAnsi="Times New Roman"/>
                <w:sz w:val="14"/>
                <w:szCs w:val="14"/>
                <w:color w:val="auto"/>
              </w:rPr>
              <w:t>Long-term borrowings, less current portion</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16,416</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598</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80" w:type="dxa"/>
            <w:vAlign w:val="bottom"/>
            <w:gridSpan w:val="4"/>
          </w:tcPr>
          <w:p>
            <w:pPr>
              <w:ind w:left="560"/>
              <w:spacing w:after="0" w:line="154" w:lineRule="exact"/>
              <w:rPr>
                <w:sz w:val="20"/>
                <w:szCs w:val="20"/>
                <w:color w:val="auto"/>
              </w:rPr>
            </w:pPr>
            <w:r>
              <w:rPr>
                <w:rFonts w:ascii="Times New Roman" w:cs="Times New Roman" w:eastAsia="Times New Roman" w:hAnsi="Times New Roman"/>
                <w:sz w:val="14"/>
                <w:szCs w:val="14"/>
                <w:color w:val="auto"/>
              </w:rPr>
              <w:t>Total other non-current liabilities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17,014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TRA liability</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20" w:type="dxa"/>
            <w:vAlign w:val="bottom"/>
          </w:tcPr>
          <w:p>
            <w:pPr>
              <w:ind w:left="560"/>
              <w:spacing w:after="0" w:line="154"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19,454</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Mezzanine equity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w w:val="98"/>
              </w:rPr>
              <w:t>Class A Units, no par value;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71"/>
              </w:rPr>
              <w:t> </w:t>
            </w:r>
          </w:p>
        </w:tc>
        <w:tc>
          <w:tcPr>
            <w:tcW w:w="372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units issued and outstanding as of December 31, 2024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(b)</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80" w:type="dxa"/>
            <w:vAlign w:val="bottom"/>
            <w:gridSpan w:val="4"/>
          </w:tcPr>
          <w:p>
            <w:pPr>
              <w:ind w:left="280"/>
              <w:spacing w:after="0" w:line="147" w:lineRule="exact"/>
              <w:rPr>
                <w:sz w:val="20"/>
                <w:szCs w:val="20"/>
                <w:color w:val="auto"/>
              </w:rPr>
            </w:pPr>
            <w:r>
              <w:rPr>
                <w:rFonts w:ascii="Times New Roman" w:cs="Times New Roman" w:eastAsia="Times New Roman" w:hAnsi="Times New Roman"/>
                <w:sz w:val="14"/>
                <w:szCs w:val="14"/>
                <w:color w:val="auto"/>
                <w:w w:val="96"/>
              </w:rPr>
              <w:t>Stock-based compensation, no par value;  </w:t>
            </w:r>
          </w:p>
        </w:tc>
        <w:tc>
          <w:tcPr>
            <w:tcW w:w="336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4"/>
                <w:szCs w:val="14"/>
                <w:color w:val="auto"/>
              </w:rPr>
              <w:t>      units outstanding as of December 31, 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129</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(a)</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color w:val="auto"/>
              </w:rPr>
              <w:t>Total mezzanine equity</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366</w:t>
            </w: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Partners’ capital / Shareholders’ equity</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w w:val="98"/>
              </w:rPr>
              <w:t>Class A Units, no par value,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720" w:type="dxa"/>
            <w:vAlign w:val="bottom"/>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units issued and outstanding as of December 31, 2024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15,976</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(b)</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w w:val="98"/>
              </w:rPr>
              <w:t>Class B Units, no par value,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720" w:type="dxa"/>
            <w:vAlign w:val="bottom"/>
            <w:gridSpan w:val="4"/>
          </w:tcPr>
          <w:p>
            <w:pPr>
              <w:ind w:left="20"/>
              <w:spacing w:after="0" w:line="147" w:lineRule="exact"/>
              <w:rPr>
                <w:sz w:val="20"/>
                <w:szCs w:val="20"/>
                <w:color w:val="auto"/>
              </w:rPr>
            </w:pPr>
            <w:r>
              <w:rPr>
                <w:rFonts w:ascii="Times New Roman" w:cs="Times New Roman" w:eastAsia="Times New Roman" w:hAnsi="Times New Roman"/>
                <w:sz w:val="14"/>
                <w:szCs w:val="14"/>
                <w:color w:val="auto"/>
              </w:rPr>
              <w:t>units issued and outstanding as of December 31, 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(b)</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20" w:type="dxa"/>
            <w:vAlign w:val="bottom"/>
            <w:gridSpan w:val="3"/>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w w:val="96"/>
              </w:rPr>
              <w:t>Class B CUPI Units, no par value,  </w:t>
            </w:r>
          </w:p>
        </w:tc>
        <w:tc>
          <w:tcPr>
            <w:tcW w:w="36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xml:space="preserve">    </w:t>
            </w:r>
          </w:p>
        </w:tc>
        <w:tc>
          <w:tcPr>
            <w:tcW w:w="336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units issued and outstanding as of December 31, 2024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(b)</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gridSpan w:val="5"/>
          </w:tcPr>
          <w:p>
            <w:pPr>
              <w:ind w:left="280"/>
              <w:spacing w:after="0" w:line="147"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(b)</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color w:val="auto"/>
              </w:rPr>
              <w:t>Total partners’ capital</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16,158</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0" w:type="dxa"/>
            <w:vAlign w:val="bottom"/>
            <w:gridSpan w:val="5"/>
          </w:tcPr>
          <w:p>
            <w:pPr>
              <w:ind w:left="280"/>
              <w:spacing w:after="0" w:line="125" w:lineRule="exact"/>
              <w:rPr>
                <w:sz w:val="20"/>
                <w:szCs w:val="20"/>
                <w:color w:val="auto"/>
              </w:rPr>
            </w:pPr>
            <w:r>
              <w:rPr>
                <w:rFonts w:ascii="Times New Roman" w:cs="Times New Roman" w:eastAsia="Times New Roman" w:hAnsi="Times New Roman"/>
                <w:sz w:val="14"/>
                <w:szCs w:val="14"/>
                <w:color w:val="auto"/>
                <w:w w:val="99"/>
              </w:rPr>
              <w:t>Class A common stock, par value $0.0001 per share;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500" w:type="dxa"/>
            <w:vAlign w:val="bottom"/>
          </w:tcPr>
          <w:p>
            <w:pPr>
              <w:ind w:left="60"/>
              <w:spacing w:after="0" w:line="125" w:lineRule="exact"/>
              <w:rPr>
                <w:sz w:val="20"/>
                <w:szCs w:val="20"/>
                <w:color w:val="auto"/>
              </w:rPr>
            </w:pPr>
            <w:r>
              <w:rPr>
                <w:rFonts w:ascii="Times New Roman" w:cs="Times New Roman" w:eastAsia="Times New Roman" w:hAnsi="Times New Roman"/>
                <w:sz w:val="14"/>
                <w:szCs w:val="14"/>
                <w:color w:val="auto"/>
              </w:rPr>
              <w:t>   shares issued and outstanding on a pro</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forma basis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(b)</w:t>
            </w:r>
          </w:p>
        </w:tc>
        <w:tc>
          <w:tcPr>
            <w:tcW w:w="680" w:type="dxa"/>
            <w:vAlign w:val="bottom"/>
          </w:tcPr>
          <w:p>
            <w:pPr>
              <w:spacing w:after="0"/>
              <w:rPr>
                <w:sz w:val="14"/>
                <w:szCs w:val="14"/>
                <w:color w:val="auto"/>
              </w:rPr>
            </w:pPr>
          </w:p>
        </w:tc>
        <w:tc>
          <w:tcPr>
            <w:tcW w:w="68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0" w:type="dxa"/>
            <w:vAlign w:val="bottom"/>
            <w:gridSpan w:val="5"/>
            <w:shd w:val="clear" w:color="auto" w:fill="CCEEFF"/>
          </w:tcPr>
          <w:p>
            <w:pPr>
              <w:ind w:left="280"/>
              <w:spacing w:after="0" w:line="125" w:lineRule="exact"/>
              <w:rPr>
                <w:sz w:val="20"/>
                <w:szCs w:val="20"/>
                <w:color w:val="auto"/>
              </w:rPr>
            </w:pPr>
            <w:r>
              <w:rPr>
                <w:rFonts w:ascii="Times New Roman" w:cs="Times New Roman" w:eastAsia="Times New Roman" w:hAnsi="Times New Roman"/>
                <w:sz w:val="14"/>
                <w:szCs w:val="14"/>
                <w:color w:val="auto"/>
                <w:w w:val="99"/>
              </w:rPr>
              <w:t>Class B common stock, par value $0.0001 per share;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500" w:type="dxa"/>
            <w:vAlign w:val="bottom"/>
            <w:shd w:val="clear" w:color="auto" w:fill="CCEEFF"/>
          </w:tcPr>
          <w:p>
            <w:pPr>
              <w:ind w:left="60"/>
              <w:spacing w:after="0" w:line="125" w:lineRule="exact"/>
              <w:rPr>
                <w:sz w:val="20"/>
                <w:szCs w:val="20"/>
                <w:color w:val="auto"/>
              </w:rPr>
            </w:pPr>
            <w:r>
              <w:rPr>
                <w:rFonts w:ascii="Times New Roman" w:cs="Times New Roman" w:eastAsia="Times New Roman" w:hAnsi="Times New Roman"/>
                <w:sz w:val="14"/>
                <w:szCs w:val="14"/>
                <w:color w:val="auto"/>
              </w:rPr>
              <w:t>   shares issued and outstanding on a pro</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forma basis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(b)</w:t>
            </w: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tcPr>
          <w:p>
            <w:pPr>
              <w:ind w:left="280"/>
              <w:spacing w:after="0" w:line="147"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(e)</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(e)</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40" w:type="dxa"/>
            <w:vAlign w:val="bottom"/>
            <w:gridSpan w:val="7"/>
          </w:tcPr>
          <w:p>
            <w:pPr>
              <w:ind w:left="560"/>
              <w:spacing w:after="0" w:line="154" w:lineRule="exact"/>
              <w:rPr>
                <w:sz w:val="20"/>
                <w:szCs w:val="20"/>
                <w:color w:val="auto"/>
              </w:rPr>
            </w:pPr>
            <w:r>
              <w:rPr>
                <w:rFonts w:ascii="Times New Roman" w:cs="Times New Roman" w:eastAsia="Times New Roman" w:hAnsi="Times New Roman"/>
                <w:sz w:val="14"/>
                <w:szCs w:val="14"/>
                <w:color w:val="auto"/>
              </w:rPr>
              <w:t>Total partners’ capital / shareholders’ equity attributable to Medline Holdings / Medline Inc.</w:t>
            </w:r>
            <w:r>
              <w:rPr>
                <w:rFonts w:ascii="Times New Roman" w:cs="Times New Roman" w:eastAsia="Times New Roman" w:hAnsi="Times New Roman"/>
                <w:sz w:val="10"/>
                <w:szCs w:val="10"/>
                <w:color w:val="auto"/>
              </w:rPr>
              <w:t>(1)</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16,158</w:t>
            </w: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2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(b)</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rPr>
              <w:t>(f)</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400" w:type="dxa"/>
            <w:vAlign w:val="bottom"/>
            <w:gridSpan w:val="5"/>
          </w:tcPr>
          <w:p>
            <w:pPr>
              <w:ind w:left="560"/>
              <w:spacing w:after="0" w:line="154" w:lineRule="exact"/>
              <w:rPr>
                <w:sz w:val="20"/>
                <w:szCs w:val="20"/>
                <w:color w:val="auto"/>
              </w:rPr>
            </w:pPr>
            <w:r>
              <w:rPr>
                <w:rFonts w:ascii="Times New Roman" w:cs="Times New Roman" w:eastAsia="Times New Roman" w:hAnsi="Times New Roman"/>
                <w:sz w:val="14"/>
                <w:szCs w:val="14"/>
                <w:color w:val="auto"/>
              </w:rPr>
              <w:t>Total partners’ capital / shareholders’ equity</w:t>
            </w:r>
          </w:p>
        </w:tc>
        <w:tc>
          <w:tcPr>
            <w:tcW w:w="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16,158</w:t>
            </w: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40" w:type="dxa"/>
            <w:vAlign w:val="bottom"/>
            <w:gridSpan w:val="7"/>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Total liabilities, mezzanine equity and partners’ capital / shareholders’ equity</w:t>
            </w:r>
          </w:p>
        </w:tc>
        <w:tc>
          <w:tcPr>
            <w:tcW w:w="26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35,978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right="460" w:hanging="433"/>
        <w:spacing w:after="0" w:line="255" w:lineRule="auto"/>
        <w:tabs>
          <w:tab w:leader="none" w:pos="6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historical amounts, represents total partners’ capital attributable to Medline Holdings. For Pro Forma amounts, represents total partners’/shareholders’ equity attributable to Medline Inc.</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1"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COMPREHENSIVE INCOME</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76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80" w:type="dxa"/>
            <w:vAlign w:val="bottom"/>
          </w:tcPr>
          <w:p>
            <w:pPr>
              <w:spacing w:after="0"/>
              <w:rPr>
                <w:sz w:val="12"/>
                <w:szCs w:val="12"/>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20" w:type="dxa"/>
            <w:vAlign w:val="bottom"/>
          </w:tcPr>
          <w:p>
            <w:pPr>
              <w:spacing w:after="0"/>
              <w:rPr>
                <w:sz w:val="12"/>
                <w:szCs w:val="12"/>
                <w:color w:val="auto"/>
              </w:rPr>
            </w:pPr>
          </w:p>
        </w:tc>
        <w:tc>
          <w:tcPr>
            <w:tcW w:w="9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76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9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98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$ 25,507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80" w:type="dxa"/>
            <w:vAlign w:val="bottom"/>
          </w:tcPr>
          <w:p>
            <w:pPr>
              <w:jc w:val="right"/>
              <w:ind w:right="307"/>
              <w:spacing w:after="0"/>
              <w:rPr>
                <w:sz w:val="20"/>
                <w:szCs w:val="20"/>
                <w:color w:val="auto"/>
              </w:rPr>
            </w:pPr>
            <w:r>
              <w:rPr>
                <w:rFonts w:ascii="Times New Roman" w:cs="Times New Roman" w:eastAsia="Times New Roman" w:hAnsi="Times New Roman"/>
                <w:sz w:val="13"/>
                <w:szCs w:val="13"/>
                <w:color w:val="auto"/>
              </w:rPr>
              <w:t>(g)(h)</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3"/>
                <w:szCs w:val="13"/>
                <w:color w:val="auto"/>
              </w:rPr>
              <w:t>(g)(h)</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3"/>
                <w:szCs w:val="13"/>
                <w:color w:val="auto"/>
              </w:rPr>
              <w:t>(i)</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(j)</w:t>
            </w:r>
          </w:p>
        </w:tc>
        <w:tc>
          <w:tcPr>
            <w:tcW w:w="800" w:type="dxa"/>
            <w:vAlign w:val="bottom"/>
            <w:tcBorders>
              <w:bottom w:val="single" w:sz="8" w:color="auto"/>
            </w:tcBorders>
          </w:tcPr>
          <w:p>
            <w:pPr>
              <w:spacing w:after="0"/>
              <w:rPr>
                <w:sz w:val="19"/>
                <w:szCs w:val="19"/>
                <w:color w:val="auto"/>
              </w:rPr>
            </w:pPr>
          </w:p>
        </w:tc>
        <w:tc>
          <w:tcPr>
            <w:tcW w:w="980" w:type="dxa"/>
            <w:vAlign w:val="bottom"/>
          </w:tcPr>
          <w:p>
            <w:pPr>
              <w:jc w:val="right"/>
              <w:ind w:right="307"/>
              <w:spacing w:after="0"/>
              <w:rPr>
                <w:sz w:val="20"/>
                <w:szCs w:val="20"/>
                <w:color w:val="auto"/>
              </w:rPr>
            </w:pPr>
            <w:r>
              <w:rPr>
                <w:rFonts w:ascii="Times New Roman" w:cs="Times New Roman" w:eastAsia="Times New Roman" w:hAnsi="Times New Roman"/>
                <w:sz w:val="13"/>
                <w:szCs w:val="13"/>
                <w:color w:val="auto"/>
              </w:rPr>
              <w:t>(j)</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(k)</w:t>
            </w:r>
          </w:p>
        </w:tc>
        <w:tc>
          <w:tcPr>
            <w:tcW w:w="800" w:type="dxa"/>
            <w:vAlign w:val="bottom"/>
            <w:tcBorders>
              <w:bottom w:val="single" w:sz="8" w:color="auto"/>
            </w:tcBorders>
          </w:tcPr>
          <w:p>
            <w:pPr>
              <w:spacing w:after="0"/>
              <w:rPr>
                <w:sz w:val="19"/>
                <w:szCs w:val="19"/>
                <w:color w:val="auto"/>
              </w:rPr>
            </w:pPr>
          </w:p>
        </w:tc>
        <w:tc>
          <w:tcPr>
            <w:tcW w:w="980" w:type="dxa"/>
            <w:vAlign w:val="bottom"/>
          </w:tcPr>
          <w:p>
            <w:pPr>
              <w:jc w:val="right"/>
              <w:ind w:right="307"/>
              <w:spacing w:after="0"/>
              <w:rPr>
                <w:sz w:val="20"/>
                <w:szCs w:val="20"/>
                <w:color w:val="auto"/>
              </w:rPr>
            </w:pPr>
            <w:r>
              <w:rPr>
                <w:rFonts w:ascii="Times New Roman" w:cs="Times New Roman" w:eastAsia="Times New Roman" w:hAnsi="Times New Roman"/>
                <w:sz w:val="13"/>
                <w:szCs w:val="13"/>
                <w:color w:val="auto"/>
              </w:rPr>
              <w:t>(k)</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income attributable to Medline Inc.</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 Forma Net Income (Loss) Per Share:</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980" w:type="dxa"/>
            <w:vAlign w:val="bottom"/>
            <w:shd w:val="clear" w:color="auto" w:fill="CCEEFF"/>
          </w:tcPr>
          <w:p>
            <w:pPr>
              <w:ind w:left="340"/>
              <w:spacing w:after="0" w:line="185" w:lineRule="exact"/>
              <w:rPr>
                <w:sz w:val="20"/>
                <w:szCs w:val="20"/>
                <w:color w:val="auto"/>
              </w:rPr>
            </w:pPr>
            <w:r>
              <w:rPr>
                <w:rFonts w:ascii="Times New Roman" w:cs="Times New Roman" w:eastAsia="Times New Roman" w:hAnsi="Times New Roman"/>
                <w:sz w:val="18"/>
                <w:szCs w:val="18"/>
                <w:b w:val="1"/>
                <w:bCs w:val="1"/>
                <w:color w:val="auto"/>
              </w:rPr>
              <w:t>Pro Forma Number of Shares Used in Computing Income</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60" w:type="dxa"/>
            <w:vAlign w:val="bottom"/>
            <w:gridSpan w:val="2"/>
            <w:vMerge w:val="restart"/>
          </w:tcPr>
          <w:p>
            <w:pPr>
              <w:jc w:val="right"/>
              <w:ind w:right="216"/>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INFORMATION</w:t>
      </w:r>
    </w:p>
    <w:p>
      <w:pPr>
        <w:spacing w:after="0" w:line="248" w:lineRule="exact"/>
        <w:rPr>
          <w:sz w:val="20"/>
          <w:szCs w:val="20"/>
          <w:color w:val="auto"/>
        </w:rPr>
      </w:pPr>
    </w:p>
    <w:p>
      <w:pPr>
        <w:ind w:left="600" w:hanging="433"/>
        <w:spacing w:after="0"/>
        <w:tabs>
          <w:tab w:leader="none" w:pos="6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Consolidated Balance Sheet</w:t>
      </w:r>
    </w:p>
    <w:p>
      <w:pPr>
        <w:spacing w:after="0" w:line="118" w:lineRule="exact"/>
        <w:rPr>
          <w:sz w:val="20"/>
          <w:szCs w:val="20"/>
          <w:color w:val="auto"/>
        </w:rPr>
      </w:pPr>
    </w:p>
    <w:p>
      <w:pPr>
        <w:ind w:left="160" w:right="3380"/>
        <w:spacing w:after="0" w:line="278" w:lineRule="auto"/>
        <w:rPr>
          <w:sz w:val="20"/>
          <w:szCs w:val="20"/>
          <w:color w:val="auto"/>
        </w:rPr>
      </w:pPr>
      <w:r>
        <w:rPr>
          <w:rFonts w:ascii="Times New Roman" w:cs="Times New Roman" w:eastAsia="Times New Roman" w:hAnsi="Times New Roman"/>
          <w:sz w:val="18"/>
          <w:szCs w:val="18"/>
          <w:color w:val="auto"/>
        </w:rPr>
        <w:t>Transaction accounting adjustments include the following adjustments related to the unaudited pro forma consolidated balance sheet as of December 31, 2024.</w:t>
      </w:r>
    </w:p>
    <w:p>
      <w:pPr>
        <w:spacing w:after="0" w:line="69" w:lineRule="exact"/>
        <w:rPr>
          <w:sz w:val="20"/>
          <w:szCs w:val="20"/>
          <w:color w:val="auto"/>
        </w:rPr>
      </w:pPr>
    </w:p>
    <w:p>
      <w:pPr>
        <w:ind w:left="1140" w:hanging="545"/>
        <w:spacing w:after="0" w:line="25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greater detail in “Organizational Structure,” prior to the completion of this offering, we will enter into the Reorganization Transactions, along with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The tax receivable agreement will be accounted for as a contingent liability, with amounts accrued when considered probable and reasonably estimable. The following are the adjustments associated with these transactions:</w:t>
      </w:r>
    </w:p>
    <w:p>
      <w:pPr>
        <w:spacing w:after="0" w:line="92" w:lineRule="exact"/>
        <w:rPr>
          <w:rFonts w:ascii="Times New Roman" w:cs="Times New Roman" w:eastAsia="Times New Roman" w:hAnsi="Times New Roman"/>
          <w:sz w:val="18"/>
          <w:szCs w:val="18"/>
          <w:color w:val="auto"/>
        </w:rPr>
      </w:pPr>
    </w:p>
    <w:p>
      <w:pPr>
        <w:ind w:left="1580" w:hanging="436"/>
        <w:spacing w:after="0" w:line="252"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deferred tax asset of $        million (or $        million if the underwriters exercise in full their option to purchase additional shares of Class A common stock). Following the Reorganization Transactions, Medline Inc. will be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total presented deferred tax liability is measured based on the following: (i) differences between financial reporting and tax basis associated with Medline Inc.’s investment in Medline Holdings; (ii) tax loss carryforwards and credits from the merged Blocker Companies; and (iii) tax benefits from future deductions attributable to payments under the tax receivable agreement as a result of the Offering Transactions.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The deferred tax asset includes (i) a deferred tax asset of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6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8"/>
              </w:rPr>
              <w:t>million related to Medline Inc.’s investment in Medline</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Holdings, (ii) a deferred tax benefit of $            million related to the tax attributes acquired by Medline Inc. as part of the</w:t>
            </w:r>
          </w:p>
        </w:tc>
      </w:tr>
      <w:tr>
        <w:trPr>
          <w:trHeight w:val="214"/>
        </w:trPr>
        <w:tc>
          <w:tcPr>
            <w:tcW w:w="30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Reorganization Transactions, and (iii) a deferred tax asset of $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64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8"/>
              </w:rPr>
              <w:t>      million related to tax benefits from future deductions</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attributable to payments under the tax receivable agreement. The deferred tax asset related to Medline Inc.’s investment in Medline</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Holdings is primarily due to differences between the purchase accounting and tax treatment of the Sponsors’ acquisition of Medline</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Holdings. To the extent we estimate that we will not realize either a portion or all of our deferred tax assets, based on an analysis of</w:t>
            </w:r>
          </w:p>
        </w:tc>
      </w:tr>
      <w:tr>
        <w:trPr>
          <w:trHeight w:val="233"/>
        </w:trPr>
        <w:tc>
          <w:tcPr>
            <w:tcW w:w="300" w:type="dxa"/>
            <w:vAlign w:val="bottom"/>
          </w:tcPr>
          <w:p>
            <w:pPr>
              <w:spacing w:after="0"/>
              <w:rPr>
                <w:sz w:val="20"/>
                <w:szCs w:val="20"/>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available sources of taxable income, we will reduce our deferred tax assets with a valuation allowance.</w:t>
            </w:r>
          </w:p>
        </w:tc>
      </w:tr>
      <w:tr>
        <w:trPr>
          <w:trHeight w:val="31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Record a $            million liability under the tax receivable agreement (or $            million if the underwriters exercise in full</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their option to purchase additional shares of Class A common stock) based on our estimate of the aggregate amount that we will pay</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 the pre-IPO owners under the tax receivable agreement as a result of the Offering Transactions. This amount is equal to 90% of</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certain tax benefits that the Company estimates that Medline Inc. will realize as a result of (i) Medline Inc.’s allocable share of</w:t>
            </w:r>
          </w:p>
        </w:tc>
      </w:tr>
      <w:tr>
        <w:trPr>
          <w:trHeight w:val="214"/>
        </w:trPr>
        <w:tc>
          <w:tcPr>
            <w:tcW w:w="300" w:type="dxa"/>
            <w:vAlign w:val="bottom"/>
          </w:tcPr>
          <w:p>
            <w:pPr>
              <w:spacing w:after="0"/>
              <w:rPr>
                <w:sz w:val="18"/>
                <w:szCs w:val="18"/>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million of existing tax basis in Medline Holdings’ assets acquired in this offering, (ii) $      million of increases in Medline</w:t>
            </w:r>
          </w:p>
        </w:tc>
      </w:tr>
      <w:tr>
        <w:trPr>
          <w:trHeight w:val="233"/>
        </w:trPr>
        <w:tc>
          <w:tcPr>
            <w:tcW w:w="300" w:type="dxa"/>
            <w:vAlign w:val="bottom"/>
          </w:tcPr>
          <w:p>
            <w:pPr>
              <w:spacing w:after="0"/>
              <w:rPr>
                <w:sz w:val="20"/>
                <w:szCs w:val="20"/>
                <w:color w:val="auto"/>
              </w:rPr>
            </w:pPr>
          </w:p>
        </w:tc>
        <w:tc>
          <w:tcPr>
            <w:tcW w:w="9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Inc.’s allocable share of existing tax basis and tax basis adjustments to the tangible and intangible assets of Medline</w:t>
            </w:r>
          </w:p>
        </w:tc>
      </w:tr>
      <w:tr>
        <w:trPr>
          <w:trHeight w:val="361"/>
        </w:trPr>
        <w:tc>
          <w:tcPr>
            <w:tcW w:w="300" w:type="dxa"/>
            <w:vAlign w:val="bottom"/>
          </w:tcPr>
          <w:p>
            <w:pPr>
              <w:spacing w:after="0"/>
              <w:rPr>
                <w:sz w:val="24"/>
                <w:szCs w:val="24"/>
                <w:color w:val="auto"/>
              </w:rPr>
            </w:pPr>
          </w:p>
        </w:tc>
        <w:tc>
          <w:tcPr>
            <w:tcW w:w="474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040"/>
          </w:cols>
          <w:pgMar w:left="320" w:top="451" w:right="5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580" w:right="60"/>
        <w:spacing w:after="0" w:line="258" w:lineRule="auto"/>
        <w:rPr>
          <w:sz w:val="20"/>
          <w:szCs w:val="20"/>
          <w:color w:val="auto"/>
        </w:rPr>
      </w:pPr>
      <w:r>
        <w:rPr>
          <w:rFonts w:ascii="Times New Roman" w:cs="Times New Roman" w:eastAsia="Times New Roman" w:hAnsi="Times New Roman"/>
          <w:sz w:val="18"/>
          <w:szCs w:val="18"/>
          <w:color w:val="auto"/>
        </w:rPr>
        <w:t>Holdings as a result of sales or exchanges of Common Units (including Common Units issued upon conversion of vested Incentive Units) in connection with or after this offering, (iii) Medline Inc.’s utilization of $    million of certain tax attributes (including any existing tax basis) of the Blocker Companies, and (iv) $    million of certain other tax benefits related to entering into the tax receivable agreement, including tax benefits attributable to payments under the tax receivable agreement.</w:t>
      </w:r>
    </w:p>
    <w:p>
      <w:pPr>
        <w:spacing w:after="0" w:line="86" w:lineRule="exact"/>
        <w:rPr>
          <w:sz w:val="20"/>
          <w:szCs w:val="20"/>
          <w:color w:val="auto"/>
        </w:rPr>
      </w:pPr>
    </w:p>
    <w:p>
      <w:pPr>
        <w:ind w:left="1580" w:right="80" w:hanging="439"/>
        <w:spacing w:after="0" w:line="278" w:lineRule="auto"/>
        <w:tabs>
          <w:tab w:leader="none" w:pos="1560" w:val="left"/>
        </w:tabs>
        <w:rPr>
          <w:sz w:val="20"/>
          <w:szCs w:val="20"/>
          <w:color w:val="auto"/>
        </w:rPr>
      </w:pPr>
      <w:r>
        <w:rPr>
          <w:rFonts w:ascii="Times New Roman" w:cs="Times New Roman" w:eastAsia="Times New Roman" w:hAnsi="Times New Roman"/>
          <w:sz w:val="18"/>
          <w:szCs w:val="18"/>
          <w:color w:val="auto"/>
        </w:rPr>
        <w:t>iii)</w:t>
        <w:tab/>
        <w:t>Record an adjustment to additional paid-in capital of $        million, for the change in deferred tax liabilities and the increase in liabilities due to existing owners under the tax receivable agreement as a result of the Offering Transactions.</w:t>
      </w:r>
    </w:p>
    <w:p>
      <w:pPr>
        <w:spacing w:after="0" w:line="55" w:lineRule="exact"/>
        <w:rPr>
          <w:sz w:val="20"/>
          <w:szCs w:val="20"/>
          <w:color w:val="auto"/>
        </w:rPr>
      </w:pPr>
    </w:p>
    <w:p>
      <w:pPr>
        <w:ind w:left="1140" w:right="20"/>
        <w:spacing w:after="0" w:line="249" w:lineRule="auto"/>
        <w:rPr>
          <w:sz w:val="20"/>
          <w:szCs w:val="20"/>
          <w:color w:val="auto"/>
        </w:rPr>
      </w:pPr>
      <w:r>
        <w:rPr>
          <w:rFonts w:ascii="Times New Roman" w:cs="Times New Roman" w:eastAsia="Times New Roman" w:hAnsi="Times New Roman"/>
          <w:sz w:val="18"/>
          <w:szCs w:val="18"/>
          <w:color w:val="auto"/>
        </w:rPr>
        <w:t>As described in greater detail in “Organizational Structure,” the Continuing Common Unitholders will hold         Common Units (or         Common Units if the underwriters exercise in full their option to purchase additional shares of Class A common stock) immediately following this offering. Due to the uncertainty as to the amount and timing of future exchanges of Common Units by the Continuing Unitholders and as to the price per share of our Class A common stock at the time of any such exchanges, the unaudited pro forma consolidated financial information does not assume that exchanges of Common Units have occurred. However, if the Continuing Unitholders were to exchange all of the Common Units for shares of Class A common stock and all Incentive Units were converted to Common Units and subsequently exchanged for shares of Class A common stock (based on an assumed initial public offering price of $        per share, the midpoint of the estimated price range set forth on the cover page of this prospectus) immediately following the completion of this offering, we would recognize an incremental deferred tax asset of approximately $        million and a noncurrent liability of approximately $        million based on the Company’s estimate of the aggregate amount that it will pay under the tax receivable agreement as a result of such hypothetical exchange, assuming: (i) a price of $        per share of our Class A common stock (the midpoint of the estimated price range set forth on the cover page of this prospectus); (ii) a constant corporate tax rate of         %;</w:t>
      </w:r>
    </w:p>
    <w:p>
      <w:pPr>
        <w:spacing w:after="0" w:line="10" w:lineRule="exact"/>
        <w:rPr>
          <w:sz w:val="20"/>
          <w:szCs w:val="20"/>
          <w:color w:val="auto"/>
        </w:rPr>
      </w:pPr>
    </w:p>
    <w:p>
      <w:pPr>
        <w:ind w:left="1140" w:right="180" w:firstLine="10"/>
        <w:spacing w:after="0" w:line="262" w:lineRule="auto"/>
        <w:tabs>
          <w:tab w:leader="none" w:pos="145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have sufficient taxable income to fully utilize the tax benefits; and (iv) no material changes in tax law. Accordingly, based upon the foregoing assumptions, if the Continuing Common Unitholders were to exchange all of the Common Units that they will hold immediately following this offering, the Company estimates that it would, as a result of the Offering Transactions and such hypothetical</w:t>
      </w:r>
    </w:p>
    <w:p>
      <w:pPr>
        <w:spacing w:after="0" w:line="2" w:lineRule="exact"/>
        <w:rPr>
          <w:sz w:val="20"/>
          <w:szCs w:val="20"/>
          <w:color w:val="auto"/>
        </w:rPr>
      </w:pPr>
    </w:p>
    <w:p>
      <w:pPr>
        <w:ind w:left="1140" w:right="40"/>
        <w:spacing w:after="0" w:line="248" w:lineRule="auto"/>
        <w:rPr>
          <w:sz w:val="20"/>
          <w:szCs w:val="20"/>
          <w:color w:val="auto"/>
        </w:rPr>
      </w:pPr>
      <w:r>
        <w:rPr>
          <w:rFonts w:ascii="Times New Roman" w:cs="Times New Roman" w:eastAsia="Times New Roman" w:hAnsi="Times New Roman"/>
          <w:sz w:val="18"/>
          <w:szCs w:val="18"/>
          <w:color w:val="auto"/>
        </w:rPr>
        <w:t>exchange, record a deferred tax asset of approximately $    million and that the aggregate noncurrent liability it would record based on its estimate of the aggregate amount that it would pay under the tax receivable agreement is approximately $    million, generally payable over a 15-year period. For each 5% increase (decrease) in the price per share of our Class A common stock (and therefore the value of the Common Units exchanged), the Company’s deferred tax asset would increase (decrease) by approximately $    million and the related liability for payments under the tax receivable agreement would increase (decrease) by approximately $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(including any Common Units issued upon conversion of vested Incentive Units),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103" w:lineRule="exact"/>
        <w:rPr>
          <w:sz w:val="20"/>
          <w:szCs w:val="20"/>
          <w:color w:val="auto"/>
        </w:rPr>
      </w:pPr>
    </w:p>
    <w:p>
      <w:pPr>
        <w:ind w:left="1140" w:hanging="545"/>
        <w:spacing w:after="0" w:line="254"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Holdings has been, and we anticipate will continue to be, treated as a partnership for U.S. federal income tax purposes. As such, Medline Holdings’ earnings and losses will flow through to its partners, including Medline Inc., and are generally not subject to significant entity-level taxes at the Medline Holdings level. As described in “Organizational Structure,” upon completion of the Reorganization Transactions, Medline Inc. will be a holding company, and its sole material assets will be its equity interests held directly or indirectly through wholly owned subsidiaries in Medline Holdings. As the sole general partner of Medline Holdings, Medline Inc. will operate and control all</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40"/>
          </w:cols>
          <w:pgMar w:left="320" w:top="451" w:right="5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100"/>
        <w:spacing w:after="0" w:line="258" w:lineRule="auto"/>
        <w:rPr>
          <w:sz w:val="20"/>
          <w:szCs w:val="20"/>
          <w:color w:val="auto"/>
        </w:rPr>
      </w:pPr>
      <w:r>
        <w:rPr>
          <w:rFonts w:ascii="Times New Roman" w:cs="Times New Roman" w:eastAsia="Times New Roman" w:hAnsi="Times New Roman"/>
          <w:sz w:val="18"/>
          <w:szCs w:val="18"/>
          <w:color w:val="auto"/>
        </w:rPr>
        <w:t>the business and affairs of Medline Holdings. As a result of the Reorganization and Offering Transactions, Medline Inc. will directly or indirectly own approximately        % of the economic interest in Medline Holdings but will have 100% of the voting power and will control the management of Medline Holdings. Immediately following the completion of the Reorganization Transactions, the ownership percentage held by noncontrolling interest will be approximately         %.</w:t>
      </w:r>
    </w:p>
    <w:p>
      <w:pPr>
        <w:spacing w:after="0" w:line="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Represents an adjustment to equity reflecting (i) par value for Class A common stock and Class B common stock, (ii) a decrease in</w:t>
      </w:r>
    </w:p>
    <w:p>
      <w:pPr>
        <w:spacing w:after="0" w:line="26" w:lineRule="exact"/>
        <w:rPr>
          <w:sz w:val="20"/>
          <w:szCs w:val="20"/>
          <w:color w:val="auto"/>
        </w:rPr>
      </w:pPr>
    </w:p>
    <w:p>
      <w:pPr>
        <w:ind w:left="1140" w:right="300"/>
        <w:spacing w:after="0" w:line="256" w:lineRule="auto"/>
        <w:rPr>
          <w:sz w:val="20"/>
          <w:szCs w:val="20"/>
          <w:color w:val="auto"/>
        </w:rPr>
      </w:pPr>
      <w:r>
        <w:rPr>
          <w:rFonts w:ascii="Times New Roman" w:cs="Times New Roman" w:eastAsia="Times New Roman" w:hAnsi="Times New Roman"/>
          <w:sz w:val="18"/>
          <w:szCs w:val="18"/>
          <w:color w:val="auto"/>
        </w:rPr>
        <w:t>$        million of shareholders’ interest to the noncontrolling interests related to the         % economic interest held by the Continuing Common Unitholders, and (iii) reclassification of shareholders’ interest of $        million to additional paid-in capital.</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In connection with this offering, the Mezzanine equity units will be recapitalized and converted into Common Units in Medline Holdings.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 a result, no Mezzanine equity units will be outstanding following this offering.</w:t>
      </w:r>
    </w:p>
    <w:p>
      <w:pPr>
        <w:spacing w:after="0" w:line="109" w:lineRule="exact"/>
        <w:rPr>
          <w:sz w:val="20"/>
          <w:szCs w:val="20"/>
          <w:color w:val="auto"/>
        </w:rPr>
      </w:pPr>
    </w:p>
    <w:p>
      <w:pPr>
        <w:ind w:left="1140" w:right="200" w:hanging="545"/>
        <w:spacing w:after="0" w:line="258"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deferring certain costs which primarily represent legal, accounting and other costs directly associated with this offering. As of December 31, 2024, $        million of these costs were recorded to “Other current assets,” and an additional $        million of capitalizable costs are expected to be incurred subsequent to December 31, 2024. Upon completion of this offering, these deferred costs will be charged against the proceeds from this offering with a corresponding reduction to additional paid-in capital.</w:t>
      </w:r>
    </w:p>
    <w:p>
      <w:pPr>
        <w:sectPr>
          <w:pgSz w:w="11900" w:h="16838" w:orient="portrait"/>
          <w:cols w:equalWidth="0" w:num="1">
            <w:col w:w="11000"/>
          </w:cols>
          <w:pgMar w:left="320" w:top="451" w:right="579" w:bottom="1440" w:gutter="0" w:footer="0" w:header="0"/>
        </w:sectPr>
      </w:pP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Represents the net primary proceeds of approximately $        million, based on an assumed initial public offering price of $        per share, which is the midpoint of the estimated offering price range set forth on the cover page of this prospectus, after deducting assumed underwriting discounts and commissions and estimated offering expenses. These amounts, as described in “Use of Proceeds” above, relate to payment of approximately $        million of assumed underwriting discounts and commissions and estimated offering expenses; and payment of approximately $        million to partially repay our Dollar Term Loan Facility, as described herein, and $        accrued interest.</w:t>
      </w:r>
    </w:p>
    <w:p>
      <w:pPr>
        <w:spacing w:after="0" w:line="90" w:lineRule="exact"/>
        <w:rPr>
          <w:sz w:val="20"/>
          <w:szCs w:val="20"/>
          <w:color w:val="auto"/>
        </w:rPr>
      </w:pPr>
    </w:p>
    <w:p>
      <w:pPr>
        <w:sectPr>
          <w:pgSz w:w="11900" w:h="16838" w:orient="portrait"/>
          <w:cols w:equalWidth="0" w:num="2">
            <w:col w:w="740" w:space="400"/>
            <w:col w:w="9860"/>
          </w:cols>
          <w:pgMar w:left="320" w:top="451" w:right="579" w:bottom="1440" w:gutter="0" w:footer="0" w:header="0"/>
          <w:type w:val="continuous"/>
        </w:sectPr>
      </w:pPr>
    </w:p>
    <w:p>
      <w:pPr>
        <w:ind w:left="1140" w:hanging="545"/>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is a reconciliation of the adjustments impacting additional paid-in-capital:</w:t>
      </w:r>
    </w:p>
    <w:p>
      <w:pPr>
        <w:spacing w:after="0" w:line="22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60" w:type="dxa"/>
            <w:vAlign w:val="bottom"/>
            <w:gridSpan w:val="3"/>
          </w:tcPr>
          <w:p>
            <w:pPr>
              <w:ind w:left="62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Note</w:t>
            </w:r>
          </w:p>
        </w:tc>
        <w:tc>
          <w:tcPr>
            <w:tcW w:w="0" w:type="dxa"/>
            <w:vAlign w:val="bottom"/>
          </w:tcPr>
          <w:p>
            <w:pPr>
              <w:spacing w:after="0"/>
              <w:rPr>
                <w:sz w:val="1"/>
                <w:szCs w:val="1"/>
                <w:color w:val="auto"/>
              </w:rPr>
            </w:pPr>
          </w:p>
        </w:tc>
      </w:tr>
      <w:tr>
        <w:trPr>
          <w:trHeight w:val="172"/>
        </w:trPr>
        <w:tc>
          <w:tcPr>
            <w:tcW w:w="67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from recognition of deferred tax asset and Tax Receivable Agreement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140" w:hanging="545"/>
        <w:spacing w:after="0"/>
        <w:tabs>
          <w:tab w:leader="none" w:pos="11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adjustments to additional paid-in-capital above in note (e), other accounts within shareholders’ equity, including retained</w:t>
      </w:r>
    </w:p>
    <w:p>
      <w:pPr>
        <w:spacing w:after="0" w:line="37" w:lineRule="exact"/>
        <w:rPr>
          <w:sz w:val="20"/>
          <w:szCs w:val="20"/>
          <w:color w:val="auto"/>
        </w:rPr>
      </w:pPr>
    </w:p>
    <w:p>
      <w:pPr>
        <w:ind w:left="1140" w:right="20"/>
        <w:spacing w:after="0" w:line="256" w:lineRule="auto"/>
        <w:rPr>
          <w:sz w:val="20"/>
          <w:szCs w:val="20"/>
          <w:color w:val="auto"/>
        </w:rPr>
      </w:pPr>
      <w:r>
        <w:rPr>
          <w:rFonts w:ascii="Times New Roman" w:cs="Times New Roman" w:eastAsia="Times New Roman" w:hAnsi="Times New Roman"/>
          <w:sz w:val="18"/>
          <w:szCs w:val="18"/>
          <w:color w:val="auto"/>
        </w:rPr>
        <w:t>earnings, are adjusted to reflect the approximately        % ownership interest held by the noncontrolling interests. The following table is a reconciliation of the adjustments impacting noncontrolling interest:</w:t>
      </w:r>
    </w:p>
    <w:p>
      <w:pPr>
        <w:spacing w:after="0" w:line="18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60" w:type="dxa"/>
            <w:vAlign w:val="bottom"/>
            <w:gridSpan w:val="3"/>
          </w:tcPr>
          <w:p>
            <w:pPr>
              <w:ind w:left="62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Note</w:t>
            </w:r>
          </w:p>
        </w:tc>
        <w:tc>
          <w:tcPr>
            <w:tcW w:w="0" w:type="dxa"/>
            <w:vAlign w:val="bottom"/>
          </w:tcPr>
          <w:p>
            <w:pPr>
              <w:spacing w:after="0"/>
              <w:rPr>
                <w:sz w:val="1"/>
                <w:szCs w:val="1"/>
                <w:color w:val="auto"/>
              </w:rPr>
            </w:pPr>
          </w:p>
        </w:tc>
      </w:tr>
      <w:tr>
        <w:trPr>
          <w:trHeight w:val="172"/>
        </w:trPr>
        <w:tc>
          <w:tcPr>
            <w:tcW w:w="67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from recognition of deferred tax asset and Tax Receivable Agreement</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jc w:val="right"/>
              <w:ind w:right="1951"/>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7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1" w:right="57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hanging="433"/>
        <w:spacing w:after="0"/>
        <w:tabs>
          <w:tab w:leader="none" w:pos="6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Consolidated Statement of Comprehensive Income</w:t>
      </w:r>
    </w:p>
    <w:p>
      <w:pPr>
        <w:spacing w:after="0" w:line="118" w:lineRule="exact"/>
        <w:rPr>
          <w:sz w:val="20"/>
          <w:szCs w:val="20"/>
          <w:color w:val="auto"/>
        </w:rPr>
      </w:pPr>
    </w:p>
    <w:p>
      <w:pPr>
        <w:ind w:left="160" w:right="420"/>
        <w:spacing w:after="0" w:line="278" w:lineRule="auto"/>
        <w:rPr>
          <w:sz w:val="20"/>
          <w:szCs w:val="20"/>
          <w:color w:val="auto"/>
        </w:rPr>
      </w:pPr>
      <w:r>
        <w:rPr>
          <w:rFonts w:ascii="Times New Roman" w:cs="Times New Roman" w:eastAsia="Times New Roman" w:hAnsi="Times New Roman"/>
          <w:sz w:val="18"/>
          <w:szCs w:val="18"/>
          <w:color w:val="auto"/>
        </w:rPr>
        <w:t>Transaction accounting adjustments include the following adjustments related to the unaudited pro forma consolidated statement of comprehensive income for the year ended December 31, 2024, as follows:</w:t>
      </w:r>
    </w:p>
    <w:p>
      <w:pPr>
        <w:spacing w:after="0" w:line="69" w:lineRule="exact"/>
        <w:rPr>
          <w:sz w:val="20"/>
          <w:szCs w:val="20"/>
          <w:color w:val="auto"/>
        </w:rPr>
      </w:pPr>
    </w:p>
    <w:p>
      <w:pPr>
        <w:ind w:left="1140" w:right="160" w:hanging="545"/>
        <w:spacing w:after="0" w:line="258"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transaction-related costs of approximately $        million in connection with the Offering Transactions that were not reflected in the historical consolidated statement of comprehensive income. These non-recurring transaction-related costs were not eligible for capitalization and are reflected as if incurred on January 1, 2024, the date the Offering Transactions occurred for purposes of the unaudited pro forma consolidated statement of comprehensive income.</w:t>
      </w:r>
    </w:p>
    <w:p>
      <w:pPr>
        <w:spacing w:after="0" w:line="86" w:lineRule="exact"/>
        <w:rPr>
          <w:rFonts w:ascii="Times New Roman" w:cs="Times New Roman" w:eastAsia="Times New Roman" w:hAnsi="Times New Roman"/>
          <w:sz w:val="18"/>
          <w:szCs w:val="18"/>
          <w:color w:val="auto"/>
        </w:rPr>
      </w:pPr>
    </w:p>
    <w:p>
      <w:pPr>
        <w:ind w:left="1140" w:right="440" w:hanging="545"/>
        <w:spacing w:after="0" w:line="278"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the compensation expense we expect to incur following the completion of this offering which relates to the following:</w:t>
      </w:r>
    </w:p>
    <w:p>
      <w:pPr>
        <w:spacing w:after="0" w:line="55" w:lineRule="exact"/>
        <w:rPr>
          <w:sz w:val="20"/>
          <w:szCs w:val="20"/>
          <w:color w:val="auto"/>
        </w:rPr>
      </w:pPr>
    </w:p>
    <w:p>
      <w:pPr>
        <w:ind w:left="1580" w:right="20"/>
        <w:spacing w:after="0" w:line="255" w:lineRule="auto"/>
        <w:rPr>
          <w:sz w:val="20"/>
          <w:szCs w:val="20"/>
          <w:color w:val="auto"/>
        </w:rPr>
      </w:pPr>
      <w:r>
        <w:rPr>
          <w:rFonts w:ascii="Times New Roman" w:cs="Times New Roman" w:eastAsia="Times New Roman" w:hAnsi="Times New Roman"/>
          <w:sz w:val="18"/>
          <w:szCs w:val="18"/>
          <w:color w:val="auto"/>
        </w:rPr>
        <w:t>the grant of       stock options and       RSUs to certain employees we expect to make in connection with this offering. This amount was calculated assuming the stock options and RSUs were granted on January 1, 2024 at an exercise price equal to       per share of our Class A common stock, based on an assumed initial public offering price of $        per share, the midpoint of the estimated price range set forth on the cover page of this prospectus. The grant date fair value of the stock options was determined using the Black-Scholes valuation model using the following assumptions:</w:t>
      </w:r>
    </w:p>
    <w:p>
      <w:pPr>
        <w:spacing w:after="0" w:line="229" w:lineRule="exact"/>
        <w:rPr>
          <w:sz w:val="20"/>
          <w:szCs w:val="20"/>
          <w:color w:val="auto"/>
        </w:rPr>
      </w:pPr>
    </w:p>
    <w:tbl>
      <w:tblPr>
        <w:tblLayout w:type="fixed"/>
        <w:tblInd w:w="1600" w:type="dxa"/>
        <w:tblCellMar>
          <w:top w:w="0" w:type="dxa"/>
          <w:left w:w="0" w:type="dxa"/>
          <w:bottom w:w="0" w:type="dxa"/>
          <w:right w:w="0" w:type="dxa"/>
        </w:tblCellMar>
      </w:tblPr>
      <w:tr>
        <w:trPr>
          <w:trHeight w:val="21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0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4"/>
                <w:szCs w:val="14"/>
                <w:color w:val="auto"/>
                <w:w w:val="79"/>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10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4"/>
                <w:szCs w:val="14"/>
                <w:color w:val="auto"/>
                <w:w w:val="79"/>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100" w:type="dxa"/>
            <w:vAlign w:val="bottom"/>
          </w:tcPr>
          <w:p>
            <w:pPr>
              <w:ind w:left="2940"/>
              <w:spacing w:after="0"/>
              <w:rPr>
                <w:sz w:val="20"/>
                <w:szCs w:val="20"/>
                <w:color w:val="auto"/>
              </w:rPr>
            </w:pPr>
            <w:r>
              <w:rPr>
                <w:rFonts w:ascii="Times New Roman" w:cs="Times New Roman" w:eastAsia="Times New Roman" w:hAnsi="Times New Roman"/>
                <w:sz w:val="14"/>
                <w:szCs w:val="14"/>
                <w:color w:val="auto"/>
                <w:w w:val="79"/>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080"/>
          </w:cols>
          <w:pgMar w:left="320" w:top="451" w:right="499" w:bottom="1440" w:gutter="0" w:footer="0" w:header="0"/>
        </w:sectPr>
      </w:pP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Times New Roman" w:cs="Times New Roman" w:eastAsia="Times New Roman" w:hAnsi="Times New Roman"/>
          <w:sz w:val="18"/>
          <w:szCs w:val="18"/>
          <w:color w:val="auto"/>
        </w:rPr>
        <w:t>Reflects the reduction in interest expense of $        million for the year ended December 31, 2024 as a result of the repayment of a portion of the outstanding indebtedness under our Dollar Term Loans Facility, as described herein, as if such repayment occurred on January 1, 2024.</w:t>
      </w:r>
    </w:p>
    <w:p>
      <w:pPr>
        <w:spacing w:after="0" w:line="82" w:lineRule="exact"/>
        <w:rPr>
          <w:sz w:val="20"/>
          <w:szCs w:val="20"/>
          <w:color w:val="auto"/>
        </w:rPr>
      </w:pPr>
    </w:p>
    <w:p>
      <w:pPr>
        <w:sectPr>
          <w:pgSz w:w="11900" w:h="16838" w:orient="portrait"/>
          <w:cols w:equalWidth="0" w:num="2">
            <w:col w:w="700" w:space="440"/>
            <w:col w:w="9940"/>
          </w:cols>
          <w:pgMar w:left="320" w:top="451" w:right="499" w:bottom="1440" w:gutter="0" w:footer="0" w:header="0"/>
          <w:type w:val="continuous"/>
        </w:sectPr>
      </w:pPr>
    </w:p>
    <w:p>
      <w:pPr>
        <w:ind w:left="1140" w:right="160" w:hanging="545"/>
        <w:spacing w:after="0" w:line="274" w:lineRule="auto"/>
        <w:tabs>
          <w:tab w:leader="none" w:pos="11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Reorganization Transactions, Medline Inc. will be subject to U.S. federal income taxes, in addition to state and local taxes, as a corporation on its share of Medline Holdings’ taxable income. As a result, the unaudited pro forma consolidated statement of</w:t>
      </w:r>
    </w:p>
    <w:p>
      <w:pPr>
        <w:ind w:left="1140" w:right="60"/>
        <w:spacing w:after="0" w:line="256" w:lineRule="auto"/>
        <w:rPr>
          <w:sz w:val="20"/>
          <w:szCs w:val="20"/>
          <w:color w:val="auto"/>
        </w:rPr>
      </w:pPr>
      <w:r>
        <w:rPr>
          <w:rFonts w:ascii="Times New Roman" w:cs="Times New Roman" w:eastAsia="Times New Roman" w:hAnsi="Times New Roman"/>
          <w:sz w:val="18"/>
          <w:szCs w:val="18"/>
          <w:color w:val="auto"/>
        </w:rPr>
        <w:t>comprehensive income reflects an adjustment to income tax expense to reflect an effective income tax rate of        % which includes a provision for United States federal income taxes and assumes the highest statutory rates apportioned to each state and local jurisdiction.</w:t>
      </w:r>
    </w:p>
    <w:p>
      <w:pPr>
        <w:spacing w:after="0" w:line="88" w:lineRule="exact"/>
        <w:rPr>
          <w:sz w:val="20"/>
          <w:szCs w:val="20"/>
          <w:color w:val="auto"/>
        </w:rPr>
      </w:pPr>
    </w:p>
    <w:p>
      <w:pPr>
        <w:ind w:left="1140" w:hanging="545"/>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“Organizational Structure,” upon completion of the Reorganization Transactions, Medline Inc. will become the sole</w:t>
      </w:r>
    </w:p>
    <w:p>
      <w:pPr>
        <w:spacing w:after="0" w:line="26" w:lineRule="exact"/>
        <w:rPr>
          <w:sz w:val="20"/>
          <w:szCs w:val="20"/>
          <w:color w:val="auto"/>
        </w:rPr>
      </w:pPr>
    </w:p>
    <w:p>
      <w:pPr>
        <w:ind w:left="1140" w:right="160"/>
        <w:spacing w:after="0" w:line="248" w:lineRule="auto"/>
        <w:rPr>
          <w:sz w:val="20"/>
          <w:szCs w:val="20"/>
          <w:color w:val="auto"/>
        </w:rPr>
      </w:pPr>
      <w:r>
        <w:rPr>
          <w:rFonts w:ascii="Times New Roman" w:cs="Times New Roman" w:eastAsia="Times New Roman" w:hAnsi="Times New Roman"/>
          <w:sz w:val="18"/>
          <w:szCs w:val="18"/>
          <w:color w:val="auto"/>
        </w:rPr>
        <w:t xml:space="preserve">general partner of Medline Holdings and its subsidiaries. As a result of this offering, Medline Inc. will directly or indirectly own approximately        % of the economic interest in Medline Holdings but will have 100% of the voting power and will control the management of Medline Holdings. Immediately following the completion of this offering, the ownership percentage held by noncontrolling interests will be approximately        %. Net earnings attributable to the noncontrolling interests will represent       </w:t>
      </w:r>
    </w:p>
    <w:p>
      <w:pPr>
        <w:jc w:val="both"/>
        <w:ind w:left="1140" w:right="380" w:hanging="10"/>
        <w:spacing w:after="0" w:line="262" w:lineRule="auto"/>
        <w:tabs>
          <w:tab w:leader="none" w:pos="133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net earnings before income taxes. These amounts have been determined based on an assumption that the underwriters’ option to purchase additional shares is not exercised. If the underwriters’ option to purchase additional shares is exercised in full, the ownership</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percentage held by the noncontrolling interest would decrease to            %.</w:t>
      </w:r>
    </w:p>
    <w:p>
      <w:pPr>
        <w:spacing w:after="0" w:line="109" w:lineRule="exact"/>
        <w:rPr>
          <w:sz w:val="20"/>
          <w:szCs w:val="20"/>
          <w:color w:val="auto"/>
        </w:rPr>
      </w:pPr>
    </w:p>
    <w:p>
      <w:pPr>
        <w:ind w:left="1140" w:hanging="545"/>
        <w:spacing w:after="0" w:line="255"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and diluted pro forma net income (loss) per share of Class A common stock represents pro forma net income (loss) attributable to Medline Inc. divided by the Class A common stock issued in the Reorganization Transactions and in this offering, which is assumed to be outstanding for the entirety of the period presented.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1" w:right="4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spacing w:after="0" w:line="263" w:lineRule="auto"/>
        <w:rPr>
          <w:sz w:val="20"/>
          <w:szCs w:val="20"/>
          <w:color w:val="auto"/>
        </w:rPr>
      </w:pPr>
      <w:r>
        <w:rPr>
          <w:rFonts w:ascii="Times New Roman" w:cs="Times New Roman" w:eastAsia="Times New Roman" w:hAnsi="Times New Roman"/>
          <w:sz w:val="18"/>
          <w:szCs w:val="18"/>
          <w:color w:val="auto"/>
        </w:rPr>
        <w:t>allocable to such class. Accordingly, basic and diluted earnings per share of Class B common stock has not been presented. The table below presents the computation of pro forma basic and dilutive net income (loss) per share for Medline Inc. (in thousands, except per share amounts):</w:t>
      </w:r>
    </w:p>
    <w:p>
      <w:pPr>
        <w:spacing w:after="0" w:line="19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color w:val="auto"/>
        </w:rPr>
        <w:t>Year Ended</w:t>
      </w:r>
    </w:p>
    <w:p>
      <w:pPr>
        <w:jc w:val="center"/>
        <w:ind w:left="8280"/>
        <w:spacing w:after="0" w:line="222" w:lineRule="auto"/>
        <w:rPr>
          <w:sz w:val="20"/>
          <w:szCs w:val="20"/>
          <w:color w:val="auto"/>
        </w:rPr>
      </w:pPr>
      <w:r>
        <w:rPr>
          <w:rFonts w:ascii="Times New Roman" w:cs="Times New Roman" w:eastAsia="Times New Roman" w:hAnsi="Times New Roman"/>
          <w:sz w:val="14"/>
          <w:szCs w:val="14"/>
          <w:color w:val="auto"/>
        </w:rPr>
        <w:t>December 31,</w:t>
      </w:r>
    </w:p>
    <w:p>
      <w:pPr>
        <w:jc w:val="center"/>
        <w:ind w:left="8280"/>
        <w:spacing w:after="0" w:line="232" w:lineRule="auto"/>
        <w:rPr>
          <w:sz w:val="20"/>
          <w:szCs w:val="20"/>
          <w:color w:val="auto"/>
        </w:rPr>
      </w:pPr>
      <w:r>
        <w:rPr>
          <w:rFonts w:ascii="Times New Roman" w:cs="Times New Roman" w:eastAsia="Times New Roman" w:hAnsi="Times New Roman"/>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-635</wp:posOffset>
            </wp:positionV>
            <wp:extent cx="5817235" cy="13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3810</wp:posOffset>
            </wp:positionV>
            <wp:extent cx="5817235" cy="135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Net income attributable to Medline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3810</wp:posOffset>
            </wp:positionV>
            <wp:extent cx="5817235" cy="135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Incremental common shares attributable to dilutive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3810</wp:posOffset>
            </wp:positionV>
            <wp:extent cx="5817235" cy="135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ind w:left="1040"/>
        <w:spacing w:after="0" w:line="185" w:lineRule="auto"/>
        <w:rPr>
          <w:sz w:val="20"/>
          <w:szCs w:val="20"/>
          <w:color w:val="auto"/>
        </w:rPr>
      </w:pPr>
      <w:r>
        <w:rPr>
          <w:rFonts w:ascii="Times New Roman" w:cs="Times New Roman" w:eastAsia="Times New Roman" w:hAnsi="Times New Roman"/>
          <w:sz w:val="17"/>
          <w:szCs w:val="17"/>
          <w:color w:val="auto"/>
        </w:rPr>
        <w:t>Assumed conversion of Common Units to shares of Class A common stock</w:t>
      </w:r>
      <w:r>
        <w:rPr>
          <w:rFonts w:ascii="Times New Roman" w:cs="Times New Roman" w:eastAsia="Times New Roman" w:hAnsi="Times New Roman"/>
          <w:sz w:val="25"/>
          <w:szCs w:val="25"/>
          <w:color w:val="auto"/>
          <w:vertAlign w:val="superscript"/>
        </w:rPr>
        <w:t>(1)</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3175</wp:posOffset>
            </wp:positionV>
            <wp:extent cx="5817235" cy="135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(Diluted)</w:t>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Pro Forma Basic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3810</wp:posOffset>
            </wp:positionV>
            <wp:extent cx="5817235" cy="135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17235" cy="135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color w:val="auto"/>
        </w:rPr>
        <w:t>Pro Forma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88900</wp:posOffset>
            </wp:positionV>
            <wp:extent cx="7645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1" w:lineRule="exact"/>
        <w:rPr>
          <w:sz w:val="20"/>
          <w:szCs w:val="20"/>
          <w:color w:val="auto"/>
        </w:rPr>
      </w:pPr>
    </w:p>
    <w:p>
      <w:pPr>
        <w:ind w:left="1460" w:right="240" w:hanging="316"/>
        <w:spacing w:after="0" w:line="238" w:lineRule="auto"/>
        <w:tabs>
          <w:tab w:leader="none" w:pos="14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noncontrolling interest owners, which we refer to as Continuing Unitholders, have exchange rights which enable the noncontrolling interest owners to exchange Common Units for shares of Class A common stock on a one for one basis. The noncontrolling interest owners exchange rights cause the Common Units to be considered dilutive shares for purposes of dilutive income (loss) per share calculations.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1"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3"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results of operations and financial condition in conjunction with the “Unaudited Pro Forma Consolidated Financial Information” and the consolidated financial statements and related notes thereto included elsewhere in this prospectus. In addition to historical consolidated financial information, the following discussion contains forward-looking statements and involves numerous risks and uncertainties, including, but not limited to, those described in the “Risk Factors” section of this prospectus. Actual results may differ materially from those contained in any forward-looking statements. Unless the context otherwise requires, references in this section to “Medline,” “we,” “our,” “us,” and the “Company” refer to Medline Holdings, LP and its consolidated subsidiaries.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the largest provider of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 ended December 31, 2024, our financial results were as follows:</w:t>
      </w:r>
    </w:p>
    <w:p>
      <w:pPr>
        <w:spacing w:after="0" w:line="127" w:lineRule="exact"/>
        <w:rPr>
          <w:sz w:val="20"/>
          <w:szCs w:val="20"/>
          <w:color w:val="auto"/>
        </w:rPr>
      </w:pPr>
    </w:p>
    <w:p>
      <w:pPr>
        <w:ind w:left="1140" w:right="500" w:hanging="438"/>
        <w:spacing w:after="0" w:line="278"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net sales of $25.5 billion, net income of $1.2 billion, and Adjusted EBITDA of $3.4 billion, representing a net income margin of 4.7% and an Adjusted EBITDA Margin of 13.2%.</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period, 49.1% of total net sales and 83.5% of Segment Adjusted EBITDA were generated from our Medline Brand segment, while 50.9% of total net sales and 16.5% of Segment Adjusted EBITDA were generated from Supply Chain Solutions.</w:t>
      </w:r>
    </w:p>
    <w:p>
      <w:pPr>
        <w:spacing w:after="0" w:line="162"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For a reconciliation of Adjusted EBITDA and Adjusted EBITDA Margin to the most directly comparable United States generally accepted accounting principles (“GAAP”) financial measures, information about why we consider Adjusted EBITDA and Adjusted EBITDA Margin useful, and a discussion of the material risks and limitations of these measures, see “—Non-GAAP Financial Information.”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18" w:lineRule="exact"/>
        <w:rPr>
          <w:sz w:val="20"/>
          <w:szCs w:val="20"/>
          <w:color w:val="auto"/>
        </w:rPr>
      </w:pPr>
    </w:p>
    <w:p>
      <w:pPr>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We operate under two reportable segments, Medline Brand and Supply Chain Solutions. During the year ended December 31, 2024, Medline Brand segment net sales and Segment Adjusted EBITDA were $12.5 billion and $3.3 billion, respectively, while Supply Chain Solutions segment net sales and Segment Adjusted EBITDA were $13.0 billion and $0.6 billion, respectively.</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18" w:lineRule="exact"/>
        <w:rPr>
          <w:sz w:val="20"/>
          <w:szCs w:val="20"/>
          <w:color w:val="auto"/>
        </w:rPr>
      </w:pPr>
    </w:p>
    <w:p>
      <w:pPr>
        <w:jc w:val="both"/>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We offer our customers approximately 190,000 med-surg products through our Medline Brand segment. We produce approximately one-third of these products, which are primarily Class I and II medical devices, through our 33 manufacturing facilities. We focus our manufacturing capabilities on products where we can leverage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1"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20"/>
        <w:spacing w:after="0" w:line="263" w:lineRule="auto"/>
        <w:rPr>
          <w:sz w:val="20"/>
          <w:szCs w:val="20"/>
          <w:color w:val="auto"/>
        </w:rPr>
      </w:pPr>
      <w:r>
        <w:rPr>
          <w:rFonts w:ascii="Times New Roman" w:cs="Times New Roman" w:eastAsia="Times New Roman" w:hAnsi="Times New Roman"/>
          <w:sz w:val="18"/>
          <w:szCs w:val="18"/>
          <w:color w:val="auto"/>
        </w:rPr>
        <w:t>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 approximately 300 of these relationships being exclusive to us.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three Medline Brand segment product categories are as follows:</w:t>
      </w:r>
    </w:p>
    <w:p>
      <w:pPr>
        <w:spacing w:after="0" w:line="125" w:lineRule="exact"/>
        <w:rPr>
          <w:sz w:val="20"/>
          <w:szCs w:val="20"/>
          <w:color w:val="auto"/>
        </w:rPr>
      </w:pPr>
    </w:p>
    <w:p>
      <w:pPr>
        <w:ind w:left="1140" w:right="60" w:hanging="438"/>
        <w:spacing w:after="0" w:line="264"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Front Line Care </w:t>
      </w:r>
      <w:r>
        <w:rPr>
          <w:rFonts w:ascii="Times New Roman" w:cs="Times New Roman" w:eastAsia="Times New Roman" w:hAnsi="Times New Roman"/>
          <w:sz w:val="18"/>
          <w:szCs w:val="18"/>
          <w:color w:val="auto"/>
        </w:rPr>
        <w:t>offers mission-critical med-surg products for patient-facing needs, including wound care products, exam gloves, skin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incontinence products, environment cleaning supplies, textiles, hand sanitizer, durable medical equipment, patient plastics, and decolonization and infection control products.</w:t>
      </w:r>
    </w:p>
    <w:p>
      <w:pPr>
        <w:spacing w:after="0" w:line="79" w:lineRule="exact"/>
        <w:rPr>
          <w:rFonts w:ascii="Times New Roman" w:cs="Times New Roman" w:eastAsia="Times New Roman" w:hAnsi="Times New Roman"/>
          <w:sz w:val="18"/>
          <w:szCs w:val="18"/>
          <w:color w:val="auto"/>
        </w:rPr>
      </w:pPr>
    </w:p>
    <w:p>
      <w:pPr>
        <w:ind w:left="1140" w:right="160" w:hanging="438"/>
        <w:spacing w:after="0" w:line="311" w:lineRule="auto"/>
        <w:tabs>
          <w:tab w:leader="none" w:pos="11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Surgical Solutions </w:t>
      </w:r>
      <w:r>
        <w:rPr>
          <w:rFonts w:ascii="Times New Roman" w:cs="Times New Roman" w:eastAsia="Times New Roman" w:hAnsi="Times New Roman"/>
          <w:sz w:val="17"/>
          <w:szCs w:val="17"/>
          <w:color w:val="auto"/>
        </w:rPr>
        <w:t>offers operating room and perioperative environment product solutions, including surgical procedure trays, drapes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gowns, personal protective equipment, sterile wraps, surgical instruments, surgeon’s gloves, procedure kits, and orthopedic implants.</w:t>
      </w:r>
    </w:p>
    <w:p>
      <w:pPr>
        <w:spacing w:after="0" w:line="41" w:lineRule="exact"/>
        <w:rPr>
          <w:rFonts w:ascii="Times New Roman" w:cs="Times New Roman" w:eastAsia="Times New Roman" w:hAnsi="Times New Roman"/>
          <w:sz w:val="17"/>
          <w:szCs w:val="17"/>
          <w:color w:val="auto"/>
        </w:rPr>
      </w:pPr>
    </w:p>
    <w:p>
      <w:pPr>
        <w:ind w:left="1140" w:right="300" w:hanging="438"/>
        <w:spacing w:after="0" w:line="264"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Laboratory and Diagnostics </w:t>
      </w:r>
      <w:r>
        <w:rPr>
          <w:rFonts w:ascii="Times New Roman" w:cs="Times New Roman" w:eastAsia="Times New Roman" w:hAnsi="Times New Roman"/>
          <w:sz w:val="18"/>
          <w:szCs w:val="18"/>
          <w:color w:val="auto"/>
        </w:rPr>
        <w:t>offers a full range of laboratory and diagnostic product solutions, including point of care testing, analyzers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instrumentation, lab and diagnostic consumables, diagnostic instruments, vital signs monitors, and anatomic pathology and phlebotomy products.</w:t>
      </w:r>
    </w:p>
    <w:p>
      <w:pPr>
        <w:spacing w:after="0" w:line="175"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We are highly diversified across Medline Brand products and categories, with no significant concentration in any one product. This is a result of our track record of successfully bringing new products to market, with more than 2,100 granted patents and more than 400 FDA 510(k) clearances. The continuous innovation of our product portfolio allows us to support the vast majority of a customer’s med-surg product needs.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18" w:lineRule="exact"/>
        <w:rPr>
          <w:sz w:val="20"/>
          <w:szCs w:val="20"/>
          <w:color w:val="auto"/>
        </w:rPr>
      </w:pPr>
    </w:p>
    <w:p>
      <w:pPr>
        <w:ind w:left="160" w:right="180" w:firstLine="436"/>
        <w:spacing w:after="0" w:line="271" w:lineRule="auto"/>
        <w:rPr>
          <w:sz w:val="20"/>
          <w:szCs w:val="20"/>
          <w:color w:val="auto"/>
        </w:rPr>
      </w:pPr>
      <w:r>
        <w:rPr>
          <w:rFonts w:ascii="Times New Roman" w:cs="Times New Roman" w:eastAsia="Times New Roman" w:hAnsi="Times New Roman"/>
          <w:sz w:val="17"/>
          <w:szCs w:val="17"/>
          <w:color w:val="auto"/>
        </w:rPr>
        <w:t>We offer approximately 145,000 med-surg products from over 1,250 third-party suppliers, including nearly all leading national brands, through our Supply Chain Solutions segment. As a scaled service provider that sells and delivers to the entire continuum of care, Medline is a highly desirable partner to these brands. We also provide our customers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third-party suppliers are primarily responsible for costs related to import and inbound freight, whereas we are primarily responsible for costs related to outbound freight from our distribution centers.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Distribution Network</w:t>
      </w:r>
    </w:p>
    <w:p>
      <w:pPr>
        <w:spacing w:after="0" w:line="118" w:lineRule="exact"/>
        <w:rPr>
          <w:sz w:val="20"/>
          <w:szCs w:val="20"/>
          <w:color w:val="auto"/>
        </w:rPr>
      </w:pPr>
    </w:p>
    <w:p>
      <w:pPr>
        <w:ind w:left="160" w:firstLine="436"/>
        <w:spacing w:after="0" w:line="267" w:lineRule="auto"/>
        <w:rPr>
          <w:sz w:val="20"/>
          <w:szCs w:val="20"/>
          <w:color w:val="auto"/>
        </w:rPr>
      </w:pPr>
      <w:r>
        <w:rPr>
          <w:rFonts w:ascii="Times New Roman" w:cs="Times New Roman" w:eastAsia="Times New Roman" w:hAnsi="Times New Roman"/>
          <w:sz w:val="17"/>
          <w:szCs w:val="17"/>
          <w:color w:val="auto"/>
        </w:rPr>
        <w:t>We have a differentiated network of 69 global distribution centers, 45 of which are in the United States. Our 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by which customers can place orders for delivery within a desired date, expand our product offering, and better service our expanding customer base. We also operate our own fleet of more than 2,000 MedTrans trucks that deliver our products across care settings within the United States. Our $4.5 billion of global on-hand inventory as of December 31, 2024, coupled with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We currently have approximately 25% in excess capacity across our platform to support our long-term growth.</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1"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Commercial Platform</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Our deep connectivity to our customers is driven by the strength of our dedicated and tenured commercial team. 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which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 Our differentiated, customer-focused culture and salesforce empowerment have driven a strong U.S. salesforce retention rate of greater than 85% in 2024.</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Factors and Trends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Aging Population and Increased Healthcare Utilization</w:t>
      </w:r>
    </w:p>
    <w:p>
      <w:pPr>
        <w:spacing w:after="0" w:line="118" w:lineRule="exact"/>
        <w:rPr>
          <w:sz w:val="20"/>
          <w:szCs w:val="20"/>
          <w:color w:val="auto"/>
        </w:rPr>
      </w:pPr>
    </w:p>
    <w:p>
      <w:pPr>
        <w:ind w:left="160" w:right="100" w:firstLine="436"/>
        <w:spacing w:after="0" w:line="274" w:lineRule="auto"/>
        <w:rPr>
          <w:sz w:val="20"/>
          <w:szCs w:val="20"/>
          <w:color w:val="auto"/>
        </w:rPr>
      </w:pPr>
      <w:r>
        <w:rPr>
          <w:rFonts w:ascii="Times New Roman" w:cs="Times New Roman" w:eastAsia="Times New Roman" w:hAnsi="Times New Roman"/>
          <w:sz w:val="17"/>
          <w:szCs w:val="17"/>
          <w:color w:val="auto"/>
        </w:rPr>
        <w:t>Secular tailwinds, including an aging population and the growing prevalence of chronic conditions, which are expected to drive elevated volumes and increased health expenditures over the long term. The number of Americans aged 65 and older is projected to increase by 47% from 2022 to 2050, and today approximately 60% of Americans have at least one chronic disease, with approximately 40% having two or more. Due to these factors, national health expenditures are projected to outpace GDP growth, with an annual growth rate of 5.6% from 2023 to 2032, according to CMS. We will continue to serve our customer base as their underlying patient volumes increase and the demand for our med-surg products grows over time.</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End Market Dynamics Including Shifting Sites of Care and Consolidation</w:t>
      </w:r>
    </w:p>
    <w:p>
      <w:pPr>
        <w:spacing w:after="0" w:line="118" w:lineRule="exact"/>
        <w:rPr>
          <w:sz w:val="20"/>
          <w:szCs w:val="20"/>
          <w:color w:val="auto"/>
        </w:rPr>
      </w:pPr>
    </w:p>
    <w:p>
      <w:pPr>
        <w:ind w:left="160" w:right="180" w:firstLine="436"/>
        <w:spacing w:after="0" w:line="274" w:lineRule="auto"/>
        <w:rPr>
          <w:sz w:val="20"/>
          <w:szCs w:val="20"/>
          <w:color w:val="auto"/>
        </w:rPr>
      </w:pPr>
      <w:r>
        <w:rPr>
          <w:rFonts w:ascii="Times New Roman" w:cs="Times New Roman" w:eastAsia="Times New Roman" w:hAnsi="Times New Roman"/>
          <w:sz w:val="17"/>
          <w:szCs w:val="17"/>
          <w:color w:val="auto"/>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Prime Vendor Growth</w:t>
      </w:r>
    </w:p>
    <w:p>
      <w:pPr>
        <w:spacing w:after="0" w:line="118"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Our historical track record of earning new Prime Vendor customers has been a key driver of sustained growth and share gains for Medline. As Prime Vendor, we can deliver significant cost savings to our customers. Our scale allows us to consistently deliver lower prices and better service levels on Medline Brand products relative to third-party alternatives, while also lowering the distribution cost for delivery of the full range of med-surg products. This often motivates customers to purchase more Medline Brand products over time.</w:t>
      </w:r>
    </w:p>
    <w:p>
      <w:pPr>
        <w:spacing w:after="0" w:line="180"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For example, in the acute care sector, at the beginning of a Prime Vendor relationship, Medline Brand products typically represent approximately 10% of a customer’s product mix but has the potential to reach approximately 60% Medline Brand over time. Based on our historical experience when offering new products, we expect this like-for-like product conversion opportunity to grow as we expand our product portfolio, either through new product development or acquisitions.</w:t>
      </w:r>
    </w:p>
    <w:p>
      <w:pPr>
        <w:spacing w:after="0" w:line="180"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80"/>
          </w:cols>
          <w:pgMar w:left="320" w:top="451"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Non-Prime Vendor Growth</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customer base includes those who purchase products through us but with whom we do not currently have a Prime Vendor relationship. We expect Medline Brand net sales to non-Prime Vendor customers to continue to grow as we deepen our relationships with these customers and expand our Medline Brand product portfolio. Furthermore, as these customers recognize the value proposition of Medline Brand and distribution network, we will have the opportunity to earn Prime Vendor agreements from them.</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 Growth</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ability to sell Medline Brand products has impacted and will continue to impact our financial performance. These products represent approximately 50% of our net sales today, or $12.5 billion for the fiscal year ending December 31, 2024. The product categories that comprise our Medline Brand offerings represent a $75 billion U.S. market opportunity, resulting in meaningful whitespace for future growth relative to our current net sales volume.</w:t>
      </w:r>
    </w:p>
    <w:p>
      <w:pPr>
        <w:spacing w:after="0" w:line="180"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We sell these Medline Brand products to both our Prime Vendor and non-Prime Vendor customers.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Product Launches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Our approach to product development is shaped by a long history of actively gathering and incorporating customer feedback. Over the years, we have refined our ability to identify underlying needs and challenges faced by our customers. By carefully examining customer pain points, our teams are encouraged to respond with well-informed product innovations that address these issues directly and effectively.</w:t>
      </w:r>
    </w:p>
    <w:p>
      <w:pPr>
        <w:spacing w:after="0" w:line="175" w:lineRule="exact"/>
        <w:rPr>
          <w:sz w:val="20"/>
          <w:szCs w:val="20"/>
          <w:color w:val="auto"/>
        </w:rPr>
      </w:pPr>
    </w:p>
    <w:p>
      <w:pPr>
        <w:jc w:val="both"/>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Our innovation process involves close collaboration across multiple parts of our organization. Medline product teams work with our salesforce and regulatory experts to translate the insights gained from customer experiences into new Medline Brand products. This integrated approach ensures that we introduce high-quality products that meet recognized needs.</w:t>
      </w:r>
    </w:p>
    <w:p>
      <w:pPr>
        <w:spacing w:after="0" w:line="175"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Our scaled go-to-market strategy and entrepreneurial culture allows us to quickly introduce new products across our customer base, increasing the likelihood of commercial success. By continually applying this model, we aim to maintain our role as a dependable partner and resource for our customers, supporting them with innovative solutions as their needs evolve.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60"/>
          </w:cols>
          <w:pgMar w:left="320" w:top="451" w:right="5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M&amp;A</w:t>
      </w:r>
    </w:p>
    <w:p>
      <w:pPr>
        <w:spacing w:after="0" w:line="118"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Our disciplined, global M&amp;A strategy is focused on pursuing adjacent products and services as well as expanding 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recent notable acquisitions include:</w:t>
      </w:r>
    </w:p>
    <w:p>
      <w:pPr>
        <w:spacing w:after="0" w:line="127" w:lineRule="exact"/>
        <w:rPr>
          <w:sz w:val="20"/>
          <w:szCs w:val="20"/>
          <w:color w:val="auto"/>
        </w:rPr>
      </w:pPr>
    </w:p>
    <w:p>
      <w:pPr>
        <w:ind w:left="1140" w:right="100" w:hanging="438"/>
        <w:spacing w:after="0" w:line="285" w:lineRule="auto"/>
        <w:tabs>
          <w:tab w:leader="none" w:pos="11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 2024, we acquired the global surgical solutions business of Ecolab, Inc., including industry-leading Microtek product lines (“Microtek”). The acquisition provides us with innovative sterile drape solutions for surgeons, patients, and operating room equipment, as well as Ecolab’s fluid temperature management system. The purchase price for the acquisition was approximately $911 million.</w:t>
      </w:r>
    </w:p>
    <w:p>
      <w:pPr>
        <w:spacing w:after="0" w:line="65" w:lineRule="exact"/>
        <w:rPr>
          <w:rFonts w:ascii="Times New Roman" w:cs="Times New Roman" w:eastAsia="Times New Roman" w:hAnsi="Times New Roman"/>
          <w:sz w:val="17"/>
          <w:szCs w:val="17"/>
          <w:color w:val="auto"/>
        </w:rPr>
      </w:pPr>
    </w:p>
    <w:p>
      <w:pPr>
        <w:ind w:left="1140" w:right="40" w:hanging="438"/>
        <w:spacing w:after="0" w:line="258"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2024, we acquired 100% of the shares of Sinclair Dental Co. Ltd for approximately $195 million. Sinclair Dental Co. Ltd was the largest independent distributor of dental supplies and equipment in Canada. Their dental products, including patented ones, will diversify our portfolio in Canada and are expected to earn us new customers. The addition of their distribution centers will also expand our footprint in Canada.</w:t>
      </w:r>
    </w:p>
    <w:p>
      <w:pPr>
        <w:spacing w:after="0" w:line="180"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As industry consolidation continues, we believe we are well-positioned to capitalize on this trend to continue to grow and gain share in this global market. See “Risk Factors—Risks Related to Our Business, Industry and Operations—We may be unable to derive fully the anticipated benefits from our existing or future acquisitions, joint ventures, investments, dispositions, or other strategic transactions.”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Trade Relations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In 2018, the previous Trump administration raised tariffs on a range of products from China, including some medical products. While a number of Medline Brand products contract manufactured in China experienced increased costs, we were able to utilize our scale to deploy a set of strategic actions to mitigate the impacts on our results. In turn, we shared a portion of these savings with our customers by maintaining competitive pricing on the affected products. These strategic actions included the following:</w:t>
      </w:r>
    </w:p>
    <w:p>
      <w:pPr>
        <w:spacing w:after="0" w:line="84" w:lineRule="exact"/>
        <w:rPr>
          <w:sz w:val="20"/>
          <w:szCs w:val="20"/>
          <w:color w:val="auto"/>
        </w:rPr>
      </w:pPr>
    </w:p>
    <w:p>
      <w:pPr>
        <w:ind w:left="1140" w:right="140" w:hanging="438"/>
        <w:spacing w:after="0" w:line="258"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Shifted Production Across Our Globally Diversified Network of Sourcing Partners: </w:t>
      </w:r>
      <w:r>
        <w:rPr>
          <w:rFonts w:ascii="Times New Roman" w:cs="Times New Roman" w:eastAsia="Times New Roman" w:hAnsi="Times New Roman"/>
          <w:sz w:val="18"/>
          <w:szCs w:val="18"/>
          <w:color w:val="auto"/>
        </w:rPr>
        <w:t>Our global network of more than 500 global sourcing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across a diversified set of approximately 40 countries enabled us to strategically shift which country our Medline Brand products are sourced from, and allowed us to manage costs while simultaneously maintaining the high quality our customers expect from our products;</w:t>
      </w:r>
    </w:p>
    <w:p>
      <w:pPr>
        <w:spacing w:after="0" w:line="86" w:lineRule="exact"/>
        <w:rPr>
          <w:rFonts w:ascii="Times New Roman" w:cs="Times New Roman" w:eastAsia="Times New Roman" w:hAnsi="Times New Roman"/>
          <w:sz w:val="18"/>
          <w:szCs w:val="18"/>
          <w:color w:val="auto"/>
        </w:rPr>
      </w:pPr>
    </w:p>
    <w:p>
      <w:pPr>
        <w:ind w:left="1140" w:right="60" w:hanging="438"/>
        <w:spacing w:after="0" w:line="280"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Procured More Cost-Competitive Raw Materials: </w:t>
      </w:r>
      <w:r>
        <w:rPr>
          <w:rFonts w:ascii="Times New Roman" w:cs="Times New Roman" w:eastAsia="Times New Roman" w:hAnsi="Times New Roman"/>
          <w:sz w:val="18"/>
          <w:szCs w:val="18"/>
          <w:color w:val="auto"/>
        </w:rPr>
        <w:t>We focused on securing more cost-competitive raw materials, leveraging global supplier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tactical negotiating strategies to contain expenses without compromising quality;</w:t>
      </w:r>
    </w:p>
    <w:p>
      <w:pPr>
        <w:spacing w:after="0" w:line="65" w:lineRule="exact"/>
        <w:rPr>
          <w:rFonts w:ascii="Times New Roman" w:cs="Times New Roman" w:eastAsia="Times New Roman" w:hAnsi="Times New Roman"/>
          <w:sz w:val="18"/>
          <w:szCs w:val="18"/>
          <w:color w:val="auto"/>
        </w:rPr>
      </w:pPr>
    </w:p>
    <w:p>
      <w:pPr>
        <w:ind w:left="1140" w:right="640" w:hanging="438"/>
        <w:spacing w:after="0" w:line="280"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Optimized Production Processes: </w:t>
      </w:r>
      <w:r>
        <w:rPr>
          <w:rFonts w:ascii="Times New Roman" w:cs="Times New Roman" w:eastAsia="Times New Roman" w:hAnsi="Times New Roman"/>
          <w:sz w:val="18"/>
          <w:szCs w:val="18"/>
          <w:color w:val="auto"/>
        </w:rPr>
        <w:t>We implemented process improvements and enhanced existing automation capabilities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inefficiencies in our manufacturing facilities, driving sustainable cost savings; and</w:t>
      </w:r>
    </w:p>
    <w:p>
      <w:pPr>
        <w:spacing w:after="0" w:line="65"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Policymaker Engagement: </w:t>
      </w:r>
      <w:r>
        <w:rPr>
          <w:rFonts w:ascii="Times New Roman" w:cs="Times New Roman" w:eastAsia="Times New Roman" w:hAnsi="Times New Roman"/>
          <w:sz w:val="17"/>
          <w:szCs w:val="17"/>
          <w:color w:val="auto"/>
        </w:rPr>
        <w:t>We engaged with external policy and advocacy partners on the need to produce and supply med-surg products.</w:t>
      </w:r>
    </w:p>
    <w:p>
      <w:pPr>
        <w:spacing w:after="0" w:line="138" w:lineRule="exact"/>
        <w:rPr>
          <w:rFonts w:ascii="Times New Roman" w:cs="Times New Roman" w:eastAsia="Times New Roman" w:hAnsi="Times New Roman"/>
          <w:sz w:val="17"/>
          <w:szCs w:val="17"/>
          <w:color w:val="auto"/>
        </w:rPr>
      </w:pPr>
    </w:p>
    <w:p>
      <w:pPr>
        <w:ind w:left="1140" w:right="180" w:hanging="438"/>
        <w:spacing w:after="0" w:line="280"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Adjustments: </w:t>
      </w:r>
      <w:r>
        <w:rPr>
          <w:rFonts w:ascii="Times New Roman" w:cs="Times New Roman" w:eastAsia="Times New Roman" w:hAnsi="Times New Roman"/>
          <w:sz w:val="18"/>
          <w:szCs w:val="18"/>
          <w:color w:val="auto"/>
        </w:rPr>
        <w:t>For products where we were unable to offset these cost pressures, we enacted selective price increases, enabling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continued investment in the capabilities essential to enhance our customer value proposition.</w:t>
      </w:r>
    </w:p>
    <w:p>
      <w:pPr>
        <w:spacing w:after="0" w:line="161"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President Trump has proposed and implemented tariffs on products manufactured in China, Canada, and Mexico. Although the exact nature and extent of such tariffs has not been determined, including retaliatory trade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80"/>
          </w:cols>
          <w:pgMar w:left="320" w:top="451"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spacing w:after="0" w:line="278" w:lineRule="auto"/>
        <w:rPr>
          <w:sz w:val="20"/>
          <w:szCs w:val="20"/>
          <w:color w:val="auto"/>
        </w:rPr>
      </w:pPr>
      <w:r>
        <w:rPr>
          <w:rFonts w:ascii="Times New Roman" w:cs="Times New Roman" w:eastAsia="Times New Roman" w:hAnsi="Times New Roman"/>
          <w:sz w:val="18"/>
          <w:szCs w:val="18"/>
          <w:color w:val="auto"/>
        </w:rPr>
        <w:t>measures against the United States, we intend to mitigate the impact of any incremental tariffs through the combination of our domestic manufacturing capabilities and our proven ability to execute on strategic actions similar to those mentioned above.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 and Inflationary Pressures</w:t>
      </w:r>
    </w:p>
    <w:p>
      <w:pPr>
        <w:spacing w:after="0" w:line="118" w:lineRule="exact"/>
        <w:rPr>
          <w:sz w:val="20"/>
          <w:szCs w:val="20"/>
          <w:color w:val="auto"/>
        </w:rPr>
      </w:pPr>
    </w:p>
    <w:p>
      <w:pPr>
        <w:ind w:left="160" w:right="40" w:firstLine="436"/>
        <w:spacing w:after="0" w:line="277" w:lineRule="auto"/>
        <w:rPr>
          <w:sz w:val="20"/>
          <w:szCs w:val="20"/>
          <w:color w:val="auto"/>
        </w:rPr>
      </w:pPr>
      <w:r>
        <w:rPr>
          <w:rFonts w:ascii="Times New Roman" w:cs="Times New Roman" w:eastAsia="Times New Roman" w:hAnsi="Times New Roman"/>
          <w:sz w:val="17"/>
          <w:szCs w:val="17"/>
          <w:color w:val="auto"/>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w:t>
      </w:r>
    </w:p>
    <w:p>
      <w:pPr>
        <w:spacing w:after="0" w:line="167"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This was evidenced during the COVID-19 pandemic, which caused widespread supply chain disruption and heightened demand for essential med-surg products in the United States. During this period, we experienced elevated inflationary pressures associated with inbound freight, fuel, and labor costs, in particular. Our globally diversified sourcing partnerships, robust domestic manufacturing footprint, and owned distribution network allowed us to provide reliable product availability and maintain competitive pricing, resulting in uninterrupted net sales growth.</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8" w:lineRule="exact"/>
        <w:rPr>
          <w:sz w:val="20"/>
          <w:szCs w:val="20"/>
          <w:color w:val="auto"/>
        </w:rPr>
      </w:pPr>
    </w:p>
    <w:p>
      <w:pPr>
        <w:jc w:val="center"/>
        <w:ind w:left="480"/>
        <w:spacing w:after="0" w:line="308" w:lineRule="auto"/>
        <w:rPr>
          <w:sz w:val="20"/>
          <w:szCs w:val="20"/>
          <w:color w:val="auto"/>
        </w:rPr>
      </w:pPr>
      <w:r>
        <w:rPr>
          <w:rFonts w:ascii="Times New Roman" w:cs="Times New Roman" w:eastAsia="Times New Roman" w:hAnsi="Times New Roman"/>
          <w:sz w:val="17"/>
          <w:szCs w:val="17"/>
          <w:color w:val="auto"/>
        </w:rPr>
        <w:t>Seasonal factors inherent in our business change the demand for products, including illness or disease patterns, the timing of elective medical procedures, and customer spending patterns. Historically, we have experienced higher net sales in the fourth quarter as a result of certain of these factors.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18" w:lineRule="exact"/>
        <w:rPr>
          <w:sz w:val="20"/>
          <w:szCs w:val="20"/>
          <w:color w:val="auto"/>
        </w:rPr>
      </w:pPr>
    </w:p>
    <w:p>
      <w:pPr>
        <w:ind w:left="160" w:right="20" w:firstLine="436"/>
        <w:spacing w:after="0" w:line="267" w:lineRule="auto"/>
        <w:rPr>
          <w:sz w:val="20"/>
          <w:szCs w:val="20"/>
          <w:color w:val="auto"/>
        </w:rPr>
      </w:pPr>
      <w:r>
        <w:rPr>
          <w:rFonts w:ascii="Times New Roman" w:cs="Times New Roman" w:eastAsia="Times New Roman" w:hAnsi="Times New Roman"/>
          <w:sz w:val="17"/>
          <w:szCs w:val="17"/>
          <w:color w:val="auto"/>
        </w:rPr>
        <w:t>Medline Inc. was incorporated in November 2024 in contemplation of an initial public offering. Prior to the completion of this offering, we will execute several reorganization transactions described in “Organizational Structure—Blocker Transfers” and “Organizational Structure—Reclassification and Amendment and Restatement of the Limited Partnership Agreement of Medline Holdings,” as a result of which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In addition, Class A Units, CUPI Units, and all vested and unvested Class B Units that are not reclassified into Units will be directly or indirectly exchanged for shares of Class A common stock, in each case, as described under “Organizational Structure—Reclassification and Amendment and Restatement of the Limited Partnership Agreement of Medline Holdings” and “Executive Compensation—Compensation Arrangements to be Adopted in Connection with this Offering—Treatment of Existing Equity Interests.” Pursuant to the amended and restated limited partnership agreement of Medline Holdings, Medline Inc. will be the general partner of Medline Holdings.</w:t>
      </w:r>
    </w:p>
    <w:p>
      <w:pPr>
        <w:spacing w:after="0" w:line="17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Medline Inc. is a corporation for U.S. federal and state income tax purposes. Medline Inc.’s accounting predecessor, Medline Holdings,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 any provision for U.S. federal income tax. Following this offering, Medline Inc. will pay U.S. federal and state income taxes as a corporation on its share of Medline Holdings’ taxable income.</w:t>
      </w:r>
    </w:p>
    <w:p>
      <w:pPr>
        <w:spacing w:after="0" w:line="184"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The Reorganization Transactions lack economic substance and therefore will be accounted for in a manner consistent with a reorganization of entities under common control. As a result, the consolidated financial</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1"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statements of Medline Inc. will recognize the assets and liabilities received in the reorganization at their historical carrying amounts, as reflected in the historical consolidated financial statements of Medline Holdings, the accounting predecessor.</w:t>
      </w:r>
    </w:p>
    <w:p>
      <w:pPr>
        <w:spacing w:after="0" w:line="162"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this offering, we will enter into the tax receivable agreement as described under “Certain Relationships and Related Person Transactions—Tax Receivable Agreement.”</w:t>
      </w:r>
    </w:p>
    <w:p>
      <w:pPr>
        <w:spacing w:after="0" w:line="162"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such Continuing Unitholder will be automatically transferred to us and cancelled and retired upon any such exchange. See “Organizational Structure” and “Certain Relationships and Related Person Transactions.”</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Following this offering, the Continuing Common Unitholders will hold all of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such Continuing Unitholder. If at any time the ratio at which Common Units are exchangeable for shares of Class A common stock of Medline Inc. changes from one-for-one as described under “Certain Relationships and Related Person Transactions —Exchange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Public Company Costs</w:t>
      </w:r>
    </w:p>
    <w:p>
      <w:pPr>
        <w:spacing w:after="0" w:line="118" w:lineRule="exact"/>
        <w:rPr>
          <w:sz w:val="20"/>
          <w:szCs w:val="20"/>
          <w:color w:val="auto"/>
        </w:rPr>
      </w:pPr>
    </w:p>
    <w:p>
      <w:pPr>
        <w:ind w:left="160" w:firstLine="436"/>
        <w:spacing w:after="0" w:line="271" w:lineRule="auto"/>
        <w:rPr>
          <w:sz w:val="20"/>
          <w:szCs w:val="20"/>
          <w:color w:val="auto"/>
        </w:rPr>
      </w:pPr>
      <w:r>
        <w:rPr>
          <w:rFonts w:ascii="Times New Roman" w:cs="Times New Roman" w:eastAsia="Times New Roman" w:hAnsi="Times New Roman"/>
          <w:sz w:val="17"/>
          <w:szCs w:val="17"/>
          <w:color w:val="auto"/>
        </w:rPr>
        <w:t>We incurred costs associated with preparing to become a public company during the year ended December 31, 2024, and following the completion of this offering, we will continue to incur these costs as well as additional expenses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are currently inapplicable to us as a private company. These additional rules and regulations will increase our legal, regulatory, financial, and insurance compliance costs and will make some activities more time-consuming and costly.</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60"/>
          </w:cols>
          <w:pgMar w:left="320" w:top="451" w:right="5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18" w:lineRule="exact"/>
        <w:rPr>
          <w:sz w:val="20"/>
          <w:szCs w:val="20"/>
          <w:color w:val="auto"/>
        </w:rPr>
      </w:pPr>
    </w:p>
    <w:p>
      <w:pPr>
        <w:ind w:left="160" w:right="840" w:firstLine="436"/>
        <w:spacing w:after="0" w:line="278" w:lineRule="auto"/>
        <w:rPr>
          <w:sz w:val="20"/>
          <w:szCs w:val="20"/>
          <w:color w:val="auto"/>
        </w:rPr>
      </w:pPr>
      <w:r>
        <w:rPr>
          <w:rFonts w:ascii="Times New Roman" w:cs="Times New Roman" w:eastAsia="Times New Roman" w:hAnsi="Times New Roman"/>
          <w:sz w:val="18"/>
          <w:szCs w:val="18"/>
          <w:color w:val="auto"/>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8" w:lineRule="exact"/>
        <w:rPr>
          <w:sz w:val="20"/>
          <w:szCs w:val="20"/>
          <w:color w:val="auto"/>
        </w:rPr>
      </w:pPr>
    </w:p>
    <w:p>
      <w:pPr>
        <w:ind w:left="160" w:right="200" w:firstLine="43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credit losses.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18" w:lineRule="exact"/>
        <w:rPr>
          <w:sz w:val="20"/>
          <w:szCs w:val="20"/>
          <w:color w:val="auto"/>
        </w:rPr>
      </w:pPr>
    </w:p>
    <w:p>
      <w:pPr>
        <w:ind w:left="160" w:right="660" w:firstLine="436"/>
        <w:spacing w:after="0" w:line="278" w:lineRule="auto"/>
        <w:rPr>
          <w:sz w:val="20"/>
          <w:szCs w:val="20"/>
          <w:color w:val="auto"/>
        </w:rPr>
      </w:pPr>
      <w:r>
        <w:rPr>
          <w:rFonts w:ascii="Times New Roman" w:cs="Times New Roman" w:eastAsia="Times New Roman" w:hAnsi="Times New Roman"/>
          <w:sz w:val="18"/>
          <w:szCs w:val="18"/>
          <w:color w:val="auto"/>
        </w:rPr>
        <w:t>Intangible assets are initially measured at fair value and consist of trade names, customer relationships, and developed technology from acquisitions. The definite lived intangible assets are amortized using the straight-line method over their estimated useful lives.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18"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Other operating expenses includes restructuring costs, impairment, litigation settlement charges, loss (gain) on sale of assets, acquisition-related costs, costs incurred in contemplation of this offering, and a one-time gain due to a change in valuation estimate resulting from cash collected on accounts receivable in excess of their acquisition-date fair value.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8"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Interest expense, net includes interest expense incurred on borrowings, amortization expense of deferred financing costs, and gain or loss from cash flow hedge transactions, as well as interest income generated on overdue customer receivable balances, bank deposits, and money market investments.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8" w:lineRule="exact"/>
        <w:rPr>
          <w:sz w:val="20"/>
          <w:szCs w:val="20"/>
          <w:color w:val="auto"/>
        </w:rPr>
      </w:pPr>
    </w:p>
    <w:p>
      <w:pPr>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Other (expense) income, net includes investment income or loss from market value changes on undesignated derivatives, gain related to the derecognition of intangible assets, pro-rata income or loss of equity investment, debt extinguishment loss, debt refinancing/issuance cost, and other non-operating income or expense.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 net</w:t>
      </w:r>
    </w:p>
    <w:p>
      <w:pPr>
        <w:spacing w:after="0" w:line="118"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Foreign exchange gain (loss), net is generated by trade balances and loans denominated in currencies other than U.S. dollars, the reporting currency, as well as settlements of intercompany balances.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5" w:lineRule="exact"/>
        <w:rPr>
          <w:sz w:val="20"/>
          <w:szCs w:val="20"/>
          <w:color w:val="auto"/>
        </w:rPr>
      </w:pPr>
    </w:p>
    <w:p>
      <w:pPr>
        <w:ind w:left="160" w:firstLine="436"/>
        <w:spacing w:after="0" w:line="277" w:lineRule="auto"/>
        <w:rPr>
          <w:sz w:val="20"/>
          <w:szCs w:val="20"/>
          <w:color w:val="auto"/>
        </w:rPr>
      </w:pPr>
      <w:r>
        <w:rPr>
          <w:rFonts w:ascii="Times New Roman" w:cs="Times New Roman" w:eastAsia="Times New Roman" w:hAnsi="Times New Roman"/>
          <w:sz w:val="17"/>
          <w:szCs w:val="17"/>
          <w:color w:val="auto"/>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 Following the completion of this offering, we will be subject to taxation as a corporation.</w:t>
      </w:r>
    </w:p>
    <w:p>
      <w:pPr>
        <w:spacing w:after="0" w:line="1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20"/>
          </w:cols>
          <w:pgMar w:left="320" w:top="451" w:right="6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 compared to the year ended December 31, 2023</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860" w:type="dxa"/>
            <w:vAlign w:val="bottom"/>
          </w:tcPr>
          <w:p>
            <w:pPr>
              <w:spacing w:after="0"/>
              <w:rPr>
                <w:sz w:val="10"/>
                <w:szCs w:val="10"/>
                <w:color w:val="auto"/>
              </w:rPr>
            </w:pPr>
          </w:p>
        </w:tc>
        <w:tc>
          <w:tcPr>
            <w:tcW w:w="140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44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5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7"/>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896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gridSpan w:val="2"/>
          </w:tcPr>
          <w:p>
            <w:pPr>
              <w:jc w:val="right"/>
              <w:ind w:right="6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7"/>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982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966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380" w:hanging="213"/>
        <w:spacing w:after="0"/>
        <w:tabs>
          <w:tab w:leader="none" w:pos="38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 Meaningful</w:t>
      </w:r>
    </w:p>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Net sales for the year ended December 31, 2024 increased $2,276 million, or 9.8%, to $25,507 million, compared to $23,231 million for the respective period in 2023. Net sales for the year ended December 31, 2024 increased $1,850 million, or 8.0% from organic growth and $442 million, or 1.9% from acquisitions with foreign currency having an immaterial impact on net sales. Organic net sales growth was substantially all related to increased volumes, with pricing having an immaterial impact.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U.S. business for the year ended December 31, 2024 increased $1,947 million, or 8.9%, to $23,747 million, compared to $21,800 million for the respective period in 2023, primarily driven by volume growth in Prime Vendor sales, which for the year ended December 31, 2024 increased $1,532 million, or 10.6%, to $16,033 million, compared to $14,501 million for the respective period in 2023.</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increase in Prime Vendor sales was a mix of $664 million related to new Prime Vendor relationships and $1,126 million related to existing</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Prime Vendor relationships, partially offset by a decrease of $258 million related to lost Prime Vendor relationships. Acquisitions also contributed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$195 million incremental net sales in 2024. Acute care business, which includes both Prime Vendor and non-Prime Vendor customers, increased $1,585</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million, or 10.0%, to $17,491 million, compared to $15,906 million for the respective period in 2023, primarily driven by volume growth. Non-acute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care business increased $362 million, or 6.1%, to $6,256 million, compared to $5,894 million for the respective period in 2023, primarily driven by</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volume growth in post-acute care business of $219 million, physician offices of $185 million, and ambulatory surgical centers of $120 million, partially</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offset by the decrease in managed care of $276 million.</w:t>
      </w:r>
    </w:p>
    <w:p>
      <w:pPr>
        <w:spacing w:after="0" w:line="1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320" w:top="451" w:right="5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International business, for the year ended December 31, 2024 increased $329 million, or 23.0%, to $1,760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$1,431 million for the respective period in 2023, primarily driven by volume growth. Acquisitions contributed $247 million incremental net sales in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2024, and the remaining increase of $82 million is due to organic growth.</w:t>
      </w:r>
    </w:p>
    <w:p>
      <w:pPr>
        <w:spacing w:after="0" w:line="3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18"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Cost of goods sold for the year ended December 31, 2024 increased $1,185 million, or 6.8%, to $18,531 million, compared to $17,346 million for the respective period in 2023. For the year ended December 31, 2024, the increase was primarily driven by the growth in net sales, including the impact of acquisitions as noted above.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sales increased from 25.3% for the year ended December 31, 2023 to 27.3% for the year ended December 31, 2024, primarily driven by 270 basis points from lower product costs, including sourcing savings, partially offset by 67 basis points from higher labor costs.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SG&amp;A expense for the year ended December 31, 2024 increased $241 million, or 6.2%, to $4,108 million, compared to $3,867 million for the respective period in 2023, primarily due to $97 million of incremental expenses related to acquisitions, an increase of $48 million in credit loss expense, and an increase of $40 million in operations expense.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18" w:lineRule="exact"/>
        <w:rPr>
          <w:sz w:val="20"/>
          <w:szCs w:val="20"/>
          <w:color w:val="auto"/>
        </w:rPr>
      </w:pPr>
    </w:p>
    <w:p>
      <w:pPr>
        <w:ind w:left="160" w:right="880" w:firstLine="436"/>
        <w:spacing w:after="0" w:line="278" w:lineRule="auto"/>
        <w:rPr>
          <w:sz w:val="20"/>
          <w:szCs w:val="20"/>
          <w:color w:val="auto"/>
        </w:rPr>
      </w:pPr>
      <w:r>
        <w:rPr>
          <w:rFonts w:ascii="Times New Roman" w:cs="Times New Roman" w:eastAsia="Times New Roman" w:hAnsi="Times New Roman"/>
          <w:sz w:val="18"/>
          <w:szCs w:val="18"/>
          <w:color w:val="auto"/>
        </w:rPr>
        <w:t>Amortization of intangible assets for the year ended December 31, 2024 increased $23 million, or 3.5%, to $685 million, compared to $662 million for the respective period in 2023, primarily due to the addition of intangible assets related to 2024 acquisitions.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2024 decreased $69 million, or 65.1%, to $37 million, compared to $106 million for the respective period in 2023. The combined impact in 2023 of the one-time EtO litigation charge of $163 million that was partially offset by a one-time gain of $75 million due to a change in valuation estimate resulting from cash collected on accounts receivable in excess of their acquisition-date fair value did not recur in 2024. Acquisition-related expenses of $20 million were recognized in 2024, further offsetting the year-over-year decrease.</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8"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Interest expense, net for the year ended December 31, 2024 decreased $112 million, or 11.5%, to $864 million, compared to $976 million for the respective period in 2023. The multiple refinancing activities in 2024 effectively lowered the interest rates in our borrowings, resulting in the lower interest expense.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(expense) income, net for the year ended December 31, 2024 decreased to a net expense of $43 million, compared to a net income of</w:t>
      </w:r>
    </w:p>
    <w:p>
      <w:pPr>
        <w:spacing w:after="0" w:line="26" w:lineRule="exact"/>
        <w:rPr>
          <w:sz w:val="20"/>
          <w:szCs w:val="20"/>
          <w:color w:val="auto"/>
        </w:rPr>
      </w:pPr>
    </w:p>
    <w:p>
      <w:pPr>
        <w:ind w:left="160" w:right="100"/>
        <w:spacing w:after="0" w:line="256" w:lineRule="auto"/>
        <w:rPr>
          <w:sz w:val="20"/>
          <w:szCs w:val="20"/>
          <w:color w:val="auto"/>
        </w:rPr>
      </w:pPr>
      <w:r>
        <w:rPr>
          <w:rFonts w:ascii="Times New Roman" w:cs="Times New Roman" w:eastAsia="Times New Roman" w:hAnsi="Times New Roman"/>
          <w:sz w:val="18"/>
          <w:szCs w:val="18"/>
          <w:color w:val="auto"/>
        </w:rPr>
        <w:t>$1 million for the respective period in 2023. The decrease is primarily due to loss on debt extinguishment and other refinancing costs and fees incurred in 2024.</w:t>
      </w:r>
    </w:p>
    <w:p>
      <w:pPr>
        <w:spacing w:after="0" w:line="1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40"/>
          </w:cols>
          <w:pgMar w:left="320" w:top="451" w:right="5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2023 compared to the year ended December 31, 2022</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5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17,346</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16,231</w:t>
            </w: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1,115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5,885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3,867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86</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2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254</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259</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380" w:hanging="213"/>
        <w:spacing w:after="0"/>
        <w:tabs>
          <w:tab w:leader="none" w:pos="38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 Meaningful</w:t>
      </w:r>
    </w:p>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Net sales for the year ended December 31, 2023 increased $1,783 million, or 8.3%, to $23,231 million, compared to $21,448 million for the respective period in 2022. Net sales for the year ended December 31, 2023 increased $1,776 million, or 8.3% from organic growth with foreign currency having an immaterial impact on net sales. Organic net sales growth was substantially all related to increased volumes, with pricing having an immaterial impact.</w:t>
      </w:r>
    </w:p>
    <w:p>
      <w:pPr>
        <w:spacing w:after="0" w:line="180"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The U.S. business for the year ended December 31, 2023 increased $1,835 million, or 9.2%, to $21,800 million, compared to $19,965 million for the respective period in 2022, primarily driven by volume growth in Prime Vendor sales, which for the year ended December 31, 2023 increased $1,950 million, or 15.5%, to $14,501 million, compared to $12,551 million for the respective period in 2022. The increase in Prime Vendor sales was a mix of $1,157 million related to new Prime Vendor relationships and $861 million related to existing Prime Vendor relationships, partially offset by a decrease of $68 million related to lost Prime Vendor relationships. Acute care business, which includes both Prime Vendor and non-Prime Vendor customers, increased $1,451 million, or 10.0%, to $15,906 million, compared to $14,455 million for the respective period in 2022, primarily driven by volume growth. Non-acute care business increased $384 million, or 7.0%, to $5,894 million, compared to $5,510 million for the respective period in 2022, primarily driven by volume growth in ambulatory surgical centers of $144 million and physician offices of $147 million.</w:t>
      </w:r>
    </w:p>
    <w:p>
      <w:pPr>
        <w:spacing w:after="0" w:line="187"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The International business for the year ended December 31, 2023 decreased $52 million, or 3.5%, to $1,431 million, compared to $1,483 million for the respective period in 2022, which was impacted by spot buys of personal protective equipment (“PPE”) products in response to the COVID-19 pandemic, partially offset by volume growth in ongoing sales activities in 2023.</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60"/>
          </w:cols>
          <w:pgMar w:left="320" w:top="451" w:right="5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Cost of goods sold for the year ended December 31, 2023 increased $1,115 million, or 6.9%, to $17,346 million, compared to $16,231 million for the respective period in 2022. For the year ended December 31, 2023, the increase was primarily driven by the growth in net sales.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net sales increased from 24.3% for the year ended December 31, 2022 to 25.3% for the year ended December 31, 2023, primarily driven by 179 basis points from lower freight and import related costs, partially offset by 67 basis points from higher product costs.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18" w:lineRule="exact"/>
        <w:rPr>
          <w:sz w:val="20"/>
          <w:szCs w:val="20"/>
          <w:color w:val="auto"/>
        </w:rPr>
      </w:pPr>
    </w:p>
    <w:p>
      <w:pPr>
        <w:jc w:val="both"/>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SG&amp;A expense for the year ended December 31, 2023 increased $191 million, or 5.2%, to $3,867 million, compared to $3,676 million for the respective period in 2022, primarily due to an increase of $265 million in labor costs, including investment in our commercial team and distribution network. These were offset by decreases of $52 million for distribution costs.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18"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2023 increased $86 million, to $106 million, compared to $20 million for the respective period in 2022, primarily due to a one-time EtO litigation charge of $163 million, partially offset by a one-time gain of $75 million due to a change in valuation estimate resulting from cash collected on accounts receivable in excess of its acquisition-date fair value.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8" w:lineRule="exact"/>
        <w:rPr>
          <w:sz w:val="20"/>
          <w:szCs w:val="20"/>
          <w:color w:val="auto"/>
        </w:rPr>
      </w:pPr>
    </w:p>
    <w:p>
      <w:pPr>
        <w:jc w:val="both"/>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Interest expense, net for the year ended December 31, 2023 increased $104 million, or 11.9%, to $976 million, compared to $872 million for the respective period in 2022, primarily due to the higher interest expense of $317 million on our variable-rate debt, partially offset by a $207 million gain from interest rate hedging and interest income.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118"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compares business segment net sales, Segment Adjusted EBITDA, and Segment Adjusted EBITDA margin for the years ended December 31, 2024 and 2023.</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20" w:type="dxa"/>
            <w:vAlign w:val="bottom"/>
          </w:tcPr>
          <w:p>
            <w:pPr>
              <w:spacing w:after="0"/>
              <w:rPr>
                <w:sz w:val="10"/>
                <w:szCs w:val="10"/>
                <w:color w:val="auto"/>
              </w:rPr>
            </w:pPr>
          </w:p>
        </w:tc>
        <w:tc>
          <w:tcPr>
            <w:tcW w:w="15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39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Medline Brand</w:t>
            </w:r>
          </w:p>
        </w:tc>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69"/>
              <w:spacing w:after="0"/>
              <w:rPr>
                <w:sz w:val="20"/>
                <w:szCs w:val="20"/>
                <w:color w:val="auto"/>
              </w:rPr>
            </w:pPr>
            <w:r>
              <w:rPr>
                <w:rFonts w:ascii="Times New Roman" w:cs="Times New Roman" w:eastAsia="Times New Roman" w:hAnsi="Times New Roman"/>
                <w:sz w:val="18"/>
                <w:szCs w:val="18"/>
                <w:color w:val="auto"/>
              </w:rPr>
              <w:t>12,515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902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3,269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565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4"/>
        </w:trPr>
        <w:tc>
          <w:tcPr>
            <w:tcW w:w="398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Segment Adjusted EBITDA margin</w:t>
            </w:r>
            <w:r>
              <w:rPr>
                <w:rFonts w:ascii="Times New Roman" w:cs="Times New Roman" w:eastAsia="Times New Roman" w:hAnsi="Times New Roman"/>
                <w:sz w:val="24"/>
                <w:szCs w:val="24"/>
                <w:color w:val="auto"/>
                <w:vertAlign w:val="superscript"/>
              </w:rPr>
              <w:t>(1)</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69"/>
              <w:spacing w:after="0"/>
              <w:rPr>
                <w:sz w:val="20"/>
                <w:szCs w:val="20"/>
                <w:color w:val="auto"/>
              </w:rPr>
            </w:pPr>
            <w:r>
              <w:rPr>
                <w:rFonts w:ascii="Times New Roman" w:cs="Times New Roman" w:eastAsia="Times New Roman" w:hAnsi="Times New Roman"/>
                <w:sz w:val="18"/>
                <w:szCs w:val="18"/>
                <w:color w:val="auto"/>
              </w:rPr>
              <w:t>12,992</w:t>
            </w: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1,374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352"/>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6"/>
                <w:szCs w:val="26"/>
                <w:color w:val="auto"/>
                <w:vertAlign w:val="superscript"/>
              </w:rPr>
              <w:t>(1)</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7" w:lineRule="exact"/>
        <w:rPr>
          <w:sz w:val="20"/>
          <w:szCs w:val="20"/>
          <w:color w:val="auto"/>
        </w:rPr>
      </w:pPr>
    </w:p>
    <w:p>
      <w:pPr>
        <w:ind w:left="600" w:hanging="433"/>
        <w:spacing w:after="0"/>
        <w:tabs>
          <w:tab w:leader="none" w:pos="6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 margin as the Segment Adjusted EBITDA divided by segment net sales.</w:t>
      </w:r>
    </w:p>
    <w:p>
      <w:pPr>
        <w:spacing w:after="0" w:line="204"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18—Segment Information” to our audited consolidated financial statements, included elsewhere in this prospectus.</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320" w:top="451" w:right="5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Medline Brand segment net sales for the year ended December 31, 2024 increased $902 million, or 7.8%, to $12,515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$11,613 million for the respective period in 2023. The increase was primarily driven by volume growth in Prime Vendor sales of all Medline Brand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product groups for the year ended December 31, 2024, which increased $524 million, or 10.7%, to $5,410 million, compared to $4,886 million for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respective period in 2023. Acquisitions also contributed $177 million in incremental net sales in 2024.</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Surgical Solutions net sales for the year ended December 31, 2024 increased $540 million, or 11.0%, to $5,471 million, compared to</w:t>
      </w:r>
    </w:p>
    <w:p>
      <w:pPr>
        <w:spacing w:after="0" w:line="26" w:lineRule="exact"/>
        <w:rPr>
          <w:sz w:val="20"/>
          <w:szCs w:val="20"/>
          <w:color w:val="auto"/>
        </w:rPr>
      </w:pPr>
    </w:p>
    <w:p>
      <w:pPr>
        <w:ind w:left="160" w:right="60"/>
        <w:spacing w:after="0" w:line="249" w:lineRule="auto"/>
        <w:rPr>
          <w:sz w:val="20"/>
          <w:szCs w:val="20"/>
          <w:color w:val="auto"/>
        </w:rPr>
      </w:pPr>
      <w:r>
        <w:rPr>
          <w:rFonts w:ascii="Times New Roman" w:cs="Times New Roman" w:eastAsia="Times New Roman" w:hAnsi="Times New Roman"/>
          <w:sz w:val="18"/>
          <w:szCs w:val="18"/>
          <w:color w:val="auto"/>
        </w:rPr>
        <w:t>$4,931 million for the respective period in 2023, primarily driven by $345 million from the increased volume in kitting products and incremental sales of $127 million from the acquired Microtek business. Front Line Care net sales for the year ended December 31, 2024 increased $243 million, or 4.2%, to $6,088 million, compared to $5,845 million for the respective period in 2023, primarily driven by volume growth of $86 million from incontinence products, $74 million from advanced and essential wound care products, and $44 million from repositioning products. Laboratory and Diagnostics net sales for the year ended December 31, 2024 increased $119 million, or 14.2%, to $956 million, compared to $837 million for the respective period in 2023, primarily driven by volume growth in laboratory products of $109 million.</w:t>
      </w:r>
    </w:p>
    <w:p>
      <w:pPr>
        <w:spacing w:after="0" w:line="191"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Medline Brand Segment Adjusted EBITDA for the year ended December 31, 2024 increased $565 million, or 20.9%, to $3,269 million, compared to $2,704 million for the respective period in 2023, primarily driven by net sales growth, including the impact of acquisitions as noted above. Medline Brand Segment Adjusted EBITDA margin increased to 26.1% from 23.3%, primarily driven by 277 basis points from product-related costs substantially all coming from sourcing savings.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Supply Chain Solutions segment net sales for the year ended December 31, 2024 increased $1,374 million, or 11.8%, to $12,992 million, compared to $11,618 million for the respective period in 2023. The increase was primarily driven by volume growth in Prime Vendor sales for the year ended December 31, 2024, which increased $1,008 million, or 10.5%, to $10,623 million, compared to $9,615 million for the respective period in 2023, including implementation of new relationships and growth with existing customers. Acquisitions also contributed $265 million incremental net sales in 2024.</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Supply Chain Solutions Segment Adjusted EBITDA for the year ended December 31, 2024 increased $156 million, or 31.8%, to $647 million, compared to $491 million for the respective period in 2023. Supply Chain Solutions Segment Adjusted EBITDA margin increased to 5.0% from 4.2%, primarily due to operating leverage, partially offset by a mix of both new customer signings and customer renewals which had lower distributor markups.</w:t>
      </w:r>
    </w:p>
    <w:p>
      <w:pPr>
        <w:spacing w:after="0" w:line="180"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compares business segment net sales, Segment Adjusted EBITDA and Segment Adjusted EBITDA margin for the years ended December 31, 2023 and 2022.</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20" w:type="dxa"/>
            <w:vAlign w:val="bottom"/>
          </w:tcPr>
          <w:p>
            <w:pPr>
              <w:spacing w:after="0"/>
              <w:rPr>
                <w:sz w:val="10"/>
                <w:szCs w:val="10"/>
                <w:color w:val="auto"/>
              </w:rPr>
            </w:pPr>
          </w:p>
        </w:tc>
        <w:tc>
          <w:tcPr>
            <w:tcW w:w="15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39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Medline Brand</w:t>
            </w:r>
          </w:p>
        </w:tc>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614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4"/>
        </w:trPr>
        <w:tc>
          <w:tcPr>
            <w:tcW w:w="398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Segment Adjusted EBITDA margin</w:t>
            </w:r>
            <w:r>
              <w:rPr>
                <w:rFonts w:ascii="Times New Roman" w:cs="Times New Roman" w:eastAsia="Times New Roman" w:hAnsi="Times New Roman"/>
                <w:sz w:val="24"/>
                <w:szCs w:val="24"/>
                <w:color w:val="auto"/>
                <w:vertAlign w:val="superscript"/>
              </w:rPr>
              <w:t>(1)</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1,169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52"/>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6"/>
                <w:szCs w:val="26"/>
                <w:color w:val="auto"/>
                <w:vertAlign w:val="superscript"/>
              </w:rPr>
              <w:t>(1)</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7" w:lineRule="exact"/>
        <w:rPr>
          <w:sz w:val="20"/>
          <w:szCs w:val="20"/>
          <w:color w:val="auto"/>
        </w:rPr>
      </w:pPr>
    </w:p>
    <w:p>
      <w:pPr>
        <w:ind w:left="600" w:hanging="433"/>
        <w:spacing w:after="0"/>
        <w:tabs>
          <w:tab w:leader="none" w:pos="6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 margin as the Segment Adjusted EBITDA divided by segment net sales.</w:t>
      </w:r>
    </w:p>
    <w:p>
      <w:pPr>
        <w:spacing w:after="0" w:line="1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40"/>
          </w:cols>
          <w:pgMar w:left="320" w:top="451"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20"/>
        <w:spacing w:after="0" w:line="278"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18—Segment Information” to our audited consolidated financial statements, included elsewhere in this prospectus.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Medline Brand segment net sales for the year ended December 31, 2023 increased $614 million, or 5.6%, to $11,613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$10,999 million for the respective period in 2022. The increase was primarily driven by volume growth in Prime Vendor sales of all Medline Brand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product groups for the year ended December 31, 2023, which increased $634 million, or 14.9%, to $4,886 million, compared to $4,252 million for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respective period in 2022.</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Surgical Solutions net sales for the year ended December 31, 2023 increased $485 million, or 10.9%, to $4,931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$4,446 million for the respective period in 2022, largely driven by continued existing customer volume growth as surgery procedures recovered</w:t>
      </w:r>
    </w:p>
    <w:p>
      <w:pPr>
        <w:spacing w:after="0" w:line="7"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throughout 2023 from the prior year backlog. Front Line Care net sales for the year ended December 31, 2023 increased $136 million, or 2.4%, to $5,845 million, compared to $5,709 million for the respective period in 2022, primarily driven by volume growth of $105 million from primary care products and $49 million from wound care products. Laboratory and Diagnostics net sales for the year ended December 31, 2023 decreased $7 million, or 0.8%, to $837 million, compared to $844 million for the respective period in 2022 driven by a decrease in test kit volumes due to the normalization of COVID-19 and flu seasons.</w:t>
      </w:r>
    </w:p>
    <w:p>
      <w:pPr>
        <w:spacing w:after="0" w:line="187"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Medline Brand Segment Adjusted EBITDA for the year ended December 31, 2023 increased $464 million, or 20.7%, to $2,704 million, compared to $2,240 million for the respective period in 2022, primarily driven by net sales growth. Medline Brand Segment Adjusted EBITDA margin increased to 23.3% from 20.4%, 300 basis points of which was driven by lower freight and import related costs due to fewer supply chain disruptions and decreases in global shipping costs, which had spiked during the COVID-19 pandemic. Freight and import related costs primarily impact the Medline Brand segment due to its vertically integrated model that requires sourcing materials globally.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18"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Supply Chain Solutions segment net sales for the year ended December 31, 2023 increased $1,169 million, or 11.2%, to $11,618 million, compared to $10,449 million for the respective period in 2022. The increase was primarily driven by volume growth in Prime Vendor sales for the year ended December 31, 2023, which increased $1,315 million, or 15.8%, to $9,615 million, compared to $8,300 million for the respective period in 2022, including implementation of new relationships and growth with existing customers.</w:t>
      </w:r>
    </w:p>
    <w:p>
      <w:pPr>
        <w:spacing w:after="0" w:line="180"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Supply Chain Solutions Segment Adjusted EBITDA for the year ended December 31, 2023 increased $1 million, or 0.2%, to $491 million, compared to $490 million for the respective period in 2022. Supply Chain Solutions Segment Adjusted EBITDA margin decreased to 4.2% from 4.7%, primarily driven by a mix of both new customer signings and customer renewals which had lower distributor markups.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18"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60"/>
          </w:cols>
          <w:pgMar w:left="320" w:top="452"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0"/>
        <w:spacing w:after="0" w:line="263" w:lineRule="auto"/>
        <w:rPr>
          <w:sz w:val="20"/>
          <w:szCs w:val="20"/>
          <w:color w:val="auto"/>
        </w:rPr>
      </w:pPr>
      <w:r>
        <w:rPr>
          <w:rFonts w:ascii="Times New Roman" w:cs="Times New Roman" w:eastAsia="Times New Roman" w:hAnsi="Times New Roman"/>
          <w:sz w:val="18"/>
          <w:szCs w:val="18"/>
          <w:color w:val="auto"/>
        </w:rPr>
        <w:t>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in this prospectus.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18" w:lineRule="exact"/>
        <w:rPr>
          <w:sz w:val="20"/>
          <w:szCs w:val="20"/>
          <w:color w:val="auto"/>
        </w:rPr>
      </w:pPr>
    </w:p>
    <w:p>
      <w:pPr>
        <w:ind w:left="160" w:right="40" w:firstLine="436"/>
        <w:spacing w:after="0" w:line="270" w:lineRule="auto"/>
        <w:rPr>
          <w:sz w:val="20"/>
          <w:szCs w:val="20"/>
          <w:color w:val="auto"/>
        </w:rPr>
      </w:pPr>
      <w:r>
        <w:rPr>
          <w:rFonts w:ascii="Times New Roman" w:cs="Times New Roman" w:eastAsia="Times New Roman" w:hAnsi="Times New Roman"/>
          <w:sz w:val="17"/>
          <w:szCs w:val="17"/>
          <w:color w:val="auto"/>
        </w:rPr>
        <w:t>Adjusted EBITDA is defined as net income (loss) plus (i) interest expense, net, (ii) provision for income taxes, (iii) depreciation and amortization, and (iv) other adjustments to eliminate the impact of certain items that we do not consider indicative of our ongoing operating performance. During the periods presented, we adjust for inventory-related adjustments, stock-based compensation, change of control expenses, acquisition and integration-related adjustments, litigation charges, net, and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spacing w:after="0" w:line="172"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(loss), the most comparable GAAP measure, to Adjusted EBITDA and Adjusted EBITDA Margin:</w:t>
      </w:r>
    </w:p>
    <w:p>
      <w:pPr>
        <w:spacing w:after="0" w:line="183"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tcPr>
          <w:p>
            <w:pPr>
              <w:spacing w:after="0"/>
              <w:rPr>
                <w:sz w:val="10"/>
                <w:szCs w:val="10"/>
                <w:color w:val="auto"/>
              </w:rPr>
            </w:pPr>
          </w:p>
        </w:tc>
        <w:tc>
          <w:tcPr>
            <w:tcW w:w="13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720" w:type="dxa"/>
            <w:vAlign w:val="bottom"/>
            <w:gridSpan w:val="4"/>
          </w:tcPr>
          <w:p>
            <w:pPr>
              <w:ind w:left="38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gridSpan w:val="3"/>
          </w:tcPr>
          <w:p>
            <w:pPr>
              <w:ind w:left="38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68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Inventory-related adjustments</w:t>
            </w:r>
            <w:r>
              <w:rPr>
                <w:rFonts w:ascii="Times New Roman" w:cs="Times New Roman" w:eastAsia="Times New Roman" w:hAnsi="Times New Roman"/>
                <w:sz w:val="24"/>
                <w:szCs w:val="24"/>
                <w:color w:val="auto"/>
                <w:vertAlign w:val="superscript"/>
              </w:rPr>
              <w:t>(2)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Change of control expenses</w:t>
            </w:r>
            <w:r>
              <w:rPr>
                <w:rFonts w:ascii="Times New Roman" w:cs="Times New Roman" w:eastAsia="Times New Roman" w:hAnsi="Times New Roman"/>
                <w:sz w:val="24"/>
                <w:szCs w:val="24"/>
                <w:color w:val="auto"/>
                <w:vertAlign w:val="superscript"/>
              </w:rPr>
              <w:t>(3)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Litigation charges, net</w:t>
            </w:r>
            <w:r>
              <w:rPr>
                <w:rFonts w:ascii="Times New Roman" w:cs="Times New Roman" w:eastAsia="Times New Roman" w:hAnsi="Times New Roman"/>
                <w:sz w:val="24"/>
                <w:szCs w:val="24"/>
                <w:color w:val="auto"/>
                <w:vertAlign w:val="superscript"/>
              </w:rPr>
              <w:t>(4)</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Other non-core (gains) charges</w:t>
            </w:r>
            <w:r>
              <w:rPr>
                <w:rFonts w:ascii="Times New Roman" w:cs="Times New Roman" w:eastAsia="Times New Roman" w:hAnsi="Times New Roman"/>
                <w:sz w:val="24"/>
                <w:szCs w:val="24"/>
                <w:color w:val="auto"/>
                <w:vertAlign w:val="superscript"/>
              </w:rPr>
              <w:t>(5)</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Net income (loss) margin</w:t>
            </w:r>
            <w:r>
              <w:rPr>
                <w:rFonts w:ascii="Times New Roman" w:cs="Times New Roman" w:eastAsia="Times New Roman" w:hAnsi="Times New Roman"/>
                <w:sz w:val="24"/>
                <w:szCs w:val="24"/>
                <w:color w:val="auto"/>
                <w:vertAlign w:val="superscript"/>
              </w:rPr>
              <w:t>(6)</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line="247"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(6)</w:t>
            </w: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right="660" w:hanging="433"/>
        <w:spacing w:after="0" w:line="231" w:lineRule="auto"/>
        <w:tabs>
          <w:tab w:leader="none" w:pos="6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$630 million, $607 million, and $607 million of amortization of intangibles for the years ended December 31, 2024, 2023, and 2022, respectively, and $75 million, $77 million, and $78 million of depreciation, both associated with acquisitions for the years ended December 31, 2024, 2023, and 2022, respectively.</w:t>
      </w:r>
    </w:p>
    <w:p>
      <w:pPr>
        <w:ind w:left="600" w:right="40" w:hanging="433"/>
        <w:spacing w:after="0" w:line="219" w:lineRule="auto"/>
        <w:tabs>
          <w:tab w:leader="none" w:pos="6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$53 million, $61 million, and $154 million of inventory adjustments associated with non-cash last-in, first-out reserves, which removes the entire impact of last-in, first-out (“LIFO”) for the years ended December 31, 2024, 2023, and 2022, respectively, and $25 million, $90 million, and $11 million of amortization of the inventory step-up resulting from acquisitions for the years ended December 31, 2024, 2023, and 2022, respectively.</w:t>
      </w:r>
    </w:p>
    <w:p>
      <w:pPr>
        <w:ind w:left="600" w:hanging="433"/>
        <w:spacing w:after="0" w:line="223" w:lineRule="auto"/>
        <w:tabs>
          <w:tab w:leader="none" w:pos="6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200" w:hanging="433"/>
        <w:spacing w:after="0" w:line="231" w:lineRule="auto"/>
        <w:tabs>
          <w:tab w:leader="none" w:pos="6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represents $2 million of legal costs. For the year ended December 31, 2023, represents settlement charges of $163 million related to the EtO litigation and $3 million of other legal costs, net of $(5) million of insurance recoveries.</w:t>
      </w:r>
    </w:p>
    <w:p>
      <w:pPr>
        <w:ind w:left="600" w:hanging="433"/>
        <w:spacing w:after="0" w:line="219" w:lineRule="auto"/>
        <w:tabs>
          <w:tab w:leader="none" w:pos="6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 non-core charges (gains), including $(1) million, $18 million, and $16 million of (gains) losses on disposal of assets and exits; $(6) million, $15 million, and</w:t>
      </w:r>
    </w:p>
    <w:p>
      <w:pPr>
        <w:ind w:left="6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million of realized and unrealized foreign exchange and investment losses (gains); $22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1"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margin represents net income (loss) divided by net sales and Adjusted EBITDA Margin represents Adjusted EBITDA divided by net sales.</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our cash flows from operations, and our Revolving Credit Facility (defined in “Description of Certain Indebtedness”). As of December 31, 2024, we had cash and cash equivalents of $199 million and available liquidity under our Revolving Credit Facility of $951 million. Medline Inc. intends to use the proceeds (net of underwriting discounts and commissions) from the issuance of shares in this offering (excluding the proceeds from the issuance of any shares pursuant to any exercise by the underwriters of their option to purchase additional shares of Class A common stock) to acquire an equivalent number of newly issued Common Units from Medline Holdings, as described under “Organizational Structure—Offering Transactions,” which Medline Holdings will in turn use for general corporate purposes, including the repayment of indebtedness, and to bear all of the expenses of this offering. We estimate these offering expenses (excluding underwriting discounts and commissions) will be approximately $        million. Medline Inc. intends to use the proceeds from the issuance of any shares pursuant to any exercise by the underwriters of their option to purchase additional shares of Class A common stock to purchase or redeem outstanding Common Units and shares of Class A common stock from certain of our pre-IPO owners at a price per equity interest equal to the initial public offering price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9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primary uses of cash include product purchases, operating costs, personnel-related costs, capital expenditures related to property and equipment, acquisitions, payments of interest under our indebtedness, and distributions to partners. We also used a portion of our cash to make payments due under the Medline Industries, Inc. Managing Partner Program in connection with the Sponsor Acquisition. The second cash payment of $501 million was made in the fourth quarter of 2022, and the third and final cash payment of $492 million was made in the fourth quarter of 2023.</w:t>
      </w:r>
    </w:p>
    <w:p>
      <w:pPr>
        <w:spacing w:after="0" w:line="180"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Our net capital expenditures were $354 million, $275 million, and $254 million for the years ended December 31, 2024, December 31, 2023, and December 31, 2022, respectively. These include the continued investment in new production lines in our manufacturing facilities, automation in our distribution centers and expansion of our MedTrans fleet. We anticipate the range of net capital expenditures for the fiscal year ended December 31, 2025 to be between $400 million and $550 million, primarily related to the expansion of manufacturing facilities.</w:t>
      </w:r>
    </w:p>
    <w:p>
      <w:pPr>
        <w:spacing w:after="0" w:line="180"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1"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After completion of this offering, Medline Inc. will be a holding company and will have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“Dividend Policy” and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191"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consolidated statements of cash flows for the periods presented:</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0"/>
                <w:szCs w:val="10"/>
                <w:color w:val="auto"/>
              </w:rPr>
            </w:pPr>
          </w:p>
        </w:tc>
        <w:tc>
          <w:tcPr>
            <w:tcW w:w="1240" w:type="dxa"/>
            <w:vAlign w:val="bottom"/>
            <w:gridSpan w:val="3"/>
          </w:tcPr>
          <w:p>
            <w:pPr>
              <w:jc w:val="right"/>
              <w:ind w:right="342"/>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40" w:type="dxa"/>
            <w:vAlign w:val="bottom"/>
            <w:gridSpan w:val="4"/>
          </w:tcPr>
          <w:p>
            <w:pPr>
              <w:ind w:left="38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3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cash and cash equivalents and restricted cash provided</w:t>
            </w: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(used in):</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42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(1,493)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(1,613)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4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1" w:right="5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Net cash provided by operating activities was $1,769 million, $1,685 million, and $187 million for the years ended December 31, 2024, 2023, and 2022, respectively.</w:t>
      </w:r>
    </w:p>
    <w:p>
      <w:pPr>
        <w:spacing w:after="0" w:line="162"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primarily from net income excluding non-cash items as well as changes in working capital. An increase in inventory due to customer demands reduced cash by $545 million. An increase in trade accounts receivable due to sales growth reduced cash by $256 million. These were partially offset by $106 million change in accounts payable driven by higher inventory purchases.</w:t>
      </w:r>
    </w:p>
    <w:p>
      <w:pPr>
        <w:spacing w:after="0" w:line="180"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primarily from net income excluding non-cash items as well as changes in working capital. Optimization of our inventory from surplus levels in 2022 provided cash of $444 million and accounts payable contributed $136 million. These were offset by changes in trade accounts receivable of $153 million primarily due to an increase in net sales and accrued expenses and other current liabilities of $112 million due to change in control payments, partially offset by the EtO litigation accrual.</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primarily from net income excluding non-cash items,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partially offset by changes in working capital. Trade accounts receivable used $376 million due to higher net sales than collections. Inventories used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$195 million as we built surplus to address global supply chain delays. Accrued expenses and other current liabilities and accounts payable used cash of</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$144 million and $103 million, respectively, due to the timing of payments.</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primarily relates to payments for acquisitions of business and assets of $1,136 million and net capital expenditures of $354 million.</w:t>
      </w:r>
    </w:p>
    <w:p>
      <w:pPr>
        <w:spacing w:after="0" w:line="162"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driven by net capital expenditures of $275 million, investment payments of $16 million, and payments for acquisitions of business and assets of $26 million.</w:t>
      </w:r>
    </w:p>
    <w:p>
      <w:pPr>
        <w:spacing w:after="0" w:line="162"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driven by net capital expenditures of $254 million and payments for acquisitions of business of $17 million.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primarily relates to a $1,210 million payment of additional tax distributions to certain partners to catch up on a pro-rata basis tax distribution previously paid to other partners, distributions to partners of $308 million, and $63 million net repayment of long-term borrowings.</w:t>
      </w:r>
    </w:p>
    <w:p>
      <w:pPr>
        <w:spacing w:after="0" w:line="175" w:lineRule="exact"/>
        <w:rPr>
          <w:sz w:val="20"/>
          <w:szCs w:val="20"/>
          <w:color w:val="auto"/>
        </w:rPr>
      </w:pPr>
    </w:p>
    <w:p>
      <w:pPr>
        <w:ind w:left="160" w:right="82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driven by distributions to partners of $114 million and repayments for long-term borrowings of $77 million.</w:t>
      </w:r>
    </w:p>
    <w:p>
      <w:pPr>
        <w:spacing w:after="0" w:line="162"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2022, net cash used in financing activities was driven by repayments for long-term borrowings of $61 million and distributions to partners of $23 million.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60"/>
          </w:cols>
          <w:pgMar w:left="320" w:top="451"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long-term borrowings and the effective interest rates as of December 31, 2024, are summarized as follows:</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0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1360" w:type="dxa"/>
            <w:vAlign w:val="bottom"/>
            <w:tcBorders>
              <w:top w:val="single" w:sz="8" w:color="auto"/>
            </w:tcBorders>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Average effective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by fiscal year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3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Long-term borrowings</w:t>
            </w:r>
          </w:p>
        </w:tc>
        <w:tc>
          <w:tcPr>
            <w:tcW w:w="1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1"/>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unsecured debt</w:t>
            </w:r>
          </w:p>
        </w:tc>
        <w:tc>
          <w:tcPr>
            <w:tcW w:w="110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Secured debt</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6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Variable (euro-denominated)</w:t>
            </w:r>
            <w:r>
              <w:rPr>
                <w:rFonts w:ascii="Times New Roman" w:cs="Times New Roman" w:eastAsia="Times New Roman" w:hAnsi="Times New Roman"/>
                <w:sz w:val="24"/>
                <w:szCs w:val="24"/>
                <w:color w:val="auto"/>
                <w:vertAlign w:val="superscript"/>
              </w:rPr>
              <w:t>(1)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Variable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2025-2028</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360" w:type="dxa"/>
            <w:vAlign w:val="bottom"/>
          </w:tcPr>
          <w:p>
            <w:pPr>
              <w:spacing w:after="0"/>
              <w:rPr>
                <w:sz w:val="19"/>
                <w:szCs w:val="19"/>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secured debt</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Total other</w:t>
            </w:r>
            <w:r>
              <w:rPr>
                <w:rFonts w:ascii="Times New Roman" w:cs="Times New Roman" w:eastAsia="Times New Roman" w:hAnsi="Times New Roman"/>
                <w:sz w:val="24"/>
                <w:szCs w:val="24"/>
                <w:color w:val="auto"/>
                <w:vertAlign w:val="superscript"/>
              </w:rPr>
              <w:t>(2)</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exchange rate adjustments.</w:t>
      </w:r>
    </w:p>
    <w:p>
      <w:pPr>
        <w:spacing w:after="0" w:line="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deferred financing costs.</w:t>
      </w:r>
    </w:p>
    <w:p>
      <w:pPr>
        <w:spacing w:after="0" w:line="188" w:lineRule="exact"/>
        <w:rPr>
          <w:sz w:val="20"/>
          <w:szCs w:val="20"/>
          <w:color w:val="auto"/>
        </w:rPr>
      </w:pPr>
    </w:p>
    <w:p>
      <w:pPr>
        <w:ind w:left="160" w:right="1020" w:firstLine="436"/>
        <w:spacing w:after="0" w:line="278" w:lineRule="auto"/>
        <w:rPr>
          <w:sz w:val="20"/>
          <w:szCs w:val="20"/>
          <w:color w:val="auto"/>
        </w:rPr>
      </w:pPr>
      <w:r>
        <w:rPr>
          <w:rFonts w:ascii="Times New Roman" w:cs="Times New Roman" w:eastAsia="Times New Roman" w:hAnsi="Times New Roman"/>
          <w:sz w:val="18"/>
          <w:szCs w:val="18"/>
          <w:color w:val="auto"/>
        </w:rPr>
        <w:t>On June 5, 2021, the owners of Medline agreed to sell a majority ownership in the Company to the Sponsors. In connection with the consummation of the Sponsor Acquisition, we entered into the following debt financing transactions:</w:t>
      </w:r>
    </w:p>
    <w:p>
      <w:pPr>
        <w:spacing w:after="0" w:line="69" w:lineRule="exact"/>
        <w:rPr>
          <w:sz w:val="20"/>
          <w:szCs w:val="20"/>
          <w:color w:val="auto"/>
        </w:rPr>
      </w:pPr>
    </w:p>
    <w:p>
      <w:pPr>
        <w:ind w:left="1140" w:right="20" w:hanging="438"/>
        <w:spacing w:after="0" w:line="25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$7,270 million under a senior secured term loan facility (the “Initial Dollar Term Loan Facility” and the loans thereunder, the “Initial Dollar Term Loans”), the borrowing of the euro equivalent of $500 million under a senior secured term loan facility (the “Initial Euro Term Loan Facility” and the loans thereunder, the “Initial Euro Term Loans”), and the obtaining of commitments under a $1,000 million senior secured revolving credit facility (the “Revolving Credit Facility”);</w:t>
      </w:r>
    </w:p>
    <w:p>
      <w:pPr>
        <w:spacing w:after="0" w:line="86"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$2,230 million by MRE Propco, LP (a subsidiary of Medline Holdings, LP) in a mortgage loan (collectively, the “CMBS Loan”); and</w:t>
      </w:r>
    </w:p>
    <w:p>
      <w:pPr>
        <w:spacing w:after="0" w:line="68"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$4,500 million aggregate principal amount of 3.875% secured notes (the “Secured 2021 Notes”) and $2,500 million aggregate principal amount of 5.250% unsecured notes (the “Unsecured 2021 Notes” and, together with the Secured 2021 Notes, the “2021 Notes”).</w:t>
      </w:r>
    </w:p>
    <w:p>
      <w:pPr>
        <w:spacing w:after="0" w:line="175"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As of December 31, 2024, we had $16,757 million of total debt outstanding, including $8,500 million of Senior Notes (as defined herein), $7,612 million of New Dollar Term Loans (as defined herein) and €620 million of New Euro Term Loans (as defined herein) with $951 million available under our Revolving Credit Facility (after consideration of a letter of credit of $49 million). In addition, under the credit agreement governing our Senior Secured Credit Facilities,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(as defined in our Senior Secured Credit Facilities)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60"/>
          </w:cols>
          <w:pgMar w:left="320" w:top="451" w:right="5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On March 27, 2024 (the “Second Amendment Date”), we entered into an amendment to the credit agreement that governs the Senior Secured Credit Facilities to reduce the principal balance by $1,000 million and reduce the applicable margin for the Initial Dollar Term Loans by 0.36% overall, resulting in a margin spread of SOFR plus 2.75% per annum.</w:t>
      </w:r>
    </w:p>
    <w:p>
      <w:pPr>
        <w:spacing w:after="0" w:line="175"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On July 8, 2024 (the “Third Amendment Date”), we amended the credit agreement that governs the Senior Secured Credit Facilities to incur additional dollar-denominated term loans of a different class than the Initial Dollar Term Loans (the “Additional Dollar Term Loan Facility”; the term loans provided for thereunder, the “Additional Dollar Term Loans”) and to reduce the applicable margin for the Initial Euro Term Loans. Pursuant to the amendment, the Company also incurred additional Euro-denominated term loans of the same class as the Refinanced Euro Term Loans (as defined herein) in an aggregate principal amount of €185 million (the “Additional Euro Term Loans”). We received additional net loan proceeds of</w:t>
      </w:r>
    </w:p>
    <w:p>
      <w:pPr>
        <w:spacing w:after="0" w:line="2" w:lineRule="exact"/>
        <w:rPr>
          <w:sz w:val="20"/>
          <w:szCs w:val="20"/>
          <w:color w:val="auto"/>
        </w:rPr>
      </w:pPr>
    </w:p>
    <w:p>
      <w:pPr>
        <w:ind w:left="160" w:right="20"/>
        <w:spacing w:after="0" w:line="249" w:lineRule="auto"/>
        <w:rPr>
          <w:sz w:val="20"/>
          <w:szCs w:val="20"/>
          <w:color w:val="auto"/>
        </w:rPr>
      </w:pPr>
      <w:r>
        <w:rPr>
          <w:rFonts w:ascii="Times New Roman" w:cs="Times New Roman" w:eastAsia="Times New Roman" w:hAnsi="Times New Roman"/>
          <w:sz w:val="18"/>
          <w:szCs w:val="18"/>
          <w:color w:val="auto"/>
        </w:rPr>
        <w:t>$1,503 million and U.S. Dollar equivalent of $198 million from the Additional Dollar Term Loans and the Additional Euro Term Loans, respectively. The Additional Dollar Term Loans bear a variable interest rate of SOFR plus 2.25%, while the variable interest rate on the Initial Dollar Term Loans remained at SOFR plus 2.75%. The New Euro Term Loans bear a variable interest rate of EURO Interbank offer Rate (“EURIBOR”) plus an applicable spread ranging from 2.25% to 2.75% based on certain of our debt ratios. The maturity date for all Term Loans remains October 21, 2028 (the “Initial Term Loan Maturity Date”). The amendment also extended the maturity date of the Revolving Credit Facility from October 21, 2026 to July 8, 2029 (subject to a springing maturity 91 days inside of the maturity date of the Dollar Term Loans, the New Euro Term Loans, the Secured 2021 Notes and the 2024 Notes) and did not change the maximum borrowing capacity of $1,000 million or any other terms. On July 9, 2024, we used the net proceeds from Additional 2024 Notes, the additional loan proceeds from the Additional Dollar Term Loans and the Additional Euro Term Loans, and $23 million cash on hand to extinguish the entire outstanding principal balance of $2,219 million of CMBS Loan.</w:t>
      </w:r>
    </w:p>
    <w:p>
      <w:pPr>
        <w:spacing w:after="0" w:line="188" w:lineRule="exact"/>
        <w:rPr>
          <w:sz w:val="20"/>
          <w:szCs w:val="20"/>
          <w:color w:val="auto"/>
        </w:rPr>
      </w:pPr>
    </w:p>
    <w:p>
      <w:pPr>
        <w:ind w:left="160" w:firstLine="436"/>
        <w:spacing w:after="0" w:line="274" w:lineRule="auto"/>
        <w:rPr>
          <w:sz w:val="20"/>
          <w:szCs w:val="20"/>
          <w:color w:val="auto"/>
        </w:rPr>
      </w:pPr>
      <w:r>
        <w:rPr>
          <w:rFonts w:ascii="Times New Roman" w:cs="Times New Roman" w:eastAsia="Times New Roman" w:hAnsi="Times New Roman"/>
          <w:sz w:val="17"/>
          <w:szCs w:val="17"/>
          <w:color w:val="auto"/>
        </w:rPr>
        <w:t>On November 19, 2024 (the “Fourth Amendment Date”), we entered into an amendment to the credit agreement that governs the Senior Secured Credit Facilities to (i) reduce the applicable margin for the Initial Dollar Term Loans by 0.50% overall to match the applicable margin for the Additional Dollar Term Loans, resulting in a margin spread of SOFR plus 2.25% per annum and (ii) cause the Initial Dollar Term Loans and the Additional Dollar Term Loans to be a single fungible class of term loans (such class of dollar-denominated term loans, the “New Dollar Term Loans”). Amortization payments equal to 0.25% of revised aggregate principal amount of $7,631 million of the Initial Dollar Term Loans are still due quarterly.</w:t>
      </w:r>
    </w:p>
    <w:p>
      <w:pPr>
        <w:spacing w:after="0" w:line="168"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affirmative and negative covenants and customary events of default. For additional information, see “Description of Certain Indebtedness—Senior Secured Credit Facilities.”</w:t>
      </w:r>
    </w:p>
    <w:p>
      <w:pPr>
        <w:spacing w:after="0" w:line="16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Our springing financial covenant in the credit agreement governing our Senior Secured Credit Facilities and other ratios related to incurrence-based covenants (measured only upon the taking of certain actions, including the incurrence of additional indebtedness) under the credit agreement that governs our Senior Secured Credit Facilities and the indentures governing our outstanding Senior Notes are calculated in part based on financial measures similar to Adjusted EBITDA as presented elsewhere in this prospectus, which financial measures are determined at the Medline Borrower, LP (a fully-owned subsidiary of Medline Holdings, LP) level and adjust for certain additional items such as contribution from acquisitions and the run-rate impact of signed contracts, cost savings and customer losses. These incremental adjustments, as calculated pursuant to such agreements, provide us with a net benefit to Adjusted EBITDA for ratio calculation purposes of $197 million, $70 million, and $189 million for the years ended December 31, 2024, 2023, and 2022, respectively. The springing financial covenant in the credit agreement governing our Senior Secured Credit Facilities requires compliance with a maximum ratio of consolidated first lien net indebtedness to Consolidated EBITDA (as defined in such credit agreement) of 8.3x and is applicable solely to the Revolving Credit Facility, which ratio is tested on the last day of any fiscal quarter only if the aggregate principal amount of borrowings (excluding outstanding letters of credit (whether or not cash collateralized)) under the Revolving Credit Facility exceeds 35% of the greater of (a) the total amount of</w:t>
      </w:r>
    </w:p>
    <w:p>
      <w:pPr>
        <w:spacing w:after="0" w:line="1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40"/>
          </w:cols>
          <w:pgMar w:left="320" w:top="451" w:right="5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commitments under the Revolving Credit Facility on such day and (b) $1,000 million. While the springing financial covenant was not subject to testing as of December 31, 2024 as we did not have any outstanding borrowings under the Revolving Credit Facility at such time, our ratio of consolidated first lien net indebtedness to consolidated EBITDA as of the last day of any fiscal quarter ending after the date of the Sponsor Acquisition has not exceeded the maximum ratio permitted under the springing financial covenant. The failure to satisfy this ratio would impact our ability to borrow amounts committed under our Revolving Credit Facility which could have a material impact on our liquidity.</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On March 27, 2024, we issued $1,000 million aggregate principal amount of 6.250% Senior Secured Notes due 2029 pursuant to an indenture, with a maturity date of April 1, 2029 (the “Initial 2024 Notes”). We received net proceeds of $993 million and used the proceeds from the issuance to pay down a portion of the principal on the then-outstanding Initial Dollar Term Loans. On June 24, 2024, we issued $500 million aggregate principal amount of 6.250% Senior Secured Notes due 2029 with a maturity date of April 1, 2029 (the “Additional 2024 Notes” and, together with the Initial 2024 Notes, the “2024 Notes”). We received net proceeds of $495 million and used the proceeds to repay a portion of the CMBS Loan on July 9, 2024. The 2024 Notes have a fixed annual interest rate of 6.250%, which will be paid in cash semi-annually in arrears on April 1 and October 1 of each year, and will mature on April 1, 2029.</w:t>
      </w:r>
    </w:p>
    <w:p>
      <w:pPr>
        <w:spacing w:after="0" w:line="184"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See “Description of Certain Indebtedness” for additional information regarding our Senior Secured Credit Facilities and Senior Notes, including a discussion of the material terms of the credit agreement that governs our Senior Secured Credit Facilities and the indentures that govern our Senior Notes, including the restrictive covenants contained therein.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As of December 31, 2024, we held interest rate swaps with a notional value of $2,950 million with maturity date of November 2025 to December 2026 and interest rate caps with a notional value of $2,500 million with maturity date of November 2025 to December 2026.</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8"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Transactions, Medline Inc. will enter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by Continuing Unitholders (including Common Units issued upon conversion of vested Incentive Units)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60"/>
          </w:cols>
          <w:pgMar w:left="320" w:top="451" w:right="5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18"/>
          <w:szCs w:val="18"/>
          <w:color w:val="auto"/>
        </w:rPr>
        <w:t>covered by the tax receivable 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The term of the tax receivable agreement will continue until all such tax benefits have been utilized or expired. Late payments under the tax receivable agreement generally will accrue interest at an uncapped rate equal to one year SOFR plus    basis points. The payments under the tax receivable agreement are not conditioned upon continued ownership of us by the pre-IPO owners.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 the timing of purchases or exchanges, the price of shares of Class A common stock at the time of the purchase or exchange, the extent to which such purchases or exchanges do not result in a basis adjustment, the amount of tax attributes, changes in tax rates and the amount and timing of our income.</w:t>
      </w:r>
    </w:p>
    <w:p>
      <w:pPr>
        <w:spacing w:after="0" w:line="195" w:lineRule="exact"/>
        <w:rPr>
          <w:sz w:val="20"/>
          <w:szCs w:val="20"/>
          <w:color w:val="auto"/>
        </w:rPr>
      </w:pPr>
    </w:p>
    <w:p>
      <w:pPr>
        <w:ind w:left="160" w:right="220" w:firstLine="436"/>
        <w:spacing w:after="0" w:line="274" w:lineRule="auto"/>
        <w:rPr>
          <w:sz w:val="20"/>
          <w:szCs w:val="20"/>
          <w:color w:val="auto"/>
        </w:rPr>
      </w:pPr>
      <w:r>
        <w:rPr>
          <w:rFonts w:ascii="Times New Roman" w:cs="Times New Roman" w:eastAsia="Times New Roman" w:hAnsi="Times New Roman"/>
          <w:sz w:val="17"/>
          <w:szCs w:val="17"/>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w:t>
      </w:r>
    </w:p>
    <w:p>
      <w:pPr>
        <w:spacing w:after="0" w:line="16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Assuming: (i) a price of $      per share of our Class A common stock (based on an assumed initial public offering price of $      per share, the midpoint of the estimated price range set forth on the cover page of this prospectus); (ii) a constant corporate tax rate of     %;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an assumed initial public offering price of $      per share of Class A common stock, which is the midpoint of the price range set forth on the cover of this prospectus, we estimate that we would, as a result of the Offering Transactions and such hypothetical exchange, record a deferred tax asset of approximately $     million and that the aggregate noncurrent liability we would record based on our estimate of the aggregate amount that Medline Inc. would pay under the tax receivable agreement is approximately $        million, generally payable over a 15-year period. For each 5% increase (decrease) in the price per share of our Class A common stock (and therefore the value of the Common Units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60"/>
          </w:cols>
          <w:pgMar w:left="320" w:top="451" w:right="5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3" w:lineRule="auto"/>
        <w:rPr>
          <w:sz w:val="20"/>
          <w:szCs w:val="20"/>
          <w:color w:val="auto"/>
        </w:rPr>
      </w:pPr>
      <w:r>
        <w:rPr>
          <w:rFonts w:ascii="Times New Roman" w:cs="Times New Roman" w:eastAsia="Times New Roman" w:hAnsi="Times New Roman"/>
          <w:sz w:val="18"/>
          <w:szCs w:val="18"/>
          <w:color w:val="auto"/>
        </w:rPr>
        <w:t>exchanged), our deferred tax asset would increase (decrease) by approximately $        million and the related liability for payments under the tax receivable agreement would increase (decrease) by approximately $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184"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Medline Inc. intends to fund the required payments under the tax receivable agreement from its pro rata share of distributions from Medline Holdings, and our payment obligations under the tax receivable agreement will not accelerate upon a change of control. However, 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payments under the tax receivable agreement could be in excess of 90% of Medline Inc.’s actual cash tax benefits. 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 See “Certain Relationships and Related Person Transactions—Tax Receivable Agreement.”</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approximate principal contractual obligations as of December 31, 2024:</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3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207"/>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$16,757</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Interest on borrowings</w:t>
            </w:r>
            <w:r>
              <w:rPr>
                <w:rFonts w:ascii="Times New Roman" w:cs="Times New Roman" w:eastAsia="Times New Roman" w:hAnsi="Times New Roman"/>
                <w:sz w:val="24"/>
                <w:szCs w:val="24"/>
                <w:color w:val="auto"/>
                <w:vertAlign w:val="superscript"/>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4"/>
                <w:szCs w:val="24"/>
                <w:color w:val="auto"/>
                <w:vertAlign w:val="superscript"/>
              </w:rPr>
              <w:t>(2)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Unconditional purchase obligations</w:t>
            </w:r>
            <w:r>
              <w:rPr>
                <w:rFonts w:ascii="Times New Roman" w:cs="Times New Roman" w:eastAsia="Times New Roman" w:hAnsi="Times New Roman"/>
                <w:sz w:val="24"/>
                <w:szCs w:val="24"/>
                <w:color w:val="auto"/>
                <w:vertAlign w:val="superscript"/>
              </w:rPr>
              <w:t>(3)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obligations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r>
      <w:tr>
        <w:trPr>
          <w:trHeight w:val="221"/>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21,795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1,296</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right="220" w:hanging="433"/>
        <w:spacing w:after="0" w:line="255" w:lineRule="auto"/>
        <w:tabs>
          <w:tab w:leader="none" w:pos="6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on debt obligations are calculated for future periods using interest rates in effect at the end of 2024. Certain of these projected interest payments may differ in the future based on changes in reference rate index for variable debt, foreign currency</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40"/>
          </w:cols>
          <w:pgMar w:left="320" w:top="451" w:right="5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140"/>
        <w:spacing w:after="0" w:line="227" w:lineRule="auto"/>
        <w:rPr>
          <w:sz w:val="20"/>
          <w:szCs w:val="20"/>
          <w:color w:val="auto"/>
        </w:rPr>
      </w:pPr>
      <w:r>
        <w:rPr>
          <w:rFonts w:ascii="Times New Roman" w:cs="Times New Roman" w:eastAsia="Times New Roman" w:hAnsi="Times New Roman"/>
          <w:sz w:val="14"/>
          <w:szCs w:val="14"/>
          <w:color w:val="auto"/>
        </w:rPr>
        <w:t>fluctuations, or other factors or events. The projected interest payments only pertain to obligations and agreements outstanding at December 31, 2024. Refer to “Note 7 — Credit Agreements and Borrowings” in the audited consolidated financial statements included elsewhere in this prospectus for further discussion regarding our debt instruments outstanding at December 31, 2024.</w:t>
      </w:r>
    </w:p>
    <w:p>
      <w:pPr>
        <w:spacing w:after="0" w:line="1" w:lineRule="exact"/>
        <w:rPr>
          <w:sz w:val="20"/>
          <w:szCs w:val="20"/>
          <w:color w:val="auto"/>
        </w:rPr>
      </w:pPr>
    </w:p>
    <w:p>
      <w:pPr>
        <w:ind w:left="600" w:hanging="433"/>
        <w:spacing w:after="0" w:line="219" w:lineRule="auto"/>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operating leases for corporate offices, manufacturing and distribution facilities, vehicles, and equipment. Our leases have remaining terms ranging from less than 12 months to approximately 15 years, some of which may include options to extend or terminate the lease when it is reasonably certain and there is a significant economic incentive to exercise that option. As of December 31, 2024, our right-of-use assets related to operating leases were $384 million and our current and non-current operating lease liabilities were $76 million and $329 million, respectively. Also includes our future lease payments for executed operating lease agreements related to office spaces that have not yet commenced. Please see “Note 9</w:t>
      </w:r>
    </w:p>
    <w:p>
      <w:pPr>
        <w:ind w:left="6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Leases” to our audited consolidated financial statements for further information.</w:t>
      </w:r>
    </w:p>
    <w:p>
      <w:pPr>
        <w:ind w:left="600" w:right="460" w:hanging="433"/>
        <w:spacing w:after="0" w:line="235" w:lineRule="auto"/>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significant contractual unconditional purchase obligations. These commitments do not exceed our projected requirements and are in the normal course of business. Examples include firm commitments for goods and service contracts.</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118"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We do not have guarantees or other off-balance sheet financing arrangements, including variable interest entities, of a magnitude that we believe could have a material impact on our financial condition or liquidity. See our consolidated financial statements and related notes thereto, included elsewhere in this prospectus.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8"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U.S. GAAP, which often require us to make estimates and assumptions that affect the reported amounts of assets, liabilities, net sales, 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spacing w:after="0" w:line="164"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1 — Nature of Business and Significant Accounting Policies” to our audited consolidated financial statements, included elsewhere in this prospectus.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6"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Our net sales are generated principally from the sale of products. The amount of net sales recognized is adjusted for variable consideration, including sales rebates, distributor chargebacks, return allowances, scrap allowances, and other rights, which may require significant judgement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 We have not made any material adjustments to our variable consideration estimates historically and in all periods presented in this prospectus.</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Allowances for Refunds and Credit Losses</w:t>
      </w:r>
    </w:p>
    <w:p>
      <w:pPr>
        <w:spacing w:after="0" w:line="116" w:lineRule="exact"/>
        <w:rPr>
          <w:sz w:val="20"/>
          <w:szCs w:val="20"/>
          <w:color w:val="auto"/>
        </w:rPr>
      </w:pPr>
    </w:p>
    <w:p>
      <w:pPr>
        <w:jc w:val="both"/>
        <w:ind w:left="160" w:right="200" w:firstLine="436"/>
        <w:spacing w:after="0" w:line="285" w:lineRule="auto"/>
        <w:rPr>
          <w:sz w:val="20"/>
          <w:szCs w:val="20"/>
          <w:color w:val="auto"/>
        </w:rPr>
      </w:pPr>
      <w:r>
        <w:rPr>
          <w:rFonts w:ascii="Times New Roman" w:cs="Times New Roman" w:eastAsia="Times New Roman" w:hAnsi="Times New Roman"/>
          <w:sz w:val="17"/>
          <w:szCs w:val="17"/>
          <w:color w:val="auto"/>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1"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80"/>
        <w:spacing w:after="0" w:line="263" w:lineRule="auto"/>
        <w:rPr>
          <w:sz w:val="20"/>
          <w:szCs w:val="20"/>
          <w:color w:val="auto"/>
        </w:rPr>
      </w:pPr>
      <w:r>
        <w:rPr>
          <w:rFonts w:ascii="Times New Roman" w:cs="Times New Roman" w:eastAsia="Times New Roman" w:hAnsi="Times New Roman"/>
          <w:sz w:val="18"/>
          <w:szCs w:val="18"/>
          <w:color w:val="auto"/>
        </w:rPr>
        <w:t>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6"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primarily by the LIFO cost method. For certain foreign subsidiaries, cost is determined using the FIFO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On a periodic basis, we also write down inventories that are considered to be excess and obsolete. Our evaluation is based on historical and forecasted sales trends. Rebates received from vendors relating to the purchase or distribution of inventory are considered product discounts and are accounted for as reductions in the cost of inventory.</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Impairment of Goodwill and Indefinite-Lived Intangible Assets</w:t>
      </w:r>
    </w:p>
    <w:p>
      <w:pPr>
        <w:spacing w:after="0" w:line="116" w:lineRule="exact"/>
        <w:rPr>
          <w:sz w:val="20"/>
          <w:szCs w:val="20"/>
          <w:color w:val="auto"/>
        </w:rPr>
      </w:pPr>
    </w:p>
    <w:p>
      <w:pPr>
        <w:ind w:left="160" w:right="240" w:firstLine="436"/>
        <w:spacing w:after="0" w:line="258" w:lineRule="auto"/>
        <w:rPr>
          <w:sz w:val="20"/>
          <w:szCs w:val="20"/>
          <w:color w:val="auto"/>
        </w:rPr>
      </w:pPr>
      <w:r>
        <w:rPr>
          <w:rFonts w:ascii="Times New Roman" w:cs="Times New Roman" w:eastAsia="Times New Roman" w:hAnsi="Times New Roman"/>
          <w:sz w:val="18"/>
          <w:szCs w:val="18"/>
          <w:color w:val="auto"/>
        </w:rPr>
        <w:t>We make certain estimates and judgments in impairment assessments of goodwill and indefinite-lived intangible assets. We perform our annual impairment tests in October and monitor for interim indicators of impairment on an ongoing basis. To perform the qualitative review, we consider the weight of evidence and significance of all identified events and circumstances and most relevant drivers of fair value, both positive and negative, in determining whether it is more likely than not that impairment has occurred.</w:t>
      </w:r>
    </w:p>
    <w:p>
      <w:pPr>
        <w:spacing w:after="0" w:line="180"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Goodwill impairment testing is conducted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 We apply the goodwill impairment test by comparing the estimated fair value of a reporting unit to its carrying value and an impairment charge is recorded equal to the amount of excess carrying value above the estimated fair value, if any, but not to exceed the amount of goodwill allocated to the reporting unit. To estimate the fair value of our reporting unit, we consider all generally accepted valuation approaches to value a business or an entity, and we rely on approach(es) that are deemed most suitable to estimate value as of the measurement date. We have generally used a combination of the market approach and the income approach. Under the market 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spacing w:after="0" w:line="179"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During 2024, we transitioned our operations from one operating segment to two operating segments, Medline Brand and Supply Chain Solutions. Subsequent to the segment change, it was determined that each of our reporting segments was comprised of a single reporting unit. Effective October 1, 2024, the consolidated goodwill of $8,070 million was re-assigned to the new reporting units based on their relative fair values with $6,716 million assigned to Medline Brand and $1,354 million assigned to Supply Chain Solutions. In conjunction with the change in reportable segments, we evaluated goodwill for impairment quantitatively, both before and after the segment change.</w:t>
      </w:r>
    </w:p>
    <w:p>
      <w:pPr>
        <w:spacing w:after="0" w:line="184"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The fair value of each reporting unit was determined based on a blend of income approach (with a 75% weighting) and market approach (with a 25% weighting). The income approach uses a discounted cash flow model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60"/>
          </w:cols>
          <w:pgMar w:left="320" w:top="451"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53" w:lineRule="auto"/>
        <w:rPr>
          <w:sz w:val="20"/>
          <w:szCs w:val="20"/>
          <w:color w:val="auto"/>
        </w:rPr>
      </w:pPr>
      <w:r>
        <w:rPr>
          <w:rFonts w:ascii="Times New Roman" w:cs="Times New Roman" w:eastAsia="Times New Roman" w:hAnsi="Times New Roman"/>
          <w:sz w:val="18"/>
          <w:szCs w:val="18"/>
          <w:color w:val="auto"/>
        </w:rPr>
        <w:t>of each reporting unit’s projection of estimated operating results and cash flows that are discounted using a market participant discount rate based on a weighted-average cost of capital. The discounted cash flow model reflected our best estimate of economic and market conditions over the forecast period, including revenue growth rates, EBITDA margins, terminal growth rates, and discount rates. The estimated fair value of each reporting unit is then compared to their respective carrying values. The market approach estimates fair value by applying cash flow multiples to the operating performance of each reporting unit derived from comparable publicly traded companies with operating and investment characteristics similar to the reporting units. The estimated fair value of each reporting unit is then compared to their respective carrying values. As of December 31, 2024, the fair value of each reporting unit was substantially in excess of its carrying amount; therefore, we have determined that goodwill was not impaired.</w:t>
      </w:r>
    </w:p>
    <w:p>
      <w:pPr>
        <w:spacing w:after="0" w:line="184"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The impairment test for indefinite-lived intangibles involves first assessing qualitative factors to determine if it is more likely than not that the fair value of the indefinite-lived intangible asset is less than its carrying amount. We use estimates and significant judgements and consider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based on a review of qualitative factors it is more likely than not that the fair value of an indefinite-lived intangible asset is less than its carrying value, we proceed to compare the fair value of the indefinite-lived intangible asset with its carrying amount. If the carrying value of an indefinite-lived intangible asset exceeds its estimated fair value, an impairment equal to the excess is recorded.</w:t>
      </w:r>
    </w:p>
    <w:p>
      <w:pPr>
        <w:spacing w:after="0" w:line="184"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If a quantitative fair value measurement calculation is required for indefinite-lived intangible assets, we utilize the relief-from-royalty method for indefinite-lived trade names. The relief-from-royalty method assumes trade names have value to the extent their owner is relieved of the obligation to pay royalties for the benefits received from them. This method requires us to estimate the future revenue for the related brands, the appropriate royalty rate, and the weighted average cost of capital. If the net book values of the assets exceed fair value, an impairment charge will be recognized in an amount equal to that excess. The annual impairment testing performed was qualitative and did not indicate any impairment of intangible assets for the years ended December 31, 2024, 2023 and 2022.</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6"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whereby the identifiable assets and liabilities of the acquired business, including contingent consideration, as well as any non-controlling 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6" w:lineRule="exact"/>
        <w:rPr>
          <w:sz w:val="20"/>
          <w:szCs w:val="20"/>
          <w:color w:val="auto"/>
        </w:rPr>
      </w:pPr>
    </w:p>
    <w:p>
      <w:pPr>
        <w:ind w:left="160" w:right="60" w:firstLine="436"/>
        <w:spacing w:after="0" w:line="274" w:lineRule="auto"/>
        <w:rPr>
          <w:sz w:val="20"/>
          <w:szCs w:val="20"/>
          <w:color w:val="auto"/>
        </w:rPr>
      </w:pPr>
      <w:r>
        <w:rPr>
          <w:rFonts w:ascii="Times New Roman" w:cs="Times New Roman" w:eastAsia="Times New Roman" w:hAnsi="Times New Roman"/>
          <w:sz w:val="17"/>
          <w:szCs w:val="17"/>
          <w:color w:val="auto"/>
        </w:rPr>
        <w:t>Stock-based compensation, consisting of Medline Holdings, LP profits interest, is measured at fair value on the grant date or date of modification, as applicable. Determining the amount of stock-based compensation expense to be recorded requires us to (i) estimate the fair value of total equity and</w:t>
      </w:r>
    </w:p>
    <w:p>
      <w:pPr>
        <w:ind w:left="160" w:right="400" w:firstLine="7"/>
        <w:spacing w:after="0" w:line="256" w:lineRule="auto"/>
        <w:tabs>
          <w:tab w:leader="none" w:pos="42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estimates to be used in calculating the grant-date fair value of incentive units. Our valuation model requires us to make estimates of the following assumptions:</w:t>
      </w:r>
    </w:p>
    <w:p>
      <w:pPr>
        <w:spacing w:after="0" w:line="182"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Fair Value of Total Equity: The Company considered the three generally accepted valuation approaches used to value a business enterprise: (i) the income approach, (ii) the market approach, and (iii) the asset approach. The Company ultimately relied on the income approach and market approach. The cost approach was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1"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excluded as the value of the business is attributed to its business operations, earnings, and cash flows, rather than the assets it holds. The income approach utilized the discounted cash flow (“DCF”) methodology based on our financial forecasts and projections, as detailed below. The first step of a DCF method analysis involves projecting cash flows that the business is expected to generate. The second step involves converting these cash flows into a present value equivalent through discounting. The discounting process utilizes a rate of return that is commensurate with the risk associated with the business and the time value of money. In applying the market approach, management estimated the value of the Company by comparing the Company to similar businesses that have been sold or are publicly traded companies deemed to be peers to the Company. Management considered the two widely used and relied upon forms of the market approach—The Guideline Public Company (“GPC”) method, which relies on market multiples of publicly traded companies, and the Guideline Merged and Acquired Company (“GMAC”) method, which relies on actual prices or multiples paid in recent mergers and acquisitions in the Company’s industry, or transaction(s) involving the Company. Under both approaches, market multiples were calculated and applied against corresponding financial metrics of the Company. The Company assigned weightings to the selected valuation methods in estimating the fair value of total equity. The Company weighted the income approach 75%, the GPC method 25%, and the GMAC method 0%. In assigning the weight to the GMAC method, consideration was given to the passage of time since the leveraged buyout transaction and the lack of suitable guideline transactions as of the valuation date. The Company applied more weighting to the income approach given availability of projected financial information and consideration of comparability of guideline public companies.</w:t>
      </w:r>
    </w:p>
    <w:p>
      <w:pPr>
        <w:spacing w:after="0" w:line="191"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The resulting weighted value was then adjusted for balance sheet items to conclude on the fair market value of equity for the Company as of the measurement date.</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Following this offering, it will not be necessary to determine the fair value of our shares, as our shares will be traded in the public market.</w:t>
      </w:r>
    </w:p>
    <w:p>
      <w:pPr>
        <w:spacing w:after="0" w:line="221" w:lineRule="exact"/>
        <w:rPr>
          <w:sz w:val="20"/>
          <w:szCs w:val="20"/>
          <w:color w:val="auto"/>
        </w:rPr>
      </w:pPr>
    </w:p>
    <w:p>
      <w:pPr>
        <w:ind w:left="160" w:right="400" w:firstLine="436"/>
        <w:spacing w:after="0" w:line="258" w:lineRule="auto"/>
        <w:rPr>
          <w:sz w:val="20"/>
          <w:szCs w:val="20"/>
          <w:color w:val="auto"/>
        </w:rPr>
      </w:pPr>
      <w:r>
        <w:rPr>
          <w:rFonts w:ascii="Times New Roman" w:cs="Times New Roman" w:eastAsia="Times New Roman" w:hAnsi="Times New Roman"/>
          <w:sz w:val="18"/>
          <w:szCs w:val="18"/>
          <w:u w:val="single" w:color="auto"/>
          <w:color w:val="auto"/>
        </w:rPr>
        <w:t>Fair Value of Equity-Based Awards:</w:t>
      </w:r>
      <w:r>
        <w:rPr>
          <w:rFonts w:ascii="Times New Roman" w:cs="Times New Roman" w:eastAsia="Times New Roman" w:hAnsi="Times New Roman"/>
          <w:sz w:val="18"/>
          <w:szCs w:val="18"/>
          <w:color w:val="auto"/>
        </w:rPr>
        <w:t xml:space="preserve"> The weighted average per unit fair value of the equity-based units is calculated using the Monte Carlo simulation in an option pricing framework, where the total equity value of the Company was simulated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86" w:lineRule="exact"/>
        <w:rPr>
          <w:sz w:val="20"/>
          <w:szCs w:val="20"/>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precedent transactions involving equity units;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and financial performance;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assumptions were made in the Monte Carlo simulation:</w:t>
      </w:r>
    </w:p>
    <w:p>
      <w:pPr>
        <w:spacing w:after="0" w:line="221"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75"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62"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The risk-free interest rate is estimated based on U.S. Treasury zero-coupon notes with terms consistent with the expected term of the awards.</w:t>
      </w:r>
    </w:p>
    <w:p>
      <w:pPr>
        <w:spacing w:after="0" w:line="162"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u w:val="single" w:color="auto"/>
          <w:color w:val="auto"/>
        </w:rPr>
        <w:t>Dividend Yield:</w:t>
      </w:r>
      <w:r>
        <w:rPr>
          <w:rFonts w:ascii="Times New Roman" w:cs="Times New Roman" w:eastAsia="Times New Roman" w:hAnsi="Times New Roman"/>
          <w:sz w:val="18"/>
          <w:szCs w:val="18"/>
          <w:color w:val="auto"/>
        </w:rPr>
        <w:t xml:space="preserve"> The Company has never declared or paid any cash dividends and does not presently plan to pay cash dividends in the foreseeable future. Consequently, the Company used an expected dividend yield of zero.</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1"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Applying these valuation approaches involves the use of estimates, judgments and assumptions that are highly complex and subjective, including our expected future net sales and expenses, the determination of discount rates, valuation multiples, the selection of comparable public companies and the probability of future events. Changes in any or all of these estimates and assumptions may impact our valuation as of each valuation date. Such changes may have a material impact on the valuation of our shares and our share-based awards.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Recently Issued Accounting Standards Not Yet Adopted</w:t>
      </w:r>
    </w:p>
    <w:p>
      <w:pPr>
        <w:spacing w:after="0" w:line="118"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For a discussion of recently adopted accounting standards and recently issued accounting standards not yet adopted, please see “Note 1 — Nature of Business and Significant Accounting Policies” to our audited consolidated financial statements, included elsewhere in this prospectus.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8"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from adverse changes in foreign currency exchange rates, interest rates, and inflation.</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Risks</w:t>
      </w:r>
    </w:p>
    <w:p>
      <w:pPr>
        <w:spacing w:after="0" w:line="116"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We have international sales, including in Canada, certain countries in the EU, Japan, Australia, the United Kingdom, and certain countries in Latin America, among others, all of which have a different currency exposure 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spacing w:after="0" w:line="184"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w:t>
      </w:r>
    </w:p>
    <w:p>
      <w:pPr>
        <w:spacing w:after="0" w:line="17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 10% appreciation/depreciation in the Mexican peso against the U.S. dollar would have increased or decreased our expenses incurred and paid in the Mexican peso by approximately $32 million in the year ended December 31, 2024.</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6" w:lineRule="exact"/>
        <w:rPr>
          <w:sz w:val="20"/>
          <w:szCs w:val="20"/>
          <w:color w:val="auto"/>
        </w:rPr>
      </w:pPr>
    </w:p>
    <w:p>
      <w:pPr>
        <w:jc w:val="both"/>
        <w:ind w:left="160" w:right="280" w:firstLine="436"/>
        <w:spacing w:after="0" w:line="263" w:lineRule="auto"/>
        <w:rPr>
          <w:sz w:val="20"/>
          <w:szCs w:val="20"/>
          <w:color w:val="auto"/>
        </w:rPr>
      </w:pPr>
      <w:r>
        <w:rPr>
          <w:rFonts w:ascii="Times New Roman" w:cs="Times New Roman" w:eastAsia="Times New Roman" w:hAnsi="Times New Roman"/>
          <w:sz w:val="18"/>
          <w:szCs w:val="18"/>
          <w:color w:val="auto"/>
        </w:rPr>
        <w:t>As of December 31, 2024, we had approximately $16,757 million of gross outstanding indebtedness including $8,257 million of borrowings at variable interest rates before considering deferred financing costs of $265 million. The borrowings under the Senior Secured Credit Facilities accrue interest at variable interest rates and thus are subject to interest rate risk.</w:t>
      </w:r>
    </w:p>
    <w:p>
      <w:pPr>
        <w:spacing w:after="0" w:line="175" w:lineRule="exact"/>
        <w:rPr>
          <w:sz w:val="20"/>
          <w:szCs w:val="20"/>
          <w:color w:val="auto"/>
        </w:rPr>
      </w:pPr>
    </w:p>
    <w:p>
      <w:pPr>
        <w:ind w:left="160" w:right="200" w:firstLine="436"/>
        <w:spacing w:after="0" w:line="258" w:lineRule="auto"/>
        <w:rPr>
          <w:sz w:val="20"/>
          <w:szCs w:val="20"/>
          <w:color w:val="auto"/>
        </w:rPr>
      </w:pPr>
      <w:r>
        <w:rPr>
          <w:rFonts w:ascii="Times New Roman" w:cs="Times New Roman" w:eastAsia="Times New Roman" w:hAnsi="Times New Roman"/>
          <w:sz w:val="18"/>
          <w:szCs w:val="18"/>
          <w:color w:val="auto"/>
        </w:rPr>
        <w:t>Borrowings under the New Dollar Term Loan Facility and New Euro Term Loan Facility bear interest at a floating rate per annum, based on the SOFR plus an applicable spread and EURIBOR plus an applicable spread, respectively. As of December 31, 2024, we had $7,612 million and $645 million outstanding under the New Dollar Term Loan Facility and New Euro Term Loan Facility, respectively, bearing interest at variable rates. Each change of 25 basis point in interest rates would result in a $9.7 million change in annual interest expense on term loan borrowing.</w:t>
      </w:r>
    </w:p>
    <w:p>
      <w:pPr>
        <w:spacing w:after="0" w:line="180"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various rates per annum, all of which float with relevant rate indices, i.e., SOFR. As of December 31, 2024, we do not have borrowings outstanding under the Revolving Credit Facility. Although we do not have any borrowings outstanding under our Revolving Credit Facility as of December 31, 2024, had the Revolving Credit Facility been fully drawn, each change of 25 basis point in interest rates would result in a $2.5 million change in annual interest expense on such outstanding borrowings under the Revolving Credit Facility.</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1"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entered into interest rate swaps and interest rate caps to manage interest rate risk on our outstanding term debts. Interest rate swaps and interest rate caps allow us to effectively convert floating-rate payments into fixed-rate payments. Interest expenses on term debts are partially offset by the corresponding losses and gains on the related hedging instruments. The effective interest rate for USD denominated variable rate borrowings would change to 6.7% from 8.7% for the year ended December 31, 2024, after consideration of the related hedging instruments.</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60"/>
          </w:cols>
          <w:pgMar w:left="320" w:top="451" w:right="6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mission is to make healthcare run better by delivering improved clinical, financial, and operational outcomes.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the largest provider of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150495</wp:posOffset>
            </wp:positionV>
            <wp:extent cx="5146675" cy="26155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667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Note: Amounts were calculated in accordance with the historical accounting standards applicable to the Company in the relevant period.</w:t>
      </w:r>
    </w:p>
    <w:p>
      <w:pPr>
        <w:spacing w:after="0" w:line="206"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60"/>
          </w:cols>
          <w:pgMar w:left="320" w:top="451" w:right="5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lowering costs and delivering superior service levels. As a result, Medline is now the largest provider of med-surg products and supply chain solutions serving all points of care, based on total net sales of med-surg products.</w:t>
      </w:r>
    </w:p>
    <w:p>
      <w:pPr>
        <w:spacing w:after="0" w:line="162"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145415</wp:posOffset>
            </wp:positionV>
            <wp:extent cx="5146675" cy="2462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6675" cy="246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187"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1"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84"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18" w:lineRule="exact"/>
        <w:rPr>
          <w:sz w:val="20"/>
          <w:szCs w:val="20"/>
          <w:color w:val="auto"/>
        </w:rPr>
      </w:pPr>
    </w:p>
    <w:p>
      <w:pPr>
        <w:ind w:left="160" w:right="340" w:firstLine="436"/>
        <w:spacing w:after="0" w:line="308" w:lineRule="auto"/>
        <w:rPr>
          <w:sz w:val="20"/>
          <w:szCs w:val="20"/>
          <w:color w:val="auto"/>
        </w:rPr>
      </w:pPr>
      <w:r>
        <w:rPr>
          <w:rFonts w:ascii="Times New Roman" w:cs="Times New Roman" w:eastAsia="Times New Roman" w:hAnsi="Times New Roman"/>
          <w:sz w:val="17"/>
          <w:szCs w:val="17"/>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117475</wp:posOffset>
            </wp:positionV>
            <wp:extent cx="4755515" cy="16560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55515" cy="165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8" w:lineRule="exact"/>
        <w:rPr>
          <w:sz w:val="20"/>
          <w:szCs w:val="20"/>
          <w:color w:val="auto"/>
        </w:rPr>
      </w:pPr>
    </w:p>
    <w:p>
      <w:pPr>
        <w:jc w:val="both"/>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We estimate our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40"/>
          </w:cols>
          <w:pgMar w:left="320" w:top="451" w:right="5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68"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International markets also represent an attractive opportunity as net sales outside of the United States represented only 6.9% of our total net sales for the year ended December 31, 2024.</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market opportunity is enhanced by the following dynamics:</w:t>
      </w:r>
    </w:p>
    <w:p>
      <w:pPr>
        <w:spacing w:after="0" w:line="125" w:lineRule="exact"/>
        <w:rPr>
          <w:sz w:val="20"/>
          <w:szCs w:val="20"/>
          <w:color w:val="auto"/>
        </w:rPr>
      </w:pPr>
    </w:p>
    <w:p>
      <w:pPr>
        <w:ind w:left="1140" w:hanging="438"/>
        <w:spacing w:after="0" w:line="280"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Pressure Across End Markets</w:t>
      </w:r>
      <w:r>
        <w:rPr>
          <w:rFonts w:ascii="Times New Roman" w:cs="Times New Roman" w:eastAsia="Times New Roman" w:hAnsi="Times New Roman"/>
          <w:sz w:val="18"/>
          <w:szCs w:val="18"/>
          <w:color w:val="auto"/>
        </w:rPr>
        <w:t>: Hospitals generally operate at a low margin; given these dynamics, health systems and providers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heavily focused on mitigating costs and increasing the quality of care.</w:t>
      </w:r>
    </w:p>
    <w:p>
      <w:pPr>
        <w:spacing w:after="0" w:line="65" w:lineRule="exact"/>
        <w:rPr>
          <w:rFonts w:ascii="Times New Roman" w:cs="Times New Roman" w:eastAsia="Times New Roman" w:hAnsi="Times New Roman"/>
          <w:sz w:val="18"/>
          <w:szCs w:val="18"/>
          <w:color w:val="auto"/>
        </w:rPr>
      </w:pPr>
    </w:p>
    <w:p>
      <w:pPr>
        <w:ind w:left="1140" w:right="260" w:hanging="438"/>
        <w:spacing w:after="0" w:line="280"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Shift in Volumes Outside of the Hospital</w:t>
      </w:r>
      <w:r>
        <w:rPr>
          <w:rFonts w:ascii="Times New Roman" w:cs="Times New Roman" w:eastAsia="Times New Roman" w:hAnsi="Times New Roman"/>
          <w:sz w:val="18"/>
          <w:szCs w:val="18"/>
          <w:color w:val="auto"/>
        </w:rPr>
        <w:t>: As overall healthcare utilization increases, higher acuity procedures continue to shift to lower-cost sites of care, such as surgery centers and physician offices.</w:t>
      </w:r>
    </w:p>
    <w:p>
      <w:pPr>
        <w:spacing w:after="0" w:line="65" w:lineRule="exact"/>
        <w:rPr>
          <w:rFonts w:ascii="Times New Roman" w:cs="Times New Roman" w:eastAsia="Times New Roman" w:hAnsi="Times New Roman"/>
          <w:sz w:val="18"/>
          <w:szCs w:val="18"/>
          <w:color w:val="auto"/>
        </w:rPr>
      </w:pPr>
    </w:p>
    <w:p>
      <w:pPr>
        <w:ind w:left="1140" w:right="60" w:hanging="438"/>
        <w:spacing w:after="0" w:line="280"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Healthcare Consolidation</w:t>
      </w:r>
      <w:r>
        <w:rPr>
          <w:rFonts w:ascii="Times New Roman" w:cs="Times New Roman" w:eastAsia="Times New Roman" w:hAnsi="Times New Roman"/>
          <w:sz w:val="18"/>
          <w:szCs w:val="18"/>
          <w:color w:val="auto"/>
        </w:rPr>
        <w:t>: Consolidation activity is expected to continue, as hospitals combine to drive scale and create integrated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serve the continuum of care.</w:t>
      </w:r>
    </w:p>
    <w:p>
      <w:pPr>
        <w:spacing w:after="0" w:line="65" w:lineRule="exact"/>
        <w:rPr>
          <w:rFonts w:ascii="Times New Roman" w:cs="Times New Roman" w:eastAsia="Times New Roman" w:hAnsi="Times New Roman"/>
          <w:sz w:val="18"/>
          <w:szCs w:val="18"/>
          <w:color w:val="auto"/>
        </w:rPr>
      </w:pPr>
    </w:p>
    <w:p>
      <w:pPr>
        <w:ind w:left="1140" w:right="20" w:hanging="438"/>
        <w:spacing w:after="0" w:line="280"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 Resiliency</w:t>
      </w:r>
      <w:r>
        <w:rPr>
          <w:rFonts w:ascii="Times New Roman" w:cs="Times New Roman" w:eastAsia="Times New Roman" w:hAnsi="Times New Roman"/>
          <w:sz w:val="18"/>
          <w:szCs w:val="18"/>
          <w:color w:val="auto"/>
        </w:rPr>
        <w:t>: Supply chain disruptions and shortages have revealed the industry’s need for in-stock products and short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timeframes.</w:t>
      </w:r>
    </w:p>
    <w:p>
      <w:pPr>
        <w:spacing w:after="0" w:line="157" w:lineRule="exact"/>
        <w:rPr>
          <w:sz w:val="20"/>
          <w:szCs w:val="20"/>
          <w:color w:val="auto"/>
        </w:rPr>
      </w:pPr>
    </w:p>
    <w:p>
      <w:pPr>
        <w:ind w:left="160" w:right="2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w:t>
      </w:r>
      <w:r>
        <w:rPr>
          <w:rFonts w:ascii="Times New Roman" w:cs="Times New Roman" w:eastAsia="Times New Roman" w:hAnsi="Times New Roman"/>
          <w:sz w:val="18"/>
          <w:szCs w:val="18"/>
          <w:color w:val="auto"/>
        </w:rPr>
        <w:t>We offer our customers approximately 190,000 med-surg products through our Medline Brand segment. We have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across many key product families within the approximately $75 billion SAM for our Medline Brand products. See “Market and Industry Data” for how we define our SAM.</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Medline Brand products are organized into three product categories: Front Line Care, Surgical Solutions, and Laboratory and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168910</wp:posOffset>
            </wp:positionV>
            <wp:extent cx="5146675" cy="255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667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60"/>
          </w:cols>
          <w:pgMar w:left="320" w:top="451" w:right="5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Select Medline Brand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170180</wp:posOffset>
            </wp:positionV>
            <wp:extent cx="5146675" cy="22504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667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93980</wp:posOffset>
            </wp:positionV>
            <wp:extent cx="5146675" cy="13335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667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w:t>
      </w:r>
    </w:p>
    <w:p>
      <w:pPr>
        <w:spacing w:after="0" w:line="175"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Our manufacturing capabilities enable many of our Medline Brand products to become category leaders. For example, Medline began manufacturing surgical procedure trays in 1985 and is the largest kitting manufacturer in the United States today. Our surgical kitting trays come complete with the majority of the supplies a surgeon needs in one convenient pack. This improves outcomes, shortening the time it takes to manage the supplies needed for a procedure and reducing waste. These trays benefit healthcare providers by not having to pick each individual item from their supply shelves. Our leading position is enabled by both the value our trays provide to physicians as well as the scale and efficiency of our facilities that manufacture these products, including our Nuevo Laredo and Mexicali, Mexico facilities. Our kitting facilities employ more than 9,300 people, with over 900,000 kits made every day across North America, Australia, Asia, and Europe.</w:t>
      </w:r>
    </w:p>
    <w:p>
      <w:pPr>
        <w:spacing w:after="0" w:line="184"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For the vast majority of the other two-thirds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40"/>
          </w:cols>
          <w:pgMar w:left="320" w:top="451" w:right="5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80"/>
        <w:spacing w:after="0" w:line="263" w:lineRule="auto"/>
        <w:rPr>
          <w:sz w:val="20"/>
          <w:szCs w:val="20"/>
          <w:color w:val="auto"/>
        </w:rPr>
      </w:pPr>
      <w:r>
        <w:rPr>
          <w:rFonts w:ascii="Times New Roman" w:cs="Times New Roman" w:eastAsia="Times New Roman" w:hAnsi="Times New Roman"/>
          <w:sz w:val="18"/>
          <w:szCs w:val="18"/>
          <w:color w:val="auto"/>
        </w:rPr>
        <w:t>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75"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of our customer base.</w:t>
      </w:r>
    </w:p>
    <w:p>
      <w:pPr>
        <w:spacing w:after="0" w:line="180"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71" w:lineRule="exact"/>
        <w:rPr>
          <w:sz w:val="20"/>
          <w:szCs w:val="20"/>
          <w:color w:val="auto"/>
        </w:rPr>
      </w:pPr>
    </w:p>
    <w:p>
      <w:pPr>
        <w:ind w:left="160" w:right="14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Solutions. </w:t>
      </w:r>
      <w:r>
        <w:rPr>
          <w:rFonts w:ascii="Times New Roman" w:cs="Times New Roman" w:eastAsia="Times New Roman" w:hAnsi="Times New Roman"/>
          <w:sz w:val="18"/>
          <w:szCs w:val="18"/>
          <w:color w:val="auto"/>
        </w:rPr>
        <w:t>We offer approximately 145,000 med-surg products from over 1,250 third-party suppliers, including nearly all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88"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Additionally, we continue to bolster our supply chain offerings to better serve our customers. For example, in October 2024 we announced a partnership with Microsoft to design an innovative healthcare supply chain resiliency solution, leveraging AI-generated insights to provide integrated inventory management. This will combine customer and supplier data to develop better insights into customer purchasing patterns and optimize service levels, among other capabilities.</w:t>
      </w:r>
    </w:p>
    <w:p>
      <w:pPr>
        <w:spacing w:after="0" w:line="176"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Prime Vendor Model. </w:t>
      </w:r>
      <w:r>
        <w:rPr>
          <w:rFonts w:ascii="Times New Roman" w:cs="Times New Roman" w:eastAsia="Times New Roman" w:hAnsi="Times New Roman"/>
          <w:sz w:val="18"/>
          <w:szCs w:val="18"/>
          <w:color w:val="auto"/>
        </w:rPr>
        <w:t>In our Prime Vendor relationships, we enter into long-term agreements, typically structured with five-year terms,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84" w:lineRule="exact"/>
        <w:rPr>
          <w:sz w:val="20"/>
          <w:szCs w:val="20"/>
          <w:color w:val="auto"/>
        </w:rPr>
      </w:pPr>
    </w:p>
    <w:p>
      <w:pPr>
        <w:ind w:left="160" w:right="80" w:firstLine="436"/>
        <w:spacing w:after="0" w:line="251" w:lineRule="auto"/>
        <w:rPr>
          <w:sz w:val="20"/>
          <w:szCs w:val="20"/>
          <w:color w:val="auto"/>
        </w:rPr>
      </w:pPr>
      <w:r>
        <w:rPr>
          <w:rFonts w:ascii="Times New Roman" w:cs="Times New Roman" w:eastAsia="Times New Roman" w:hAnsi="Times New Roman"/>
          <w:sz w:val="18"/>
          <w:szCs w:val="18"/>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2"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20"/>
        <w:spacing w:after="0" w:line="278" w:lineRule="auto"/>
        <w:rPr>
          <w:sz w:val="20"/>
          <w:szCs w:val="20"/>
          <w:color w:val="auto"/>
        </w:rPr>
      </w:pPr>
      <w:r>
        <w:rPr>
          <w:rFonts w:ascii="Times New Roman" w:cs="Times New Roman" w:eastAsia="Times New Roman" w:hAnsi="Times New Roman"/>
          <w:sz w:val="18"/>
          <w:szCs w:val="18"/>
          <w:color w:val="auto"/>
        </w:rPr>
        <w:t>our profitability. This compelling value proposition and supply chain relationship with our customers supports our greater than 98% average Prime Vendor retention rate over the past five years.</w:t>
      </w:r>
    </w:p>
    <w:p>
      <w:pPr>
        <w:spacing w:after="0" w:line="162"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Our differentiated capabilities have enabled us to grow and scale our Prime Vendor model over time. Over just the past six years, we have signed new Prime Vendor agreements representing approximately $7.8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156210</wp:posOffset>
            </wp:positionV>
            <wp:extent cx="4866005" cy="27343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6600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Note: Data represents average Medline Brand net sales percentage mix across cohorts 2014 – 2023.</w:t>
      </w:r>
    </w:p>
    <w:p>
      <w:pPr>
        <w:spacing w:after="0" w:line="202" w:lineRule="exact"/>
        <w:rPr>
          <w:sz w:val="20"/>
          <w:szCs w:val="20"/>
          <w:color w:val="auto"/>
        </w:rPr>
      </w:pPr>
    </w:p>
    <w:p>
      <w:pPr>
        <w:ind w:left="160" w:right="7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Distribution Network. </w:t>
      </w:r>
      <w:r>
        <w:rPr>
          <w:rFonts w:ascii="Times New Roman" w:cs="Times New Roman" w:eastAsia="Times New Roman" w:hAnsi="Times New Roman"/>
          <w:sz w:val="18"/>
          <w:szCs w:val="18"/>
          <w:color w:val="auto"/>
        </w:rPr>
        <w:t>We have a differentiated network of 69 global distribution centers, 45 of which are in the United States.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centers are strategically located to provide next-day delivery to 95% of our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60"/>
          </w:cols>
          <w:pgMar w:left="320" w:top="451" w:right="5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We currently have approximately 25% in excess capacity across our platform to support our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150495</wp:posOffset>
            </wp:positionV>
            <wp:extent cx="4755515" cy="3269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55515" cy="326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Commercial Platform. </w:t>
      </w:r>
      <w:r>
        <w:rPr>
          <w:rFonts w:ascii="Times New Roman" w:cs="Times New Roman" w:eastAsia="Times New Roman" w:hAnsi="Times New Roman"/>
          <w:sz w:val="18"/>
          <w:szCs w:val="18"/>
          <w:color w:val="auto"/>
        </w:rPr>
        <w:t>Our deep connectivity to our customers is driven by the strength of our dedicated and tenured commercial team.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60"/>
          </w:cols>
          <w:pgMar w:left="320" w:top="451" w:right="5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8"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We have a track record of successfully bringing new products to market, with more than 2,100 granted patents and more than 400 FDA 510(k) clearances. Over the last three years, we have successfully launched 268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132080</wp:posOffset>
            </wp:positionV>
            <wp:extent cx="5146675" cy="1791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667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Three examples of our ability to innovate include:</w:t>
      </w:r>
    </w:p>
    <w:p>
      <w:pPr>
        <w:spacing w:after="0" w:line="123" w:lineRule="exact"/>
        <w:rPr>
          <w:sz w:val="20"/>
          <w:szCs w:val="20"/>
          <w:color w:val="auto"/>
        </w:rPr>
      </w:pPr>
    </w:p>
    <w:p>
      <w:pPr>
        <w:ind w:left="4040" w:right="20" w:hanging="267"/>
        <w:spacing w:after="0" w:line="25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ReadyPrep CHG</w:t>
      </w:r>
      <w:r>
        <w:rPr>
          <w:rFonts w:ascii="Times New Roman" w:cs="Times New Roman" w:eastAsia="Times New Roman" w:hAnsi="Times New Roman"/>
          <w:sz w:val="18"/>
          <w:szCs w:val="18"/>
          <w:color w:val="auto"/>
        </w:rPr>
        <w:t>: Medline announced the approval of the ReadyPrep CHG cloth in 2019, a new pre-op skin antiseptic cloth designed to help give clinicians another tool to fight surgical site infections. According to the Centers for Disease Control and Prevention, surgical site infections are the costliest healthcare-associated infection with an estimated annual cost of $3.3 billion. These pre-op skin antiseptic cloths quickly gained popularity with hospital groups across the nation because of their competitive cost, larger size, and two-year-long shelf life. ReadyPrep net sales were $121.4 million in the first two full calendar years post-launch.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-912495</wp:posOffset>
            </wp:positionV>
            <wp:extent cx="1078230" cy="15119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78230" cy="1511935"/>
                    </a:xfrm>
                    <a:prstGeom prst="rect">
                      <a:avLst/>
                    </a:prstGeom>
                    <a:noFill/>
                  </pic:spPr>
                </pic:pic>
              </a:graphicData>
            </a:graphic>
          </wp:anchor>
        </w:drawing>
      </w:r>
    </w:p>
    <w:p>
      <w:pPr>
        <w:sectPr>
          <w:pgSz w:w="11900" w:h="16838" w:orient="portrait"/>
          <w:cols w:equalWidth="0" w:num="1">
            <w:col w:w="10960"/>
          </w:cols>
          <w:pgMar w:left="320" w:top="45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-3810</wp:posOffset>
            </wp:positionV>
            <wp:extent cx="1180465" cy="1172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80465" cy="1172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hanging="26"/>
        <w:spacing w:after="0" w:line="253"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Bonded Sterilization Wrap</w:t>
      </w:r>
      <w:r>
        <w:rPr>
          <w:rFonts w:ascii="Times New Roman" w:cs="Times New Roman" w:eastAsia="Times New Roman" w:hAnsi="Times New Roman"/>
          <w:sz w:val="18"/>
          <w:szCs w:val="18"/>
          <w:color w:val="auto"/>
        </w:rPr>
        <w:t>: Medline launched the Bonded Sterilization Wrap in 2014, a next-generation sterilization wrap shown to have greater material strength than the competition to ensure the integrity of the sterilization process. In an independent, side-by-side strength test, Medline’s wrap, constructed with 100% polypropylene, was shown to have greater material strength to resist punctures and tears compared to the sterilization wrap of the next closest competitor. Bonded Sterilization Wrap net sales were $23.8 million in the first two full calendar years post-launch.</w:t>
      </w:r>
    </w:p>
    <w:p>
      <w:pPr>
        <w:spacing w:after="0" w:line="200" w:lineRule="exact"/>
        <w:rPr>
          <w:sz w:val="20"/>
          <w:szCs w:val="20"/>
          <w:color w:val="auto"/>
        </w:rPr>
      </w:pPr>
    </w:p>
    <w:p>
      <w:pPr>
        <w:sectPr>
          <w:pgSz w:w="11900" w:h="16838" w:orient="portrait"/>
          <w:cols w:equalWidth="0" w:num="2">
            <w:col w:w="3880" w:space="160"/>
            <w:col w:w="6920"/>
          </w:cols>
          <w:pgMar w:left="320" w:top="451" w:right="619" w:bottom="1440" w:gutter="0" w:footer="0" w:header="0"/>
          <w:type w:val="continuous"/>
        </w:sectPr>
      </w:pPr>
    </w:p>
    <w:p>
      <w:pPr>
        <w:spacing w:after="0" w:line="30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-3810</wp:posOffset>
            </wp:positionV>
            <wp:extent cx="1197610" cy="10445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97610" cy="1044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hanging="26"/>
        <w:spacing w:after="0" w:line="25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OptiView Transparent Dressing with HydroCore Technology</w:t>
      </w:r>
      <w:r>
        <w:rPr>
          <w:rFonts w:ascii="Times New Roman" w:cs="Times New Roman" w:eastAsia="Times New Roman" w:hAnsi="Times New Roman"/>
          <w:sz w:val="18"/>
          <w:szCs w:val="18"/>
          <w:color w:val="auto"/>
        </w:rPr>
        <w:t>: Medline launched a first-of-its-kind clear dressing designed to be used as part of a pressure injury prevention protocol in 2023. The HydroCore technology helps redistribute pressure, reduces shear forces, and manages microclimate. Its unique transparent core takes the guesswork out of skin assessments, leading to less dressing changes, longer wear times, and decreased annual spend.</w:t>
      </w:r>
    </w:p>
    <w:p>
      <w:pPr>
        <w:spacing w:after="0" w:line="200" w:lineRule="exact"/>
        <w:rPr>
          <w:sz w:val="20"/>
          <w:szCs w:val="20"/>
          <w:color w:val="auto"/>
        </w:rPr>
      </w:pPr>
    </w:p>
    <w:p>
      <w:pPr>
        <w:sectPr>
          <w:pgSz w:w="11900" w:h="16838" w:orient="portrait"/>
          <w:cols w:equalWidth="0" w:num="2">
            <w:col w:w="3880" w:space="160"/>
            <w:col w:w="6920"/>
          </w:cols>
          <w:pgMar w:left="320" w:top="451" w:right="61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0960"/>
          </w:cols>
          <w:pgMar w:left="320" w:top="451" w:right="61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Medline also continues to invest in research and development infrastructure, as evidenced by our facility expansion in Mundelein, Illinois in 2024. This project approximately tripled the size of the product testing and development facility to 74,000 square feet and significantly bolsters its capacity to test a variety of products, ingredients, and solutions efficiently and comprehensively. The investment includes upgraded mechanical systems and environmental controls as well as increased lab space and capabilities—including design verification, chemistry, microbiology, expiration dating, calibration, and formulation. The lab has grown to more than 140 employees, including engineers, biologists, chemists, formulation scientists, and technicians.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Value Creation for Key Stakeholders</w:t>
      </w:r>
    </w:p>
    <w:p>
      <w:pPr>
        <w:spacing w:after="0" w:line="118"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Our integrated business model helps us to address the needs of the market today and enables us to drive value for key constituents across the healthcare system.</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Healthcare providers:</w:t>
      </w:r>
    </w:p>
    <w:p>
      <w:pPr>
        <w:spacing w:after="0" w:line="129" w:lineRule="exact"/>
        <w:rPr>
          <w:sz w:val="20"/>
          <w:szCs w:val="20"/>
          <w:color w:val="auto"/>
        </w:rPr>
      </w:pPr>
    </w:p>
    <w:p>
      <w:pPr>
        <w:ind w:left="1140" w:right="380" w:hanging="438"/>
        <w:spacing w:after="0" w:line="278"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high-quality, competitively priced Medline Brand products deliver material cost savings to providers, many of whom face margin pressures.</w:t>
      </w:r>
    </w:p>
    <w:p>
      <w:pPr>
        <w:spacing w:after="0" w:line="68" w:lineRule="exact"/>
        <w:rPr>
          <w:rFonts w:ascii="Times New Roman" w:cs="Times New Roman" w:eastAsia="Times New Roman" w:hAnsi="Times New Roman"/>
          <w:sz w:val="18"/>
          <w:szCs w:val="18"/>
          <w:color w:val="auto"/>
        </w:rPr>
      </w:pPr>
    </w:p>
    <w:p>
      <w:pPr>
        <w:ind w:left="1140" w:right="600" w:hanging="438"/>
        <w:spacing w:after="0" w:line="278"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Prime Vendor model enables the cost-effective management of products, inventory, distribution, and delivery across sites of care.</w:t>
      </w:r>
    </w:p>
    <w:p>
      <w:pPr>
        <w:spacing w:after="0" w:line="127" w:lineRule="exact"/>
        <w:rPr>
          <w:rFonts w:ascii="Times New Roman" w:cs="Times New Roman" w:eastAsia="Times New Roman" w:hAnsi="Times New Roman"/>
          <w:sz w:val="18"/>
          <w:szCs w:val="18"/>
          <w:color w:val="auto"/>
        </w:rPr>
      </w:pPr>
    </w:p>
    <w:p>
      <w:pPr>
        <w:ind w:left="1140" w:right="40" w:hanging="438"/>
        <w:spacing w:after="0" w:line="25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129" w:lineRule="exact"/>
        <w:rPr>
          <w:sz w:val="20"/>
          <w:szCs w:val="20"/>
          <w:color w:val="auto"/>
        </w:rPr>
      </w:pPr>
    </w:p>
    <w:p>
      <w:pPr>
        <w:ind w:left="1140" w:right="340" w:hanging="438"/>
        <w:spacing w:after="0" w:line="308" w:lineRule="auto"/>
        <w:tabs>
          <w:tab w:leader="none" w:pos="11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46" w:lineRule="exact"/>
        <w:rPr>
          <w:rFonts w:ascii="Times New Roman" w:cs="Times New Roman" w:eastAsia="Times New Roman" w:hAnsi="Times New Roman"/>
          <w:sz w:val="17"/>
          <w:szCs w:val="17"/>
          <w:color w:val="auto"/>
        </w:rPr>
      </w:pPr>
    </w:p>
    <w:p>
      <w:pPr>
        <w:ind w:left="1140" w:right="220" w:hanging="438"/>
        <w:spacing w:after="0" w:line="278"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educational materials and at-home care kits help patients take an active role in their own care, which improves health outcomes and patient satisfaction.</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thoughtfully designed products and services creates positive patient experiences.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direct-to-consumer channel increases access to our high-quality, cost-effective products.</w:t>
      </w: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Product suppliers:</w:t>
      </w:r>
    </w:p>
    <w:p>
      <w:pPr>
        <w:spacing w:after="0" w:line="129" w:lineRule="exact"/>
        <w:rPr>
          <w:sz w:val="20"/>
          <w:szCs w:val="20"/>
          <w:color w:val="auto"/>
        </w:rPr>
      </w:pPr>
    </w:p>
    <w:p>
      <w:pPr>
        <w:ind w:left="1140" w:hanging="438"/>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scaled platform provides third-party product suppliers with access to our commercial team and a large and diverse customer base.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levels ensure that suppliers’ products are delivered reliably and on time.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across the healthcare continuum provides opportunities to serve every site of care.</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60"/>
          </w:cols>
          <w:pgMar w:left="320" w:top="451" w:right="5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ability to earn and retain customers is driven by a number of specific qualities that are critical to our success.</w:t>
      </w:r>
    </w:p>
    <w:p>
      <w:pPr>
        <w:spacing w:after="0" w:line="21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Customer-Focused Culture. </w:t>
      </w:r>
      <w:r>
        <w:rPr>
          <w:rFonts w:ascii="Times New Roman" w:cs="Times New Roman" w:eastAsia="Times New Roman" w:hAnsi="Times New Roman"/>
          <w:sz w:val="18"/>
          <w:szCs w:val="18"/>
          <w:color w:val="auto"/>
        </w:rPr>
        <w:t>Customers are at the heart of what we do. Our best-in-class business model, entrepreneurial spirit, and compelling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80" w:lineRule="exact"/>
        <w:rPr>
          <w:sz w:val="20"/>
          <w:szCs w:val="20"/>
          <w:color w:val="auto"/>
        </w:rPr>
      </w:pPr>
    </w:p>
    <w:p>
      <w:pPr>
        <w:ind w:left="160" w:right="2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Medline Platform Advantage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are the largest provider of med-surg and supply chain solutions serving all points of care, based on total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$1.5 billion in total customer signings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138430</wp:posOffset>
            </wp:positionV>
            <wp:extent cx="4772660" cy="23437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72660" cy="234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right="4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Product Portfolio. </w:t>
      </w:r>
      <w:r>
        <w:rPr>
          <w:rFonts w:ascii="Times New Roman" w:cs="Times New Roman" w:eastAsia="Times New Roman" w:hAnsi="Times New Roman"/>
          <w:sz w:val="18"/>
          <w:szCs w:val="18"/>
          <w:color w:val="auto"/>
        </w:rPr>
        <w:t>We offer approximately 190,000 Medline Brand products across our product categories. We have a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of successfully bringing new products to market, with more than 2,100 granted patents and more than 400 FDA 510(k) clearances. Over the last three years, we have successfully launched 268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320" w:top="451" w:right="5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Unrivaled Distribution Capabilities. </w:t>
      </w:r>
      <w:r>
        <w:rPr>
          <w:rFonts w:ascii="Times New Roman" w:cs="Times New Roman" w:eastAsia="Times New Roman" w:hAnsi="Times New Roman"/>
          <w:sz w:val="18"/>
          <w:szCs w:val="18"/>
          <w:color w:val="auto"/>
        </w:rPr>
        <w:t>Medline’s breadth and footprint today is the result of decades of significant investments, including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80" w:lineRule="exact"/>
        <w:rPr>
          <w:sz w:val="20"/>
          <w:szCs w:val="20"/>
          <w:color w:val="auto"/>
        </w:rPr>
      </w:pPr>
    </w:p>
    <w:p>
      <w:pPr>
        <w:ind w:left="16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Clinical Solutions. </w:t>
      </w:r>
      <w:r>
        <w:rPr>
          <w:rFonts w:ascii="Times New Roman" w:cs="Times New Roman" w:eastAsia="Times New Roman" w:hAnsi="Times New Roman"/>
          <w:sz w:val="18"/>
          <w:szCs w:val="18"/>
          <w:color w:val="auto"/>
        </w:rPr>
        <w:t>Medline’s clinical solutions empower frontline teams with best practice guidance, education and training, and a system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76"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Returns to Scale. </w:t>
      </w:r>
      <w:r>
        <w:rPr>
          <w:rFonts w:ascii="Times New Roman" w:cs="Times New Roman" w:eastAsia="Times New Roman" w:hAnsi="Times New Roman"/>
          <w:sz w:val="18"/>
          <w:szCs w:val="18"/>
          <w:color w:val="auto"/>
        </w:rPr>
        <w:t>As we grow, Medline is uniquely positioned to benefit from our vertically integrated model and over 1,300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8" w:lineRule="exact"/>
        <w:rPr>
          <w:sz w:val="20"/>
          <w:szCs w:val="20"/>
          <w:color w:val="auto"/>
        </w:rPr>
      </w:pPr>
    </w:p>
    <w:p>
      <w:pPr>
        <w:ind w:left="160" w:right="360" w:firstLine="436"/>
        <w:spacing w:after="0" w:line="308" w:lineRule="auto"/>
        <w:rPr>
          <w:sz w:val="20"/>
          <w:szCs w:val="20"/>
          <w:color w:val="auto"/>
        </w:rPr>
      </w:pPr>
      <w:r>
        <w:rPr>
          <w:rFonts w:ascii="Times New Roman" w:cs="Times New Roman" w:eastAsia="Times New Roman" w:hAnsi="Times New Roman"/>
          <w:sz w:val="17"/>
          <w:szCs w:val="17"/>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Net Sales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left="1140" w:right="180" w:hanging="438"/>
        <w:spacing w:after="0" w:line="258"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with our Prime Vendor Customers</w:t>
      </w:r>
      <w:r>
        <w:rPr>
          <w:rFonts w:ascii="Times New Roman" w:cs="Times New Roman" w:eastAsia="Times New Roman" w:hAnsi="Times New Roman"/>
          <w:sz w:val="18"/>
          <w:szCs w:val="18"/>
          <w:color w:val="auto"/>
        </w:rPr>
        <w:t>: We have achieved a greater than 98% average Prime Vendor retention rate over the past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86" w:lineRule="exact"/>
        <w:rPr>
          <w:rFonts w:ascii="Times New Roman" w:cs="Times New Roman" w:eastAsia="Times New Roman" w:hAnsi="Times New Roman"/>
          <w:sz w:val="18"/>
          <w:szCs w:val="18"/>
          <w:color w:val="auto"/>
        </w:rPr>
      </w:pPr>
    </w:p>
    <w:p>
      <w:pPr>
        <w:ind w:left="1140" w:right="520" w:hanging="438"/>
        <w:spacing w:after="0" w:line="258"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Winning New Prime Vendor Customers</w:t>
      </w:r>
      <w:r>
        <w:rPr>
          <w:rFonts w:ascii="Times New Roman" w:cs="Times New Roman" w:eastAsia="Times New Roman" w:hAnsi="Times New Roman"/>
          <w:sz w:val="18"/>
          <w:szCs w:val="18"/>
          <w:color w:val="auto"/>
        </w:rPr>
        <w:t>: We continue to earn new Prime Vendor customers, which has been a key driver of sustained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86" w:lineRule="exact"/>
        <w:rPr>
          <w:rFonts w:ascii="Times New Roman" w:cs="Times New Roman" w:eastAsia="Times New Roman" w:hAnsi="Times New Roman"/>
          <w:sz w:val="18"/>
          <w:szCs w:val="18"/>
          <w:color w:val="auto"/>
        </w:rPr>
      </w:pPr>
    </w:p>
    <w:p>
      <w:pPr>
        <w:ind w:left="1140" w:right="80" w:hanging="438"/>
        <w:spacing w:after="0" w:line="264"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Medline Brand with Non-Prime Vendor Customers</w:t>
      </w:r>
      <w:r>
        <w:rPr>
          <w:rFonts w:ascii="Times New Roman" w:cs="Times New Roman" w:eastAsia="Times New Roman" w:hAnsi="Times New Roman"/>
          <w:sz w:val="18"/>
          <w:szCs w:val="18"/>
          <w:color w:val="auto"/>
        </w:rPr>
        <w:t>: An increasing number of non-Prime Vendor customers are choosing Medline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We will continue to provide high-quality, cost-effective products that meet their med-surg needs and accelerate our expansion within these customers.</w:t>
      </w:r>
    </w:p>
    <w:p>
      <w:pPr>
        <w:spacing w:after="0" w:line="79" w:lineRule="exact"/>
        <w:rPr>
          <w:rFonts w:ascii="Times New Roman" w:cs="Times New Roman" w:eastAsia="Times New Roman" w:hAnsi="Times New Roman"/>
          <w:sz w:val="18"/>
          <w:szCs w:val="18"/>
          <w:color w:val="auto"/>
        </w:rPr>
      </w:pPr>
    </w:p>
    <w:p>
      <w:pPr>
        <w:jc w:val="both"/>
        <w:ind w:left="1140" w:right="140" w:hanging="438"/>
        <w:spacing w:after="0" w:line="264"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Product Innovation</w:t>
      </w:r>
      <w:r>
        <w:rPr>
          <w:rFonts w:ascii="Times New Roman" w:cs="Times New Roman" w:eastAsia="Times New Roman" w:hAnsi="Times New Roman"/>
          <w:sz w:val="18"/>
          <w:szCs w:val="18"/>
          <w:color w:val="auto"/>
        </w:rPr>
        <w:t>: Innovation is embedded within our product teams, who leverage our salesforce, customer feedback,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quality and regulatory organizations to develop new Medline Brand products. Our culture of innovation and entrepreneurship and our highly scalable go-to-market model provide us with unique capabilities to bring products to market swiftly.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2"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140" w:right="280" w:hanging="438"/>
        <w:spacing w:after="0" w:line="258"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Channel Expansion</w:t>
      </w:r>
      <w:r>
        <w:rPr>
          <w:rFonts w:ascii="Times New Roman" w:cs="Times New Roman" w:eastAsia="Times New Roman" w:hAnsi="Times New Roman"/>
          <w:sz w:val="18"/>
          <w:szCs w:val="18"/>
          <w:color w:val="auto"/>
        </w:rPr>
        <w:t>: We will continue to evaluate new opportunities to expand our TAM and the markets we serve. We currently 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anywhere a patient, resident, or consumer needs access to medical products. In 2016, we entered the acute care laboratory and diagnostic channel, which we believe is ripe for disruption. Most recently, we expanded into animal health in the United States and dental in Canada. We will continue to evaluate and selectively expand into new channels as opportunities arise.</w:t>
      </w:r>
    </w:p>
    <w:p>
      <w:pPr>
        <w:spacing w:after="0" w:line="86"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value proposition can help customers across markets internationally, and we expect to tap into the</w:t>
      </w:r>
    </w:p>
    <w:p>
      <w:pPr>
        <w:spacing w:after="0" w:line="27" w:lineRule="exact"/>
        <w:rPr>
          <w:rFonts w:ascii="Times New Roman" w:cs="Times New Roman" w:eastAsia="Times New Roman" w:hAnsi="Times New Roman"/>
          <w:sz w:val="18"/>
          <w:szCs w:val="18"/>
          <w:color w:val="auto"/>
        </w:rPr>
      </w:pPr>
    </w:p>
    <w:p>
      <w:pPr>
        <w:ind w:left="114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89" w:lineRule="exact"/>
        <w:rPr>
          <w:rFonts w:ascii="Times New Roman" w:cs="Times New Roman" w:eastAsia="Times New Roman" w:hAnsi="Times New Roman"/>
          <w:sz w:val="18"/>
          <w:szCs w:val="18"/>
          <w:color w:val="auto"/>
        </w:rPr>
      </w:pPr>
    </w:p>
    <w:p>
      <w:pPr>
        <w:ind w:left="1140" w:hanging="438"/>
        <w:spacing w:after="0" w:line="254"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M&amp;A Execution</w:t>
      </w:r>
      <w:r>
        <w:rPr>
          <w:rFonts w:ascii="Times New Roman" w:cs="Times New Roman" w:eastAsia="Times New Roman" w:hAnsi="Times New Roman"/>
          <w:sz w:val="18"/>
          <w:szCs w:val="18"/>
          <w:color w:val="auto"/>
        </w:rPr>
        <w:t>: Our disciplined, global M&amp;A strategy is focused on pursuing adjacent products and services, as well as expanding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Microtek, which provides highly complementary products to our Surgical Solutions product category, as well as the acquisition of Sinclair Dental, further extending our distribution capabilities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146685</wp:posOffset>
            </wp:positionV>
            <wp:extent cx="5129530" cy="9340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2953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Earnings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140" w:right="20" w:hanging="438"/>
        <w:spacing w:after="0" w:line="250"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Medline Brand Conversion Opportunity</w:t>
      </w:r>
      <w:r>
        <w:rPr>
          <w:rFonts w:ascii="Times New Roman" w:cs="Times New Roman" w:eastAsia="Times New Roman" w:hAnsi="Times New Roman"/>
          <w:sz w:val="18"/>
          <w:szCs w:val="18"/>
          <w:color w:val="auto"/>
        </w:rPr>
        <w:t>: To help our customers achieve cost savings, we provide them with Medline Brand products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60"/>
          </w:cols>
          <w:pgMar w:left="320" w:top="451" w:right="5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jc w:val="both"/>
        <w:ind w:left="1140" w:right="420" w:hanging="438"/>
        <w:spacing w:after="0" w:line="258"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Execution</w:t>
      </w:r>
      <w:r>
        <w:rPr>
          <w:rFonts w:ascii="Times New Roman" w:cs="Times New Roman" w:eastAsia="Times New Roman" w:hAnsi="Times New Roman"/>
          <w:sz w:val="18"/>
          <w:szCs w:val="18"/>
          <w:color w:val="auto"/>
        </w:rPr>
        <w:t>: To strengthen our cost advantage on Medline Brand products, we continuously improve our procurement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culture is guided by our six core values:</w:t>
      </w:r>
    </w:p>
    <w:p>
      <w:pPr>
        <w:spacing w:after="0" w:line="127" w:lineRule="exact"/>
        <w:rPr>
          <w:sz w:val="20"/>
          <w:szCs w:val="20"/>
          <w:color w:val="auto"/>
        </w:rPr>
      </w:pPr>
    </w:p>
    <w:p>
      <w:pPr>
        <w:ind w:left="1140" w:hanging="438"/>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relentlessly focus on customers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 agility and flexibility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solve problems with grit and determination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to succeed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practice purposeful candor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relationships matter</w:t>
      </w:r>
    </w:p>
    <w:p>
      <w:pPr>
        <w:spacing w:after="0" w:line="221"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Our team of driven and passionate people brings these values to life. Employees are empowered to make meaningful contributions and work with determination to understand our customers’ needs and deliver exceptional service.</w:t>
      </w:r>
    </w:p>
    <w:p>
      <w:pPr>
        <w:spacing w:after="0" w:line="162" w:lineRule="exact"/>
        <w:rPr>
          <w:sz w:val="20"/>
          <w:szCs w:val="20"/>
          <w:color w:val="auto"/>
        </w:rPr>
      </w:pPr>
    </w:p>
    <w:p>
      <w:pPr>
        <w:ind w:left="160" w:right="320" w:firstLine="436"/>
        <w:spacing w:after="0" w:line="263" w:lineRule="auto"/>
        <w:rPr>
          <w:sz w:val="20"/>
          <w:szCs w:val="20"/>
          <w:color w:val="auto"/>
        </w:rPr>
      </w:pPr>
      <w:r>
        <w:rPr>
          <w:rFonts w:ascii="Times New Roman" w:cs="Times New Roman" w:eastAsia="Times New Roman" w:hAnsi="Times New Roman"/>
          <w:sz w:val="18"/>
          <w:szCs w:val="18"/>
          <w:color w:val="auto"/>
        </w:rPr>
        <w:t>Working at Medline means being part of a winning team, at the forefront of our industry, with the scale to improve healthcare delivery and the agility to act quickly. It is a place where employees are empowered to make meaningful contributions and it is a place that has consistently been recognized as a top employer by multiple national publications, including the following in 2024:</w:t>
      </w:r>
    </w:p>
    <w:p>
      <w:pPr>
        <w:spacing w:after="0" w:line="82" w:lineRule="exact"/>
        <w:rPr>
          <w:sz w:val="20"/>
          <w:szCs w:val="20"/>
          <w:color w:val="auto"/>
        </w:rPr>
      </w:pPr>
    </w:p>
    <w:p>
      <w:pPr>
        <w:ind w:left="1140" w:hanging="438"/>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Tribune: Best Places to Work (14th year recognized)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Healthcare: Best in Business (supply chain category)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Becker’s Healthcare: Top 150 Places to Work in Healthcare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Forbes: America’s Best Large Employers, America’s Best Employers for Women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Newsweek: America’s Greatest Workplaces for Women, America’s Greatest Workplaces for Diversity</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Our value proposition is derived from our integrated business model, the breadth of our Medline Brand portfolio, our differentiated supply chain, and the overall quality and cost of our products. As a result of our integrated business model, our competitors include both other leading med-surg product manufacturers and distributors.</w:t>
      </w:r>
    </w:p>
    <w:p>
      <w:pPr>
        <w:spacing w:after="0" w:line="175"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60"/>
          </w:cols>
          <w:pgMar w:left="320" w:top="451" w:right="5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Additionally, other distributors of med-surg products similarly connect the fragmented supplier and provider bases and aggregate inventory from suppliers to deliver products to customers.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Production and Raw Materials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We manufacture approximately one-third of our Medline Brand products through our 33 manufacturing facilities and purchase many of the components and raw materials used in manufacturing our products from numerous suppliers. For the vast majority of the other two-thirds of our Medline Brand products, we work closely with our network of more than 500 global partners, including approximately 300 exclusive partnerships, across approximately 40 countries. The breadth of our global sourcing partnerships provides diversification and strengthens our resiliency, with no single sourcing partner accounting for more than 4% of total spend. 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At Medline, our relentless focus on the customer drives our human capital strategy, which revolves around attracting and retaining the best employees to provide the best products and services for our customers. We employ over 43,000 employees worldwide, with over 24,000 located in the United States, as of December 31, 2024. The largest non-U.S. employee populations are in Mexico, India, Canada, France, Japan, China, Australia, Slovakia, Dominican Republic, and Germany.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We believe that our positive employee relations and total employee experience drive the continual growth of our workforce.</w:t>
      </w:r>
    </w:p>
    <w:p>
      <w:pPr>
        <w:spacing w:after="0" w:line="187"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We have developed a strong foundation that drives our recruitment, retention and development efforts. The following defined Medline Success Factors are at the core of all of our human capital strategies:</w:t>
      </w:r>
    </w:p>
    <w:p>
      <w:pPr>
        <w:spacing w:after="0" w:line="69" w:lineRule="exact"/>
        <w:rPr>
          <w:sz w:val="20"/>
          <w:szCs w:val="20"/>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customer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results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Sense of urgency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judgment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work ethic</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effective relationships</w:t>
      </w:r>
    </w:p>
    <w:p>
      <w:pPr>
        <w:spacing w:after="0" w:line="221" w:lineRule="exact"/>
        <w:rPr>
          <w:sz w:val="20"/>
          <w:szCs w:val="20"/>
          <w:color w:val="auto"/>
        </w:rPr>
      </w:pPr>
    </w:p>
    <w:p>
      <w:pPr>
        <w:ind w:left="160" w:right="300" w:firstLine="436"/>
        <w:spacing w:after="0" w:line="278" w:lineRule="auto"/>
        <w:rPr>
          <w:sz w:val="20"/>
          <w:szCs w:val="20"/>
          <w:color w:val="auto"/>
        </w:rPr>
      </w:pPr>
      <w:r>
        <w:rPr>
          <w:rFonts w:ascii="Times New Roman" w:cs="Times New Roman" w:eastAsia="Times New Roman" w:hAnsi="Times New Roman"/>
          <w:sz w:val="18"/>
          <w:szCs w:val="18"/>
          <w:color w:val="auto"/>
        </w:rPr>
        <w:t>We are committed to supporting the personal and professional development of our employees, as well as providing competitive benefits and a safe, inclusive workplace. We believe that these measures help us to attract new and retain existing employees. Our commitments include:</w:t>
      </w:r>
    </w:p>
    <w:p>
      <w:pPr>
        <w:spacing w:after="0" w:line="65" w:lineRule="exact"/>
        <w:rPr>
          <w:sz w:val="20"/>
          <w:szCs w:val="20"/>
          <w:color w:val="auto"/>
        </w:rPr>
      </w:pPr>
    </w:p>
    <w:p>
      <w:pPr>
        <w:ind w:left="1140" w:hanging="438"/>
        <w:spacing w:after="0" w:line="282"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Developing a strong, collaborative workplace community. </w:t>
      </w:r>
      <w:r>
        <w:rPr>
          <w:rFonts w:ascii="Times New Roman" w:cs="Times New Roman" w:eastAsia="Times New Roman" w:hAnsi="Times New Roman"/>
          <w:sz w:val="18"/>
          <w:szCs w:val="18"/>
          <w:color w:val="auto"/>
        </w:rPr>
        <w:t>We believe our employees’ ability to communicate and cooperate effectively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functional and departmental teams positively impacts</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320" w:top="451" w:right="5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60"/>
        <w:spacing w:after="0" w:line="252" w:lineRule="auto"/>
        <w:rPr>
          <w:sz w:val="20"/>
          <w:szCs w:val="20"/>
          <w:color w:val="auto"/>
        </w:rPr>
      </w:pPr>
      <w:r>
        <w:rPr>
          <w:rFonts w:ascii="Times New Roman" w:cs="Times New Roman" w:eastAsia="Times New Roman" w:hAnsi="Times New Roman"/>
          <w:sz w:val="18"/>
          <w:szCs w:val="18"/>
          <w:color w:val="auto"/>
        </w:rPr>
        <w:t>our performance. We engage in various listening strategies, including our engagement survey, focus groups, anonymous employee feedback platform, increased attention to onboarding and offboarding feedback, pulse surveys on remote work needs, as well as our recent inclusion and diversity listening sessions in the United States and subsequent launch of various diversity employee resource groups. On a global level, we conduct employee engagement surveys to analyze the progress we have made as a company and to identify areas of growth. The results from our employee surveys are used to implement programs and processes designed to further enhance our culture. Over 29,000 employees globally participated in our latest employee survey, conducted in 2024. Highlights include (i) 82% of respondents indicated that they would recommend Medline as a good place to work and (ii) 88% of respondents indicated that they believe Medline is committed to exceeding its customers’ expectations.</w:t>
      </w:r>
    </w:p>
    <w:p>
      <w:pPr>
        <w:spacing w:after="0" w:line="90" w:lineRule="exact"/>
        <w:rPr>
          <w:sz w:val="20"/>
          <w:szCs w:val="20"/>
          <w:color w:val="auto"/>
        </w:rPr>
      </w:pPr>
    </w:p>
    <w:p>
      <w:pPr>
        <w:ind w:left="1140" w:right="240" w:hanging="438"/>
        <w:spacing w:after="0" w:line="256"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Attracting top talent. </w:t>
      </w:r>
      <w:r>
        <w:rPr>
          <w:rFonts w:ascii="Times New Roman" w:cs="Times New Roman" w:eastAsia="Times New Roman" w:hAnsi="Times New Roman"/>
          <w:sz w:val="18"/>
          <w:szCs w:val="18"/>
          <w:color w:val="auto"/>
        </w:rPr>
        <w:t>Our dedicated talent acquisition team strives to efficiently hire employees with capabilities that meet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needs of our divisions. Through continuous improvement of internal processes, an awareness of market and candidate driven trends, and in partnership with vendors and other outside organizations, our talent acquisition team identifies and attracts candidates that have the skills, experience, and motivation to help us achieve business results. Our leadership continues to partner with our Talent Acquisition team to build a diverse employee base to drive representation throughout all our divisions.</w:t>
      </w:r>
    </w:p>
    <w:p>
      <w:pPr>
        <w:spacing w:after="0" w:line="86" w:lineRule="exact"/>
        <w:rPr>
          <w:rFonts w:ascii="Times New Roman" w:cs="Times New Roman" w:eastAsia="Times New Roman" w:hAnsi="Times New Roman"/>
          <w:sz w:val="18"/>
          <w:szCs w:val="18"/>
          <w:color w:val="auto"/>
        </w:rPr>
      </w:pPr>
    </w:p>
    <w:p>
      <w:pPr>
        <w:ind w:left="1140" w:right="60" w:hanging="438"/>
        <w:spacing w:after="0" w:line="251"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Developing our employees and providing earlier advancement opportunities. </w:t>
      </w:r>
      <w:r>
        <w:rPr>
          <w:rFonts w:ascii="Times New Roman" w:cs="Times New Roman" w:eastAsia="Times New Roman" w:hAnsi="Times New Roman"/>
          <w:sz w:val="18"/>
          <w:szCs w:val="18"/>
          <w:color w:val="auto"/>
        </w:rPr>
        <w:t>Medline seeks to identify talent early in peoples’ careers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 those people quickly. We provide our employees with early opportunities to take on additional responsibilities to demonstrate their competencies and drive to succeed, enabling them to grow quickly. These on-the-job opportunities are augmented by formal training and development to refine technical and leadership skills. Our new sales representatives participate in a comprehensive sales training program, receiving, on average, six weeks of training and education per year, resulting in a deep understanding of selling strategy, customer expectations, products, and clinical knowledge. Product manager development offerings are designed to train and retain product managers through all stages of their careers, and range from mandatory onboarding offerings to advanced classes that provide the necessary skills with increasing levels of responsibility. Additionally, we believe in the value of diversity and inclusion in our workforce. Our Employee Resource Groups have played a critical role in building awareness around inclusion and diversity topics. We have trained over 1,500 people leaders to avoid bias in their key talent decisions (hires, development, promotions) as part of our efforts to build a supportive and inclusive environment.</w:t>
      </w:r>
    </w:p>
    <w:p>
      <w:pPr>
        <w:spacing w:after="0" w:line="92" w:lineRule="exact"/>
        <w:rPr>
          <w:rFonts w:ascii="Times New Roman" w:cs="Times New Roman" w:eastAsia="Times New Roman" w:hAnsi="Times New Roman"/>
          <w:sz w:val="18"/>
          <w:szCs w:val="18"/>
          <w:color w:val="auto"/>
        </w:rPr>
      </w:pPr>
    </w:p>
    <w:p>
      <w:pPr>
        <w:ind w:left="1140" w:right="100" w:hanging="438"/>
        <w:spacing w:after="0" w:line="255"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Promoting employee and community well-being. </w:t>
      </w:r>
      <w:r>
        <w:rPr>
          <w:rFonts w:ascii="Times New Roman" w:cs="Times New Roman" w:eastAsia="Times New Roman" w:hAnsi="Times New Roman"/>
          <w:sz w:val="18"/>
          <w:szCs w:val="18"/>
          <w:color w:val="auto"/>
        </w:rPr>
        <w:t>We encourage physical, emotional and financial fitness and offer programs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to help employees lead healthier lives overall. Among other programs, Medline provides access to an employee assistance plan in Europe and provides mental health awareness training for HR and people leaders in the United States. We also promote corporate social responsibility and provide our employees opportunities to give back to their communities. Our charitable giving efforts include financial giving and in-kind giving such as product donations. This includes over $1.2 million in charitable donations in the United States alone during the year ended December 31, 2024.</w:t>
      </w:r>
    </w:p>
    <w:p>
      <w:pPr>
        <w:spacing w:after="0" w:line="84" w:lineRule="exact"/>
        <w:rPr>
          <w:rFonts w:ascii="Times New Roman" w:cs="Times New Roman" w:eastAsia="Times New Roman" w:hAnsi="Times New Roman"/>
          <w:sz w:val="18"/>
          <w:szCs w:val="18"/>
          <w:color w:val="auto"/>
        </w:rPr>
      </w:pPr>
    </w:p>
    <w:p>
      <w:pPr>
        <w:ind w:left="1140" w:right="60" w:hanging="438"/>
        <w:spacing w:after="0" w:line="282" w:lineRule="auto"/>
        <w:tabs>
          <w:tab w:leader="none" w:pos="11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employee health and safety. </w:t>
      </w:r>
      <w:r>
        <w:rPr>
          <w:rFonts w:ascii="Times New Roman" w:cs="Times New Roman" w:eastAsia="Times New Roman" w:hAnsi="Times New Roman"/>
          <w:sz w:val="18"/>
          <w:szCs w:val="18"/>
          <w:color w:val="auto"/>
        </w:rPr>
        <w:t>In addition to offering competitive health and well-being programs and other benefits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we are committed to providing a safe and secure work environment for all employees.</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We rely upon patents, trademarks, copyrights, trade secrets and other intellectual property rights to maintain and improve our competitive position. We have a large portfolio of intellectual property, including more than 2,100 granted patents as well as trademark registrations protecting our notable brands, including Medline, Curad, Microtek, Hudson, and Proxima.</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1"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We consider the trademarks and know-how that we own to be material to our business. However, other than the Medline mark, we do not consider our business to be materially dependent upon any individual trademark registration or trade secret. In the aggregate, we consider our more than 2,100 granted patents to be material to our business. However, no single patent or group of related patents is material to our business as a whole or any segment of our business.</w:t>
      </w:r>
    </w:p>
    <w:p>
      <w:pPr>
        <w:spacing w:after="0" w:line="180"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We believe that we have taken all necessary steps to protect our intellectual property rights, but no assurance can be given that we will be able to successfully enforce or protect our rights in the event that they are infringed upon or challenged by a third party. See “Risk Factors—Risks Related to Regulation and Legal Proceedings—Any failure to obtain, maintain, protect and enforce our intellectual property rights, or the failure of the strength or scope of our intellectual property rights, could harm our business, financial condition, and results of operations” and “Risk Factors—Risks Related to Regulation and Legal Proceedings—We may become subject to litigation brought by third parties claiming infringement, misappropriation, or other violation by us of their intellectual property rights.”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8" w:lineRule="exact"/>
        <w:rPr>
          <w:sz w:val="20"/>
          <w:szCs w:val="20"/>
          <w:color w:val="auto"/>
        </w:rPr>
      </w:pPr>
    </w:p>
    <w:p>
      <w:pPr>
        <w:ind w:left="160" w:right="40" w:firstLine="436"/>
        <w:spacing w:after="0" w:line="249" w:lineRule="auto"/>
        <w:rPr>
          <w:sz w:val="20"/>
          <w:szCs w:val="20"/>
          <w:color w:val="auto"/>
        </w:rPr>
      </w:pPr>
      <w:r>
        <w:rPr>
          <w:rFonts w:ascii="Times New Roman" w:cs="Times New Roman" w:eastAsia="Times New Roman" w:hAnsi="Times New Roman"/>
          <w:sz w:val="18"/>
          <w:szCs w:val="18"/>
          <w:color w:val="auto"/>
        </w:rPr>
        <w:t>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quality, purity, manufacturing, methods, controls, testing, screening, recordkeeping, reporting, processing, storage, registration, authorization, licensing, permitting, labeling, advertising, marketing, distribution, offer for sale, sale, pricing, reimbursement, import, export, clinical trials, post-marketing surveillance of our products, the registration of our facilities,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governmental and regulatory authorities that enforce such laws and rules, and that issue guidance on compliance with such laws and rules include, without limitation, the FDA, CMS, other divisions of the HHS, the HHS Office of Inspector General, EPA, FTC, Consumer Product Safety Commission (“CPSC”), the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is subject to certain regulatory requirements specific to government contractors.</w:t>
      </w:r>
    </w:p>
    <w:p>
      <w:pPr>
        <w:spacing w:after="0" w:line="201"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If our business expands in certain ways,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seize or order the recall of our products, issue safety, quality, or other communications to the public or healthcare providers, enforce laws related to marketing, including promotion of off-label uses of products, and impose injunctions and significant criminal, civil, and administrative sanctions for violations of laws and regulations. Any adverse regulatory action may impact our business practices and operations, including by limiting our ability to effectively market and sell our products, affecting the production and distribution of products by our manufacturing facilities, subjecting us to significant liability, and limiting our ability to obtain future authorizations. Although we are subject to international government regulations in the international end markets where we operate and/or provide our products, these regulations do not have a material impact on our products as no international market represents more than 3% of our net sales.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40"/>
          </w:cols>
          <w:pgMar w:left="320" w:top="452" w:right="5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Medical Devices</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 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 regulatory authorities, both in and outside the United States (including the FTC, the HHS Office of the Inspector General, the DOJ, and various state Attorneys General), monitor the promotion and advertising of our products. Any adverse regulatory action, depending on its magnitude, may limit our ability to effectively market and sell our products, limit our ability to obtain future premarket authorizations, or result in a substantial modification to our business practices and operations.</w:t>
      </w:r>
    </w:p>
    <w:p>
      <w:pPr>
        <w:spacing w:after="0" w:line="2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6"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spacing w:after="0" w:line="189" w:lineRule="exact"/>
        <w:rPr>
          <w:sz w:val="20"/>
          <w:szCs w:val="20"/>
          <w:color w:val="auto"/>
        </w:rPr>
      </w:pPr>
    </w:p>
    <w:p>
      <w:pPr>
        <w:ind w:left="160" w:right="200" w:firstLine="436"/>
        <w:spacing w:after="0" w:line="253" w:lineRule="auto"/>
        <w:rPr>
          <w:sz w:val="20"/>
          <w:szCs w:val="20"/>
          <w:color w:val="auto"/>
        </w:rPr>
      </w:pPr>
      <w:r>
        <w:rPr>
          <w:rFonts w:ascii="Times New Roman" w:cs="Times New Roman" w:eastAsia="Times New Roman" w:hAnsi="Times New Roman"/>
          <w:sz w:val="18"/>
          <w:szCs w:val="18"/>
          <w:color w:val="auto"/>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 or extension that we believe would require a PMA. If, in the future, we were to file a PMA, we may be subject to additional regulatory requirements.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60"/>
          </w:cols>
          <w:pgMar w:left="320" w:top="452" w:right="5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510(k) Clearance Process</w:t>
      </w:r>
    </w:p>
    <w:p>
      <w:pPr>
        <w:spacing w:after="0" w:line="116"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 review process for 510(k)s is between six to nine months, dependent upon the type of 510(k) filing submitted. Although many 510(k) premarket notifications are cleared without clinical data, in some cases, the FDA may 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w:t>
      </w:r>
    </w:p>
    <w:p>
      <w:pPr>
        <w:spacing w:after="0" w:line="187"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After a device receives 510(k) clearance, any subsequent modification of the device that could significantly affect its safety or effectiveness, or that would constitute a major change in its intended use, requires a new 510(k) clearance or could require submission and approval of a de novo 510(k) or a PMA application in cases where new indications are sought for which there is no predicate. Non-significant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116"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post-market surveillance, including medical device reporting requirements which requires manufacturers to report to the FDA if their device may have caused or contributed to a death or serious injury, or 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1"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spacing w:after="0" w:line="162"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The FDA enforces these requirements by inspection and market surveillance. Domestic facility records and manufacturing processes are subject to periodic unscheduled inspections by the FDA. The FDA may also inspect foreign facilities that export products to the United States. Failure to comply with applicable regulatory requirements may result in enforcement action by the FDA, which may include one or more of the following sanctions: untitled letters or warning letters; fines, injunctions, and civil penalties; mandatory recall or seizure of our products; customer 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International Regulation of Medical Devices</w:t>
      </w:r>
    </w:p>
    <w:p>
      <w:pPr>
        <w:spacing w:after="0" w:line="116"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Sales of medical devices outside the United States are subject to foreign government regulations, which vary substantially from country to country. In order to market our products in other countries, we must comply with 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EU Regulation of Medical Devices</w:t>
      </w:r>
    </w:p>
    <w:p>
      <w:pPr>
        <w:spacing w:after="0" w:line="116"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In the EU until May 25, 2021, medical devices were regulated by the Council Directive 93/42/EEC, which has been repealed and replaced by the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w:t>
      </w:r>
    </w:p>
    <w:p>
      <w:pPr>
        <w:spacing w:after="0" w:line="184"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NDA Approval Process</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w:t>
      </w:r>
    </w:p>
    <w:p>
      <w:pPr>
        <w:spacing w:after="0" w:line="82" w:lineRule="exact"/>
        <w:rPr>
          <w:sz w:val="20"/>
          <w:szCs w:val="20"/>
          <w:color w:val="auto"/>
        </w:rPr>
      </w:pPr>
    </w:p>
    <w:p>
      <w:pPr>
        <w:ind w:left="5500" w:right="2060" w:hanging="4798"/>
        <w:spacing w:after="0" w:line="44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analytical and stability testing in accordance with applicable regulations; 142</w:t>
      </w:r>
    </w:p>
    <w:p>
      <w:pPr>
        <w:sectPr>
          <w:pgSz w:w="11900" w:h="16838" w:orient="portrait"/>
          <w:cols w:equalWidth="0" w:num="1">
            <w:col w:w="11060"/>
          </w:cols>
          <w:pgMar w:left="320" w:top="452" w:right="5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6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(“IND”) application, which must become effective before clinical trials may begin and must be updated annually and amended when certain changes are made;</w:t>
      </w:r>
    </w:p>
    <w:p>
      <w:pPr>
        <w:spacing w:after="0" w:line="68"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or IEC, at each clinical trial site before each trial may be initiated;</w:t>
      </w:r>
    </w:p>
    <w:p>
      <w:pPr>
        <w:spacing w:after="0" w:line="68" w:lineRule="exact"/>
        <w:rPr>
          <w:rFonts w:ascii="Times New Roman" w:cs="Times New Roman" w:eastAsia="Times New Roman" w:hAnsi="Times New Roman"/>
          <w:sz w:val="18"/>
          <w:szCs w:val="18"/>
          <w:color w:val="auto"/>
        </w:rPr>
      </w:pPr>
    </w:p>
    <w:p>
      <w:pPr>
        <w:jc w:val="both"/>
        <w:ind w:left="1140" w:right="100" w:hanging="438"/>
        <w:spacing w:after="0" w:line="263"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including informed consent, financial disclosure by investigators, and other clinical trial-related regulations, to establish the safety and efficacy of the investigational product for each proposed indication and other condition of use;</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27" w:lineRule="exact"/>
        <w:rPr>
          <w:rFonts w:ascii="Times New Roman" w:cs="Times New Roman" w:eastAsia="Times New Roman" w:hAnsi="Times New Roman"/>
          <w:sz w:val="18"/>
          <w:szCs w:val="18"/>
          <w:color w:val="auto"/>
        </w:rPr>
      </w:pPr>
    </w:p>
    <w:p>
      <w:pPr>
        <w:ind w:left="1140" w:right="38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w:t>
      </w:r>
    </w:p>
    <w:p>
      <w:pPr>
        <w:spacing w:after="0" w:line="68" w:lineRule="exact"/>
        <w:rPr>
          <w:rFonts w:ascii="Times New Roman" w:cs="Times New Roman" w:eastAsia="Times New Roman" w:hAnsi="Times New Roman"/>
          <w:sz w:val="18"/>
          <w:szCs w:val="18"/>
          <w:color w:val="auto"/>
        </w:rPr>
      </w:pPr>
    </w:p>
    <w:p>
      <w:pPr>
        <w:ind w:left="1140" w:right="38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 of select clinical trial sites involved in conducting pivotal studies that generated the data in support of the NDA;</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127" w:lineRule="exact"/>
        <w:rPr>
          <w:rFonts w:ascii="Times New Roman" w:cs="Times New Roman" w:eastAsia="Times New Roman" w:hAnsi="Times New Roman"/>
          <w:sz w:val="18"/>
          <w:szCs w:val="18"/>
          <w:color w:val="auto"/>
        </w:rPr>
      </w:pPr>
    </w:p>
    <w:p>
      <w:pPr>
        <w:ind w:left="1140" w:right="44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of the proposed prescribing information and, where applicable, consideration of the views of any FDA advisory committee, prior to any commercial marketing or sale of the drug in the United States.</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Any approvals that we may ultimately receive could be withdrawn if required post-marketing trials or analyses do not meet the FDA requirements, which could materially harm the commercial prospects for our products.</w:t>
      </w:r>
    </w:p>
    <w:p>
      <w:pPr>
        <w:spacing w:after="0" w:line="162" w:lineRule="exact"/>
        <w:rPr>
          <w:sz w:val="20"/>
          <w:szCs w:val="20"/>
          <w:color w:val="auto"/>
        </w:rPr>
      </w:pPr>
    </w:p>
    <w:p>
      <w:pPr>
        <w:ind w:left="160" w:right="140" w:firstLine="436"/>
        <w:spacing w:after="0" w:line="271" w:lineRule="auto"/>
        <w:rPr>
          <w:sz w:val="20"/>
          <w:szCs w:val="20"/>
          <w:color w:val="auto"/>
        </w:rPr>
      </w:pPr>
      <w:r>
        <w:rPr>
          <w:rFonts w:ascii="Times New Roman" w:cs="Times New Roman" w:eastAsia="Times New Roman" w:hAnsi="Times New Roman"/>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Trade Regulations</w:t>
      </w:r>
    </w:p>
    <w:p>
      <w:pPr>
        <w:spacing w:after="0" w:line="11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 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60"/>
          </w:cols>
          <w:pgMar w:left="320" w:top="452" w:right="5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Anti-Boycott Laws</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Under U.S. laws and regulations, U.S. companies and their subsidiaries and affiliates are prohibited from participating or agreeing to participate in unsanctioned foreign boycotts in connection with certain business 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 and Regulations</w:t>
      </w:r>
    </w:p>
    <w:p>
      <w:pPr>
        <w:spacing w:after="0" w:line="118"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Our business includes the Processing of Personal Data of our applicants, employees, and other workforce members (current and former), customers’ and vendors’ employees and other workforce members, and other third parties, as well as PHI, where we continue to meet the definition of a Covered Entity and as a Business Associate on behalf of our customers for certain parts of our business. We are directly or indirectly subject to numerous and evolving federal, state, and foreign laws and regulations relating to the processing of Personal Data and PHI, such as HIPAA, the TCPA, the Payment Card Industry Data Security Standard, Section 5 of the FTCA, and the GDPR, the CCPA, and similar data privacy legislation enacted or under consideration by various other U.S. states, and U.S. state data breach notification laws.</w:t>
      </w:r>
    </w:p>
    <w:p>
      <w:pPr>
        <w:spacing w:after="0" w:line="184" w:lineRule="exact"/>
        <w:rPr>
          <w:sz w:val="20"/>
          <w:szCs w:val="20"/>
          <w:color w:val="auto"/>
        </w:rPr>
      </w:pPr>
    </w:p>
    <w:p>
      <w:pPr>
        <w:ind w:left="160" w:right="20" w:firstLine="436"/>
        <w:spacing w:after="0" w:line="266" w:lineRule="auto"/>
        <w:rPr>
          <w:sz w:val="20"/>
          <w:szCs w:val="20"/>
          <w:color w:val="auto"/>
        </w:rPr>
      </w:pPr>
      <w:r>
        <w:rPr>
          <w:rFonts w:ascii="Times New Roman" w:cs="Times New Roman" w:eastAsia="Times New Roman" w:hAnsi="Times New Roman"/>
          <w:sz w:val="17"/>
          <w:szCs w:val="17"/>
          <w:color w:val="auto"/>
        </w:rPr>
        <w:t>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These restrictions and requirements are subject to change. For example, in December 2024, OCR issued a notice of proposed rulemaking to update the HIPAA security rule with respect to the cybersecurity of electronic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w:t>
      </w:r>
    </w:p>
    <w:p>
      <w:pPr>
        <w:spacing w:after="0" w:line="179"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In addition to HIPAA, we must adhere to U.S. state patient privacy laws that are not pre-empted by HIPAA, including those that are more stringent than HIPAA requirements. Numerous other U.S. state, federal, and 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HBNR.</w:t>
      </w:r>
    </w:p>
    <w:p>
      <w:pPr>
        <w:spacing w:after="0" w:line="187" w:lineRule="exact"/>
        <w:rPr>
          <w:sz w:val="20"/>
          <w:szCs w:val="20"/>
          <w:color w:val="auto"/>
        </w:rPr>
      </w:pPr>
    </w:p>
    <w:p>
      <w:pPr>
        <w:jc w:val="both"/>
        <w:ind w:left="160" w:right="100" w:firstLine="436"/>
        <w:spacing w:after="0" w:line="285" w:lineRule="auto"/>
        <w:rPr>
          <w:sz w:val="20"/>
          <w:szCs w:val="20"/>
          <w:color w:val="auto"/>
        </w:rPr>
      </w:pPr>
      <w:r>
        <w:rPr>
          <w:rFonts w:ascii="Times New Roman" w:cs="Times New Roman" w:eastAsia="Times New Roman" w:hAnsi="Times New Roman"/>
          <w:sz w:val="17"/>
          <w:szCs w:val="17"/>
          <w:color w:val="auto"/>
        </w:rPr>
        <w:t>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2"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53" w:lineRule="auto"/>
        <w:rPr>
          <w:sz w:val="20"/>
          <w:szCs w:val="20"/>
          <w:color w:val="auto"/>
        </w:rPr>
      </w:pPr>
      <w:r>
        <w:rPr>
          <w:rFonts w:ascii="Times New Roman" w:cs="Times New Roman" w:eastAsia="Times New Roman" w:hAnsi="Times New Roman"/>
          <w:sz w:val="18"/>
          <w:szCs w:val="18"/>
          <w:color w:val="auto"/>
        </w:rPr>
        <w:t>volume of consumer information it holds, the size and complexity of its business, and the cost of available tools to improve security and reduce vulnerabilities. Individually identifiable health information is considered sensitive data that merits stronger safeguards. For information that is not subject to HIPAA and deemed to be “personal health records,” the FTC may also impose penalties for violations of the HBNR to the extent we are considered a “personal health record-related entity” or “third party service provider.” As a result, we may be subject to scrutiny by federal and state regulators, partners, and consumers of our collection, use, and disclosure of consumer Personal Data, including consumer health data. Additionally, federal and state consumer protection laws are increasingly being applied by FTC and states’ Attorneys General to regulate the collection, use, storage, and disclosure of Personal Data, through websites or otherwise, and to regulate the presentation of website content.</w:t>
      </w:r>
    </w:p>
    <w:p>
      <w:pPr>
        <w:spacing w:after="0" w:line="184"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At the state level in the United States, the CCPA, which increased the privacy protections afforded California residents with respect to Personal Data that is not subject to and handled in compliance with HIPAA and limits how we may Process Personal Data of California residents by, among other things, establishing data privacy rights for California residents and a regulatory agency dedicated to enforcing compliance. The CPRA came into effect on January 1, 2023, applying to information collected by businesses on or after January 1, 2022. Various other U.S. states have enacted similar comprehensive consumer data privacy legislation, and several other U.S. states and countries are considering expanding or passing privacy laws in the near term. Further, states such as Washington, Connecticut, and Nevada have recently enacted broadly applicable laws to protect the privacy of personal health information, which generally require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w:t>
      </w:r>
    </w:p>
    <w:p>
      <w:pPr>
        <w:spacing w:after="0" w:line="19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Similarly, many foreign laws and regulations, including in countries in which we currently operate, govern the Processing of Personal Data. For example, the GDPR imposes strict requirements for controllers and processors in any country with respect to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89" w:lineRule="exact"/>
        <w:rPr>
          <w:sz w:val="20"/>
          <w:szCs w:val="20"/>
          <w:color w:val="auto"/>
        </w:rPr>
      </w:pPr>
    </w:p>
    <w:p>
      <w:pPr>
        <w:ind w:left="160" w:right="220" w:firstLine="436"/>
        <w:spacing w:after="0" w:line="254" w:lineRule="auto"/>
        <w:rPr>
          <w:sz w:val="20"/>
          <w:szCs w:val="20"/>
          <w:color w:val="auto"/>
        </w:rPr>
      </w:pPr>
      <w:r>
        <w:rPr>
          <w:rFonts w:ascii="Times New Roman" w:cs="Times New Roman" w:eastAsia="Times New Roman" w:hAnsi="Times New Roman"/>
          <w:sz w:val="18"/>
          <w:szCs w:val="18"/>
          <w:color w:val="auto"/>
        </w:rPr>
        <w:t>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60"/>
          </w:cols>
          <w:pgMar w:left="320" w:top="452" w:right="5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by our customers and/or governmental and regulatory authorities and involve substantial fines, penalties and other liabilities and expenses, and costs for remediation.</w:t>
      </w:r>
    </w:p>
    <w:p>
      <w:pPr>
        <w:spacing w:after="0" w:line="162" w:lineRule="exact"/>
        <w:rPr>
          <w:sz w:val="20"/>
          <w:szCs w:val="20"/>
          <w:color w:val="auto"/>
        </w:rPr>
      </w:pPr>
    </w:p>
    <w:p>
      <w:pPr>
        <w:ind w:left="160" w:right="280" w:firstLine="436"/>
        <w:spacing w:after="0" w:line="258" w:lineRule="auto"/>
        <w:rPr>
          <w:sz w:val="20"/>
          <w:szCs w:val="20"/>
          <w:color w:val="auto"/>
        </w:rPr>
      </w:pPr>
      <w:r>
        <w:rPr>
          <w:rFonts w:ascii="Times New Roman" w:cs="Times New Roman" w:eastAsia="Times New Roman" w:hAnsi="Times New Roman"/>
          <w:sz w:val="18"/>
          <w:szCs w:val="18"/>
          <w:color w:val="auto"/>
        </w:rPr>
        <w:t>In the event of a privacy or security incident or claim that we or a third party with which we do business has violated applicable privacy or security laws and regulations, we may be subject to regulatory 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 and Regulations</w:t>
      </w:r>
    </w:p>
    <w:p>
      <w:pPr>
        <w:spacing w:after="0" w:line="118" w:lineRule="exact"/>
        <w:rPr>
          <w:sz w:val="20"/>
          <w:szCs w:val="20"/>
          <w:color w:val="auto"/>
        </w:rPr>
      </w:pPr>
    </w:p>
    <w:p>
      <w:pPr>
        <w:ind w:left="160" w:right="160" w:firstLine="436"/>
        <w:spacing w:after="0" w:line="253" w:lineRule="auto"/>
        <w:rPr>
          <w:sz w:val="20"/>
          <w:szCs w:val="20"/>
          <w:color w:val="auto"/>
        </w:rPr>
      </w:pPr>
      <w:r>
        <w:rPr>
          <w:rFonts w:ascii="Times New Roman" w:cs="Times New Roman" w:eastAsia="Times New Roman" w:hAnsi="Times New Roman"/>
          <w:sz w:val="18"/>
          <w:szCs w:val="18"/>
          <w:color w:val="auto"/>
        </w:rPr>
        <w:t>Certain of our businesses involve the marketing and sale of, and third-party payment for, med-surg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 are reimbursed under government healthcare programs, including laws related to kickbacks, false claims, self-referrals and healthcare fraud. We are currently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w:t>
      </w:r>
    </w:p>
    <w:p>
      <w:pPr>
        <w:spacing w:after="0" w:line="184" w:lineRule="exact"/>
        <w:rPr>
          <w:sz w:val="20"/>
          <w:szCs w:val="20"/>
          <w:color w:val="auto"/>
        </w:rPr>
      </w:pPr>
    </w:p>
    <w:p>
      <w:pPr>
        <w:ind w:left="160" w:right="160" w:firstLine="436"/>
        <w:spacing w:after="0" w:line="252" w:lineRule="auto"/>
        <w:rPr>
          <w:sz w:val="20"/>
          <w:szCs w:val="20"/>
          <w:color w:val="auto"/>
        </w:rPr>
      </w:pPr>
      <w:r>
        <w:rPr>
          <w:rFonts w:ascii="Times New Roman" w:cs="Times New Roman" w:eastAsia="Times New Roman" w:hAnsi="Times New Roman"/>
          <w:sz w:val="18"/>
          <w:szCs w:val="18"/>
          <w:color w:val="auto"/>
        </w:rPr>
        <w:t>Our med-surg products are purchased principally by hospitals and physicians that typically bill various third-party payers, including government healthcare programs, private insurance plans and managed care plans, for the healthcare services provided to their patients. We also directly submit claims to government healthcare programs as a Medicare-enrolled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87"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Key federal fraud and abuse laws include the federal AKS, the Stark Law, FCA, and Civil Monetary Penalties Law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 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2"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w:t>
      </w:r>
    </w:p>
    <w:p>
      <w:pPr>
        <w:spacing w:after="0" w:line="175"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 Violation of the Stark Law could result in denial of payment, disgorgement of reimbursements received under a non-compliant arrangement, civil penalties, and exclusion from Medicare, Medicaid, or other governmental programs.</w:t>
      </w:r>
    </w:p>
    <w:p>
      <w:pPr>
        <w:spacing w:after="0" w:line="184" w:lineRule="exact"/>
        <w:rPr>
          <w:sz w:val="20"/>
          <w:szCs w:val="20"/>
          <w:color w:val="auto"/>
        </w:rPr>
      </w:pPr>
    </w:p>
    <w:p>
      <w:pPr>
        <w:ind w:left="160" w:right="40" w:firstLine="436"/>
        <w:spacing w:after="0" w:line="249" w:lineRule="auto"/>
        <w:rPr>
          <w:sz w:val="20"/>
          <w:szCs w:val="20"/>
          <w:color w:val="auto"/>
        </w:rPr>
      </w:pPr>
      <w:r>
        <w:rPr>
          <w:rFonts w:ascii="Times New Roman" w:cs="Times New Roman" w:eastAsia="Times New Roman" w:hAnsi="Times New Roman"/>
          <w:sz w:val="18"/>
          <w:szCs w:val="18"/>
          <w:color w:val="auto"/>
        </w:rPr>
        <w:t>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w:t>
      </w:r>
    </w:p>
    <w:p>
      <w:pPr>
        <w:spacing w:after="0" w:line="201"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w:t>
      </w:r>
    </w:p>
    <w:p>
      <w:pPr>
        <w:spacing w:after="0" w:line="17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60"/>
          </w:cols>
          <w:pgMar w:left="320" w:top="452" w:right="5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firstLine="436"/>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 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w:t>
      </w:r>
    </w:p>
    <w:p>
      <w:pPr>
        <w:spacing w:after="0" w:line="184"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Most states have adopted similar laws related to transparency, kickbacks, false claims, and self-referrals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w:t>
      </w:r>
    </w:p>
    <w:p>
      <w:pPr>
        <w:spacing w:after="0" w:line="180" w:lineRule="exact"/>
        <w:rPr>
          <w:sz w:val="20"/>
          <w:szCs w:val="20"/>
          <w:color w:val="auto"/>
        </w:rPr>
      </w:pPr>
    </w:p>
    <w:p>
      <w:pPr>
        <w:ind w:left="160" w:right="120" w:firstLine="436"/>
        <w:spacing w:after="0" w:line="253" w:lineRule="auto"/>
        <w:rPr>
          <w:sz w:val="20"/>
          <w:szCs w:val="20"/>
          <w:color w:val="auto"/>
        </w:rPr>
      </w:pPr>
      <w:r>
        <w:rPr>
          <w:rFonts w:ascii="Times New Roman" w:cs="Times New Roman" w:eastAsia="Times New Roman" w:hAnsi="Times New Roman"/>
          <w:sz w:val="18"/>
          <w:szCs w:val="18"/>
          <w:color w:val="auto"/>
        </w:rPr>
        <w:t>We are also subject to foreign regulations requiring transparency of certain interactions between suppliers and their customers. Many member states in the EU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w:t>
      </w:r>
    </w:p>
    <w:p>
      <w:pPr>
        <w:spacing w:after="0" w:line="184" w:lineRule="exact"/>
        <w:rPr>
          <w:sz w:val="20"/>
          <w:szCs w:val="20"/>
          <w:color w:val="auto"/>
        </w:rPr>
      </w:pPr>
    </w:p>
    <w:p>
      <w:pPr>
        <w:ind w:left="160" w:right="300" w:firstLine="436"/>
        <w:spacing w:after="0" w:line="258" w:lineRule="auto"/>
        <w:rPr>
          <w:sz w:val="20"/>
          <w:szCs w:val="20"/>
          <w:color w:val="auto"/>
        </w:rPr>
      </w:pPr>
      <w:r>
        <w:rPr>
          <w:rFonts w:ascii="Times New Roman" w:cs="Times New Roman" w:eastAsia="Times New Roman" w:hAnsi="Times New Roman"/>
          <w:sz w:val="18"/>
          <w:szCs w:val="18"/>
          <w:color w:val="auto"/>
        </w:rPr>
        <w:t>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w:t>
      </w:r>
    </w:p>
    <w:p>
      <w:pPr>
        <w:spacing w:after="0" w:line="180" w:lineRule="exact"/>
        <w:rPr>
          <w:sz w:val="20"/>
          <w:szCs w:val="20"/>
          <w:color w:val="auto"/>
        </w:rPr>
      </w:pPr>
    </w:p>
    <w:p>
      <w:pPr>
        <w:jc w:val="both"/>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Requirements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“Risk Factors—Risks Related to Regulation and Legal Proceedings—We are subject to extensive environmental, health and safety requirements, and our operations involve hazardous and other environmentally sensitive substances.”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1"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71" w:lineRule="auto"/>
        <w:rPr>
          <w:sz w:val="20"/>
          <w:szCs w:val="20"/>
          <w:color w:val="auto"/>
        </w:rPr>
      </w:pPr>
      <w:r>
        <w:rPr>
          <w:rFonts w:ascii="Times New Roman" w:cs="Times New Roman" w:eastAsia="Times New Roman" w:hAnsi="Times New Roman"/>
          <w:sz w:val="17"/>
          <w:szCs w:val="17"/>
          <w:color w:val="auto"/>
        </w:rPr>
        <w:t>For example, we, as well as others in our industry, rely on EtO to sterilize certain medical products that we manufacture. In light of evolving science regarding risks related to EtO exposure, regulatory actions have been taken by some jurisdictions to reduce EtO emissions, and we have made substantial improvements to our two primary EtO sterilization facilities to meet such requirements and otherwise manage EtO emissions. There also has been a significant increase in regulations regarding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Security and Licensure Standards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subject to certain operational, security, and licensure requirements, including the federal Drug Supply Chain Security Act (“DSCSA”) in the United States, which mandates an industry-wide, national serialization system for pharmaceutical packaging with a ten-year phase-in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DME business, we are subject to certain state licensure laws (including state pharmacy laws), and also certain accreditation standards, including to qualify for reimbursement from Medicare and other third-party payers.</w:t>
      </w:r>
    </w:p>
    <w:p>
      <w:pPr>
        <w:spacing w:after="0" w:line="184"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w:t>
      </w:r>
    </w:p>
    <w:p>
      <w:pPr>
        <w:spacing w:after="0" w:line="180"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Antitrust and Consumer Protection</w:t>
      </w:r>
    </w:p>
    <w:p>
      <w:pPr>
        <w:spacing w:after="0" w:line="118"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Transactions</w:t>
      </w:r>
    </w:p>
    <w:p>
      <w:pPr>
        <w:spacing w:after="0" w:line="118"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FCPA, U.S. export control laws, the UK Bribery Act, German anti-corruption laws, and other anti-bribery laws and laws pertaining to the accuracy of our internal books and records, as well as other types of foreign requirements similar to those imposed in the United States.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0"/>
          </w:cols>
          <w:pgMar w:left="320" w:top="451" w:right="5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corporate headquarters are located in Northfield, Illinois, where we own approximately 735,000 square feet of space.</w:t>
      </w:r>
    </w:p>
    <w:p>
      <w:pPr>
        <w:spacing w:after="0" w:line="221"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also own or lease 123 real estate sites in the United States, including 19 manufacturing facilities used for our Medline Brand segment and 45 warehouse distribution facilities used for our Medline Brand and Supply Chain Solutions segments, and 83 real estate sites internationally, including 14 manufacturing facilities used for our Medline Brand segment and 24 warehouse distribution facilities used for our Medline Brand and Supply Chain Solutions segments.</w:t>
      </w:r>
    </w:p>
    <w:p>
      <w:pPr>
        <w:spacing w:after="0" w:line="180" w:lineRule="exact"/>
        <w:rPr>
          <w:sz w:val="20"/>
          <w:szCs w:val="20"/>
          <w:color w:val="auto"/>
        </w:rPr>
      </w:pPr>
    </w:p>
    <w:p>
      <w:pPr>
        <w:ind w:left="160" w:right="740" w:firstLine="436"/>
        <w:spacing w:after="0" w:line="278" w:lineRule="auto"/>
        <w:rPr>
          <w:sz w:val="20"/>
          <w:szCs w:val="20"/>
          <w:color w:val="auto"/>
        </w:rPr>
      </w:pPr>
      <w:r>
        <w:rPr>
          <w:rFonts w:ascii="Times New Roman" w:cs="Times New Roman" w:eastAsia="Times New Roman" w:hAnsi="Times New Roman"/>
          <w:sz w:val="18"/>
          <w:szCs w:val="18"/>
          <w:color w:val="auto"/>
        </w:rPr>
        <w:t>We believe that our facilities are sufficient for our current needs and that, should they be needed, additional facilities will be available to accommodate the expansion of our business.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8"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From time to time, we have been and may in the future be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w:t>
      </w:r>
    </w:p>
    <w:p>
      <w:pPr>
        <w:spacing w:after="0" w:line="175"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We recently entered into contingent settlement agreements regarding tort lawsuits related to emissions of EtO from our facility in Waukegan, Illinois, as described above in “Risk Factors—Risks Related to Regulation and Legal Proceedings—We are involved in legal proceedings and disputes, which could adversely impact our business, results of operations and financial condition.”</w:t>
      </w:r>
    </w:p>
    <w:p>
      <w:pPr>
        <w:spacing w:after="0" w:line="175" w:lineRule="exact"/>
        <w:rPr>
          <w:sz w:val="20"/>
          <w:szCs w:val="20"/>
          <w:color w:val="auto"/>
        </w:rPr>
      </w:pPr>
    </w:p>
    <w:p>
      <w:pPr>
        <w:ind w:left="160" w:right="260" w:firstLine="436"/>
        <w:spacing w:after="0" w:line="255" w:lineRule="auto"/>
        <w:rPr>
          <w:sz w:val="20"/>
          <w:szCs w:val="20"/>
          <w:color w:val="auto"/>
        </w:rPr>
      </w:pPr>
      <w:r>
        <w:rPr>
          <w:rFonts w:ascii="Times New Roman" w:cs="Times New Roman" w:eastAsia="Times New Roman" w:hAnsi="Times New Roman"/>
          <w:sz w:val="18"/>
          <w:szCs w:val="18"/>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60"/>
          </w:cols>
          <w:pgMar w:left="320" w:top="452" w:right="5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8"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Set forth below is a list of the names, ages (as of March 19, 2025) and positions of all directors, director nominees, and executive officers of Medline Inc. at the time of this offering.</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7"/>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30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M. Liberman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Amanda H. Laabs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Abrams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Supply Chain Solutions</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N. Mills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 Abrams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P. Baratta</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D. Best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Galanti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Mills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R. Schmidt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Anushka M. Sunder</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Sweet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R. Thorpe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H. Wise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 Boyle </w:t>
      </w:r>
      <w:r>
        <w:rPr>
          <w:rFonts w:ascii="Times New Roman" w:cs="Times New Roman" w:eastAsia="Times New Roman" w:hAnsi="Times New Roman"/>
          <w:sz w:val="18"/>
          <w:szCs w:val="18"/>
          <w:color w:val="auto"/>
        </w:rPr>
        <w:t>has served as our Chief Executive Officer since 2023 and as a member of our board of directors since December 2023.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 current 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 Mr. Boyle received his B.S. in Industrial Distribution from Texas A&amp;M University.</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James M. Pigott </w:t>
      </w:r>
      <w:r>
        <w:rPr>
          <w:rFonts w:ascii="Times New Roman" w:cs="Times New Roman" w:eastAsia="Times New Roman" w:hAnsi="Times New Roman"/>
          <w:sz w:val="18"/>
          <w:szCs w:val="18"/>
          <w:color w:val="auto"/>
        </w:rPr>
        <w:t>has served as our President since 2023, and he will retain this role until his retirement at the end of 2025. He joined Medline in</w:t>
      </w:r>
    </w:p>
    <w:p>
      <w:pPr>
        <w:spacing w:after="0" w:line="30"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1992 as a sales representative. During his career at the Company, he has held various roles, including Chief Operating Officer from 2023 to 2024 and Executive Vice President from 2011 to 2023. Prior to serving as Executive Vice President, Mr. Pigott held various leadership roles, including Product Manager, Division President, and Group President. He has since held various management positions including Division President, President of Medline Asia, Divisional Group President, and Executive Vice President. Mr. Pigott received his B.A. from the University of Michigan.</w:t>
      </w:r>
    </w:p>
    <w:p>
      <w:pPr>
        <w:spacing w:after="0" w:line="185" w:lineRule="exact"/>
        <w:rPr>
          <w:sz w:val="20"/>
          <w:szCs w:val="20"/>
          <w:color w:val="auto"/>
        </w:rPr>
      </w:pPr>
    </w:p>
    <w:p>
      <w:pPr>
        <w:ind w:left="160" w:right="34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B. Drazin </w:t>
      </w:r>
      <w:r>
        <w:rPr>
          <w:rFonts w:ascii="Times New Roman" w:cs="Times New Roman" w:eastAsia="Times New Roman" w:hAnsi="Times New Roman"/>
          <w:sz w:val="18"/>
          <w:szCs w:val="18"/>
          <w:color w:val="auto"/>
        </w:rPr>
        <w:t>joined Medline in 2018 as Chief Financial Officer. Prior to joining Medline, Mr. Drazin served as Vice President,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FP&amp;A 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80"/>
          </w:cols>
          <w:pgMar w:left="320" w:top="451" w:right="5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spacing w:after="0" w:line="258" w:lineRule="auto"/>
        <w:rPr>
          <w:sz w:val="20"/>
          <w:szCs w:val="20"/>
          <w:color w:val="auto"/>
        </w:rPr>
      </w:pPr>
      <w:r>
        <w:rPr>
          <w:rFonts w:ascii="Times New Roman" w:cs="Times New Roman" w:eastAsia="Times New Roman" w:hAnsi="Times New Roman"/>
          <w:sz w:val="18"/>
          <w:szCs w:val="18"/>
          <w:color w:val="auto"/>
        </w:rPr>
        <w:t>Inc., he served as Group Controller at Click Commerce, Inc., Chief Financial Officer at Presutti Laboratories, 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176" w:lineRule="exact"/>
        <w:rPr>
          <w:sz w:val="20"/>
          <w:szCs w:val="20"/>
          <w:color w:val="auto"/>
        </w:rPr>
      </w:pPr>
    </w:p>
    <w:p>
      <w:pPr>
        <w:ind w:left="160" w:right="2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L. Miller </w:t>
      </w:r>
      <w:r>
        <w:rPr>
          <w:rFonts w:ascii="Times New Roman" w:cs="Times New Roman" w:eastAsia="Times New Roman" w:hAnsi="Times New Roman"/>
          <w:sz w:val="18"/>
          <w:szCs w:val="18"/>
          <w:color w:val="auto"/>
        </w:rPr>
        <w:t>has served as our Chief Operating Officer since January 1, 2025. Mr. Miller joined Medline in 2022 as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Supply Chain, a role he held through 2024. Prior to joining Medline, Mr. Miller served as Walmart’s Senior Vice President, Fulfillment Operations from 2020 to 2022 and Vice President, People (U.S. Supply Chain) from 2018 to 2020. Prior to that, he served in various supply chain 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80"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 M. Liberman </w:t>
      </w:r>
      <w:r>
        <w:rPr>
          <w:rFonts w:ascii="Times New Roman" w:cs="Times New Roman" w:eastAsia="Times New Roman" w:hAnsi="Times New Roman"/>
          <w:sz w:val="18"/>
          <w:szCs w:val="18"/>
          <w:color w:val="auto"/>
        </w:rPr>
        <w:t>joined Medline in 1999 as General Counsel and was retitled Chief Legal Officer in 2023. In this role, he oversees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responsible for counseling, dispute resolution, compliance, governance, risk, and regulatory. Mr. Liberman additionally held the title of Assistant Secretary from 1999 to 2023 and assumed the role of Secretary as of 2023, responsible for enterprise risk management at both the board and operational levels. He built several functions within Medline’s corporate office, including legal, compliance, privacy, ESG, legal operations, and global secretarial— all of which he oversees—and also was instrumental in developing other corporate functions, including medical affairs and information governance. Prior to joining Medline, Mr. Liberman worked as a partner at Hedund Hanley &amp; John from 1997 to 1998, where he was previously a Senior Associate from 1992 to 1996. Before Hedund Hanley &amp; John, he was an associate at Sidley Austin. Mr. Liberman received his B.A. in English from the University of Iowa and his J.D. from the University of Michigan.</w:t>
      </w:r>
    </w:p>
    <w:p>
      <w:pPr>
        <w:spacing w:after="0" w:line="180" w:lineRule="exact"/>
        <w:rPr>
          <w:sz w:val="20"/>
          <w:szCs w:val="20"/>
          <w:color w:val="auto"/>
        </w:rPr>
      </w:pPr>
    </w:p>
    <w:p>
      <w:pPr>
        <w:ind w:left="160" w:right="20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P. Golwas </w:t>
      </w:r>
      <w:r>
        <w:rPr>
          <w:rFonts w:ascii="Times New Roman" w:cs="Times New Roman" w:eastAsia="Times New Roman" w:hAnsi="Times New Roman"/>
          <w:sz w:val="18"/>
          <w:szCs w:val="18"/>
          <w:color w:val="auto"/>
        </w:rPr>
        <w:t>has served as our Chief Commercial Officer since 2023. Mr. Golwas joined Medline in 2008 as a Vice President; during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career at the Company, he has held various roles, including most recently as Executive Vice President, Acute Care from 2019 to 2023.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76" w:lineRule="exact"/>
        <w:rPr>
          <w:sz w:val="20"/>
          <w:szCs w:val="20"/>
          <w:color w:val="auto"/>
        </w:rPr>
      </w:pPr>
    </w:p>
    <w:p>
      <w:pPr>
        <w:jc w:val="both"/>
        <w:ind w:left="160" w:right="16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Christopher P. Shryock </w:t>
      </w:r>
      <w:r>
        <w:rPr>
          <w:rFonts w:ascii="Times New Roman" w:cs="Times New Roman" w:eastAsia="Times New Roman" w:hAnsi="Times New Roman"/>
          <w:sz w:val="17"/>
          <w:szCs w:val="17"/>
          <w:color w:val="auto"/>
        </w:rPr>
        <w:t>has served as our Chief Human Resources Officer since joining Medline in 2024. Prior to joining Medline, Mr. Shryock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w:t>
      </w:r>
    </w:p>
    <w:p>
      <w:pPr>
        <w:ind w:left="160" w:right="180"/>
        <w:spacing w:after="0" w:line="256" w:lineRule="auto"/>
        <w:rPr>
          <w:sz w:val="20"/>
          <w:szCs w:val="20"/>
          <w:color w:val="auto"/>
        </w:rPr>
      </w:pPr>
      <w:r>
        <w:rPr>
          <w:rFonts w:ascii="Times New Roman" w:cs="Times New Roman" w:eastAsia="Times New Roman" w:hAnsi="Times New Roman"/>
          <w:sz w:val="18"/>
          <w:szCs w:val="18"/>
          <w:color w:val="auto"/>
        </w:rPr>
        <w:t>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78"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Amanda H. Laabs </w:t>
      </w:r>
      <w:r>
        <w:rPr>
          <w:rFonts w:ascii="Times New Roman" w:cs="Times New Roman" w:eastAsia="Times New Roman" w:hAnsi="Times New Roman"/>
          <w:sz w:val="18"/>
          <w:szCs w:val="18"/>
          <w:color w:val="auto"/>
        </w:rPr>
        <w:t>has served as our Chief Product Officer since January 1, 2025. Ms. Laabs joined Medline in 2006 as part of our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textiles 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60"/>
          </w:cols>
          <w:pgMar w:left="320" w:top="451"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J. Abrams </w:t>
      </w:r>
      <w:r>
        <w:rPr>
          <w:rFonts w:ascii="Times New Roman" w:cs="Times New Roman" w:eastAsia="Times New Roman" w:hAnsi="Times New Roman"/>
          <w:sz w:val="18"/>
          <w:szCs w:val="18"/>
          <w:color w:val="auto"/>
        </w:rPr>
        <w:t>has served as our Executive Vice President, Supply Chain Solutions since 2023. Mr. Abrams joined Medline in 2009 as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Preferred Healthcare and Vice President of Real Estate and was promoted to his current role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178" w:lineRule="exact"/>
        <w:rPr>
          <w:sz w:val="20"/>
          <w:szCs w:val="20"/>
          <w:color w:val="auto"/>
        </w:rPr>
      </w:pPr>
    </w:p>
    <w:p>
      <w:pPr>
        <w:ind w:left="160" w:right="36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Charles N. Mills </w:t>
      </w:r>
      <w:r>
        <w:rPr>
          <w:rFonts w:ascii="Times New Roman" w:cs="Times New Roman" w:eastAsia="Times New Roman" w:hAnsi="Times New Roman"/>
          <w:sz w:val="17"/>
          <w:szCs w:val="17"/>
          <w:color w:val="auto"/>
        </w:rPr>
        <w:t>has served as the Chair of our board of directors since 2018 and as a member of our board of directors since 1985. Mr. Mills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our Chief Executive Officer from 1997 to 2023. He joined Medline in 1986 as a sales representative and has since held various positions within the company, including sales management, Vice President of Marketing, and Vice President of Manufacturing. Prior to joining Medline,</w:t>
      </w:r>
    </w:p>
    <w:p>
      <w:pPr>
        <w:ind w:left="160" w:right="80"/>
        <w:spacing w:after="0" w:line="252" w:lineRule="auto"/>
        <w:rPr>
          <w:sz w:val="20"/>
          <w:szCs w:val="20"/>
          <w:color w:val="auto"/>
        </w:rPr>
      </w:pPr>
      <w:r>
        <w:rPr>
          <w:rFonts w:ascii="Times New Roman" w:cs="Times New Roman" w:eastAsia="Times New Roman" w:hAnsi="Times New Roman"/>
          <w:sz w:val="18"/>
          <w:szCs w:val="18"/>
          <w:color w:val="auto"/>
        </w:rPr>
        <w:t>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81" w:lineRule="exact"/>
        <w:rPr>
          <w:sz w:val="20"/>
          <w:szCs w:val="20"/>
          <w:color w:val="auto"/>
        </w:rPr>
      </w:pPr>
    </w:p>
    <w:p>
      <w:pPr>
        <w:ind w:left="160" w:right="120" w:firstLine="436"/>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D. Abrams </w:t>
      </w:r>
      <w:r>
        <w:rPr>
          <w:rFonts w:ascii="Times New Roman" w:cs="Times New Roman" w:eastAsia="Times New Roman" w:hAnsi="Times New Roman"/>
          <w:sz w:val="18"/>
          <w:szCs w:val="18"/>
          <w:color w:val="auto"/>
        </w:rPr>
        <w:t>has served as a member of our board of directors since 2010 and served as our Chief Operating Officer from 1997 to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Medline in 1992 as a sales representative and has since held various management positions within the company. Prior to joining Medline,</w:t>
      </w:r>
    </w:p>
    <w:p>
      <w:pPr>
        <w:spacing w:after="0" w:line="1"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Mr. Abrams worked for the law firm Kirkland &amp; Ellis LLP. Mr. Abrams is currently on the Board of Directors of Northwestern Memorial Healthcare and the Executive Committee of Ravinia Festival. Mr. Abrams received his B.A. from the University of Michigan and his J.D. from the University of Chicago.</w:t>
      </w:r>
    </w:p>
    <w:p>
      <w:pPr>
        <w:spacing w:after="0" w:line="181"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P. Baratta </w:t>
      </w:r>
      <w:r>
        <w:rPr>
          <w:rFonts w:ascii="Times New Roman" w:cs="Times New Roman" w:eastAsia="Times New Roman" w:hAnsi="Times New Roman"/>
          <w:sz w:val="18"/>
          <w:szCs w:val="18"/>
          <w:color w:val="auto"/>
        </w:rPr>
        <w:t>has served as a member of our board of directors since 2021. Mr. Baratta is the Global Head of Private Equity and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First Eagle Investment Management, Merlin Entertainments Group, and Copeland.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84"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Jacob D. Best </w:t>
      </w:r>
      <w:r>
        <w:rPr>
          <w:rFonts w:ascii="Times New Roman" w:cs="Times New Roman" w:eastAsia="Times New Roman" w:hAnsi="Times New Roman"/>
          <w:sz w:val="18"/>
          <w:szCs w:val="18"/>
          <w:color w:val="auto"/>
        </w:rPr>
        <w:t>has served as a member of our board of directors since 2021. Mr. Best is a Partner at H&amp;F. Mr. Best joined H&amp;F in 2009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re-joined the firm in 2016. He is active in H&amp;F’s investments in PointClickCare and athenahealth. Mr. Best was formerly a Director of Associated Materials, Goodman Global, Snap One, and Ellucian, and was active in the firm’s investments in Verisure. Prior to re-joining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78" w:lineRule="exact"/>
        <w:rPr>
          <w:sz w:val="20"/>
          <w:szCs w:val="20"/>
          <w:color w:val="auto"/>
        </w:rPr>
      </w:pPr>
    </w:p>
    <w:p>
      <w:pPr>
        <w:ind w:left="160" w:right="28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A. Galanti </w:t>
      </w:r>
      <w:r>
        <w:rPr>
          <w:rFonts w:ascii="Times New Roman" w:cs="Times New Roman" w:eastAsia="Times New Roman" w:hAnsi="Times New Roman"/>
          <w:sz w:val="18"/>
          <w:szCs w:val="18"/>
          <w:color w:val="auto"/>
        </w:rPr>
        <w:t>is expected to join our board of directors prior to the completion of this offering. Mr. Galanti was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Financial Officer of Costco Wholesale Corporation, a multibillion-dollar global retailer, from October 1993 to March 2024, and Executive Vice President of Costco Wholesale from March 2024 to January 2025. Mr. Galanti joined Costco Wholesale in March 1984 as Vice President of Finance. Mr. Galanti served on the board of directors of Costco Wholesale from January 1995 to January 2025. Mr. Galanti received his B.S. in economics from The Wharton School at the University of Pennsylvania and his M.B.A. from Stanford University.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2"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240" w:firstLine="436"/>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J. Mills </w:t>
      </w:r>
      <w:r>
        <w:rPr>
          <w:rFonts w:ascii="Times New Roman" w:cs="Times New Roman" w:eastAsia="Times New Roman" w:hAnsi="Times New Roman"/>
          <w:sz w:val="17"/>
          <w:szCs w:val="17"/>
          <w:color w:val="auto"/>
        </w:rPr>
        <w:t>has served as a member of our board of directors since 1985 and served as our President from 1997 to 2023. Mr. Mills is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at the end of September 2023. Mr. Mills holds 22 granted patents and has three pending. Before joining Medline, he worked in brand management for Procter &amp; Gamble.</w:t>
      </w:r>
    </w:p>
    <w:p>
      <w:pPr>
        <w:spacing w:after="0" w:line="1" w:lineRule="exact"/>
        <w:rPr>
          <w:sz w:val="20"/>
          <w:szCs w:val="20"/>
          <w:color w:val="auto"/>
        </w:rPr>
      </w:pPr>
    </w:p>
    <w:p>
      <w:pPr>
        <w:jc w:val="both"/>
        <w:ind w:left="160" w:right="100"/>
        <w:spacing w:after="0" w:line="252" w:lineRule="auto"/>
        <w:rPr>
          <w:sz w:val="20"/>
          <w:szCs w:val="20"/>
          <w:color w:val="auto"/>
        </w:rPr>
      </w:pPr>
      <w:r>
        <w:rPr>
          <w:rFonts w:ascii="Times New Roman" w:cs="Times New Roman" w:eastAsia="Times New Roman" w:hAnsi="Times New Roman"/>
          <w:sz w:val="18"/>
          <w:szCs w:val="18"/>
          <w:color w:val="auto"/>
        </w:rPr>
        <w:t>Mr. Mills received his B.S. from Tulane University and his M.B.A. from the Kellogg School of Management at Northwestern University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81"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R. Schmidt </w:t>
      </w:r>
      <w:r>
        <w:rPr>
          <w:rFonts w:ascii="Times New Roman" w:cs="Times New Roman" w:eastAsia="Times New Roman" w:hAnsi="Times New Roman"/>
          <w:sz w:val="18"/>
          <w:szCs w:val="18"/>
          <w:color w:val="auto"/>
        </w:rPr>
        <w:t>has served as a member of our board of directors since 2021. Mr. Schmidt is a Partner and Global Co-Head of Healthcare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Carlyle. He joined Carlyle in 2011 and has been involved in a number of the firm’s investments globally. He is currently a member of the Board of Directors of Included Health, MedRisk, Resonetics, and Unchained Labs,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84"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Anushka M. Sunder </w:t>
      </w:r>
      <w:r>
        <w:rPr>
          <w:rFonts w:ascii="Times New Roman" w:cs="Times New Roman" w:eastAsia="Times New Roman" w:hAnsi="Times New Roman"/>
          <w:sz w:val="18"/>
          <w:szCs w:val="18"/>
          <w:color w:val="auto"/>
        </w:rPr>
        <w:t>has served as a member of our board of directors since 2021. Ms. Sunder is a Senior Managing Director at Blackstone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Healthcare Private Equity North America. Ms. Sunder joined Blackstone in 2013 and is a Director of Advarra, HealthEdge, and Precision Medicine Group, amongst other current and past Blackstone portfolio companies. She was previously involved in several other investments including Blue Yonder, Signature Aviation, Optiv, and NCR. She is Executive Sponsor of Blackstone’s Women’s Initiative and on the Blackstone Charitable Foundation Leadership Council. Before joining Blackstone, Ms. Sunder was at TPG Capital and at Goldman Sachs in the Financial Institutions Group. Ms. Sunder received her A.B. from Harvard College, where she graduated magna cum laude and Phi Beta Kappa, and her M.B.A. from Harvard Business School.</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W. Sweet </w:t>
      </w:r>
      <w:r>
        <w:rPr>
          <w:rFonts w:ascii="Times New Roman" w:cs="Times New Roman" w:eastAsia="Times New Roman" w:hAnsi="Times New Roman"/>
          <w:sz w:val="18"/>
          <w:szCs w:val="18"/>
          <w:color w:val="auto"/>
        </w:rPr>
        <w:t>has served as a member of our board of directors since 2024. Mr. Sweet was Chief Financial Officer of Dell Technologies,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 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80" w:lineRule="exact"/>
        <w:rPr>
          <w:sz w:val="20"/>
          <w:szCs w:val="20"/>
          <w:color w:val="auto"/>
        </w:rPr>
      </w:pPr>
    </w:p>
    <w:p>
      <w:pPr>
        <w:ind w:left="160" w:right="2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Allen R. Thorpe </w:t>
      </w:r>
      <w:r>
        <w:rPr>
          <w:rFonts w:ascii="Times New Roman" w:cs="Times New Roman" w:eastAsia="Times New Roman" w:hAnsi="Times New Roman"/>
          <w:sz w:val="17"/>
          <w:szCs w:val="17"/>
          <w:color w:val="auto"/>
        </w:rPr>
        <w:t>has served as a member of our board of directors since 2021. Mr. Thorpe is a Partner at H&amp;F. Mr. Thorpe joined H&amp;F in 1999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is a member of the Investment Committee. He leads the firm’s New York office and leads its investing activities in the Healthcare and Financial Services sectors. In Healthcare, Mr. Thorpe is a Director of athenahealth and MultiPlan, and was previously the Chairman of Sheridan Healthcare and a Director of PPD, Cordis, Change Healthcare, and Mitchell International. In Financial Services, Mr. Thorpe is a Director of Edelman Financial Engines. He was previously the Lead Director of LPL Financial, on the Advisory Board of GCM Grosvenor, and a Director of investment management firms Artisan Partners, Mondrian Investment Partners, and Gartmore Investment Management. In Consumer and Retail, Mr. Thorpe is a Director</w:t>
      </w:r>
    </w:p>
    <w:p>
      <w:pPr>
        <w:spacing w:after="0" w:line="1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320" w:top="452" w:right="5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of Caliber Collision. Prior to H&amp;F, Mr. Thorpe was a Vice President with Pacific Equity Partners and a Manager at Bain &amp; Company. Additionally, Mr. Thorpe serves on the Board of Overseers for the NYU Langone Medical Center, the Advisory Council of the Stanford Center on Longevity, the Advisory Council of The Hamilton Project and the Leadership Council of Robin Hood. Previously he was a Lecturer at Stanford University. Mr. Thorpe received his B.A. from Stanford University and his M.B.A. from Harvard Business School, where he was a Baker Scholar.</w:t>
      </w:r>
    </w:p>
    <w:p>
      <w:pPr>
        <w:spacing w:after="0" w:line="176"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H. Wise </w:t>
      </w:r>
      <w:r>
        <w:rPr>
          <w:rFonts w:ascii="Times New Roman" w:cs="Times New Roman" w:eastAsia="Times New Roman" w:hAnsi="Times New Roman"/>
          <w:sz w:val="18"/>
          <w:szCs w:val="18"/>
          <w:color w:val="auto"/>
        </w:rPr>
        <w:t>has served as a member of our board of directors since 2021. Mr. Wise is a Partner and Co-Head of Americas Corporate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and Sedgwick.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 After this Offering</w:t>
      </w:r>
    </w:p>
    <w:p>
      <w:pPr>
        <w:spacing w:after="0" w:line="118"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In addition, we intend to enter into separate director nomination agreements with the Designating Stockholders in connection with this offering. These agreements will grant the Designating Stockholders the right to designate nominees to our board of directors subject to the maintenance of certain ownership requirements in us. See “Certain Relationships and Related Person Transactions—Director Nomination Agreements.”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board of directors has affirmatively determined that each of Mr. Baratta, Mr. Best, Mr. Galanti, Mr. Schmidt, Ms. Sunder, Mr. Sweet, Mr.</w:t>
      </w:r>
    </w:p>
    <w:p>
      <w:pPr>
        <w:spacing w:after="0" w:line="26" w:lineRule="exact"/>
        <w:rPr>
          <w:sz w:val="20"/>
          <w:szCs w:val="20"/>
          <w:color w:val="auto"/>
        </w:rPr>
      </w:pPr>
    </w:p>
    <w:p>
      <w:pPr>
        <w:ind w:left="160"/>
        <w:spacing w:after="0"/>
        <w:tabs>
          <w:tab w:leader="none" w:pos="2700" w:val="left"/>
        </w:tabs>
        <w:rPr>
          <w:sz w:val="20"/>
          <w:szCs w:val="20"/>
          <w:color w:val="auto"/>
        </w:rPr>
      </w:pPr>
      <w:r>
        <w:rPr>
          <w:rFonts w:ascii="Times New Roman" w:cs="Times New Roman" w:eastAsia="Times New Roman" w:hAnsi="Times New Roman"/>
          <w:sz w:val="18"/>
          <w:szCs w:val="18"/>
          <w:color w:val="auto"/>
        </w:rPr>
        <w:t xml:space="preserve">Thorpe, Mr. Wise, and             </w:t>
      </w:r>
      <w:r>
        <w:rPr>
          <w:sz w:val="20"/>
          <w:szCs w:val="20"/>
          <w:color w:val="auto"/>
        </w:rPr>
        <w:tab/>
      </w:r>
      <w:r>
        <w:rPr>
          <w:rFonts w:ascii="Times New Roman" w:cs="Times New Roman" w:eastAsia="Times New Roman" w:hAnsi="Times New Roman"/>
          <w:sz w:val="17"/>
          <w:szCs w:val="17"/>
          <w:color w:val="auto"/>
        </w:rPr>
        <w:t>qualify as independent directors under Nasdaq listing standards.</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Background and Experience of Directors</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When considering whether directors and director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and director nominees’ individual biographies set forth above. We believe that our directors and director nominees provide an appropriate mix of experience and skills relevant to the size and nature of our business. In particular, the members of our board of directors considered the following important characteristics, among others:</w:t>
      </w:r>
    </w:p>
    <w:p>
      <w:pPr>
        <w:spacing w:after="0" w:line="91" w:lineRule="exact"/>
        <w:rPr>
          <w:sz w:val="20"/>
          <w:szCs w:val="20"/>
          <w:color w:val="auto"/>
        </w:rPr>
      </w:pPr>
    </w:p>
    <w:p>
      <w:pPr>
        <w:ind w:left="1140" w:right="180" w:hanging="438"/>
        <w:spacing w:after="0" w:line="278"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Boyle—our board of directors considered Mr. Boyle’s perspective, experience, and thorough knowledge of our industry as our Chief Executive Officer.</w:t>
      </w:r>
    </w:p>
    <w:p>
      <w:pPr>
        <w:spacing w:after="0" w:line="68" w:lineRule="exact"/>
        <w:rPr>
          <w:rFonts w:ascii="Times New Roman" w:cs="Times New Roman" w:eastAsia="Times New Roman" w:hAnsi="Times New Roman"/>
          <w:sz w:val="18"/>
          <w:szCs w:val="18"/>
          <w:color w:val="auto"/>
        </w:rPr>
      </w:pPr>
    </w:p>
    <w:p>
      <w:pPr>
        <w:ind w:left="1140" w:right="80" w:hanging="438"/>
        <w:spacing w:after="0" w:line="263"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 Mills—our board of directors considered Mr. C. Mills’ extensive industry knowledge, management expertise, and business experience, particularly from his former role as Medline’s Chief Executive Officer. The Mills Family intends to designate Mr. C. Mills for nomination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100" w:hanging="438"/>
        <w:spacing w:after="0" w:line="263"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Abrams—our board of directors considered Mr. Abrams’ significant industry knowledge, management expertise, and business experience, particularly from his former role as Medline’s Chief Operating Officer. The Mills Family intends to designate Mr. Abrams for nomination to our board of directors pursuant to its director nomination agreement.</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2" w:right="5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200" w:hanging="438"/>
        <w:spacing w:after="0" w:line="25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Baratta—our board of directors considered Mr. Baratta’s extensive financial, management, and investment experience from his involvement at Blackstone, including as the Global Head of Private Equity, and his service on the boards of various companies across multiple sectors. Blackstone intends to designate Mr. Baratta for nomination to our board of directors pursuant to its director nomination agreement.</w:t>
      </w:r>
    </w:p>
    <w:p>
      <w:pPr>
        <w:spacing w:after="0" w:line="86" w:lineRule="exact"/>
        <w:rPr>
          <w:rFonts w:ascii="Times New Roman" w:cs="Times New Roman" w:eastAsia="Times New Roman" w:hAnsi="Times New Roman"/>
          <w:sz w:val="18"/>
          <w:szCs w:val="18"/>
          <w:color w:val="auto"/>
        </w:rPr>
      </w:pPr>
    </w:p>
    <w:p>
      <w:pPr>
        <w:ind w:left="1140" w:right="360" w:hanging="438"/>
        <w:spacing w:after="0" w:line="263"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Best—our board of directors considered Mr. Best’s significant financial, management, and investment experience from his involvement at H&amp;F, including as a Partner, as well as his thorough knowledge of our industry. H&amp;F intends to designate Mr. Best for nomination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180" w:hanging="438"/>
        <w:spacing w:after="0" w:line="27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Galanti—our board of directors considered Mr. Galanti’s significant finance and financial reporting experience, specifically as Chief Financial Officer of Costco Wholesale.</w:t>
      </w:r>
    </w:p>
    <w:p>
      <w:pPr>
        <w:spacing w:after="0" w:line="68"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 Mills—our board of directors considered Mr. A. Mills’ extensive industry knowledge, management expertise, and business experience, particularly from his former role as President of Medline. The Mills Family intends to designate Mr. A. Mills for nomination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intends to designate Mr. Schmidt for nomination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160" w:hanging="438"/>
        <w:spacing w:after="0" w:line="25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intends to designate Ms. Sunder for nomination to the board of directors pursuant to its director nomination agreement.</w:t>
      </w:r>
    </w:p>
    <w:p>
      <w:pPr>
        <w:spacing w:after="0" w:line="86"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Sweet—our board of directors considered Mr. Sweet’s significant financial and audit experience, including his time as Chief Financial Officer at Dell and his service on the boards of a diverse group of companies.</w:t>
      </w:r>
    </w:p>
    <w:p>
      <w:pPr>
        <w:spacing w:after="0" w:line="68" w:lineRule="exact"/>
        <w:rPr>
          <w:rFonts w:ascii="Times New Roman" w:cs="Times New Roman" w:eastAsia="Times New Roman" w:hAnsi="Times New Roman"/>
          <w:sz w:val="18"/>
          <w:szCs w:val="18"/>
          <w:color w:val="auto"/>
        </w:rPr>
      </w:pPr>
    </w:p>
    <w:p>
      <w:pPr>
        <w:ind w:left="1140" w:right="180" w:hanging="438"/>
        <w:spacing w:after="0" w:line="263"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Thorpe—our board of directors considered Mr. Thorpe’s significant financial, management, and investment experience from his involvement at H&amp;F, including as a Partner, as well as his thorough knowledge of our industry. H&amp;F intends to designate Mr. Thorpe for nomination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40" w:hanging="438"/>
        <w:spacing w:after="0" w:line="285" w:lineRule="auto"/>
        <w:tabs>
          <w:tab w:leader="none" w:pos="11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intends to designate Mr. Wise for nomination to our board of directors pursuant to its director nomination agreement.</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8"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We anticipate that, prior to the completion of this offering, our board of directors will establish the following committees: an audit committee; a compensation committee; a nominating and corporate governance committee; and a risk and compliance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2" w:right="5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8"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Upon completion of this offering, we expect our audit committee will consist of Mr. Galanti, Mr. Sweet, and        , with Mr. Sweet serving as chair. Our audit committee will be responsible for, among other things:</w:t>
      </w:r>
    </w:p>
    <w:p>
      <w:pPr>
        <w:spacing w:after="0" w:line="69" w:lineRule="exact"/>
        <w:rPr>
          <w:sz w:val="20"/>
          <w:szCs w:val="20"/>
          <w:color w:val="auto"/>
        </w:rPr>
      </w:pPr>
    </w:p>
    <w:p>
      <w:pPr>
        <w:ind w:left="1140" w:hanging="438"/>
        <w:spacing w:after="0"/>
        <w:tabs>
          <w:tab w:leader="none" w:pos="11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auditors, and approving the audit and non-audit services to be performed by our independent auditors;</w:t>
      </w:r>
    </w:p>
    <w:p>
      <w:pPr>
        <w:spacing w:after="0" w:line="138"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evaluating the qualifications, performance, and independence of our independent auditors;</w:t>
      </w:r>
    </w:p>
    <w:p>
      <w:pPr>
        <w:spacing w:after="0" w:line="127" w:lineRule="exact"/>
        <w:rPr>
          <w:rFonts w:ascii="Times New Roman" w:cs="Times New Roman" w:eastAsia="Times New Roman" w:hAnsi="Times New Roman"/>
          <w:sz w:val="18"/>
          <w:szCs w:val="18"/>
          <w:color w:val="auto"/>
        </w:rPr>
      </w:pPr>
    </w:p>
    <w:p>
      <w:pPr>
        <w:ind w:left="1140" w:right="640" w:hanging="438"/>
        <w:spacing w:after="0" w:line="278"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quality and integrity of our financial statements and our accounting and financial reporting;</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our compliance with legal and regulatory requirements;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over financial reporting processes;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performance of our internal audit function;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our annual and quarterly financial statements;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63"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per SEC rules and regulations to be included in our annual proxy statement.</w:t>
      </w:r>
    </w:p>
    <w:p>
      <w:pPr>
        <w:spacing w:after="0" w:line="221"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registration statement. Mr. Galanti, Mr. Sweet, and        qualify as independent directors under Nasdaq listing standards and the independence standards of Rule 10A-3 of the Exchange Act. In addition, our board of directors has determined that Mr. Galanti and Mr. Sweet are audit committee financial experts within the meaning of Item 407(d) of Regulation S-K under the Securities Act.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Upon completion of this offering, we expect our compensation committee will consist of Mr. Best, Mr. Schmidt, and Ms. Sunder, with Ms. Sunder serving as chair. Our compensation committee will be responsible for, among other things:</w:t>
      </w:r>
    </w:p>
    <w:p>
      <w:pPr>
        <w:spacing w:after="0" w:line="69" w:lineRule="exact"/>
        <w:rPr>
          <w:sz w:val="20"/>
          <w:szCs w:val="20"/>
          <w:color w:val="auto"/>
        </w:rPr>
      </w:pPr>
    </w:p>
    <w:p>
      <w:pPr>
        <w:ind w:left="1140" w:right="100" w:hanging="438"/>
        <w:spacing w:after="0" w:line="258"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86" w:lineRule="exact"/>
        <w:rPr>
          <w:rFonts w:ascii="Times New Roman" w:cs="Times New Roman" w:eastAsia="Times New Roman" w:hAnsi="Times New Roman"/>
          <w:sz w:val="18"/>
          <w:szCs w:val="18"/>
          <w:color w:val="auto"/>
        </w:rPr>
      </w:pPr>
    </w:p>
    <w:p>
      <w:pPr>
        <w:ind w:left="1140" w:right="220" w:hanging="438"/>
        <w:spacing w:after="0" w:line="278"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compensation of our directors;</w:t>
      </w:r>
    </w:p>
    <w:p>
      <w:pPr>
        <w:spacing w:after="0" w:line="127" w:lineRule="exact"/>
        <w:rPr>
          <w:rFonts w:ascii="Times New Roman" w:cs="Times New Roman" w:eastAsia="Times New Roman" w:hAnsi="Times New Roman"/>
          <w:sz w:val="18"/>
          <w:szCs w:val="18"/>
          <w:color w:val="auto"/>
        </w:rPr>
      </w:pPr>
    </w:p>
    <w:p>
      <w:pPr>
        <w:ind w:left="5500" w:right="400" w:hanging="4798"/>
        <w:spacing w:after="0" w:line="448"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required by SEC rules; 157</w:t>
      </w:r>
    </w:p>
    <w:p>
      <w:pPr>
        <w:sectPr>
          <w:pgSz w:w="11900" w:h="16838" w:orient="portrait"/>
          <w:cols w:equalWidth="0" w:num="1">
            <w:col w:w="11060"/>
          </w:cols>
          <w:pgMar w:left="320" w:top="452" w:right="5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the SEC to be included in our annual proxy statement;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respect to our equity compensation plans.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Upon completion of this offering, we expect our nominating and corporate governance committee will consist of Mr. Best, Mr. Schmidt, and Ms.</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Sunder, with Mr. Schmidt serving as chair. The nominating and corporate governance committee is responsible for, among other things:</w:t>
      </w:r>
    </w:p>
    <w:p>
      <w:pPr>
        <w:spacing w:after="0" w:line="109" w:lineRule="exact"/>
        <w:rPr>
          <w:sz w:val="20"/>
          <w:szCs w:val="20"/>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to the board of directors;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127"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a set of corporate governance guidelines;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our board of directors.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Risk and Compliance Committee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Upon completion of this offering, we expect our risk and compliance committee will consist of Mr. Abrams, Mr. Best, Mr. Schmidt, and Ms.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Sunder, with Mr. Best serving as chair. The risk and compliance committee is responsible for, among other things:</w:t>
      </w:r>
    </w:p>
    <w:p>
      <w:pPr>
        <w:spacing w:after="0" w:line="109" w:lineRule="exact"/>
        <w:rPr>
          <w:sz w:val="20"/>
          <w:szCs w:val="20"/>
          <w:color w:val="auto"/>
        </w:rPr>
      </w:pPr>
    </w:p>
    <w:p>
      <w:pPr>
        <w:ind w:left="1140" w:right="300" w:hanging="438"/>
        <w:spacing w:after="0" w:line="278" w:lineRule="auto"/>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framework and compliance program as well as infrastructure designed to identify, assess, manage, and monitor the Company’s risks;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risk management and compliance program policies, guidelines and practices implemented by management;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allocation of risk oversight responsibilities to the board of directors and its committees; and</w:t>
      </w:r>
    </w:p>
    <w:p>
      <w:pPr>
        <w:spacing w:after="0" w:line="127" w:lineRule="exact"/>
        <w:rPr>
          <w:rFonts w:ascii="Times New Roman" w:cs="Times New Roman" w:eastAsia="Times New Roman" w:hAnsi="Times New Roman"/>
          <w:sz w:val="18"/>
          <w:szCs w:val="18"/>
          <w:color w:val="auto"/>
        </w:rPr>
      </w:pPr>
    </w:p>
    <w:p>
      <w:pPr>
        <w:ind w:left="1140" w:right="320" w:hanging="438"/>
        <w:spacing w:after="0" w:line="278" w:lineRule="auto"/>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exercise of its responsibility to manage legal and regulatory compliance and material government and other investigations.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8" w:lineRule="exact"/>
        <w:rPr>
          <w:sz w:val="20"/>
          <w:szCs w:val="20"/>
          <w:color w:val="auto"/>
        </w:rPr>
      </w:pPr>
    </w:p>
    <w:p>
      <w:pPr>
        <w:ind w:left="160" w:firstLine="436"/>
        <w:spacing w:after="0" w:line="274" w:lineRule="auto"/>
        <w:rPr>
          <w:sz w:val="20"/>
          <w:szCs w:val="20"/>
          <w:color w:val="auto"/>
        </w:rPr>
      </w:pPr>
      <w:r>
        <w:rPr>
          <w:rFonts w:ascii="Times New Roman" w:cs="Times New Roman" w:eastAsia="Times New Roman" w:hAnsi="Times New Roman"/>
          <w:sz w:val="17"/>
          <w:szCs w:val="17"/>
          <w:color w:val="auto"/>
        </w:rPr>
        <w:t>Other than Mr.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We will adopt a new Code of Business Conduct and Ethics that applies to all of our officers, directors, and employees, including our principal executive officer, principal financial officer, principal accounting officer, and 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320" w:top="452" w:right="5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18" w:lineRule="exact"/>
        <w:rPr>
          <w:sz w:val="20"/>
          <w:szCs w:val="20"/>
          <w:color w:val="auto"/>
        </w:rPr>
      </w:pPr>
    </w:p>
    <w:p>
      <w:pPr>
        <w:ind w:left="160" w:firstLine="436"/>
        <w:spacing w:after="0" w:line="285" w:lineRule="auto"/>
        <w:rPr>
          <w:sz w:val="20"/>
          <w:szCs w:val="20"/>
          <w:color w:val="auto"/>
        </w:rPr>
      </w:pPr>
      <w:r>
        <w:rPr>
          <w:rFonts w:ascii="Times New Roman" w:cs="Times New Roman" w:eastAsia="Times New Roman" w:hAnsi="Times New Roman"/>
          <w:sz w:val="17"/>
          <w:szCs w:val="17"/>
          <w:color w:val="auto"/>
        </w:rPr>
        <w:t>This Compensation Discussion and Analysis provides an overview of our executive compensation philosophy, the overall objectives of our executive compensation program, and each material element of compensation for the fiscal year ended December 31, 2024 that we provided to the following executive officers (whom we refer to as our “Named Executive Officers”), who served in the following principal capacities during fiscal 2024:</w:t>
      </w:r>
    </w:p>
    <w:p>
      <w:pPr>
        <w:spacing w:after="0" w:line="180"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57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President and Chief Operating Officer</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57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EVP Supply Chain</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7" w:lineRule="exact"/>
        <w:rPr>
          <w:sz w:val="20"/>
          <w:szCs w:val="20"/>
          <w:color w:val="auto"/>
        </w:rPr>
      </w:pPr>
    </w:p>
    <w:p>
      <w:pPr>
        <w:ind w:left="600" w:hanging="433"/>
        <w:spacing w:after="0"/>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2025, Mr. Miller assumed the role of Chief Operating Officer. Mr. Pigott will continue to serve as our President through December 31, 2025.</w:t>
      </w:r>
    </w:p>
    <w:p>
      <w:pPr>
        <w:spacing w:after="0" w:line="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voluntarily elected to name Mr. Golwas as an additional Named Executive Officer in this prospectus.</w:t>
      </w:r>
    </w:p>
    <w:p>
      <w:pPr>
        <w:spacing w:after="0" w:line="188" w:lineRule="exact"/>
        <w:rPr>
          <w:sz w:val="20"/>
          <w:szCs w:val="20"/>
          <w:color w:val="auto"/>
        </w:rPr>
      </w:pPr>
    </w:p>
    <w:p>
      <w:pPr>
        <w:ind w:left="160" w:right="40" w:firstLine="436"/>
        <w:spacing w:after="0" w:line="268" w:lineRule="auto"/>
        <w:rPr>
          <w:sz w:val="20"/>
          <w:szCs w:val="20"/>
          <w:color w:val="auto"/>
        </w:rPr>
      </w:pPr>
      <w:r>
        <w:rPr>
          <w:rFonts w:ascii="Times New Roman" w:cs="Times New Roman" w:eastAsia="Times New Roman" w:hAnsi="Times New Roman"/>
          <w:sz w:val="17"/>
          <w:szCs w:val="17"/>
          <w:color w:val="auto"/>
        </w:rPr>
        <w:t>The compensation committee of our board of directors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our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Objectives and Philosophy</w:t>
      </w:r>
    </w:p>
    <w:p>
      <w:pPr>
        <w:spacing w:after="0" w:line="118"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The goal of our executive compensation program is to create long-term value for our investors while at the same time rewarding our executives for superior financial and operating performance and support retention in a competitive market environment. We believe the most effective way to achieve this objective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90" w:lineRule="exact"/>
        <w:rPr>
          <w:sz w:val="20"/>
          <w:szCs w:val="20"/>
          <w:color w:val="auto"/>
        </w:rPr>
      </w:pPr>
    </w:p>
    <w:p>
      <w:pPr>
        <w:jc w:val="both"/>
        <w:ind w:left="1140" w:right="500" w:hanging="438"/>
        <w:spacing w:after="0" w:line="285" w:lineRule="auto"/>
        <w:tabs>
          <w:tab w:leader="none" w:pos="11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Market Competitive</w:t>
      </w:r>
      <w:r>
        <w:rPr>
          <w:rFonts w:ascii="Times New Roman" w:cs="Times New Roman" w:eastAsia="Times New Roman" w:hAnsi="Times New Roman"/>
          <w:sz w:val="17"/>
          <w:szCs w:val="17"/>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65" w:lineRule="exact"/>
        <w:rPr>
          <w:rFonts w:ascii="Times New Roman" w:cs="Times New Roman" w:eastAsia="Times New Roman" w:hAnsi="Times New Roman"/>
          <w:sz w:val="17"/>
          <w:szCs w:val="17"/>
          <w:color w:val="auto"/>
        </w:rPr>
      </w:pPr>
    </w:p>
    <w:p>
      <w:pPr>
        <w:ind w:left="1140" w:right="260" w:hanging="438"/>
        <w:spacing w:after="0" w:line="278"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w:t>
      </w:r>
      <w:r>
        <w:rPr>
          <w:rFonts w:ascii="Times New Roman" w:cs="Times New Roman" w:eastAsia="Times New Roman" w:hAnsi="Times New Roman"/>
          <w:sz w:val="18"/>
          <w:szCs w:val="18"/>
          <w:color w:val="auto"/>
        </w:rPr>
        <w:t>: A significant portion of executive compensation should be performance-based pay that is “at risk,” based on short-term and long-term goals, which reward both organizational and individual performance; and</w:t>
      </w:r>
    </w:p>
    <w:p>
      <w:pPr>
        <w:spacing w:after="0" w:line="68"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Aligned</w:t>
      </w:r>
      <w:r>
        <w:rPr>
          <w:rFonts w:ascii="Times New Roman" w:cs="Times New Roman" w:eastAsia="Times New Roman" w:hAnsi="Times New Roman"/>
          <w:sz w:val="18"/>
          <w:szCs w:val="18"/>
          <w:color w:val="auto"/>
        </w:rPr>
        <w:t>: Incentives should be structured to create a strong alignment between executives and investors on both a short-term and a long-term basis.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2"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Process for Determining 2024 Compensation</w:t>
      </w:r>
    </w:p>
    <w:p>
      <w:pPr>
        <w:spacing w:after="0" w:line="118"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84" w:lineRule="exact"/>
        <w:rPr>
          <w:sz w:val="20"/>
          <w:szCs w:val="20"/>
          <w:color w:val="auto"/>
        </w:rPr>
      </w:pPr>
    </w:p>
    <w:p>
      <w:pPr>
        <w:ind w:left="160" w:right="80" w:firstLine="436"/>
        <w:spacing w:after="0" w:line="274" w:lineRule="auto"/>
        <w:rPr>
          <w:sz w:val="20"/>
          <w:szCs w:val="20"/>
          <w:color w:val="auto"/>
        </w:rPr>
      </w:pPr>
      <w:r>
        <w:rPr>
          <w:rFonts w:ascii="Times New Roman" w:cs="Times New Roman" w:eastAsia="Times New Roman" w:hAnsi="Times New Roman"/>
          <w:sz w:val="17"/>
          <w:szCs w:val="17"/>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on all of our Named Executive Officers (other than the Chief Executive Officer), and the compensation committee determines each Named Executive Officer’s compensation at least annually.</w:t>
      </w:r>
    </w:p>
    <w:p>
      <w:pPr>
        <w:spacing w:after="0" w:line="16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For 2024, the compensation committee also reviewed and considered survey and benchmarking data of a comparator group of companies prepared by management’s compensation consultant, Aon. To inform our compensation decision, we use a peer group of companies that are similar to us in terms of assets and revenues and with which we compete for executive talent. The compensation committee does not set compensation levels for our executive officers within a fixed range of benchmarks of our peer companies; however, the compensation committee reviews such peer company information and market data to better assess the range of compensation needed to attract, retain, and motivate executive talent in our highly competitive industry. In selecting the peer group, the aim was to select the most appropriate companies against which our compensation-related performance should be measured. The peer group for 2024 consisted of twenty-one publicly traded companies with revenues between approximately 0.5 to 2.5 times those of Medline.</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Applying these criteria, the compensation committee approved the companies listed below as the peer group for 2024 compensation decisions:</w:t>
      </w:r>
    </w:p>
    <w:p>
      <w:pPr>
        <w:spacing w:after="0" w:line="248"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 3M Company</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73"/>
              </w:rPr>
              <w:t>• </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 Ecolab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 Medtronic plc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 Abbott Laboratories</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73"/>
              </w:rPr>
              <w:t>• </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 General Mills,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 Mondelēz International, Inc.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 AbbVie Inc.</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73"/>
              </w:rPr>
              <w:t>• </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 HCA Healthcare,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 Owens &amp; Minor, Inc.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 Baxter International Inc.</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73"/>
              </w:rPr>
              <w:t>• </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 Henry Schein,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 Parker-Hannifin Corporation</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 Becton, Dickinson and Company</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73"/>
              </w:rPr>
              <w:t>• </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 Illinois Tool Works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 STERIS plc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 Colgate-Palmolive Company</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73"/>
              </w:rPr>
              <w:t>• </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 Kellanova</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 Teleflex Incorporated</w:t>
            </w:r>
          </w:p>
        </w:tc>
      </w:t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 Danaher Corporation</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73"/>
              </w:rPr>
              <w:t>• </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 Kimberly-Clark Corporation</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73"/>
              </w:rPr>
              <w:t>• </w:t>
            </w: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 W.W. Grainger, Inc.</w:t>
            </w:r>
          </w:p>
        </w:tc>
      </w:tr>
    </w:tbl>
    <w:p>
      <w:pPr>
        <w:spacing w:after="0" w:line="195"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In alignment with the considerations described above, the compensation committee determined the total amount of compensation for our Named Executive Officers, and the allocation of total compensation among each of our three main components of compensation described below.</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1"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80" w:firstLine="436"/>
        <w:spacing w:after="0" w:line="255" w:lineRule="auto"/>
        <w:rPr>
          <w:sz w:val="20"/>
          <w:szCs w:val="20"/>
          <w:color w:val="auto"/>
        </w:rPr>
      </w:pPr>
      <w:r>
        <w:rPr>
          <w:rFonts w:ascii="Times New Roman" w:cs="Times New Roman" w:eastAsia="Times New Roman" w:hAnsi="Times New Roman"/>
          <w:sz w:val="18"/>
          <w:szCs w:val="18"/>
          <w:color w:val="auto"/>
        </w:rPr>
        <w:t>In 2024, Medline retained Korn Ferry as its compensation consultant. Korn Ferry has provided benchmarking data for 2025 compensation planning and has worked with management and the compensation committee on the overall compensation structure for our senior leadership team in anticipation of this offering. As part of its work, Korn Ferry recommended, and the compensation committee approved, changes to the peer group to place greater weight on the peer group’s size and performance profile and to rebalance the peer group by focusing on revenue, revenue growth and market performance. For 2025, the peer group consists of the following companies:</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 3M Company</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 Honeywell International Inc.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 Abbott Laboratories</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 Illinois Tool Works, Inc.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 Baxter International Inc.</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 Kimberly-Clark Corporation</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 Becton, Dickinson and Company</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 Medtronic plc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 Colgate-Palmolive Company</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 Owens &amp; Minor, Inc.</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 Danaher Corporation</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 Stryker Corporation</w:t>
            </w:r>
          </w:p>
        </w:tc>
      </w:tr>
      <w:tr>
        <w:trPr>
          <w:trHeight w:val="21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 GE HealthCare Technologies Inc.</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 Thermo Fisher Scientific Inc.</w:t>
            </w:r>
          </w:p>
        </w:tc>
      </w:t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 Henry Schein, Inc.</w:t>
            </w:r>
          </w:p>
        </w:tc>
        <w:tc>
          <w:tcPr>
            <w:tcW w:w="160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7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 W.W. Grainger, Inc.</w:t>
            </w:r>
          </w:p>
        </w:tc>
      </w:tr>
    </w:tbl>
    <w:p>
      <w:pPr>
        <w:spacing w:after="0" w:line="195"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Following this offering, 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Relationship of Compensation Practices to Risk Management</w:t>
      </w:r>
    </w:p>
    <w:p>
      <w:pPr>
        <w:spacing w:after="0" w:line="118"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69" w:lineRule="exact"/>
        <w:rPr>
          <w:sz w:val="20"/>
          <w:szCs w:val="20"/>
          <w:color w:val="auto"/>
        </w:rPr>
      </w:pPr>
    </w:p>
    <w:p>
      <w:pPr>
        <w:ind w:left="1140" w:hanging="438"/>
        <w:spacing w:after="0"/>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but attainable goals that are well-defined and communicated;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variable compensation tied to a mix of financial and operational objectives;</w:t>
      </w:r>
    </w:p>
    <w:p>
      <w:pPr>
        <w:spacing w:after="0" w:line="127" w:lineRule="exact"/>
        <w:rPr>
          <w:rFonts w:ascii="Times New Roman" w:cs="Times New Roman" w:eastAsia="Times New Roman" w:hAnsi="Times New Roman"/>
          <w:sz w:val="18"/>
          <w:szCs w:val="18"/>
          <w:color w:val="auto"/>
        </w:rPr>
      </w:pPr>
    </w:p>
    <w:p>
      <w:pPr>
        <w:ind w:left="1140" w:right="160" w:hanging="438"/>
        <w:spacing w:after="0" w:line="263"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Multi-year, overlapping vesting terms for equity awards, and for the Chief Executive Officer, President and Chief Operating Officer, and EVP, Supply Chain, financial objectives for a portion of outstanding equity awards. Our equity awards only have value to the extent the long-term value of our company appreciates; and</w:t>
      </w:r>
    </w:p>
    <w:p>
      <w:pPr>
        <w:spacing w:after="0" w:line="81" w:lineRule="exact"/>
        <w:rPr>
          <w:rFonts w:ascii="Times New Roman" w:cs="Times New Roman" w:eastAsia="Times New Roman" w:hAnsi="Times New Roman"/>
          <w:sz w:val="18"/>
          <w:szCs w:val="18"/>
          <w:color w:val="auto"/>
        </w:rPr>
      </w:pPr>
    </w:p>
    <w:p>
      <w:pPr>
        <w:ind w:left="1140" w:right="280" w:hanging="438"/>
        <w:spacing w:after="0" w:line="278"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controls in the administration of our plans to ensure performance against established company performance metrics is objectively and independently determined.</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Considerations in Setting 2024 Compensation</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2024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2024 compensation of our Named Executive Officers was competitive while at the same time being responsible to our stockholders because a significant percentage of total compensation in 2024 was allocated to variable compensation. This variable compensation is paid only upon achievement of Company performance objectives and individual Named Executive Officer goals that contribute to the creation of stockholder value.</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40"/>
          </w:cols>
          <w:pgMar w:left="320" w:top="452" w:right="5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2024 compensation decisions for our Named Executive Officers, and which the compensation committee believes will continue to affect its compensation decisions in future fiscal years:</w:t>
      </w:r>
    </w:p>
    <w:p>
      <w:pPr>
        <w:spacing w:after="0" w:line="160" w:lineRule="exact"/>
        <w:rPr>
          <w:sz w:val="20"/>
          <w:szCs w:val="20"/>
          <w:color w:val="auto"/>
        </w:rPr>
      </w:pPr>
    </w:p>
    <w:p>
      <w:pPr>
        <w:ind w:left="160" w:right="4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80"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opportunities upon achievement of goals correlated with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80" w:lineRule="exact"/>
        <w:rPr>
          <w:sz w:val="20"/>
          <w:szCs w:val="20"/>
          <w:color w:val="auto"/>
        </w:rPr>
      </w:pPr>
    </w:p>
    <w:p>
      <w:pPr>
        <w:ind w:left="160" w:right="2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consider,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with respect to our success in implementing our business strategies that yield long-term benefits and align our Named Executive Officers’ interests with those of our investors. The compensation committee believes it is important to hold our Named Executive Officers accountable for overall Company results. For a discussion of the individual and Company performance measures considered by the Committee (as defined below) in connection with 2024 bonus payments, see “—Compensation Elements—Annual Incentive Compensation” below.</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three key components of our executive compensation program for our senior leadership team, including our Named Executive Officers:</w:t>
      </w:r>
    </w:p>
    <w:p>
      <w:pPr>
        <w:spacing w:after="0" w:line="139" w:lineRule="exact"/>
        <w:rPr>
          <w:sz w:val="20"/>
          <w:szCs w:val="20"/>
          <w:color w:val="auto"/>
        </w:rPr>
      </w:pPr>
    </w:p>
    <w:p>
      <w:pPr>
        <w:ind w:left="1140" w:hanging="438"/>
        <w:spacing w:after="0"/>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 and</w:t>
      </w:r>
    </w:p>
    <w:p>
      <w:pPr>
        <w:spacing w:after="0" w:line="127" w:lineRule="exact"/>
        <w:rPr>
          <w:rFonts w:ascii="Times New Roman" w:cs="Times New Roman" w:eastAsia="Times New Roman" w:hAnsi="Times New Roman"/>
          <w:sz w:val="18"/>
          <w:szCs w:val="18"/>
          <w:color w:val="auto"/>
        </w:rPr>
      </w:pPr>
    </w:p>
    <w:p>
      <w:pPr>
        <w:ind w:left="1140" w:right="480" w:hanging="438"/>
        <w:spacing w:after="0" w:line="278"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 in the form of Class B Units, which are intended to be profits interests for U.S. income tax purposes.</w:t>
      </w:r>
    </w:p>
    <w:p>
      <w:pPr>
        <w:spacing w:after="0" w:line="162" w:lineRule="exact"/>
        <w:rPr>
          <w:sz w:val="20"/>
          <w:szCs w:val="20"/>
          <w:color w:val="auto"/>
        </w:rPr>
      </w:pPr>
    </w:p>
    <w:p>
      <w:pPr>
        <w:ind w:left="160" w:right="880" w:firstLine="436"/>
        <w:spacing w:after="0" w:line="278" w:lineRule="auto"/>
        <w:rPr>
          <w:sz w:val="20"/>
          <w:szCs w:val="20"/>
          <w:color w:val="auto"/>
        </w:rPr>
      </w:pPr>
      <w:r>
        <w:rPr>
          <w:rFonts w:ascii="Times New Roman" w:cs="Times New Roman" w:eastAsia="Times New Roman" w:hAnsi="Times New Roman"/>
          <w:sz w:val="18"/>
          <w:szCs w:val="18"/>
          <w:color w:val="auto"/>
        </w:rPr>
        <w:t>In addition to these key compensation elements, the Named Executive Officers are provided certain other compensation. See “—Other Compensation.”</w:t>
      </w:r>
    </w:p>
    <w:p>
      <w:pPr>
        <w:spacing w:after="0" w:line="162"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80" w:lineRule="exact"/>
        <w:rPr>
          <w:sz w:val="20"/>
          <w:szCs w:val="20"/>
          <w:color w:val="auto"/>
        </w:rPr>
      </w:pPr>
    </w:p>
    <w:p>
      <w:pPr>
        <w:ind w:left="160" w:right="220" w:firstLine="436"/>
        <w:spacing w:after="0" w:line="255" w:lineRule="auto"/>
        <w:rPr>
          <w:sz w:val="20"/>
          <w:szCs w:val="20"/>
          <w:color w:val="auto"/>
        </w:rPr>
      </w:pPr>
      <w:r>
        <w:rPr>
          <w:rFonts w:ascii="Times New Roman" w:cs="Times New Roman" w:eastAsia="Times New Roman" w:hAnsi="Times New Roman"/>
          <w:sz w:val="18"/>
          <w:szCs w:val="18"/>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1"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18" w:lineRule="exact"/>
        <w:rPr>
          <w:sz w:val="20"/>
          <w:szCs w:val="20"/>
          <w:color w:val="auto"/>
        </w:rPr>
      </w:pPr>
    </w:p>
    <w:p>
      <w:pPr>
        <w:ind w:left="160" w:right="80" w:firstLine="436"/>
        <w:spacing w:after="0" w:line="268" w:lineRule="auto"/>
        <w:rPr>
          <w:sz w:val="20"/>
          <w:szCs w:val="20"/>
          <w:color w:val="auto"/>
        </w:rPr>
      </w:pPr>
      <w:r>
        <w:rPr>
          <w:rFonts w:ascii="Times New Roman" w:cs="Times New Roman" w:eastAsia="Times New Roman" w:hAnsi="Times New Roman"/>
          <w:sz w:val="17"/>
          <w:szCs w:val="17"/>
          <w:color w:val="auto"/>
        </w:rPr>
        <w:t>The compensation committee believes that base salaries are an important component of our executive compensation program and are critical in attracting and retaining executive talent. The compensation committee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knowledge of market and competitive salary information,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receives an evaluation from the Chief Executive Officer on that person’s performance and a recommendation for a salary adjustment. No formulaic base salary increases are provided to the Named Executive Officers.</w:t>
      </w:r>
    </w:p>
    <w:p>
      <w:pPr>
        <w:spacing w:after="0" w:line="175" w:lineRule="exact"/>
        <w:rPr>
          <w:sz w:val="20"/>
          <w:szCs w:val="20"/>
          <w:color w:val="auto"/>
        </w:rPr>
      </w:pPr>
    </w:p>
    <w:p>
      <w:pPr>
        <w:ind w:left="160" w:right="480" w:firstLine="436"/>
        <w:spacing w:after="0" w:line="258" w:lineRule="auto"/>
        <w:rPr>
          <w:sz w:val="20"/>
          <w:szCs w:val="20"/>
          <w:color w:val="auto"/>
        </w:rPr>
      </w:pPr>
      <w:r>
        <w:rPr>
          <w:rFonts w:ascii="Times New Roman" w:cs="Times New Roman" w:eastAsia="Times New Roman" w:hAnsi="Times New Roman"/>
          <w:sz w:val="18"/>
          <w:szCs w:val="18"/>
          <w:color w:val="auto"/>
        </w:rPr>
        <w:t>Based on its review of peer data and each Named Executive Officer’s individual performance, the compensation committee approved the following increases to the base salaries of our Named Executive Officers for fiscal 2024: Mr. Drazin’s base salary was increased from $775,000 to $810,000 and Mr. Miller’s base salary was increased from $624,000 to $724,000. No changes were made to the base salaries of our other Named Executive Officers for fiscal 2024.</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base salary for each of our Named Executive Officers during the fiscal year ended December 31, 2024 was as follows:</w:t>
      </w:r>
    </w:p>
    <w:p>
      <w:pPr>
        <w:spacing w:after="0" w:line="228"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8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b w:val="1"/>
                <w:bCs w:val="1"/>
                <w:color w:val="auto"/>
                <w:w w:val="97"/>
              </w:rPr>
              <w:t>Year Ended</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3280" w:type="dxa"/>
            <w:vAlign w:val="bottom"/>
            <w:gridSpan w:val="2"/>
          </w:tcPr>
          <w:p>
            <w:pPr>
              <w:jc w:val="center"/>
              <w:ind w:left="2173"/>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0" w:type="dxa"/>
            <w:vAlign w:val="bottom"/>
          </w:tcPr>
          <w:p>
            <w:pPr>
              <w:spacing w:after="0"/>
              <w:rPr>
                <w:sz w:val="12"/>
                <w:szCs w:val="12"/>
                <w:color w:val="auto"/>
              </w:rPr>
            </w:pPr>
          </w:p>
        </w:tc>
        <w:tc>
          <w:tcPr>
            <w:tcW w:w="880" w:type="dxa"/>
            <w:vAlign w:val="bottom"/>
          </w:tcPr>
          <w:p>
            <w:pPr>
              <w:jc w:val="center"/>
              <w:ind w:right="78"/>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72"/>
        </w:trPr>
        <w:tc>
          <w:tcPr>
            <w:tcW w:w="412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14"/>
        </w:trPr>
        <w:tc>
          <w:tcPr>
            <w:tcW w:w="412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Christopher P. Shryock</w:t>
            </w:r>
            <w:r>
              <w:rPr>
                <w:rFonts w:ascii="Times New Roman" w:cs="Times New Roman" w:eastAsia="Times New Roman" w:hAnsi="Times New Roman"/>
                <w:sz w:val="24"/>
                <w:szCs w:val="24"/>
                <w:color w:val="auto"/>
                <w:vertAlign w:val="superscript"/>
              </w:rPr>
              <w:t>(1)</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724,000</w:t>
            </w: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7645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6" w:lineRule="exact"/>
        <w:rPr>
          <w:sz w:val="20"/>
          <w:szCs w:val="20"/>
          <w:color w:val="auto"/>
        </w:rPr>
      </w:pPr>
    </w:p>
    <w:p>
      <w:pPr>
        <w:ind w:left="600" w:hanging="433"/>
        <w:spacing w:after="0"/>
        <w:tabs>
          <w:tab w:leader="none" w:pos="6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Shryock joined the Company as Chief Human Resources Officer on July 1, 2024. Salary paid to Mr. Shryock for fiscal 2024 was pro-rated based on his start date.</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18" w:lineRule="exact"/>
        <w:rPr>
          <w:sz w:val="20"/>
          <w:szCs w:val="20"/>
          <w:color w:val="auto"/>
        </w:rPr>
      </w:pPr>
    </w:p>
    <w:p>
      <w:pPr>
        <w:ind w:left="160" w:firstLine="436"/>
        <w:spacing w:after="0" w:line="270" w:lineRule="auto"/>
        <w:rPr>
          <w:sz w:val="20"/>
          <w:szCs w:val="20"/>
          <w:color w:val="auto"/>
        </w:rPr>
      </w:pPr>
      <w:r>
        <w:rPr>
          <w:rFonts w:ascii="Times New Roman" w:cs="Times New Roman" w:eastAsia="Times New Roman" w:hAnsi="Times New Roman"/>
          <w:sz w:val="17"/>
          <w:szCs w:val="17"/>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72"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Under our AIP, each Named Executive Officer has threshold, target and maximum bonus opportunities expressed as a percentage of the Named Executive Officer’s base salary. As described further below, the 2024</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51"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AIP payout opportunities for each of Messrs. Drazin, Shryock, Miller and Golwas included an “upside modifier,” which permitted each executive to earn up to an additional 25% of their maximum bonus opportunity depending on Company or functional area performance for certain financial performance goals. In addition, the 2024 AIP payout opportunity for Mr. Golwas included an “expense modifier,” which provided that Mr. Golwas’s AIP bonus payout would be lowered or raised $3,000 for each 10 basis point increase or decrease in total selling expense growth above or below 70% of sales growth, respectively, subject to a cap of $25,000, although the modifier cannot result in Mr. Golwas’s actual AIP payout being less than threshold nor greater than maximum. The 2024 AIP payout opportunities for Messrs. Boyle and Pigott included no such modifiers. For fiscal year 2024, our Named Executive Officers had target and maximum bonus opportunities under the AIP as follows:</w:t>
      </w:r>
    </w:p>
    <w:p>
      <w:pPr>
        <w:spacing w:after="0" w:line="19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380" w:type="dxa"/>
            <w:vAlign w:val="bottom"/>
          </w:tcPr>
          <w:p>
            <w:pPr>
              <w:spacing w:after="0"/>
              <w:rPr>
                <w:sz w:val="13"/>
                <w:szCs w:val="13"/>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3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AIP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Unmodified</w:t>
            </w:r>
          </w:p>
        </w:tc>
        <w:tc>
          <w:tcPr>
            <w:tcW w:w="380" w:type="dxa"/>
            <w:vAlign w:val="bottom"/>
          </w:tcPr>
          <w:p>
            <w:pPr>
              <w:spacing w:after="0"/>
              <w:rPr>
                <w:sz w:val="12"/>
                <w:szCs w:val="12"/>
                <w:color w:val="auto"/>
              </w:rPr>
            </w:pPr>
          </w:p>
        </w:tc>
        <w:tc>
          <w:tcPr>
            <w:tcW w:w="10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Modified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38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80" w:type="dxa"/>
            <w:vAlign w:val="bottom"/>
          </w:tcPr>
          <w:p>
            <w:pPr>
              <w:spacing w:after="0"/>
              <w:rPr>
                <w:sz w:val="12"/>
                <w:szCs w:val="12"/>
                <w:color w:val="auto"/>
              </w:rPr>
            </w:pPr>
          </w:p>
        </w:tc>
        <w:tc>
          <w:tcPr>
            <w:tcW w:w="10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380" w:type="dxa"/>
            <w:vAlign w:val="bottom"/>
          </w:tcPr>
          <w:p>
            <w:pPr>
              <w:spacing w:after="0"/>
              <w:rPr>
                <w:sz w:val="12"/>
                <w:szCs w:val="12"/>
                <w:color w:val="auto"/>
              </w:rPr>
            </w:pPr>
          </w:p>
        </w:tc>
        <w:tc>
          <w:tcPr>
            <w:tcW w:w="134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Annual</w:t>
            </w:r>
          </w:p>
        </w:tc>
        <w:tc>
          <w:tcPr>
            <w:tcW w:w="380" w:type="dxa"/>
            <w:vAlign w:val="bottom"/>
          </w:tcPr>
          <w:p>
            <w:pPr>
              <w:spacing w:after="0"/>
              <w:rPr>
                <w:sz w:val="12"/>
                <w:szCs w:val="12"/>
                <w:color w:val="auto"/>
              </w:rPr>
            </w:pPr>
          </w:p>
        </w:tc>
        <w:tc>
          <w:tcPr>
            <w:tcW w:w="10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38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380" w:type="dxa"/>
            <w:vAlign w:val="bottom"/>
          </w:tcPr>
          <w:p>
            <w:pPr>
              <w:spacing w:after="0"/>
              <w:rPr>
                <w:sz w:val="12"/>
                <w:szCs w:val="12"/>
                <w:color w:val="auto"/>
              </w:rPr>
            </w:pPr>
          </w:p>
        </w:tc>
        <w:tc>
          <w:tcPr>
            <w:tcW w:w="10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0" w:type="dxa"/>
            <w:vAlign w:val="bottom"/>
          </w:tcPr>
          <w:p>
            <w:pPr>
              <w:spacing w:after="0"/>
              <w:rPr>
                <w:sz w:val="1"/>
                <w:szCs w:val="1"/>
                <w:color w:val="auto"/>
              </w:rPr>
            </w:pPr>
          </w:p>
        </w:tc>
      </w:tr>
      <w:tr>
        <w:trPr>
          <w:trHeight w:val="147"/>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gridSpan w:val="3"/>
          </w:tcPr>
          <w:p>
            <w:pPr>
              <w:jc w:val="center"/>
              <w:ind w:left="154"/>
              <w:spacing w:after="0" w:line="14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72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20" w:type="dxa"/>
            <w:vAlign w:val="bottom"/>
            <w:gridSpan w:val="3"/>
          </w:tcPr>
          <w:p>
            <w:pPr>
              <w:jc w:val="center"/>
              <w:ind w:left="74"/>
              <w:spacing w:after="0" w:line="14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2"/>
        </w:trPr>
        <w:tc>
          <w:tcPr>
            <w:tcW w:w="39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38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3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7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2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85%</w:t>
            </w:r>
          </w:p>
        </w:tc>
        <w:tc>
          <w:tcPr>
            <w:tcW w:w="1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21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Christopher P. Shryock</w:t>
            </w:r>
            <w:r>
              <w:rPr>
                <w:rFonts w:ascii="Times New Roman" w:cs="Times New Roman" w:eastAsia="Times New Roman" w:hAnsi="Times New Roman"/>
                <w:sz w:val="24"/>
                <w:szCs w:val="24"/>
                <w:color w:val="auto"/>
                <w:vertAlign w:val="superscript"/>
              </w:rPr>
              <w:t>(1)</w:t>
            </w:r>
          </w:p>
        </w:tc>
        <w:tc>
          <w:tcPr>
            <w:tcW w:w="2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76.5%</w:t>
            </w:r>
          </w:p>
        </w:tc>
        <w:tc>
          <w:tcPr>
            <w:tcW w:w="1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21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w:t>
            </w:r>
          </w:p>
        </w:tc>
        <w:tc>
          <w:tcPr>
            <w:tcW w:w="1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2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106.25%</w:t>
            </w:r>
          </w:p>
        </w:tc>
        <w:tc>
          <w:tcPr>
            <w:tcW w:w="1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125%</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7645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6" w:lineRule="exact"/>
        <w:rPr>
          <w:sz w:val="20"/>
          <w:szCs w:val="20"/>
          <w:color w:val="auto"/>
        </w:rPr>
      </w:pPr>
    </w:p>
    <w:p>
      <w:pPr>
        <w:ind w:left="600" w:hanging="433"/>
        <w:spacing w:after="0"/>
        <w:tabs>
          <w:tab w:leader="none" w:pos="6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Shryock joined the Company as Chief Human Resources Officer on July 1, 2024. Mr. Shryock’s AIP will be pro-rated based on his start date.</w:t>
      </w:r>
    </w:p>
    <w:p>
      <w:pPr>
        <w:spacing w:after="0" w:line="204"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For each performance objective, there is a threshold achievement level at or below which the Named Executive Officer will receive no payout in respect of that performance objective.</w:t>
      </w:r>
    </w:p>
    <w:p>
      <w:pPr>
        <w:spacing w:after="0" w:line="162" w:lineRule="exact"/>
        <w:rPr>
          <w:sz w:val="20"/>
          <w:szCs w:val="20"/>
          <w:color w:val="auto"/>
        </w:rPr>
      </w:pPr>
    </w:p>
    <w:p>
      <w:pPr>
        <w:ind w:left="160" w:right="940" w:firstLine="436"/>
        <w:spacing w:after="0" w:line="278" w:lineRule="auto"/>
        <w:rPr>
          <w:sz w:val="20"/>
          <w:szCs w:val="20"/>
          <w:color w:val="auto"/>
        </w:rPr>
      </w:pPr>
      <w:r>
        <w:rPr>
          <w:rFonts w:ascii="Times New Roman" w:cs="Times New Roman" w:eastAsia="Times New Roman" w:hAnsi="Times New Roman"/>
          <w:sz w:val="18"/>
          <w:szCs w:val="18"/>
          <w:color w:val="auto"/>
        </w:rPr>
        <w:t>The actual 2024 AIP bonus amounts are calculated formulaically based on actual achievement against certain individual performance considerations and financial or operational performance goals, as follows:</w:t>
      </w:r>
    </w:p>
    <w:p>
      <w:pPr>
        <w:spacing w:after="0" w:line="160" w:lineRule="exact"/>
        <w:rPr>
          <w:sz w:val="20"/>
          <w:szCs w:val="20"/>
          <w:color w:val="auto"/>
        </w:rPr>
      </w:pPr>
    </w:p>
    <w:p>
      <w:pPr>
        <w:ind w:left="160" w:right="4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the weight applied to each specific objective is multiplied by the Named Executive Officer’s AIP unmodified maximum annual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w:t>
      </w:r>
    </w:p>
    <w:p>
      <w:pPr>
        <w:spacing w:after="0" w:line="159" w:lineRule="exact"/>
        <w:rPr>
          <w:sz w:val="20"/>
          <w:szCs w:val="20"/>
          <w:color w:val="auto"/>
        </w:rPr>
      </w:pPr>
    </w:p>
    <w:p>
      <w:pPr>
        <w:ind w:left="160" w:right="2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the resulting percentage from the first step is multiplied by the Named Executive Officer’s base salary to determine the maximum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respect of each performance metric;</w:t>
      </w:r>
    </w:p>
    <w:p>
      <w:pPr>
        <w:spacing w:after="0" w:line="159" w:lineRule="exact"/>
        <w:rPr>
          <w:sz w:val="20"/>
          <w:szCs w:val="20"/>
          <w:color w:val="auto"/>
        </w:rPr>
      </w:pPr>
    </w:p>
    <w:p>
      <w:pPr>
        <w:ind w:left="160" w:right="70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the dollar amount from the second step is multiplied by the actual attainment percentage of each applicable performance objective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against a pre-established scale to determine the unmodified amount payable;</w:t>
      </w:r>
    </w:p>
    <w:p>
      <w:pPr>
        <w:spacing w:after="0" w:line="159" w:lineRule="exact"/>
        <w:rPr>
          <w:sz w:val="20"/>
          <w:szCs w:val="20"/>
          <w:color w:val="auto"/>
        </w:rPr>
      </w:pPr>
    </w:p>
    <w:p>
      <w:pPr>
        <w:ind w:left="160" w:right="40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sum of the amounts calculated in the third step for each performance objective is the Named Executive Officer’s unmodified AIP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and</w:t>
      </w:r>
    </w:p>
    <w:p>
      <w:pPr>
        <w:spacing w:after="0" w:line="159"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to the extent any modifier is achieved, the modifier percentage is multiplied by an amount, expressed as a dollar figure, equal to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Named Executive Officer’s base salary and the Named Executive Officer’s unmodified annual bonus percentage, and such resulting dollar amount is added to the unmodified AIP bonus determined in the fourth step to arrive at the Named Executive Officer’s final AIP bonus.</w:t>
      </w:r>
    </w:p>
    <w:p>
      <w:pPr>
        <w:spacing w:after="0" w:line="175" w:lineRule="exact"/>
        <w:rPr>
          <w:sz w:val="20"/>
          <w:szCs w:val="20"/>
          <w:color w:val="auto"/>
        </w:rPr>
      </w:pPr>
    </w:p>
    <w:p>
      <w:pPr>
        <w:ind w:left="160" w:right="500" w:firstLine="436"/>
        <w:spacing w:after="0" w:line="258" w:lineRule="auto"/>
        <w:rPr>
          <w:sz w:val="20"/>
          <w:szCs w:val="20"/>
          <w:color w:val="auto"/>
        </w:rPr>
      </w:pPr>
      <w:r>
        <w:rPr>
          <w:rFonts w:ascii="Times New Roman" w:cs="Times New Roman" w:eastAsia="Times New Roman" w:hAnsi="Times New Roman"/>
          <w:sz w:val="18"/>
          <w:szCs w:val="18"/>
          <w:color w:val="auto"/>
        </w:rPr>
        <w:t>For fiscal year 2024,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2024, before application of any upside modifiers described further below. In the event actual achievement of</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60"/>
          </w:cols>
          <w:pgMar w:left="320" w:top="451"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a performance objective is between levels, the achievement percentage is calculated using linear interpolation. For purposes of the AIP, Adjusted EBITDA is generally calculated as set forth in the section titled “Management’s Discussion and Analysis of Financial Condition and Results of Operations—Non-GAAP Financial Information—Adjusted EBITDA and Adjusted EBITDA Margin,” with certain acquisition-related adjustments as set forth below.</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Boyle</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2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color w:val="auto"/>
              </w:rPr>
              <w:t>Performance Period: January 1, 2024—December 31, 2024</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6"/>
        </w:trPr>
        <w:tc>
          <w:tcPr>
            <w:tcW w:w="1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880" w:type="dxa"/>
            <w:vAlign w:val="bottom"/>
          </w:tcPr>
          <w:p>
            <w:pPr>
              <w:spacing w:after="0"/>
              <w:rPr>
                <w:sz w:val="12"/>
                <w:szCs w:val="12"/>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9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6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Attainment</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150%</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gridSpan w:val="3"/>
          </w:tcPr>
          <w:p>
            <w:pPr>
              <w:spacing w:after="0" w:line="214" w:lineRule="exact"/>
              <w:rPr>
                <w:sz w:val="20"/>
                <w:szCs w:val="20"/>
                <w:color w:val="auto"/>
              </w:rPr>
            </w:pPr>
            <w:r>
              <w:rPr>
                <w:rFonts w:ascii="Times New Roman" w:cs="Times New Roman" w:eastAsia="Times New Roman" w:hAnsi="Times New Roman"/>
                <w:sz w:val="17"/>
                <w:szCs w:val="17"/>
                <w:color w:val="auto"/>
              </w:rPr>
              <w:t>2024 Total Medline Adjusted EBITDA Growth</w:t>
            </w:r>
            <w:r>
              <w:rPr>
                <w:rFonts w:ascii="Times New Roman" w:cs="Times New Roman" w:eastAsia="Times New Roman" w:hAnsi="Times New Roman"/>
                <w:sz w:val="24"/>
                <w:szCs w:val="24"/>
                <w:color w:val="auto"/>
                <w:vertAlign w:val="superscript"/>
              </w:rPr>
              <w:t>(1)</w:t>
            </w:r>
          </w:p>
        </w:tc>
        <w:tc>
          <w:tcPr>
            <w:tcW w:w="1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12.00%</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18.76%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3680" w:type="dxa"/>
            <w:vAlign w:val="bottom"/>
            <w:gridSpan w:val="3"/>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2024 Total Medline Net Sales Growth</w:t>
            </w:r>
            <w:r>
              <w:rPr>
                <w:rFonts w:ascii="Times New Roman" w:cs="Times New Roman" w:eastAsia="Times New Roman" w:hAnsi="Times New Roman"/>
                <w:sz w:val="24"/>
                <w:szCs w:val="24"/>
                <w:color w:val="auto"/>
                <w:vertAlign w:val="superscript"/>
              </w:rPr>
              <w:t>(2)</w:t>
            </w:r>
          </w:p>
        </w:tc>
        <w:tc>
          <w:tcPr>
            <w:tcW w:w="18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2.00%</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9.00%</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135.17%</w:t>
            </w:r>
          </w:p>
        </w:tc>
        <w:tc>
          <w:tcPr>
            <w:tcW w:w="0" w:type="dxa"/>
            <w:vAlign w:val="bottom"/>
          </w:tcPr>
          <w:p>
            <w:pPr>
              <w:spacing w:after="0"/>
              <w:rPr>
                <w:sz w:val="1"/>
                <w:szCs w:val="1"/>
                <w:color w:val="auto"/>
              </w:rPr>
            </w:pPr>
          </w:p>
        </w:tc>
      </w:tr>
      <w:tr>
        <w:trPr>
          <w:trHeight w:val="214"/>
        </w:trPr>
        <w:tc>
          <w:tcPr>
            <w:tcW w:w="3680" w:type="dxa"/>
            <w:vAlign w:val="bottom"/>
            <w:gridSpan w:val="3"/>
          </w:tcPr>
          <w:p>
            <w:pPr>
              <w:spacing w:after="0" w:line="214"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4"/>
                <w:szCs w:val="24"/>
                <w:color w:val="auto"/>
                <w:vertAlign w:val="superscript"/>
              </w:rPr>
              <w:t>(3)</w:t>
            </w:r>
          </w:p>
        </w:tc>
        <w:tc>
          <w:tcPr>
            <w:tcW w:w="1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2024 Total Medline Adjusted EBITDA Growth is based on Adjusted EBITDA and includes acquisitions at 85% of deal thesis (Target).</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2024 Total Medline Net Sales Growth is based on net sales and includes acquisitions at 85% of deal thesis (Target).</w:t>
      </w:r>
    </w:p>
    <w:p>
      <w:pPr>
        <w:ind w:left="600" w:right="100" w:hanging="433"/>
        <w:spacing w:after="0" w:line="235" w:lineRule="auto"/>
        <w:tabs>
          <w:tab w:leader="none" w:pos="6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strategic objectives for 2024 included net Prime Vendor adds, identify/resource organic growth drivers in 2025 and 2026, SG&amp;A leverage in the 2025 budget, and IPO readiness.</w:t>
      </w: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Drazin</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Performance Period: January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2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20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0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4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29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Attainment</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gridSpan w:val="4"/>
          </w:tcPr>
          <w:p>
            <w:pPr>
              <w:spacing w:after="0" w:line="214" w:lineRule="exact"/>
              <w:rPr>
                <w:sz w:val="20"/>
                <w:szCs w:val="20"/>
                <w:color w:val="auto"/>
              </w:rPr>
            </w:pPr>
            <w:r>
              <w:rPr>
                <w:rFonts w:ascii="Times New Roman" w:cs="Times New Roman" w:eastAsia="Times New Roman" w:hAnsi="Times New Roman"/>
                <w:sz w:val="17"/>
                <w:szCs w:val="17"/>
                <w:color w:val="auto"/>
              </w:rPr>
              <w:t>2024 Total Medline Adjusted EBITDA Target</w:t>
            </w:r>
            <w:r>
              <w:rPr>
                <w:rFonts w:ascii="Times New Roman" w:cs="Times New Roman" w:eastAsia="Times New Roman" w:hAnsi="Times New Roman"/>
                <w:sz w:val="24"/>
                <w:szCs w:val="24"/>
                <w:color w:val="auto"/>
                <w:vertAlign w:val="superscript"/>
              </w:rPr>
              <w:t>(1)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2,830</w:t>
            </w: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$3,009</w:t>
            </w:r>
          </w:p>
        </w:tc>
        <w:tc>
          <w:tcPr>
            <w:tcW w:w="13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3,076</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3,361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4480" w:type="dxa"/>
            <w:vAlign w:val="bottom"/>
            <w:gridSpan w:val="4"/>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4"/>
                <w:szCs w:val="24"/>
                <w:color w:val="auto"/>
                <w:vertAlign w:val="superscript"/>
              </w:rPr>
              <w:t>(2)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448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U.S. Finance Expense as a Percentage of Net Sales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80" w:type="dxa"/>
            <w:vAlign w:val="bottom"/>
            <w:gridSpan w:val="4"/>
          </w:tcPr>
          <w:p>
            <w:pPr>
              <w:ind w:left="180"/>
              <w:spacing w:after="0" w:line="232" w:lineRule="exact"/>
              <w:rPr>
                <w:sz w:val="20"/>
                <w:szCs w:val="20"/>
                <w:color w:val="auto"/>
              </w:rPr>
            </w:pPr>
            <w:r>
              <w:rPr>
                <w:rFonts w:ascii="Times New Roman" w:cs="Times New Roman" w:eastAsia="Times New Roman" w:hAnsi="Times New Roman"/>
                <w:sz w:val="18"/>
                <w:szCs w:val="18"/>
                <w:color w:val="auto"/>
              </w:rPr>
              <w:t>Target</w:t>
            </w:r>
            <w:r>
              <w:rPr>
                <w:rFonts w:ascii="Times New Roman" w:cs="Times New Roman" w:eastAsia="Times New Roman" w:hAnsi="Times New Roman"/>
                <w:sz w:val="26"/>
                <w:szCs w:val="26"/>
                <w:color w:val="auto"/>
                <w:vertAlign w:val="superscript"/>
              </w:rPr>
              <w:t>(3)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0.39%</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0.37%</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0.36%</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196"/>
        </w:trPr>
        <w:tc>
          <w:tcPr>
            <w:tcW w:w="448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Percentage of Accounts Receivable over 30 days past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80" w:type="dxa"/>
            <w:vAlign w:val="bottom"/>
            <w:gridSpan w:val="4"/>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due</w:t>
            </w:r>
            <w:r>
              <w:rPr>
                <w:rFonts w:ascii="Times New Roman" w:cs="Times New Roman" w:eastAsia="Times New Roman" w:hAnsi="Times New Roman"/>
                <w:sz w:val="26"/>
                <w:szCs w:val="26"/>
                <w:color w:val="auto"/>
                <w:vertAlign w:val="superscript"/>
              </w:rPr>
              <w:t>(4)</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2.50%</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4480" w:type="dxa"/>
            <w:vAlign w:val="bottom"/>
            <w:gridSpan w:val="4"/>
          </w:tcPr>
          <w:p>
            <w:pPr>
              <w:spacing w:after="0" w:line="214" w:lineRule="exact"/>
              <w:rPr>
                <w:sz w:val="20"/>
                <w:szCs w:val="20"/>
                <w:color w:val="auto"/>
              </w:rPr>
            </w:pPr>
            <w:r>
              <w:rPr>
                <w:rFonts w:ascii="Times New Roman" w:cs="Times New Roman" w:eastAsia="Times New Roman" w:hAnsi="Times New Roman"/>
                <w:sz w:val="17"/>
                <w:szCs w:val="17"/>
                <w:color w:val="auto"/>
              </w:rPr>
              <w:t>Operational Objectives</w:t>
            </w:r>
            <w:r>
              <w:rPr>
                <w:rFonts w:ascii="Times New Roman" w:cs="Times New Roman" w:eastAsia="Times New Roman" w:hAnsi="Times New Roman"/>
                <w:sz w:val="24"/>
                <w:szCs w:val="24"/>
                <w:color w:val="auto"/>
                <w:vertAlign w:val="superscript"/>
              </w:rPr>
              <w:t>(5)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4"/>
        </w:trPr>
        <w:tc>
          <w:tcPr>
            <w:tcW w:w="4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2024 Total Medline Adjusted EBITDA includes acquisitions at 85% of deal thesis (Target) and was updated mid-year based on the acquisition of Microtek.</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Strategic Objectives for 2024 included forecasting and IPO readiness.</w:t>
      </w:r>
    </w:p>
    <w:p>
      <w:pPr>
        <w:ind w:left="600" w:hanging="433"/>
        <w:spacing w:after="0" w:line="219" w:lineRule="auto"/>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U.S. Finance Expense as a Percent of Net Sales Target measures the performance of controllable U.S. finance expenses.</w:t>
      </w:r>
    </w:p>
    <w:p>
      <w:pPr>
        <w:ind w:left="600" w:hanging="433"/>
        <w:spacing w:after="0" w:line="219" w:lineRule="auto"/>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Percentage of Accounts Receivable over 30 days past due measures the amount of invoices dollars that are outstanding for more than 30 days from their due date.</w:t>
      </w:r>
    </w:p>
    <w:p>
      <w:pPr>
        <w:ind w:left="600" w:hanging="433"/>
        <w:spacing w:after="0"/>
        <w:tabs>
          <w:tab w:leader="none" w:pos="6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Operational Objectives for 2024 included accounts payable, payroll, and rebate simplification.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2" w:right="4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60" w:firstLine="436"/>
        <w:spacing w:after="0" w:line="258" w:lineRule="auto"/>
        <w:rPr>
          <w:sz w:val="20"/>
          <w:szCs w:val="20"/>
          <w:color w:val="auto"/>
        </w:rPr>
      </w:pPr>
      <w:r>
        <w:rPr>
          <w:rFonts w:ascii="Times New Roman" w:cs="Times New Roman" w:eastAsia="Times New Roman" w:hAnsi="Times New Roman"/>
          <w:sz w:val="18"/>
          <w:szCs w:val="18"/>
          <w:color w:val="auto"/>
        </w:rPr>
        <w:t>Mr. Drazin’s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Pigott</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2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color w:val="auto"/>
              </w:rPr>
              <w:t>Performance Period: January 1, 2024—December 31, 2024</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6"/>
        </w:trPr>
        <w:tc>
          <w:tcPr>
            <w:tcW w:w="1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880" w:type="dxa"/>
            <w:vAlign w:val="bottom"/>
          </w:tcPr>
          <w:p>
            <w:pPr>
              <w:spacing w:after="0"/>
              <w:rPr>
                <w:sz w:val="12"/>
                <w:szCs w:val="12"/>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9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6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Attainment</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150%</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gridSpan w:val="3"/>
          </w:tcPr>
          <w:p>
            <w:pPr>
              <w:spacing w:after="0" w:line="214" w:lineRule="exact"/>
              <w:rPr>
                <w:sz w:val="20"/>
                <w:szCs w:val="20"/>
                <w:color w:val="auto"/>
              </w:rPr>
            </w:pPr>
            <w:r>
              <w:rPr>
                <w:rFonts w:ascii="Times New Roman" w:cs="Times New Roman" w:eastAsia="Times New Roman" w:hAnsi="Times New Roman"/>
                <w:sz w:val="17"/>
                <w:szCs w:val="17"/>
                <w:color w:val="auto"/>
              </w:rPr>
              <w:t>2024 Total Medline Adjusted EBITDA Growth</w:t>
            </w:r>
            <w:r>
              <w:rPr>
                <w:rFonts w:ascii="Times New Roman" w:cs="Times New Roman" w:eastAsia="Times New Roman" w:hAnsi="Times New Roman"/>
                <w:sz w:val="24"/>
                <w:szCs w:val="24"/>
                <w:color w:val="auto"/>
                <w:vertAlign w:val="superscript"/>
              </w:rPr>
              <w:t>(1)</w:t>
            </w:r>
          </w:p>
        </w:tc>
        <w:tc>
          <w:tcPr>
            <w:tcW w:w="1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12.00%</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18.76%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3680" w:type="dxa"/>
            <w:vAlign w:val="bottom"/>
            <w:gridSpan w:val="3"/>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2024 Total Medline Net Sales Growth</w:t>
            </w:r>
            <w:r>
              <w:rPr>
                <w:rFonts w:ascii="Times New Roman" w:cs="Times New Roman" w:eastAsia="Times New Roman" w:hAnsi="Times New Roman"/>
                <w:sz w:val="24"/>
                <w:szCs w:val="24"/>
                <w:color w:val="auto"/>
                <w:vertAlign w:val="superscript"/>
              </w:rPr>
              <w:t>(2)</w:t>
            </w:r>
          </w:p>
        </w:tc>
        <w:tc>
          <w:tcPr>
            <w:tcW w:w="18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2.00%</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9.00%</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135.17%</w:t>
            </w:r>
          </w:p>
        </w:tc>
        <w:tc>
          <w:tcPr>
            <w:tcW w:w="0" w:type="dxa"/>
            <w:vAlign w:val="bottom"/>
          </w:tcPr>
          <w:p>
            <w:pPr>
              <w:spacing w:after="0"/>
              <w:rPr>
                <w:sz w:val="1"/>
                <w:szCs w:val="1"/>
                <w:color w:val="auto"/>
              </w:rPr>
            </w:pPr>
          </w:p>
        </w:tc>
      </w:tr>
      <w:tr>
        <w:trPr>
          <w:trHeight w:val="214"/>
        </w:trPr>
        <w:tc>
          <w:tcPr>
            <w:tcW w:w="3680" w:type="dxa"/>
            <w:vAlign w:val="bottom"/>
            <w:gridSpan w:val="3"/>
          </w:tcPr>
          <w:p>
            <w:pPr>
              <w:spacing w:after="0" w:line="214"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4"/>
                <w:szCs w:val="24"/>
                <w:color w:val="auto"/>
                <w:vertAlign w:val="superscript"/>
              </w:rPr>
              <w:t>(3)</w:t>
            </w:r>
          </w:p>
        </w:tc>
        <w:tc>
          <w:tcPr>
            <w:tcW w:w="1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Pigott, 2024 Total Medline Adjusted EBITDA Growth is based on Adjusted EBITDA and includes acquisitions at 85% of deal thesis (Target).</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Pigott, 2024 Total Medline Net Sales Growth is based on net sales and includes acquisitions at 85% of deal thesis (Target).</w:t>
      </w:r>
    </w:p>
    <w:p>
      <w:pPr>
        <w:ind w:left="600" w:right="320" w:hanging="433"/>
        <w:spacing w:after="0" w:line="235" w:lineRule="auto"/>
        <w:tabs>
          <w:tab w:leader="none" w:pos="6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Pigott, Strategic Objectives for 2024 included international strategy and growth, identify and resource future growth drivers, SG&amp;A leverage in the 2025 budget, and IPO readiness.</w:t>
      </w: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Shryock</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color w:val="auto"/>
              </w:rPr>
              <w:t xml:space="preserve">Performance Period: July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6"/>
        </w:trPr>
        <w:tc>
          <w:tcPr>
            <w:tcW w:w="1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40" w:type="dxa"/>
            <w:vAlign w:val="bottom"/>
          </w:tcPr>
          <w:p>
            <w:pPr>
              <w:spacing w:after="0"/>
              <w:rPr>
                <w:sz w:val="12"/>
                <w:szCs w:val="12"/>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740" w:type="dxa"/>
            <w:vAlign w:val="bottom"/>
            <w:vMerge w:val="restart"/>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560" w:type="dxa"/>
            <w:vAlign w:val="bottom"/>
            <w:vMerge w:val="restart"/>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540" w:type="dxa"/>
            <w:vAlign w:val="bottom"/>
            <w:vMerge w:val="restart"/>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8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Attainment</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76.5%</w:t>
            </w: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90%</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60" w:type="dxa"/>
            <w:vAlign w:val="bottom"/>
            <w:gridSpan w:val="3"/>
          </w:tcPr>
          <w:p>
            <w:pPr>
              <w:spacing w:after="0" w:line="214" w:lineRule="exact"/>
              <w:rPr>
                <w:sz w:val="20"/>
                <w:szCs w:val="20"/>
                <w:color w:val="auto"/>
              </w:rPr>
            </w:pPr>
            <w:r>
              <w:rPr>
                <w:rFonts w:ascii="Times New Roman" w:cs="Times New Roman" w:eastAsia="Times New Roman" w:hAnsi="Times New Roman"/>
                <w:sz w:val="17"/>
                <w:szCs w:val="17"/>
                <w:color w:val="auto"/>
              </w:rPr>
              <w:t>Strategic Objectives</w:t>
            </w:r>
            <w:r>
              <w:rPr>
                <w:rFonts w:ascii="Times New Roman" w:cs="Times New Roman" w:eastAsia="Times New Roman" w:hAnsi="Times New Roman"/>
                <w:sz w:val="24"/>
                <w:szCs w:val="24"/>
                <w:color w:val="auto"/>
                <w:vertAlign w:val="superscript"/>
              </w:rPr>
              <w:t>(1)</w:t>
            </w:r>
          </w:p>
        </w:tc>
        <w:tc>
          <w:tcPr>
            <w:tcW w:w="2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4"/>
        </w:trPr>
        <w:tc>
          <w:tcPr>
            <w:tcW w:w="3360" w:type="dxa"/>
            <w:vAlign w:val="bottom"/>
            <w:gridSpan w:val="3"/>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Operational Objectives</w:t>
            </w:r>
            <w:r>
              <w:rPr>
                <w:rFonts w:ascii="Times New Roman" w:cs="Times New Roman" w:eastAsia="Times New Roman" w:hAnsi="Times New Roman"/>
                <w:sz w:val="24"/>
                <w:szCs w:val="24"/>
                <w:color w:val="auto"/>
                <w:vertAlign w:val="superscript"/>
              </w:rPr>
              <w:t>(2)</w:t>
            </w:r>
          </w:p>
        </w:tc>
        <w:tc>
          <w:tcPr>
            <w:tcW w:w="20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5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7645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2" w:lineRule="exact"/>
        <w:rPr>
          <w:sz w:val="20"/>
          <w:szCs w:val="20"/>
          <w:color w:val="auto"/>
        </w:rPr>
      </w:pPr>
    </w:p>
    <w:p>
      <w:pPr>
        <w:ind w:left="600" w:right="160" w:hanging="433"/>
        <w:spacing w:after="0" w:line="231" w:lineRule="auto"/>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Shryock, Strategic Objectives are based on successful onboarding which includes getting up to speed with Medline, understanding Medline business and culture, developing relationships, and identifying areas for potential improvements.</w:t>
      </w:r>
    </w:p>
    <w:p>
      <w:pPr>
        <w:ind w:left="600" w:right="720" w:hanging="433"/>
        <w:spacing w:after="0" w:line="235" w:lineRule="auto"/>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Shryock, Operational Objectives include an organizational assessment encompassing a review of the current organization structure design and team’s strengths and weaknesses.</w:t>
      </w:r>
    </w:p>
    <w:p>
      <w:pPr>
        <w:spacing w:after="0" w:line="181" w:lineRule="exact"/>
        <w:rPr>
          <w:sz w:val="20"/>
          <w:szCs w:val="20"/>
          <w:color w:val="auto"/>
        </w:rPr>
      </w:pPr>
    </w:p>
    <w:p>
      <w:pPr>
        <w:ind w:left="160" w:right="260" w:firstLine="436"/>
        <w:spacing w:after="0" w:line="258" w:lineRule="auto"/>
        <w:rPr>
          <w:sz w:val="20"/>
          <w:szCs w:val="20"/>
          <w:color w:val="auto"/>
        </w:rPr>
      </w:pPr>
      <w:r>
        <w:rPr>
          <w:rFonts w:ascii="Times New Roman" w:cs="Times New Roman" w:eastAsia="Times New Roman" w:hAnsi="Times New Roman"/>
          <w:sz w:val="18"/>
          <w:szCs w:val="18"/>
          <w:color w:val="auto"/>
        </w:rPr>
        <w:t>Mr. Shryock’s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80"/>
          </w:cols>
          <w:pgMar w:left="320" w:top="452"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Miller</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color w:val="auto"/>
              </w:rPr>
              <w:t xml:space="preserve">Performance Period: January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6"/>
        </w:trPr>
        <w:tc>
          <w:tcPr>
            <w:tcW w:w="17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780" w:type="dxa"/>
            <w:vAlign w:val="bottom"/>
            <w:vMerge w:val="restart"/>
          </w:tcPr>
          <w:p>
            <w:pPr>
              <w:spacing w:after="0"/>
              <w:rPr>
                <w:sz w:val="12"/>
                <w:szCs w:val="12"/>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2020" w:type="dxa"/>
            <w:vAlign w:val="bottom"/>
            <w:gridSpan w:val="2"/>
            <w:vMerge w:val="restart"/>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118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2"/>
        </w:trPr>
        <w:tc>
          <w:tcPr>
            <w:tcW w:w="1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Attainment</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gridSpan w:val="4"/>
          </w:tcPr>
          <w:p>
            <w:pPr>
              <w:spacing w:after="0" w:line="214" w:lineRule="exact"/>
              <w:rPr>
                <w:sz w:val="20"/>
                <w:szCs w:val="20"/>
                <w:color w:val="auto"/>
              </w:rPr>
            </w:pPr>
            <w:r>
              <w:rPr>
                <w:rFonts w:ascii="Times New Roman" w:cs="Times New Roman" w:eastAsia="Times New Roman" w:hAnsi="Times New Roman"/>
                <w:sz w:val="17"/>
                <w:szCs w:val="17"/>
                <w:color w:val="auto"/>
              </w:rPr>
              <w:t>2024 Total Medline Adjusted EBITDA Target</w:t>
            </w:r>
            <w:r>
              <w:rPr>
                <w:rFonts w:ascii="Times New Roman" w:cs="Times New Roman" w:eastAsia="Times New Roman" w:hAnsi="Times New Roman"/>
                <w:sz w:val="24"/>
                <w:szCs w:val="24"/>
                <w:color w:val="auto"/>
                <w:vertAlign w:val="superscript"/>
              </w:rPr>
              <w:t>(1)</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2,830</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$3,009</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3,076</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3,361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4980" w:type="dxa"/>
            <w:vAlign w:val="bottom"/>
            <w:gridSpan w:val="4"/>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Operations Total Recordable Incident Rate (U.S.)</w:t>
            </w:r>
            <w:r>
              <w:rPr>
                <w:rFonts w:ascii="Times New Roman" w:cs="Times New Roman" w:eastAsia="Times New Roman" w:hAnsi="Times New Roman"/>
                <w:sz w:val="24"/>
                <w:szCs w:val="24"/>
                <w:color w:val="auto"/>
                <w:vertAlign w:val="superscript"/>
              </w:rPr>
              <w:t>(2)</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4.60</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4980" w:type="dxa"/>
            <w:vAlign w:val="bottom"/>
            <w:gridSpan w:val="4"/>
          </w:tcPr>
          <w:p>
            <w:pPr>
              <w:spacing w:after="0" w:line="214" w:lineRule="exact"/>
              <w:rPr>
                <w:sz w:val="20"/>
                <w:szCs w:val="20"/>
                <w:color w:val="auto"/>
              </w:rPr>
            </w:pPr>
            <w:r>
              <w:rPr>
                <w:rFonts w:ascii="Times New Roman" w:cs="Times New Roman" w:eastAsia="Times New Roman" w:hAnsi="Times New Roman"/>
                <w:sz w:val="17"/>
                <w:szCs w:val="17"/>
                <w:color w:val="auto"/>
              </w:rPr>
              <w:t>Operational Errors per Thousand Lines (U.S.)</w:t>
            </w:r>
            <w:r>
              <w:rPr>
                <w:rFonts w:ascii="Times New Roman" w:cs="Times New Roman" w:eastAsia="Times New Roman" w:hAnsi="Times New Roman"/>
                <w:sz w:val="24"/>
                <w:szCs w:val="24"/>
                <w:color w:val="auto"/>
                <w:vertAlign w:val="superscript"/>
              </w:rPr>
              <w:t>(3)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2.56</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98.53%</w:t>
            </w:r>
          </w:p>
        </w:tc>
        <w:tc>
          <w:tcPr>
            <w:tcW w:w="0" w:type="dxa"/>
            <w:vAlign w:val="bottom"/>
          </w:tcPr>
          <w:p>
            <w:pPr>
              <w:spacing w:after="0"/>
              <w:rPr>
                <w:sz w:val="1"/>
                <w:szCs w:val="1"/>
                <w:color w:val="auto"/>
              </w:rPr>
            </w:pPr>
          </w:p>
        </w:tc>
      </w:tr>
      <w:tr>
        <w:trPr>
          <w:trHeight w:val="214"/>
        </w:trPr>
        <w:tc>
          <w:tcPr>
            <w:tcW w:w="4980" w:type="dxa"/>
            <w:vAlign w:val="bottom"/>
            <w:gridSpan w:val="4"/>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Operational On Time Delivery (All U.S. Carriers)</w:t>
            </w:r>
            <w:r>
              <w:rPr>
                <w:rFonts w:ascii="Times New Roman" w:cs="Times New Roman" w:eastAsia="Times New Roman" w:hAnsi="Times New Roman"/>
                <w:sz w:val="24"/>
                <w:szCs w:val="24"/>
                <w:color w:val="auto"/>
                <w:vertAlign w:val="superscript"/>
              </w:rPr>
              <w:t>(4)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81.80%</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85.60%</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87.20%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4980" w:type="dxa"/>
            <w:vAlign w:val="bottom"/>
            <w:gridSpan w:val="4"/>
          </w:tcPr>
          <w:p>
            <w:pPr>
              <w:spacing w:after="0" w:line="214" w:lineRule="exact"/>
              <w:rPr>
                <w:sz w:val="20"/>
                <w:szCs w:val="20"/>
                <w:color w:val="auto"/>
              </w:rPr>
            </w:pPr>
            <w:r>
              <w:rPr>
                <w:rFonts w:ascii="Times New Roman" w:cs="Times New Roman" w:eastAsia="Times New Roman" w:hAnsi="Times New Roman"/>
                <w:sz w:val="17"/>
                <w:szCs w:val="17"/>
                <w:color w:val="auto"/>
              </w:rPr>
              <w:t>Operations Turnover</w:t>
            </w:r>
            <w:r>
              <w:rPr>
                <w:rFonts w:ascii="Times New Roman" w:cs="Times New Roman" w:eastAsia="Times New Roman" w:hAnsi="Times New Roman"/>
                <w:sz w:val="24"/>
                <w:szCs w:val="24"/>
                <w:color w:val="auto"/>
                <w:vertAlign w:val="superscript"/>
              </w:rPr>
              <w:t>(5)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52.50%</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51.30%</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498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Operations Gross Expense (U.S.) as a Percentage of Net Sales</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80" w:type="dxa"/>
            <w:vAlign w:val="bottom"/>
            <w:gridSpan w:val="4"/>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Target</w:t>
            </w:r>
            <w:r>
              <w:rPr>
                <w:rFonts w:ascii="Times New Roman" w:cs="Times New Roman" w:eastAsia="Times New Roman" w:hAnsi="Times New Roman"/>
                <w:sz w:val="26"/>
                <w:szCs w:val="26"/>
                <w:color w:val="auto"/>
                <w:vertAlign w:val="superscript"/>
              </w:rPr>
              <w:t>(6)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6.65%</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70485</wp:posOffset>
            </wp:positionV>
            <wp:extent cx="7645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2" w:lineRule="exact"/>
        <w:rPr>
          <w:sz w:val="20"/>
          <w:szCs w:val="20"/>
          <w:color w:val="auto"/>
        </w:rPr>
      </w:pPr>
    </w:p>
    <w:p>
      <w:pPr>
        <w:ind w:left="600" w:hanging="433"/>
        <w:spacing w:after="0"/>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Miller, 2024 Total Medline Adjusted EBITDA Target includes acquisitions at 85% of deal thesis (Target) and was updated mid-year based on the acquisition of Microtek.</w:t>
      </w:r>
    </w:p>
    <w:p>
      <w:pPr>
        <w:spacing w:after="0" w:line="2" w:lineRule="exact"/>
        <w:rPr>
          <w:rFonts w:ascii="Times New Roman" w:cs="Times New Roman" w:eastAsia="Times New Roman" w:hAnsi="Times New Roman"/>
          <w:sz w:val="14"/>
          <w:szCs w:val="14"/>
          <w:color w:val="auto"/>
        </w:rPr>
      </w:pPr>
    </w:p>
    <w:p>
      <w:pPr>
        <w:ind w:left="600" w:right="260" w:hanging="433"/>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Miller, Operations Total Recordable Incident Rate (U.S.) is a workplace safety metric that measures the number of recordable incidents per 100 full-time employees over a year.</w:t>
      </w:r>
    </w:p>
    <w:p>
      <w:pPr>
        <w:ind w:left="600" w:hanging="433"/>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Miller, Operational Errors per Thousand Lines (U.S.) tracks the number of documented warehouse and carriers’ errors that occur per one thousand sales lines.</w:t>
      </w:r>
    </w:p>
    <w:p>
      <w:pPr>
        <w:ind w:left="600" w:right="200" w:hanging="433"/>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Miller, Operational On Time Delivery (All U.S. Carriers) measures the number of orders that are delivered to the customers within the assigned delivery windows across all our U.S. carriers.</w:t>
      </w:r>
    </w:p>
    <w:p>
      <w:pPr>
        <w:ind w:left="600" w:hanging="433"/>
        <w:spacing w:after="0" w:line="219" w:lineRule="auto"/>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Miller, Operations Turnover tracks the number of employees who have left Medline over a set period of time, both voluntary and involuntary.</w:t>
      </w:r>
    </w:p>
    <w:p>
      <w:pPr>
        <w:ind w:left="600" w:hanging="433"/>
        <w:spacing w:after="0"/>
        <w:tabs>
          <w:tab w:leader="none" w:pos="6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Miller, Operations Gross Expense (U.S.) as a Percentage of Net Sales Target measures the controllable cost of our distribution network.</w:t>
      </w:r>
    </w:p>
    <w:p>
      <w:pPr>
        <w:spacing w:after="0" w:line="188" w:lineRule="exact"/>
        <w:rPr>
          <w:sz w:val="20"/>
          <w:szCs w:val="20"/>
          <w:color w:val="auto"/>
        </w:rPr>
      </w:pPr>
    </w:p>
    <w:p>
      <w:pPr>
        <w:ind w:left="160" w:right="260" w:firstLine="436"/>
        <w:spacing w:after="0" w:line="258" w:lineRule="auto"/>
        <w:rPr>
          <w:sz w:val="20"/>
          <w:szCs w:val="20"/>
          <w:color w:val="auto"/>
        </w:rPr>
      </w:pPr>
      <w:r>
        <w:rPr>
          <w:rFonts w:ascii="Times New Roman" w:cs="Times New Roman" w:eastAsia="Times New Roman" w:hAnsi="Times New Roman"/>
          <w:sz w:val="18"/>
          <w:szCs w:val="18"/>
          <w:color w:val="auto"/>
        </w:rPr>
        <w:t>Mr. Miller’s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Golwas</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Performance Period: January 1, 2024—December 31, 2024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2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80" w:type="dxa"/>
            <w:vAlign w:val="bottom"/>
          </w:tcPr>
          <w:p>
            <w:pPr>
              <w:spacing w:after="0"/>
              <w:rPr>
                <w:sz w:val="12"/>
                <w:szCs w:val="12"/>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29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7"/>
              </w:rPr>
              <w:t>attainment</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106.25%</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U.S. Sales Office Contribution Margin excl. Retail</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80" w:type="dxa"/>
            <w:vAlign w:val="bottom"/>
            <w:gridSpan w:val="4"/>
          </w:tcPr>
          <w:p>
            <w:pPr>
              <w:ind w:left="180"/>
              <w:spacing w:after="0" w:line="232"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6"/>
                <w:szCs w:val="26"/>
                <w:color w:val="auto"/>
                <w:vertAlign w:val="superscript"/>
              </w:rPr>
              <w:t>(1)</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4.75%</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14.77%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4"/>
        </w:trPr>
        <w:tc>
          <w:tcPr>
            <w:tcW w:w="4480" w:type="dxa"/>
            <w:vAlign w:val="bottom"/>
            <w:gridSpan w:val="4"/>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2024 Total Medline Adjusted EBITDA</w:t>
            </w:r>
            <w:r>
              <w:rPr>
                <w:rFonts w:ascii="Times New Roman" w:cs="Times New Roman" w:eastAsia="Times New Roman" w:hAnsi="Times New Roman"/>
                <w:sz w:val="24"/>
                <w:szCs w:val="24"/>
                <w:color w:val="auto"/>
                <w:vertAlign w:val="superscript"/>
              </w:rPr>
              <w:t>(2)</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2,830</w:t>
            </w: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$ 3,009</w:t>
            </w: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3,076</w:t>
            </w:r>
          </w:p>
        </w:tc>
        <w:tc>
          <w:tcPr>
            <w:tcW w:w="13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3,361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7"/>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7645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2" w:lineRule="exact"/>
        <w:rPr>
          <w:sz w:val="20"/>
          <w:szCs w:val="20"/>
          <w:color w:val="auto"/>
        </w:rPr>
      </w:pPr>
    </w:p>
    <w:p>
      <w:pPr>
        <w:ind w:left="600" w:hanging="433"/>
        <w:spacing w:after="0"/>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Golwas, U.S. Sales Office Contribution Margin excl. Retail Growth measures inventoriable costs and controllable expenses.</w:t>
      </w:r>
    </w:p>
    <w:p>
      <w:pPr>
        <w:spacing w:after="0" w:line="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Golwas, 2024 Total Medline Adjusted EBITDA Target includes acquisitions at 85% of deal thesis (Target) and was updated mid-year based on the acquisition of Microtek.</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1"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Mr. Golwas’s 2024 AIP opportunity included an “upside modifier,” which permitted him to earn up to an additional 25% of his unmodified maximum bonus opportunity to the extent U.S. Sales Office Contribution Margin excl. Retail Growth exceeded 7.75%. The modifier percentage was determined based on the U.S. Sales Office Contribution Margin excl. Retail Growth performance between 7.75% and 11.75%, interpolated on a straight-line basis. The U.S. Sales Office Contribution Margin excl. Retail Growth was 14.77%, resulting in an upside modifier of 25%. In addition,</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Mr. Golwas’s AIP opportunity also included an “expense modifier,” which provided that Mr. Golwas’s AIP bonus payout would be lowered or raised</w:t>
      </w:r>
    </w:p>
    <w:p>
      <w:pPr>
        <w:spacing w:after="0" w:line="7"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$3,000 for each 10 basis point increase or decrease in total selling expense growth above or below 70% of Sales Growth, respectively, subject to a cap of $25,000. However, the modifier cannot cause Mr. Golwas’s AIP bonus payout to exceed his maximum payout opportunity, which is set at 125% of his base salary. Although total selling expense growth for 2024 was below 70% of Sales Growth, no expense modifier was paid to Mr. Golwas because paying the expense modifier would have caused Mr. Golwas’s AIP bonus payout to exceed his maximum payout opportunity.</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Actual amounts paid under the AIP were calculated by multiplying each named executive officer’s base salary earned and paid in fiscal 2024 by</w:t>
      </w:r>
    </w:p>
    <w:p>
      <w:pPr>
        <w:spacing w:after="0" w:line="26" w:lineRule="exact"/>
        <w:rPr>
          <w:sz w:val="20"/>
          <w:szCs w:val="20"/>
          <w:color w:val="auto"/>
        </w:rPr>
      </w:pPr>
    </w:p>
    <w:p>
      <w:pPr>
        <w:jc w:val="both"/>
        <w:ind w:left="160" w:right="60" w:firstLine="7"/>
        <w:spacing w:after="0" w:line="252" w:lineRule="auto"/>
        <w:tabs>
          <w:tab w:leader="none" w:pos="37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AIP target annual cash incentive opportunity (which is reflected as a percentage of eligible base salary), (ii) the executive’s AIP attainment percentage, and (iii) the executive’s upside modifier, if applicable. The following table illustrates the calculations of the AIP awards under the 2024 AIP based on 2024 performance.</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Target AIP</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Eligible Base</w:t>
            </w:r>
          </w:p>
        </w:tc>
        <w:tc>
          <w:tcPr>
            <w:tcW w:w="9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Award (%</w:t>
            </w:r>
          </w:p>
        </w:tc>
        <w:tc>
          <w:tcPr>
            <w:tcW w:w="140" w:type="dxa"/>
            <w:vAlign w:val="bottom"/>
          </w:tcPr>
          <w:p>
            <w:pPr>
              <w:spacing w:after="0"/>
              <w:rPr>
                <w:sz w:val="12"/>
                <w:szCs w:val="12"/>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Target AIP</w:t>
            </w:r>
          </w:p>
        </w:tc>
        <w:tc>
          <w:tcPr>
            <w:tcW w:w="11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Upside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7"/>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of Base</w:t>
            </w: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2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Attainment</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Salary ($)</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4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Modifier</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1,250,000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147.78%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810,000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688,500</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90.19%</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1,100,000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1,100,000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147.78%</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1,625,523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325,000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248,625</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724,000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99.78%</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743,750</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1,093,750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Compensation</w:t>
      </w:r>
    </w:p>
    <w:p>
      <w:pPr>
        <w:spacing w:after="0" w:line="118" w:lineRule="exact"/>
        <w:rPr>
          <w:sz w:val="20"/>
          <w:szCs w:val="20"/>
          <w:color w:val="auto"/>
        </w:rPr>
      </w:pPr>
    </w:p>
    <w:p>
      <w:pPr>
        <w:ind w:left="160" w:right="140" w:firstLine="436"/>
        <w:spacing w:after="0" w:line="254" w:lineRule="auto"/>
        <w:rPr>
          <w:sz w:val="20"/>
          <w:szCs w:val="20"/>
          <w:color w:val="auto"/>
        </w:rPr>
      </w:pPr>
      <w:r>
        <w:rPr>
          <w:rFonts w:ascii="Times New Roman" w:cs="Times New Roman" w:eastAsia="Times New Roman" w:hAnsi="Times New Roman"/>
          <w:sz w:val="18"/>
          <w:szCs w:val="18"/>
          <w:color w:val="auto"/>
        </w:rPr>
        <w:t>In 2021, following our acquisition by our Sponsors, certain key executives, including the Named Executive Officers, were granted long-term equity incentive awards designed to promote our interests and incentivize them to remain in our service. These long-term equity incentive awards were granted in the form of Class B Units in Mozart Management Aggregator LLC (the “Aggregator”). The Class B Units are “profits interests” under U.S. federal income tax law having economic characteristics similar to stock appreciation rights (i.e., representing the right to share in any increase in the equity value of the Aggregator that exceeds a specified threshold). Unvested Class B Units are not entitled to distributions from the Aggregator other than tax distributions.</w:t>
      </w:r>
    </w:p>
    <w:p>
      <w:pPr>
        <w:spacing w:after="0" w:line="184"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The specific sizes of awards under our Management Incentive Plan (“MIP”) and Class B Unit grants made to our Named Executive Officers are determined in consideration of our Sponsors’ practices with respect to management equity programs at other private companies in their respective portfolios, the executive officer’s position and level of responsibilities with us, and market data.</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2024 Management Incentive Plan</w:t>
      </w:r>
    </w:p>
    <w:p>
      <w:pPr>
        <w:spacing w:after="0" w:line="116"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Under our 2024 MIP, each of our Named Executive Officers was eligible to earn a number of Class B Units based on fiscal 2024 performance. Awards under the MIP are initially expressed as “dollars at work” as of the award date (or “service inception date”) which are subsequently converted to a number of time-vesting Class B Units (the “Time-Vested Units”) on the grant date for the award to occur in the following fiscal year, at the price per unit on the grant date. The number of Time-Vested Units to be granted to our Named Executive Officers will</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80"/>
          </w:cols>
          <w:pgMar w:left="320" w:top="452"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4" w:lineRule="auto"/>
        <w:rPr>
          <w:sz w:val="20"/>
          <w:szCs w:val="20"/>
          <w:color w:val="auto"/>
        </w:rPr>
      </w:pPr>
      <w:r>
        <w:rPr>
          <w:rFonts w:ascii="Times New Roman" w:cs="Times New Roman" w:eastAsia="Times New Roman" w:hAnsi="Times New Roman"/>
          <w:sz w:val="18"/>
          <w:szCs w:val="18"/>
          <w:color w:val="auto"/>
        </w:rPr>
        <w:t>depend on Company and individual performance relative to the 2024 MIP performance measures reflected in the tables below. Time-Vested Units vest 20% per year on each of the first five anniversaries of the grant date, subject to the Named Executive Officer’s continued employment with us through each applicable vesting date (except with respect to certain employment termination scenarios for Mr. Boyle and Mr. Pigott, as described below). In the event actual achievement of a performance objective is between levels, the earned “dollars at work” is calculated using linear interpolation. The number of Time-Vested Units to be delivered in 2025 will be determined by dividing the earned “dollars at work” by the threshold value, which is equal to the value of a Class A Unit on the grant date.</w:t>
      </w:r>
    </w:p>
    <w:p>
      <w:pPr>
        <w:spacing w:after="0" w:line="184" w:lineRule="exact"/>
        <w:rPr>
          <w:sz w:val="20"/>
          <w:szCs w:val="20"/>
          <w:color w:val="auto"/>
        </w:rPr>
      </w:pPr>
    </w:p>
    <w:p>
      <w:pPr>
        <w:ind w:left="160" w:right="60" w:firstLine="436"/>
        <w:spacing w:after="0" w:line="277" w:lineRule="auto"/>
        <w:rPr>
          <w:sz w:val="20"/>
          <w:szCs w:val="20"/>
          <w:color w:val="auto"/>
        </w:rPr>
      </w:pPr>
      <w:r>
        <w:rPr>
          <w:rFonts w:ascii="Times New Roman" w:cs="Times New Roman" w:eastAsia="Times New Roman" w:hAnsi="Times New Roman"/>
          <w:sz w:val="17"/>
          <w:szCs w:val="17"/>
          <w:color w:val="auto"/>
        </w:rPr>
        <w:t>The 2024 MIP performance measures and the corresponding threshold, target and maximum dollars at work opportunities for our Named Executive Officers are summarized in the tables below. For each of our Named Executive Officers, award under our 2024 MIP (the “2024 MIP Award”) is not earned, and no Class B Units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67" w:lineRule="exact"/>
        <w:rPr>
          <w:sz w:val="20"/>
          <w:szCs w:val="20"/>
          <w:color w:val="auto"/>
        </w:rPr>
      </w:pPr>
    </w:p>
    <w:p>
      <w:pPr>
        <w:ind w:left="160" w:right="180" w:firstLine="436"/>
        <w:spacing w:after="0" w:line="285" w:lineRule="auto"/>
        <w:rPr>
          <w:sz w:val="20"/>
          <w:szCs w:val="20"/>
          <w:color w:val="auto"/>
        </w:rPr>
      </w:pPr>
      <w:r>
        <w:rPr>
          <w:rFonts w:ascii="Times New Roman" w:cs="Times New Roman" w:eastAsia="Times New Roman" w:hAnsi="Times New Roman"/>
          <w:sz w:val="17"/>
          <w:szCs w:val="17"/>
          <w:color w:val="auto"/>
        </w:rPr>
        <w:t>The 2024 MIP for each of Mr. Boyle and Mr. Pigott included a target dollars at work value of $3,450,000. The performance measures applicable to their 2024 MIP Awards were Adjusted EBITDA Year-Over-Year Growth and Sales Year-Over-Year growth. The threshold, target and maximum dollars at work amounts upon which the number of Class B Units actually delivered in 2025 will be determined are shown in the table below.</w:t>
      </w:r>
    </w:p>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20" w:type="dxa"/>
            <w:vAlign w:val="bottom"/>
            <w:gridSpan w:val="2"/>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rPr>
              <w:t>EBITDA</w:t>
            </w:r>
          </w:p>
        </w:tc>
        <w:tc>
          <w:tcPr>
            <w:tcW w:w="152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Dollars at</w:t>
            </w: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Dollars at</w:t>
            </w: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3520" w:type="dxa"/>
            <w:vAlign w:val="bottom"/>
            <w:gridSpan w:val="3"/>
          </w:tcPr>
          <w:p>
            <w:pPr>
              <w:jc w:val="center"/>
              <w:ind w:left="977"/>
              <w:spacing w:after="0" w:line="147" w:lineRule="exact"/>
              <w:rPr>
                <w:sz w:val="20"/>
                <w:szCs w:val="20"/>
                <w:color w:val="auto"/>
              </w:rPr>
            </w:pPr>
            <w:r>
              <w:rPr>
                <w:rFonts w:ascii="Times New Roman" w:cs="Times New Roman" w:eastAsia="Times New Roman" w:hAnsi="Times New Roman"/>
                <w:sz w:val="14"/>
                <w:szCs w:val="14"/>
                <w:b w:val="1"/>
                <w:bCs w:val="1"/>
                <w:color w:val="auto"/>
                <w:w w:val="99"/>
              </w:rPr>
              <w:t>Year-Over-Year</w:t>
            </w:r>
          </w:p>
        </w:tc>
        <w:tc>
          <w:tcPr>
            <w:tcW w:w="1520" w:type="dxa"/>
            <w:vAlign w:val="bottom"/>
            <w:gridSpan w:val="2"/>
            <w:vMerge w:val="continue"/>
          </w:tcPr>
          <w:p>
            <w:pPr>
              <w:spacing w:after="0"/>
              <w:rPr>
                <w:sz w:val="12"/>
                <w:szCs w:val="12"/>
                <w:color w:val="auto"/>
              </w:rPr>
            </w:pPr>
          </w:p>
        </w:tc>
        <w:tc>
          <w:tcPr>
            <w:tcW w:w="140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Year-Over-Year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6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7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Work</w:t>
            </w:r>
          </w:p>
        </w:tc>
        <w:tc>
          <w:tcPr>
            <w:tcW w:w="7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Work</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1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$1,423,125</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35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5.20%</w:t>
            </w:r>
          </w:p>
        </w:tc>
        <w:tc>
          <w:tcPr>
            <w:tcW w:w="1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$2,846,250</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5.40%</w:t>
            </w:r>
          </w:p>
        </w:tc>
        <w:tc>
          <w:tcPr>
            <w:tcW w:w="104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rPr>
              <w:t>$603,750</w:t>
            </w:r>
          </w:p>
        </w:tc>
        <w:tc>
          <w:tcPr>
            <w:tcW w:w="0" w:type="dxa"/>
            <w:vAlign w:val="bottom"/>
          </w:tcPr>
          <w:p>
            <w:pPr>
              <w:spacing w:after="0"/>
              <w:rPr>
                <w:sz w:val="1"/>
                <w:szCs w:val="1"/>
                <w:color w:val="auto"/>
              </w:rPr>
            </w:pPr>
          </w:p>
        </w:tc>
      </w:tr>
      <w:tr>
        <w:trPr>
          <w:trHeight w:val="21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35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12.00%</w:t>
            </w:r>
          </w:p>
        </w:tc>
        <w:tc>
          <w:tcPr>
            <w:tcW w:w="1520" w:type="dxa"/>
            <w:vAlign w:val="bottom"/>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rPr>
              <w:t>$4,269,375</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40" w:type="dxa"/>
            <w:vAlign w:val="bottom"/>
            <w:gridSpan w:val="3"/>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$906,625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The 2024 MIP Awards for Messrs. Drazin, Shryock and Miller included target dollars at work value of $2,900,000 for Mr. Drazin, $750,000 for Mr. Shryock (which is a pro-rated amount based on his start date) and $2,700,000 for Mr. Miller. The performance measures applicable to each of their 2024 MIP Awards were formula attainment (i.e., the actual level of achievement of the performance criteria applicable to each Named Executive Officer’s annual bonus under the AIP) and Adjusted EBITDA. The threshold and maximum dollars at work amounts for formula attainment and the threshold, target and maximum Adjusted EBITDA measures upon which the number of Class B Units actually delivered in 2025 will be determined are shown in the table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8"/>
              </w:rPr>
              <w:t>Threshold</w:t>
            </w:r>
          </w:p>
        </w:tc>
        <w:tc>
          <w:tcPr>
            <w:tcW w:w="30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4"/>
              </w:rPr>
              <w:t>Dollars at</w:t>
            </w:r>
          </w:p>
        </w:tc>
        <w:tc>
          <w:tcPr>
            <w:tcW w:w="1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w w:val="99"/>
              </w:rPr>
              <w:t>Formula Attainment</w:t>
            </w:r>
          </w:p>
        </w:tc>
        <w:tc>
          <w:tcPr>
            <w:tcW w:w="62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w w:val="99"/>
              </w:rPr>
              <w:t>Dollars at Work</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CCEEFF"/>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Work</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w w:val="99"/>
              </w:rPr>
              <w:t>Maximum</w:t>
            </w:r>
          </w:p>
        </w:tc>
        <w:tc>
          <w:tcPr>
            <w:tcW w:w="40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Drazin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98"/>
              </w:rPr>
              <w:t>Threshold</w:t>
            </w:r>
          </w:p>
        </w:tc>
        <w:tc>
          <w:tcPr>
            <w:tcW w:w="30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w w:val="97"/>
              </w:rPr>
              <w:t>Dollars at Work</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Maximum</w:t>
            </w:r>
          </w:p>
        </w:tc>
        <w:tc>
          <w:tcPr>
            <w:tcW w:w="40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9"/>
              </w:rPr>
              <w:t>Dollars at Work</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Shryock</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98"/>
              </w:rPr>
              <w:t>Threshold</w:t>
            </w:r>
          </w:p>
        </w:tc>
        <w:tc>
          <w:tcPr>
            <w:tcW w:w="30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w w:val="97"/>
              </w:rPr>
              <w:t>Dollars at Work</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Maximum</w:t>
            </w:r>
          </w:p>
        </w:tc>
        <w:tc>
          <w:tcPr>
            <w:tcW w:w="40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9"/>
              </w:rPr>
              <w:t>Dollars at Work</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Miller</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Threshold</w:t>
            </w:r>
          </w:p>
        </w:tc>
        <w:tc>
          <w:tcPr>
            <w:tcW w:w="140" w:type="dxa"/>
            <w:vAlign w:val="bottom"/>
          </w:tcPr>
          <w:p>
            <w:pPr>
              <w:spacing w:after="0"/>
              <w:rPr>
                <w:sz w:val="24"/>
                <w:szCs w:val="24"/>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Dollars at Work</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w w:val="71"/>
              </w:rPr>
              <w:t>Target</w:t>
            </w:r>
          </w:p>
        </w:tc>
        <w:tc>
          <w:tcPr>
            <w:tcW w:w="1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at Work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Maximum</w:t>
            </w:r>
          </w:p>
        </w:tc>
        <w:tc>
          <w:tcPr>
            <w:tcW w:w="120" w:type="dxa"/>
            <w:vAlign w:val="bottom"/>
          </w:tcPr>
          <w:p>
            <w:pPr>
              <w:spacing w:after="0"/>
              <w:rPr>
                <w:sz w:val="24"/>
                <w:szCs w:val="24"/>
                <w:color w:val="auto"/>
              </w:rPr>
            </w:pPr>
          </w:p>
        </w:tc>
        <w:tc>
          <w:tcPr>
            <w:tcW w:w="11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color w:val="auto"/>
                <w:w w:val="72"/>
              </w:rPr>
              <w:t>Dollars</w:t>
            </w: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Drazin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Threshold</w:t>
            </w:r>
          </w:p>
        </w:tc>
        <w:tc>
          <w:tcPr>
            <w:tcW w:w="14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Dollars at Work</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Target</w:t>
            </w:r>
          </w:p>
        </w:tc>
        <w:tc>
          <w:tcPr>
            <w:tcW w:w="140" w:type="dxa"/>
            <w:vAlign w:val="bottom"/>
          </w:tcPr>
          <w:p>
            <w:pPr>
              <w:spacing w:after="0"/>
              <w:rPr>
                <w:sz w:val="22"/>
                <w:szCs w:val="22"/>
                <w:color w:val="auto"/>
              </w:rPr>
            </w:pPr>
          </w:p>
        </w:tc>
        <w:tc>
          <w:tcPr>
            <w:tcW w:w="118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color w:val="auto"/>
              </w:rPr>
              <w:t>Dollars at Work</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Maximum</w:t>
            </w:r>
          </w:p>
        </w:tc>
        <w:tc>
          <w:tcPr>
            <w:tcW w:w="120" w:type="dxa"/>
            <w:vAlign w:val="bottom"/>
          </w:tcPr>
          <w:p>
            <w:pPr>
              <w:spacing w:after="0"/>
              <w:rPr>
                <w:sz w:val="22"/>
                <w:szCs w:val="22"/>
                <w:color w:val="auto"/>
              </w:rPr>
            </w:pP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207"/>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Shryock</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Threshold</w:t>
            </w:r>
          </w:p>
        </w:tc>
        <w:tc>
          <w:tcPr>
            <w:tcW w:w="14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Dollars at Work</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Target</w:t>
            </w:r>
          </w:p>
        </w:tc>
        <w:tc>
          <w:tcPr>
            <w:tcW w:w="140" w:type="dxa"/>
            <w:vAlign w:val="bottom"/>
          </w:tcPr>
          <w:p>
            <w:pPr>
              <w:spacing w:after="0"/>
              <w:rPr>
                <w:sz w:val="22"/>
                <w:szCs w:val="22"/>
                <w:color w:val="auto"/>
              </w:rPr>
            </w:pPr>
          </w:p>
        </w:tc>
        <w:tc>
          <w:tcPr>
            <w:tcW w:w="118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color w:val="auto"/>
              </w:rPr>
              <w:t>Dollars at Work</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Maximum</w:t>
            </w:r>
          </w:p>
        </w:tc>
        <w:tc>
          <w:tcPr>
            <w:tcW w:w="120" w:type="dxa"/>
            <w:vAlign w:val="bottom"/>
          </w:tcPr>
          <w:p>
            <w:pPr>
              <w:spacing w:after="0"/>
              <w:rPr>
                <w:sz w:val="22"/>
                <w:szCs w:val="22"/>
                <w:color w:val="auto"/>
              </w:rPr>
            </w:pP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207"/>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Miller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96"/>
              </w:rPr>
              <w:t>169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2024 MIP Award for Mr. Golwas included a target dollars at work value of $2,750,000. The performance measures applicable to</w:t>
      </w:r>
    </w:p>
    <w:p>
      <w:pPr>
        <w:spacing w:after="0" w:line="26" w:lineRule="exact"/>
        <w:rPr>
          <w:sz w:val="20"/>
          <w:szCs w:val="20"/>
          <w:color w:val="auto"/>
        </w:rPr>
      </w:pPr>
    </w:p>
    <w:p>
      <w:pPr>
        <w:ind w:left="160" w:right="80"/>
        <w:spacing w:after="0" w:line="285" w:lineRule="auto"/>
        <w:rPr>
          <w:sz w:val="20"/>
          <w:szCs w:val="20"/>
          <w:color w:val="auto"/>
        </w:rPr>
      </w:pPr>
      <w:r>
        <w:rPr>
          <w:rFonts w:ascii="Times New Roman" w:cs="Times New Roman" w:eastAsia="Times New Roman" w:hAnsi="Times New Roman"/>
          <w:sz w:val="17"/>
          <w:szCs w:val="17"/>
          <w:color w:val="auto"/>
        </w:rPr>
        <w:t>Mr. Golwas’s 2024 MIP Awards were U.S. Sales Office Contribution Margin excl. Retail Growth and Adjusted EBITDA. The threshold, target and maximum dollars at work amounts upon which the number of Class B Units actually delivered in 2025 will be determined are shown in the table below.</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1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U.S. Sales Office Contribution Margin excl. Retail Growth</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Threshold</w:t>
            </w:r>
          </w:p>
        </w:tc>
        <w:tc>
          <w:tcPr>
            <w:tcW w:w="4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w w:val="94"/>
              </w:rPr>
              <w:t>Dollars at</w:t>
            </w:r>
          </w:p>
        </w:tc>
        <w:tc>
          <w:tcPr>
            <w:tcW w:w="3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Work</w:t>
            </w:r>
          </w:p>
        </w:tc>
        <w:tc>
          <w:tcPr>
            <w:tcW w:w="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ind w:left="400"/>
              <w:spacing w:after="0" w:line="141" w:lineRule="exact"/>
              <w:rPr>
                <w:sz w:val="20"/>
                <w:szCs w:val="20"/>
                <w:color w:val="auto"/>
              </w:rPr>
            </w:pPr>
            <w:r>
              <w:rPr>
                <w:rFonts w:ascii="Times New Roman" w:cs="Times New Roman" w:eastAsia="Times New Roman" w:hAnsi="Times New Roman"/>
                <w:sz w:val="14"/>
                <w:szCs w:val="14"/>
                <w:color w:val="auto"/>
              </w:rPr>
              <w:t>Target</w:t>
            </w:r>
          </w:p>
        </w:tc>
        <w:tc>
          <w:tcPr>
            <w:tcW w:w="4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9"/>
              <w:spacing w:after="0" w:line="141" w:lineRule="exact"/>
              <w:rPr>
                <w:sz w:val="20"/>
                <w:szCs w:val="20"/>
                <w:color w:val="auto"/>
              </w:rPr>
            </w:pPr>
            <w:r>
              <w:rPr>
                <w:rFonts w:ascii="Times New Roman" w:cs="Times New Roman" w:eastAsia="Times New Roman" w:hAnsi="Times New Roman"/>
                <w:sz w:val="14"/>
                <w:szCs w:val="14"/>
                <w:color w:val="auto"/>
                <w:w w:val="75"/>
              </w:rPr>
              <w:t>Maximum</w:t>
            </w:r>
          </w:p>
        </w:tc>
        <w:tc>
          <w:tcPr>
            <w:tcW w:w="4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Golwas</w:t>
            </w:r>
          </w:p>
        </w:tc>
        <w:tc>
          <w:tcPr>
            <w:tcW w:w="10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color w:val="auto"/>
              </w:rPr>
              <w:t>Threshold</w:t>
            </w: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Dollars at Work</w:t>
            </w:r>
          </w:p>
        </w:tc>
        <w:tc>
          <w:tcPr>
            <w:tcW w:w="60" w:type="dxa"/>
            <w:vAlign w:val="bottom"/>
          </w:tcPr>
          <w:p>
            <w:pPr>
              <w:spacing w:after="0"/>
              <w:rPr>
                <w:sz w:val="24"/>
                <w:szCs w:val="24"/>
                <w:color w:val="auto"/>
              </w:rPr>
            </w:pP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w w:val="81"/>
              </w:rPr>
              <w:t>Target</w:t>
            </w: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7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color w:val="auto"/>
              </w:rPr>
              <w:t>Maximum</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at Work</w:t>
            </w: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4"/>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Dollars at Work</w:t>
            </w:r>
          </w:p>
        </w:tc>
        <w:tc>
          <w:tcPr>
            <w:tcW w:w="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Golwas</w:t>
            </w:r>
          </w:p>
        </w:tc>
        <w:tc>
          <w:tcPr>
            <w:tcW w:w="10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$ 2,783,000,000</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$ 3,009,000,000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$ 3,234,000,000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2024 Equity Awards</w:t>
      </w:r>
    </w:p>
    <w:p>
      <w:pPr>
        <w:spacing w:after="0" w:line="116"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On July 1, 2024, in addition to his 2024 MIP Award, Mr. Shryock received a grant of 6,976,744 Time-Vested Units with a grant date fair value of $3,976,744, in connection with his commencement of employment with us.</w:t>
      </w:r>
    </w:p>
    <w:p>
      <w:pPr>
        <w:spacing w:after="0" w:line="16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On March 29, 2024, Mr. Miller received a key talent grant (“Key Talent Grant”) after the compensation committee reviewed his role and his relative equity interests in Medline and decided to further align his interests with the interests of our Sponsors. The Key Talent Grant consists of 3,703,704 Time-Vested Units with a grant date fair value of $1,740,741 and 1,851,852 performance-vesting Class B Units with a grant date fair value of $0 (the “Performance-Vested Units”), which vest based on achievement of performance metrics tied to multiples of our Sponsors’ invested capital in Medline Holdings (“MOIC”). Achievement of the performance conditions applicable to Mr. Miller’s Performance-Vested Units was deemed not probable on the grant date, resulting in a grant date fair value of $0.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the Sponsors that were received in respect of Class A Units of Medline Holdings in connection with this offering, as determined by the board of directors.</w:t>
      </w:r>
    </w:p>
    <w:p>
      <w:pPr>
        <w:spacing w:after="0" w:line="190" w:lineRule="exact"/>
        <w:rPr>
          <w:sz w:val="20"/>
          <w:szCs w:val="20"/>
          <w:color w:val="auto"/>
        </w:rPr>
      </w:pPr>
    </w:p>
    <w:p>
      <w:pPr>
        <w:jc w:val="both"/>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For further discussion of the vesting and other terms of the Class B Units, see “Narrative Disclosure to Summary Compensation Table and Grants of Plan-Based Awards Table.”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Sign-on, Retention and Discretionary Bonuses</w:t>
      </w:r>
    </w:p>
    <w:p>
      <w:pPr>
        <w:spacing w:after="0" w:line="118" w:lineRule="exact"/>
        <w:rPr>
          <w:sz w:val="20"/>
          <w:szCs w:val="20"/>
          <w:color w:val="auto"/>
        </w:rPr>
      </w:pPr>
    </w:p>
    <w:p>
      <w:pPr>
        <w:jc w:val="both"/>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2"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Mr. Shryock received a sign-on bonus in the amount of $130,000 in connection with his commencement of employment with us on July 1, 2024. Mr. Shryock is obligated to repay all or a portion of the sign-on bonus if his employment terminates prior to the second anniversary of his start date, as follows: (i) 100% if terminated within 12 months of his start date, (ii) 75% if terminated within 13 to 16 months of his start date, (iii) 50% if terminated within 17 to 20 months of his start date, and (iv) 25% if terminated within 21 to 24 months of his start date.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 of our Named Executive Officers, other than Mr. Shryock, received discretionary bonuses in FY 2024.</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118" w:lineRule="exact"/>
        <w:rPr>
          <w:sz w:val="20"/>
          <w:szCs w:val="20"/>
          <w:color w:val="auto"/>
        </w:rPr>
      </w:pPr>
    </w:p>
    <w:p>
      <w:pPr>
        <w:jc w:val="both"/>
        <w:ind w:left="160" w:right="340" w:firstLine="436"/>
        <w:spacing w:after="0" w:line="263"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available to all of our salaried U.S.-based employees.</w:t>
      </w:r>
    </w:p>
    <w:p>
      <w:pPr>
        <w:spacing w:after="0" w:line="175"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18"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84" w:lineRule="exact"/>
        <w:rPr>
          <w:sz w:val="20"/>
          <w:szCs w:val="20"/>
          <w:color w:val="auto"/>
        </w:rPr>
      </w:pPr>
    </w:p>
    <w:p>
      <w:pPr>
        <w:ind w:left="160" w:right="320" w:firstLine="436"/>
        <w:spacing w:after="0" w:line="263" w:lineRule="auto"/>
        <w:rPr>
          <w:sz w:val="20"/>
          <w:szCs w:val="20"/>
          <w:color w:val="auto"/>
        </w:rPr>
      </w:pPr>
      <w:r>
        <w:rPr>
          <w:rFonts w:ascii="Times New Roman" w:cs="Times New Roman" w:eastAsia="Times New Roman" w:hAnsi="Times New Roman"/>
          <w:sz w:val="18"/>
          <w:szCs w:val="18"/>
          <w:color w:val="auto"/>
        </w:rPr>
        <w:t>We provide matching contributions to the 401(k) Plan in an amount equal to 50% of each participant’s first 8% of deferrals (but not to exceed $7,000 per participant), subject to certain other limits. Participants are 100% vested in both their individual contributions and the matching contributions. Mr. Shryock was not eligible for employer matching contributions during 2024.</w:t>
      </w:r>
    </w:p>
    <w:p>
      <w:pPr>
        <w:spacing w:after="0" w:line="175" w:lineRule="exact"/>
        <w:rPr>
          <w:sz w:val="20"/>
          <w:szCs w:val="20"/>
          <w:color w:val="auto"/>
        </w:rPr>
      </w:pPr>
    </w:p>
    <w:p>
      <w:pPr>
        <w:ind w:left="160" w:right="480" w:firstLine="436"/>
        <w:spacing w:after="0" w:line="308" w:lineRule="auto"/>
        <w:rPr>
          <w:sz w:val="20"/>
          <w:szCs w:val="20"/>
          <w:color w:val="auto"/>
        </w:rPr>
      </w:pPr>
      <w:r>
        <w:rPr>
          <w:rFonts w:ascii="Times New Roman" w:cs="Times New Roman" w:eastAsia="Times New Roman" w:hAnsi="Times New Roman"/>
          <w:sz w:val="17"/>
          <w:szCs w:val="17"/>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118" w:lineRule="exact"/>
        <w:rPr>
          <w:sz w:val="20"/>
          <w:szCs w:val="20"/>
          <w:color w:val="auto"/>
        </w:rPr>
      </w:pPr>
    </w:p>
    <w:p>
      <w:pPr>
        <w:ind w:left="160" w:right="200" w:firstLine="436"/>
        <w:spacing w:after="0" w:line="285" w:lineRule="auto"/>
        <w:rPr>
          <w:sz w:val="20"/>
          <w:szCs w:val="20"/>
          <w:color w:val="auto"/>
        </w:rPr>
      </w:pPr>
      <w:r>
        <w:rPr>
          <w:rFonts w:ascii="Times New Roman" w:cs="Times New Roman" w:eastAsia="Times New Roman" w:hAnsi="Times New Roman"/>
          <w:sz w:val="17"/>
          <w:szCs w:val="17"/>
          <w:color w:val="auto"/>
        </w:rPr>
        <w:t>We believe that reasonable and appropriate severance benefits are necessary in order to be competitive in Medline’s executive attraction and retention efforts. As discussed below, the agreements with Messrs. Boyle and Pigott provide for certain payments, rights and benefits upon certain qualifying terminations from Medline. See “—Potential Payments Upon Termination or Change in Control” below for a description of these benefits.</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Effective upon the completion of this offering, we have adopted a compensation recovery policy as required by Rule 10D-1 under the Exchange Act and the corresponding listing standard adopted by Nasdaq.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20"/>
          </w:cols>
          <w:pgMar w:left="320" w:top="452" w:right="5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In addition, all Class B Unit awards obligate the recipient to repay any after-tax proceeds received in respect of Class B Units if the recipient is terminated for cause (or we discover within one year following termination that grounds to terminate the recipient’s employment for cause existed at the time of termination) or violates restrictive covenants.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18"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Agreements with Named Executive Officers</w:t>
      </w:r>
    </w:p>
    <w:p>
      <w:pPr>
        <w:spacing w:after="0" w:line="118" w:lineRule="exact"/>
        <w:rPr>
          <w:sz w:val="20"/>
          <w:szCs w:val="20"/>
          <w:color w:val="auto"/>
        </w:rPr>
      </w:pPr>
    </w:p>
    <w:p>
      <w:pPr>
        <w:ind w:left="160" w:right="60" w:firstLine="436"/>
        <w:spacing w:after="0" w:line="268" w:lineRule="auto"/>
        <w:rPr>
          <w:sz w:val="20"/>
          <w:szCs w:val="20"/>
          <w:color w:val="auto"/>
        </w:rPr>
      </w:pPr>
      <w:r>
        <w:rPr>
          <w:rFonts w:ascii="Times New Roman" w:cs="Times New Roman" w:eastAsia="Times New Roman" w:hAnsi="Times New Roman"/>
          <w:sz w:val="17"/>
          <w:szCs w:val="17"/>
          <w:color w:val="auto"/>
        </w:rPr>
        <w:t>In October 2023, we entered into employment agreements with Messrs. Boyle and Pigott in connection with their promotion to the roles of Chief Executive Officer and President and Chief Operating Officer, respectively, which provide for certain payments, rights and benefits upon certain qualifying terminations from Medline. In addition, in October 2024, we entered into a transition and separation agreement with Mr. Pigott that sets forth the payments and benefits Mr. Pigott will receive in connection with his departure. The material terms of Mr. Boyle’s employment agreement and</w:t>
      </w:r>
    </w:p>
    <w:p>
      <w:pPr>
        <w:spacing w:after="0" w:line="2" w:lineRule="exact"/>
        <w:rPr>
          <w:sz w:val="20"/>
          <w:szCs w:val="20"/>
          <w:color w:val="auto"/>
        </w:rPr>
      </w:pPr>
    </w:p>
    <w:p>
      <w:pPr>
        <w:ind w:left="160" w:right="100"/>
        <w:spacing w:after="0" w:line="256" w:lineRule="auto"/>
        <w:rPr>
          <w:sz w:val="20"/>
          <w:szCs w:val="20"/>
          <w:color w:val="auto"/>
        </w:rPr>
      </w:pPr>
      <w:r>
        <w:rPr>
          <w:rFonts w:ascii="Times New Roman" w:cs="Times New Roman" w:eastAsia="Times New Roman" w:hAnsi="Times New Roman"/>
          <w:sz w:val="18"/>
          <w:szCs w:val="18"/>
          <w:color w:val="auto"/>
        </w:rPr>
        <w:t>Mr. Pigott’s transition and separation agreement are described below under “Narrative Disclosure to Summary Compensation Table and Grants of Plan-Based Awards Table—Agreements with Named Executive Officers.”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Actions Taken in Connection with This Offering</w:t>
      </w:r>
    </w:p>
    <w:p>
      <w:pPr>
        <w:spacing w:after="0" w:line="118"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this offering, we are working with Korn Ferry, our compensation consultant, to formalize our post-offering compensation programs and implement compensation arrangements that reflect our compensation philosophy described above.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8"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earned by our Named Executive Officers for services rendered for the fiscal year ended December 31, 2024.</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Pension Value</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and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Non-Equity</w:t>
            </w: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Non-Qualified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Stock</w:t>
            </w:r>
          </w:p>
        </w:tc>
        <w:tc>
          <w:tcPr>
            <w:tcW w:w="64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2"/>
                <w:szCs w:val="12"/>
                <w:b w:val="1"/>
                <w:bCs w:val="1"/>
                <w:color w:val="auto"/>
              </w:rPr>
              <w:t>Option</w:t>
            </w:r>
          </w:p>
        </w:tc>
        <w:tc>
          <w:tcPr>
            <w:tcW w:w="10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Incentive Plan</w:t>
            </w: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Deferred</w:t>
            </w: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2"/>
                <w:szCs w:val="12"/>
                <w:b w:val="1"/>
                <w:bCs w:val="1"/>
                <w:color w:val="auto"/>
              </w:rPr>
              <w:t>Salary</w:t>
            </w:r>
          </w:p>
        </w:tc>
        <w:tc>
          <w:tcPr>
            <w:tcW w:w="80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2"/>
                <w:szCs w:val="12"/>
                <w:b w:val="1"/>
                <w:bCs w:val="1"/>
                <w:color w:val="auto"/>
              </w:rPr>
              <w:t>Bonus</w:t>
            </w:r>
          </w:p>
        </w:tc>
        <w:tc>
          <w:tcPr>
            <w:tcW w:w="9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64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10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Year</w:t>
            </w:r>
          </w:p>
        </w:tc>
        <w:tc>
          <w:tcPr>
            <w:tcW w:w="680" w:type="dxa"/>
            <w:vAlign w:val="bottom"/>
          </w:tcPr>
          <w:p>
            <w:pPr>
              <w:jc w:val="right"/>
              <w:ind w:right="147"/>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220" w:type="dxa"/>
            <w:vAlign w:val="bottom"/>
          </w:tcPr>
          <w:p>
            <w:pPr>
              <w:spacing w:after="0"/>
              <w:rPr>
                <w:sz w:val="13"/>
                <w:szCs w:val="13"/>
                <w:color w:val="auto"/>
              </w:rPr>
            </w:pPr>
          </w:p>
        </w:tc>
        <w:tc>
          <w:tcPr>
            <w:tcW w:w="580" w:type="dxa"/>
            <w:vAlign w:val="bottom"/>
          </w:tcPr>
          <w:p>
            <w:pPr>
              <w:jc w:val="right"/>
              <w:ind w:right="87"/>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 xml:space="preserve"> (2)</w:t>
            </w:r>
          </w:p>
        </w:tc>
        <w:tc>
          <w:tcPr>
            <w:tcW w:w="220" w:type="dxa"/>
            <w:vAlign w:val="bottom"/>
          </w:tcPr>
          <w:p>
            <w:pPr>
              <w:spacing w:after="0"/>
              <w:rPr>
                <w:sz w:val="13"/>
                <w:szCs w:val="13"/>
                <w:color w:val="auto"/>
              </w:rPr>
            </w:pPr>
          </w:p>
        </w:tc>
        <w:tc>
          <w:tcPr>
            <w:tcW w:w="6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(3)</w:t>
            </w:r>
          </w:p>
        </w:tc>
        <w:tc>
          <w:tcPr>
            <w:tcW w:w="22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(4)</w:t>
            </w:r>
          </w:p>
        </w:tc>
        <w:tc>
          <w:tcPr>
            <w:tcW w:w="2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Earnings ($)</w:t>
            </w:r>
          </w:p>
        </w:tc>
        <w:tc>
          <w:tcPr>
            <w:tcW w:w="7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(5)</w:t>
            </w:r>
          </w:p>
        </w:tc>
        <w:tc>
          <w:tcPr>
            <w:tcW w:w="22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194"/>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Boyle</w:t>
            </w: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1,201,111</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1,847,186</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74"/>
              </w:rPr>
              <w:t>0</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4,305,297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810,000</w:t>
            </w:r>
          </w:p>
        </w:tc>
        <w:tc>
          <w:tcPr>
            <w:tcW w:w="2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1,009,630</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933,014</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2,759,644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1,201,111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1,625,523</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3,933,634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President and Chief Operating Officer</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Christopher P. Shryock</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2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4,237,855</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365,625</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284,043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5,342,523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Human Resource Officer</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724,000</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2,680,741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903,404</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4,315,145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EVP, Supply Chain</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3"/>
              </w:rPr>
              <w:t>2024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2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957,407</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1,093,750</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2,758,157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645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0" w:lineRule="exact"/>
        <w:rPr>
          <w:sz w:val="20"/>
          <w:szCs w:val="20"/>
          <w:color w:val="auto"/>
        </w:rPr>
      </w:pPr>
    </w:p>
    <w:p>
      <w:pPr>
        <w:ind w:left="600" w:hanging="433"/>
        <w:spacing w:after="0"/>
        <w:tabs>
          <w:tab w:leader="none" w:pos="6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the Named Executive Officer’s base salary earned during the 2024 fiscal year.</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2"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40" w:hanging="433"/>
        <w:spacing w:after="0" w:line="231" w:lineRule="auto"/>
        <w:tabs>
          <w:tab w:leader="none" w:pos="6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reflects the sign-on bonus paid to Mr. Shryock upon the commencement of his employment. See “—Other Compensation—Sign-on, Retention and Discretionary Bonuses” above for further information.</w:t>
      </w:r>
    </w:p>
    <w:p>
      <w:pPr>
        <w:ind w:left="600" w:hanging="433"/>
        <w:spacing w:after="0" w:line="219" w:lineRule="auto"/>
        <w:tabs>
          <w:tab w:leader="none" w:pos="6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include: (i) the fair value of each Named Executive Officer’s 2024 MIP Awards at the service inception date for the award; (ii) the grant date fair value of Time-Vested Units granted to Mr. Shryock in connection with his hiring; and (iii) the grant date fair value of the Time-Vested Units and Performance-Vested Units awarded to Mr. Miller as part of his Key Talent Grant, in each case, computed in accordance with ASC Topic 718. The 2024 MIP Awards are initially expressed as “dollars at work,” which are earned based on Company and individual performance against the performance goals specified in the 2024 Management Incentive Plan and converted into a number of Time-Vested Units in the following fiscal year by dividing the earned dollars at work by the “threshold value” (equal to the value of a Class A Unit on the grant date).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However, since the service inception date precedes the grant date, the Company will recognize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2024 MIP Awards reflected in the table, amounts were computed based on the probable outcome of the performance conditions applicable to each award on the service inception date. Assuming maximum achievement of the applicable performance conditions, the fair values of the 2024 MIP Awards granted to our Named Executive Officers in fiscal 2024 were as follows: Mr. Boyle: $1,801,667; Mr. Drazin: $1,514,444; Mr. Pigott: $1,801,667; Mr. Shryock: $391,667; Mr. Miller: $1,410,000; and Mr. Golwas $1,436,111. The 2.25x, 2.50x and 2.75x Performance-Vested Class B Units granted to Mr. Miller in 2024 are subject to market conditions and an implied performance condition as defined under applicable accounting standards, and the grant date fair value of such Performance-Vested Class B Units was computed based upon the probable outcome of the performance conditions as of the grant date in accordance with ASC Topic 718. Achievement of the performance conditions applicable to these awards was not deemed probable on the grant date and, accordingly, no value is included in the table for these awards. Assuming achievement of the performance conditions, the aggregate grant date fair values of these awards would have been $820,988. For information regarding the assumptions used in determining the fair value of these awards, please refer to “Note 15—Stock-Based Compensation” of our audited consolidated financial statements included elsewhere in this prospectus.</w:t>
      </w:r>
    </w:p>
    <w:p>
      <w:pPr>
        <w:spacing w:after="0" w:line="4"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reflect the Named Executive Officer’s annual cash incentive awards earned by each Named Executive Officer pursuant to the AIP. The terms of the AIP described more fully above under “—Compensation Elements —Annual Incentive Compensation” above. The 2024 annual cash incentive awards under the AIP are not calculable as of the date of this prospectus and are expected to be determined in the first quarter of 2025.</w:t>
      </w:r>
    </w:p>
    <w:p>
      <w:pPr>
        <w:ind w:left="600" w:hanging="433"/>
        <w:spacing w:after="0" w:line="230" w:lineRule="auto"/>
        <w:tabs>
          <w:tab w:leader="none" w:pos="6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for Messrs. Boyle, Drazin, Pigott, Miller, and Golwas represent employer contributions to our 401(k) plan in the fiscal year ended December 31, 2024. Amounts reported in this column for Mr. Shryock represent the following: $226,842 for relocation benefits in connection with his transition to the Chicago area, and a related tax gross-up of $57,201 with respect to the relocation benefit.</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60"/>
          </w:cols>
          <w:pgMar w:left="320" w:top="451" w:right="5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Grants of Plan-Based Awards in 2024</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grants of plan-based awards to our Named Executive Officers during the 2024 fiscal</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year.</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5"/>
            <w:vMerge w:val="restart"/>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Estimated Future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Future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b w:val="1"/>
                <w:bCs w:val="1"/>
                <w:color w:val="auto"/>
              </w:rPr>
              <w:t>Stock</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Grant</w:t>
            </w:r>
          </w:p>
        </w:tc>
        <w:tc>
          <w:tcPr>
            <w:tcW w:w="0" w:type="dxa"/>
            <w:vAlign w:val="bottom"/>
          </w:tcPr>
          <w:p>
            <w:pPr>
              <w:spacing w:after="0"/>
              <w:rPr>
                <w:sz w:val="1"/>
                <w:szCs w:val="1"/>
                <w:color w:val="auto"/>
              </w:rPr>
            </w:pPr>
          </w:p>
        </w:tc>
      </w:tr>
      <w:tr>
        <w:trPr>
          <w:trHeight w:val="127"/>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rPr>
              <w:t>Awards:</w:t>
            </w:r>
          </w:p>
        </w:tc>
        <w:tc>
          <w:tcPr>
            <w:tcW w:w="76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Option</w:t>
            </w:r>
          </w:p>
        </w:tc>
        <w:tc>
          <w:tcPr>
            <w:tcW w:w="5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66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Date Fair</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Payouts Under Non-Equity</w:t>
            </w:r>
          </w:p>
        </w:tc>
        <w:tc>
          <w:tcPr>
            <w:tcW w:w="2300" w:type="dxa"/>
            <w:vAlign w:val="bottom"/>
            <w:gridSpan w:val="8"/>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Payouts Under Equity Incentive</w:t>
            </w:r>
          </w:p>
        </w:tc>
        <w:tc>
          <w:tcPr>
            <w:tcW w:w="8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rPr>
              <w:t>Number</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5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or Base</w:t>
            </w:r>
          </w:p>
        </w:tc>
        <w:tc>
          <w:tcPr>
            <w:tcW w:w="66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0" w:type="dxa"/>
            <w:vAlign w:val="bottom"/>
          </w:tcPr>
          <w:p>
            <w:pPr>
              <w:spacing w:after="0"/>
              <w:rPr>
                <w:sz w:val="1"/>
                <w:szCs w:val="1"/>
                <w:color w:val="auto"/>
              </w:rPr>
            </w:pPr>
          </w:p>
        </w:tc>
      </w:tr>
      <w:tr>
        <w:trPr>
          <w:trHeight w:val="120"/>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Borders>
              <w:bottom w:val="single" w:sz="8" w:color="auto"/>
            </w:tcBorders>
            <w:gridSpan w:val="5"/>
          </w:tcPr>
          <w:p>
            <w:pPr>
              <w:jc w:val="center"/>
              <w:spacing w:after="0" w:line="101" w:lineRule="exact"/>
              <w:rPr>
                <w:sz w:val="20"/>
                <w:szCs w:val="20"/>
                <w:color w:val="auto"/>
              </w:rPr>
            </w:pPr>
            <w:r>
              <w:rPr>
                <w:rFonts w:ascii="Times New Roman" w:cs="Times New Roman" w:eastAsia="Times New Roman" w:hAnsi="Times New Roman"/>
                <w:sz w:val="8"/>
                <w:szCs w:val="8"/>
                <w:b w:val="1"/>
                <w:bCs w:val="1"/>
                <w:color w:val="auto"/>
              </w:rPr>
              <w:t>Incentive Plan Awards</w:t>
            </w:r>
            <w:r>
              <w:rPr>
                <w:rFonts w:ascii="Times New Roman" w:cs="Times New Roman" w:eastAsia="Times New Roman" w:hAnsi="Times New Roman"/>
                <w:sz w:val="11"/>
                <w:szCs w:val="11"/>
                <w:b w:val="1"/>
                <w:bCs w:val="1"/>
                <w:color w:val="auto"/>
                <w:vertAlign w:val="superscript"/>
              </w:rPr>
              <w:t>(2)</w:t>
            </w:r>
          </w:p>
        </w:tc>
        <w:tc>
          <w:tcPr>
            <w:tcW w:w="1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right="80"/>
              <w:spacing w:after="0" w:line="101" w:lineRule="exact"/>
              <w:rPr>
                <w:sz w:val="20"/>
                <w:szCs w:val="20"/>
                <w:color w:val="auto"/>
              </w:rPr>
            </w:pPr>
            <w:r>
              <w:rPr>
                <w:rFonts w:ascii="Times New Roman" w:cs="Times New Roman" w:eastAsia="Times New Roman" w:hAnsi="Times New Roman"/>
                <w:sz w:val="11"/>
                <w:szCs w:val="11"/>
                <w:b w:val="1"/>
                <w:bCs w:val="1"/>
                <w:color w:val="auto"/>
              </w:rPr>
              <w:t>Plan Awards</w:t>
            </w: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2"/>
                <w:szCs w:val="12"/>
                <w:b w:val="1"/>
                <w:bCs w:val="1"/>
                <w:color w:val="auto"/>
              </w:rPr>
              <w:t>of Shares</w:t>
            </w:r>
          </w:p>
        </w:tc>
        <w:tc>
          <w:tcPr>
            <w:tcW w:w="76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58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2"/>
                <w:szCs w:val="12"/>
                <w:b w:val="1"/>
                <w:bCs w:val="1"/>
                <w:color w:val="auto"/>
              </w:rPr>
              <w:t>Price of</w:t>
            </w:r>
          </w:p>
        </w:tc>
        <w:tc>
          <w:tcPr>
            <w:tcW w:w="66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2"/>
                <w:szCs w:val="12"/>
                <w:b w:val="1"/>
                <w:bCs w:val="1"/>
                <w:color w:val="auto"/>
              </w:rPr>
              <w:t>Stock and</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rPr>
              <w:t>of Stock</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5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Option</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Option</w:t>
            </w:r>
          </w:p>
        </w:tc>
        <w:tc>
          <w:tcPr>
            <w:tcW w:w="0" w:type="dxa"/>
            <w:vAlign w:val="bottom"/>
          </w:tcPr>
          <w:p>
            <w:pPr>
              <w:spacing w:after="0"/>
              <w:rPr>
                <w:sz w:val="1"/>
                <w:szCs w:val="1"/>
                <w:color w:val="auto"/>
              </w:rPr>
            </w:pPr>
          </w:p>
        </w:tc>
      </w:tr>
      <w:tr>
        <w:trPr>
          <w:trHeight w:val="134"/>
        </w:trPr>
        <w:tc>
          <w:tcPr>
            <w:tcW w:w="26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11"/>
                <w:szCs w:val="11"/>
                <w:color w:val="auto"/>
              </w:rPr>
            </w:pPr>
          </w:p>
        </w:tc>
        <w:tc>
          <w:tcPr>
            <w:tcW w:w="780" w:type="dxa"/>
            <w:vAlign w:val="bottom"/>
            <w:gridSpan w:val="2"/>
          </w:tcPr>
          <w:p>
            <w:pPr>
              <w:jc w:val="right"/>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Grant</w:t>
            </w:r>
          </w:p>
        </w:tc>
        <w:tc>
          <w:tcPr>
            <w:tcW w:w="10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auto"/>
                <w:w w:val="98"/>
              </w:rPr>
              <w:t>Threshold</w:t>
            </w:r>
          </w:p>
        </w:tc>
        <w:tc>
          <w:tcPr>
            <w:tcW w:w="14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2"/>
                <w:szCs w:val="12"/>
                <w:b w:val="1"/>
                <w:bCs w:val="1"/>
                <w:color w:val="auto"/>
              </w:rPr>
              <w:t>Target</w:t>
            </w:r>
          </w:p>
        </w:tc>
        <w:tc>
          <w:tcPr>
            <w:tcW w:w="76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Maximum</w:t>
            </w:r>
          </w:p>
        </w:tc>
        <w:tc>
          <w:tcPr>
            <w:tcW w:w="58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2"/>
                <w:szCs w:val="12"/>
                <w:b w:val="1"/>
                <w:bCs w:val="1"/>
                <w:color w:val="auto"/>
                <w:w w:val="98"/>
              </w:rPr>
              <w:t>Threshold</w:t>
            </w:r>
          </w:p>
        </w:tc>
        <w:tc>
          <w:tcPr>
            <w:tcW w:w="100" w:type="dxa"/>
            <w:vAlign w:val="bottom"/>
          </w:tcPr>
          <w:p>
            <w:pPr>
              <w:spacing w:after="0"/>
              <w:rPr>
                <w:sz w:val="11"/>
                <w:szCs w:val="11"/>
                <w:color w:val="auto"/>
              </w:rPr>
            </w:pPr>
          </w:p>
        </w:tc>
        <w:tc>
          <w:tcPr>
            <w:tcW w:w="880" w:type="dxa"/>
            <w:vAlign w:val="bottom"/>
            <w:gridSpan w:val="3"/>
          </w:tcPr>
          <w:p>
            <w:pPr>
              <w:ind w:left="140"/>
              <w:spacing w:after="0" w:line="134" w:lineRule="exact"/>
              <w:rPr>
                <w:sz w:val="20"/>
                <w:szCs w:val="20"/>
                <w:color w:val="auto"/>
              </w:rPr>
            </w:pPr>
            <w:r>
              <w:rPr>
                <w:rFonts w:ascii="Times New Roman" w:cs="Times New Roman" w:eastAsia="Times New Roman" w:hAnsi="Times New Roman"/>
                <w:sz w:val="12"/>
                <w:szCs w:val="12"/>
                <w:b w:val="1"/>
                <w:bCs w:val="1"/>
                <w:color w:val="auto"/>
              </w:rPr>
              <w:t>Target</w:t>
            </w:r>
          </w:p>
        </w:tc>
        <w:tc>
          <w:tcPr>
            <w:tcW w:w="7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Maximum</w:t>
            </w:r>
          </w:p>
        </w:tc>
        <w:tc>
          <w:tcPr>
            <w:tcW w:w="8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rPr>
              <w:t>or Units</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5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Awards</w:t>
            </w:r>
          </w:p>
        </w:tc>
        <w:tc>
          <w:tcPr>
            <w:tcW w:w="0" w:type="dxa"/>
            <w:vAlign w:val="bottom"/>
          </w:tcPr>
          <w:p>
            <w:pPr>
              <w:spacing w:after="0"/>
              <w:rPr>
                <w:sz w:val="1"/>
                <w:szCs w:val="1"/>
                <w:color w:val="auto"/>
              </w:rPr>
            </w:pPr>
          </w:p>
        </w:tc>
      </w:tr>
      <w:tr>
        <w:trPr>
          <w:trHeight w:val="154"/>
        </w:trPr>
        <w:tc>
          <w:tcPr>
            <w:tcW w:w="2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72"/>
              <w:spacing w:after="0" w:line="154"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7"/>
                <w:szCs w:val="17"/>
                <w:b w:val="1"/>
                <w:bCs w:val="1"/>
                <w:color w:val="auto"/>
                <w:vertAlign w:val="superscript"/>
              </w:rPr>
              <w:t>(1)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Options (#)</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w:t>
            </w: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James M. Boyle</w:t>
            </w:r>
          </w:p>
        </w:tc>
        <w:tc>
          <w:tcPr>
            <w:tcW w:w="8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1,250,000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1,875,000</w:t>
            </w:r>
          </w:p>
        </w:tc>
        <w:tc>
          <w:tcPr>
            <w:tcW w:w="1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223,611</w:t>
            </w:r>
          </w:p>
        </w:tc>
        <w:tc>
          <w:tcPr>
            <w:tcW w:w="9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2,555,556</w:t>
            </w:r>
          </w:p>
        </w:tc>
        <w:tc>
          <w:tcPr>
            <w:tcW w:w="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3,833,333</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1,201,111</w:t>
            </w: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688,500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1,012,500</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537,037</w:t>
            </w: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2,148,148</w:t>
            </w:r>
          </w:p>
        </w:tc>
        <w:tc>
          <w:tcPr>
            <w:tcW w:w="20" w:type="dxa"/>
            <w:vAlign w:val="bottom"/>
          </w:tcPr>
          <w:p>
            <w:pPr>
              <w:spacing w:after="0"/>
              <w:rPr>
                <w:sz w:val="16"/>
                <w:szCs w:val="1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3,222,222</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1,009,630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6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James M. Pigott</w:t>
            </w:r>
          </w:p>
        </w:tc>
        <w:tc>
          <w:tcPr>
            <w:tcW w:w="8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1,100,000</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1,650,000</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223,611</w:t>
            </w:r>
          </w:p>
        </w:tc>
        <w:tc>
          <w:tcPr>
            <w:tcW w:w="9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2,555,556</w:t>
            </w:r>
          </w:p>
        </w:tc>
        <w:tc>
          <w:tcPr>
            <w:tcW w:w="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3,833,333</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1,201,111</w:t>
            </w: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Christopher P. Shryock</w:t>
            </w: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7/1/2024</w:t>
            </w:r>
            <w:r>
              <w:rPr>
                <w:rFonts w:ascii="Times New Roman" w:cs="Times New Roman" w:eastAsia="Times New Roman" w:hAnsi="Times New Roman"/>
                <w:sz w:val="10"/>
                <w:szCs w:val="10"/>
                <w:color w:val="auto"/>
              </w:rPr>
              <w:t>(3)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248,625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365,625</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138,889</w:t>
            </w: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555,556</w:t>
            </w:r>
          </w:p>
        </w:tc>
        <w:tc>
          <w:tcPr>
            <w:tcW w:w="20" w:type="dxa"/>
            <w:vAlign w:val="bottom"/>
          </w:tcPr>
          <w:p>
            <w:pPr>
              <w:spacing w:after="0"/>
              <w:rPr>
                <w:sz w:val="16"/>
                <w:szCs w:val="1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833,333</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261,111</w:t>
            </w:r>
          </w:p>
        </w:tc>
        <w:tc>
          <w:tcPr>
            <w:tcW w:w="0" w:type="dxa"/>
            <w:vAlign w:val="bottom"/>
          </w:tcPr>
          <w:p>
            <w:pPr>
              <w:spacing w:after="0"/>
              <w:rPr>
                <w:sz w:val="1"/>
                <w:szCs w:val="1"/>
                <w:color w:val="auto"/>
              </w:rPr>
            </w:pPr>
          </w:p>
        </w:tc>
      </w:tr>
      <w:tr>
        <w:trPr>
          <w:trHeight w:val="87"/>
        </w:trPr>
        <w:tc>
          <w:tcPr>
            <w:tcW w:w="260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6,976,744</w:t>
            </w:r>
            <w:r>
              <w:rPr>
                <w:rFonts w:ascii="Times New Roman" w:cs="Times New Roman" w:eastAsia="Times New Roman" w:hAnsi="Times New Roman"/>
                <w:sz w:val="10"/>
                <w:szCs w:val="10"/>
                <w:color w:val="auto"/>
              </w:rPr>
              <w:t>(4)</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9/27/2024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3,976,744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Stephen L. Miller</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615,400</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905,000</w:t>
            </w: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w:t>
            </w:r>
          </w:p>
        </w:tc>
        <w:tc>
          <w:tcPr>
            <w:tcW w:w="9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2,000,000</w:t>
            </w:r>
          </w:p>
        </w:tc>
        <w:tc>
          <w:tcPr>
            <w:tcW w:w="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3,000,000</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940,000</w:t>
            </w:r>
          </w:p>
        </w:tc>
        <w:tc>
          <w:tcPr>
            <w:tcW w:w="0" w:type="dxa"/>
            <w:vAlign w:val="bottom"/>
          </w:tcPr>
          <w:p>
            <w:pPr>
              <w:spacing w:after="0"/>
              <w:rPr>
                <w:sz w:val="1"/>
                <w:szCs w:val="1"/>
                <w:color w:val="auto"/>
              </w:rPr>
            </w:pPr>
          </w:p>
        </w:tc>
      </w:tr>
      <w:tr>
        <w:trPr>
          <w:trHeight w:val="124"/>
        </w:trPr>
        <w:tc>
          <w:tcPr>
            <w:tcW w:w="2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96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3,703,704</w:t>
            </w:r>
            <w:r>
              <w:rPr>
                <w:rFonts w:ascii="Times New Roman" w:cs="Times New Roman" w:eastAsia="Times New Roman" w:hAnsi="Times New Roman"/>
                <w:sz w:val="10"/>
                <w:szCs w:val="10"/>
                <w:color w:val="auto"/>
              </w:rPr>
              <w:t>(5)</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1,740,741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(6)</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3/29/2024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(8)</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r>
              <w:rPr>
                <w:rFonts w:ascii="Times New Roman" w:cs="Times New Roman" w:eastAsia="Times New Roman" w:hAnsi="Times New Roman"/>
                <w:sz w:val="10"/>
                <w:szCs w:val="10"/>
                <w:color w:val="auto"/>
              </w:rPr>
              <w:t>(3)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743,750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1,093,750</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305,556</w:t>
            </w: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2,037,037</w:t>
            </w:r>
          </w:p>
        </w:tc>
        <w:tc>
          <w:tcPr>
            <w:tcW w:w="20" w:type="dxa"/>
            <w:vAlign w:val="bottom"/>
          </w:tcPr>
          <w:p>
            <w:pPr>
              <w:spacing w:after="0"/>
              <w:rPr>
                <w:sz w:val="16"/>
                <w:szCs w:val="1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3,055,556</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957,407</w:t>
            </w:r>
          </w:p>
        </w:tc>
        <w:tc>
          <w:tcPr>
            <w:tcW w:w="0" w:type="dxa"/>
            <w:vAlign w:val="bottom"/>
          </w:tcPr>
          <w:p>
            <w:pPr>
              <w:spacing w:after="0"/>
              <w:rPr>
                <w:sz w:val="1"/>
                <w:szCs w:val="1"/>
                <w:color w:val="auto"/>
              </w:rPr>
            </w:pPr>
          </w:p>
        </w:tc>
      </w:tr>
      <w:tr>
        <w:trPr>
          <w:trHeight w:val="124"/>
        </w:trPr>
        <w:tc>
          <w:tcPr>
            <w:tcW w:w="26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74930</wp:posOffset>
            </wp:positionV>
            <wp:extent cx="7645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600" w:hanging="433"/>
        <w:spacing w:after="0"/>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column, the grant date for the awards is the grant date or, if earlier, the service inception date determined under ASC Topic 718.</w:t>
      </w:r>
    </w:p>
    <w:p>
      <w:pPr>
        <w:spacing w:after="0" w:line="2" w:lineRule="exact"/>
        <w:rPr>
          <w:rFonts w:ascii="Times New Roman" w:cs="Times New Roman" w:eastAsia="Times New Roman" w:hAnsi="Times New Roman"/>
          <w:sz w:val="14"/>
          <w:szCs w:val="14"/>
          <w:color w:val="auto"/>
        </w:rPr>
      </w:pPr>
    </w:p>
    <w:p>
      <w:pPr>
        <w:ind w:left="600" w:right="20" w:hanging="433"/>
        <w:spacing w:after="0" w:line="219" w:lineRule="auto"/>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reflect the cash incentive award opportunity range under our AIP, the terms of which are summarized under “—Compensation Elements—Annual Incentive Compensation” above.</w:t>
      </w:r>
    </w:p>
    <w:p>
      <w:pPr>
        <w:ind w:left="600" w:right="40" w:hanging="433"/>
        <w:spacing w:after="0" w:line="219" w:lineRule="auto"/>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MIP Awards are initially expressed as “dollars at work,” which are delivered in Time-Vested Units in the following fiscal year depending on Company and individual performance relative to the 2024 MIP performance goals, as summarized under “—Compensation Elements—Long-Term Equity Incentive Compensation—2024 Management Incentive Plan” and in footnote 3 to the Summary Compensation Table. The number of Time-Vested Units reflected in the table above reflect the threshold, target and maximum “dollars at work” awarded to the Named Executive Officer as of the service inception date, divided by the threshold value (equal to the value of a Class A Unit) on such date.</w:t>
      </w:r>
    </w:p>
    <w:p>
      <w:pPr>
        <w:ind w:left="600" w:right="80" w:hanging="433"/>
        <w:spacing w:after="0" w:line="219" w:lineRule="auto"/>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Time-Vested Units granted to Mr. Shryock in connection with the commencement of employment, that vest over 5 years, with 20% vesting on the 12-month anniversary of the vesting commencement date and an additional 20% vesting every year thereafter. The grant date fair value of these awards is calculated in accordance with ASC Topic 718. See footnote 3 to the Summary Compensation Table.</w:t>
      </w:r>
    </w:p>
    <w:p>
      <w:pPr>
        <w:ind w:left="600" w:right="60" w:hanging="433"/>
        <w:spacing w:after="0" w:line="219" w:lineRule="auto"/>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Units granted to Mr. Miller as part of his Key Talent Award, that vest over 5 years, with 20% vesting on the 12-month anniversary of the vesting commencement date and an additional 20% vesting every year thereafter. The grant date fair value of these awards is calculated in accordance with ASC Topic 718. See footnote 3 to the Summary Compensation Table.</w:t>
      </w:r>
    </w:p>
    <w:p>
      <w:pPr>
        <w:ind w:left="600" w:right="240" w:hanging="433"/>
        <w:spacing w:after="0" w:line="219" w:lineRule="auto"/>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granted to Mr. Miller as part of his Key Talent Award, that vest based on achievement of performance metrics tied to multiples of our Sponsors’ invested capital in Holdings (2.25x MOIC). The grant date fair value of the Performance-Vested Units is calculated in accordance with ASC Topic 718 and based on the probable outcome of the performance conditions on the date of grant. See footnote 3 to the Summary Compensation Table.</w:t>
      </w:r>
    </w:p>
    <w:p>
      <w:pPr>
        <w:ind w:left="600" w:right="240" w:hanging="433"/>
        <w:spacing w:after="0" w:line="219" w:lineRule="auto"/>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granted to Mr. Miller as part of his Key Talent Award, that vest based on achievement of performance metrics tied to multiples of our Sponsors’ invested capital in Holdings (2.50x MOIC). The grant date fair value of the Performance-Vested Units is calculated in accordance with ASC Topic 718 and based on the probable outcome of the performance conditions on the date of grant. See footnote 3 to the Summary Compensation Table.</w:t>
      </w:r>
    </w:p>
    <w:p>
      <w:pPr>
        <w:ind w:left="600" w:right="240" w:hanging="433"/>
        <w:spacing w:after="0" w:line="230" w:lineRule="auto"/>
        <w:tabs>
          <w:tab w:leader="none" w:pos="6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granted to Mr. Miller as part of his Key Talent Award, that vest based on achievement of performance metrics tied to multiples of our Sponsors’ invested capital in Holdings (2.75x MOIC). The grant date fair value of the Performance-Vested Units is calculated in accordance with ASC Topic 718 and based on the probable outcome of the performance conditions on the date of grant. See footnote 3 to the Summary Compensation Table.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1"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3640"/>
        <w:spacing w:after="0" w:line="374" w:lineRule="auto"/>
        <w:rPr>
          <w:sz w:val="20"/>
          <w:szCs w:val="20"/>
          <w:color w:val="auto"/>
        </w:rPr>
      </w:pPr>
      <w:r>
        <w:rPr>
          <w:rFonts w:ascii="Times New Roman" w:cs="Times New Roman" w:eastAsia="Times New Roman" w:hAnsi="Times New Roman"/>
          <w:sz w:val="18"/>
          <w:szCs w:val="18"/>
          <w:b w:val="1"/>
          <w:bCs w:val="1"/>
          <w:color w:val="auto"/>
        </w:rPr>
        <w:t xml:space="preserve">Narrative Disclosure to Summary Compensation Table and Grants of Plan-Based Awards Table </w:t>
      </w:r>
      <w:r>
        <w:rPr>
          <w:rFonts w:ascii="Times New Roman" w:cs="Times New Roman" w:eastAsia="Times New Roman" w:hAnsi="Times New Roman"/>
          <w:sz w:val="18"/>
          <w:szCs w:val="18"/>
          <w:b w:val="1"/>
          <w:bCs w:val="1"/>
          <w:i w:val="1"/>
          <w:iCs w:val="1"/>
          <w:color w:val="auto"/>
        </w:rPr>
        <w:t>Agreements with Named Executive Officers</w:t>
      </w:r>
    </w:p>
    <w:p>
      <w:pPr>
        <w:spacing w:after="0" w:line="1" w:lineRule="exact"/>
        <w:rPr>
          <w:sz w:val="20"/>
          <w:szCs w:val="20"/>
          <w:color w:val="auto"/>
        </w:rPr>
      </w:pPr>
    </w:p>
    <w:p>
      <w:pPr>
        <w:ind w:left="160" w:right="420" w:firstLine="436"/>
        <w:spacing w:after="0" w:line="263" w:lineRule="auto"/>
        <w:rPr>
          <w:sz w:val="20"/>
          <w:szCs w:val="20"/>
          <w:color w:val="auto"/>
        </w:rPr>
      </w:pPr>
      <w:r>
        <w:rPr>
          <w:rFonts w:ascii="Times New Roman" w:cs="Times New Roman" w:eastAsia="Times New Roman" w:hAnsi="Times New Roman"/>
          <w:sz w:val="18"/>
          <w:szCs w:val="18"/>
          <w:color w:val="auto"/>
        </w:rPr>
        <w:t>The following descriptions of the employment agreements and other agreements with certain Named Executive Officers are qualified in their entirety by the full terms and conditions thereof. Each employment and other agreement, including any amendments, is filed as an exhibit to the registration statement of which this prospectus forms a part and is incorporated herein by reference.</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Employment Agreement with Mr. Boyle</w:t>
      </w:r>
    </w:p>
    <w:p>
      <w:pPr>
        <w:spacing w:after="0" w:line="116"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provides for (i) an initial salary of $1,250,000, subject to periodic review for increase, (ii) eligibility to receive an annual bonus, with a target bonus equal to 100% of base salary, and (iii) for each service year during the employment term, eligibility to receive annual grant of Class B Units of the Aggregator with target value of approximately $3,450,000. Mr. Boyle is also entitled to participate in our employee benefit arrangements and to receive reimbursement for business expense in accordance with our business expense policy.</w:t>
      </w:r>
    </w:p>
    <w:p>
      <w:pPr>
        <w:spacing w:after="0" w:line="184" w:lineRule="exact"/>
        <w:rPr>
          <w:sz w:val="20"/>
          <w:szCs w:val="20"/>
          <w:color w:val="auto"/>
        </w:rPr>
      </w:pPr>
    </w:p>
    <w:p>
      <w:pPr>
        <w:jc w:val="both"/>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Pursuant to the terms of the Boyle employment agreement, if Mr. Boyle’s employment is terminated (i) by us without “cause” (as defined in the Boyle employment agreement) or (ii) by Mr. Boyle for “good reason” (as defined in the Boyle employment agreement), Mr. Boyle will be entitled to receive the following severance payments and benefits, in addition to certain accrued obligations:</w:t>
      </w:r>
    </w:p>
    <w:p>
      <w:pPr>
        <w:spacing w:after="0" w:line="82" w:lineRule="exact"/>
        <w:rPr>
          <w:sz w:val="20"/>
          <w:szCs w:val="20"/>
          <w:color w:val="auto"/>
        </w:rPr>
      </w:pPr>
    </w:p>
    <w:p>
      <w:pPr>
        <w:ind w:left="1140" w:right="560" w:hanging="438"/>
        <w:spacing w:after="0" w:line="278"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Mr. Boyle’s then-current base salary and target annual bonus for 18 months, payable in monthly installments in accordance with our standard payroll practices;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bonus, which we refer to as the prior year bonus;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for the year of termination, which we refer to as the pro-rated bonus; and</w:t>
      </w:r>
    </w:p>
    <w:p>
      <w:pPr>
        <w:spacing w:after="0" w:line="127" w:lineRule="exact"/>
        <w:rPr>
          <w:rFonts w:ascii="Times New Roman" w:cs="Times New Roman" w:eastAsia="Times New Roman" w:hAnsi="Times New Roman"/>
          <w:sz w:val="18"/>
          <w:szCs w:val="18"/>
          <w:color w:val="auto"/>
        </w:rPr>
      </w:pPr>
    </w:p>
    <w:p>
      <w:pPr>
        <w:ind w:left="1140" w:right="80" w:hanging="438"/>
        <w:spacing w:after="0" w:line="285" w:lineRule="auto"/>
        <w:tabs>
          <w:tab w:leader="none" w:pos="11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Boyle timely elects continued coverage under the Consolidated Omnibus Budget Reconciliation Act of 1985 (COBRA), continued coverage and participation under our medical and dental benefit plans, at active employee rates, for 18 months following termination of employment or, if earlier, until the date on which Mr. Boyle becomes eligible for medical and dental benefits from a subsequent employer.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Upon a termination of Mr. Boyle’s employment due to his death or as a result of his disability, Mr. Boyle will be entitled to any prior year bonus.</w:t>
      </w:r>
    </w:p>
    <w:p>
      <w:pPr>
        <w:spacing w:after="0" w:line="221"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Mr. Boyle’s (i) execution and non-revocation of a release of claims in favor of us and our affiliates and (ii) continued compliance with the restrictive covenants.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Boyle employment agreement contains restrictive covenants, including confidentiality of information, assignment of intellectual</w:t>
      </w:r>
    </w:p>
    <w:p>
      <w:pPr>
        <w:spacing w:after="0" w:line="26"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Boyle’s employment with us and until the 18-month anniversary of termination of employment for any reason.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Employment Agreement and Transition and Separation Agreement with Mr. Pigott</w:t>
      </w:r>
    </w:p>
    <w:p>
      <w:pPr>
        <w:spacing w:after="0" w:line="116" w:lineRule="exact"/>
        <w:rPr>
          <w:sz w:val="20"/>
          <w:szCs w:val="20"/>
          <w:color w:val="auto"/>
        </w:rPr>
      </w:pPr>
    </w:p>
    <w:p>
      <w:pPr>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80"/>
          </w:cols>
          <w:pgMar w:left="320" w:top="451"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employment agreement, except that Mr. Pigott received an initial salary of $1,100,000. On October 14, 2024, we entered into a transition and separation agreement with Mr. Pigott, which we refer to as the “Pigott transition agreement,” relating to Mr. Pigott’s departure from Medline. The Pigott transition agreement provides that Mr. Pigott’s last day of employment with us will be December 31, 2025 or an earlier date determined by Medline. Through the termination date, Mr. Pigott will continue to perform his current duties and responsibilities as President of Medline. He will also continue to receive his base salary, be eligible to earn a bonus, participate in Medline health and welfare benefits, and vest in his outstanding Class B Units pursuant to the applicable award agreements.</w:t>
      </w:r>
    </w:p>
    <w:p>
      <w:pPr>
        <w:spacing w:after="0" w:line="184" w:lineRule="exact"/>
        <w:rPr>
          <w:sz w:val="20"/>
          <w:szCs w:val="20"/>
          <w:color w:val="auto"/>
        </w:rPr>
      </w:pPr>
    </w:p>
    <w:p>
      <w:pPr>
        <w:jc w:val="both"/>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Pursuant to the terms of the Pigott transition agreement, upon the earlier of December 31, 2025 or Mr. Pigott’s termination by Medline without “cause” (as defined in the Pigott employment agreement), he will be entitled to receive the following severance payments and benefits, in addition to certain accrued obligations:</w:t>
      </w:r>
    </w:p>
    <w:p>
      <w:pPr>
        <w:spacing w:after="0" w:line="82" w:lineRule="exact"/>
        <w:rPr>
          <w:sz w:val="20"/>
          <w:szCs w:val="20"/>
          <w:color w:val="auto"/>
        </w:rPr>
      </w:pPr>
    </w:p>
    <w:p>
      <w:pPr>
        <w:ind w:left="1140" w:right="280" w:hanging="438"/>
        <w:spacing w:after="0" w:line="278"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$4,125,000, representing 1.5 times the sum of Mr. Pigott’s base salary and estimated target annual bonus for 2025, payable in monthly installments in accordance with our standard payroll practices over a period of 18 months;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prior year annual bonus;</w:t>
      </w:r>
    </w:p>
    <w:p>
      <w:pPr>
        <w:spacing w:after="0" w:line="127" w:lineRule="exact"/>
        <w:rPr>
          <w:rFonts w:ascii="Times New Roman" w:cs="Times New Roman" w:eastAsia="Times New Roman" w:hAnsi="Times New Roman"/>
          <w:sz w:val="18"/>
          <w:szCs w:val="18"/>
          <w:color w:val="auto"/>
        </w:rPr>
      </w:pPr>
    </w:p>
    <w:p>
      <w:pPr>
        <w:ind w:left="1140" w:right="420" w:hanging="438"/>
        <w:spacing w:after="0" w:line="263"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annual bonus for the calendar year in which the termination occurs without pro-rating if the termination occurs prior to December 31, 2025, payable at the same time we generally pay annual bonuses to active employees and using the same performance conditions we generally use to calculate annual bonuses for active employees;</w:t>
      </w:r>
    </w:p>
    <w:p>
      <w:pPr>
        <w:spacing w:after="0" w:line="81" w:lineRule="exact"/>
        <w:rPr>
          <w:rFonts w:ascii="Times New Roman" w:cs="Times New Roman" w:eastAsia="Times New Roman" w:hAnsi="Times New Roman"/>
          <w:sz w:val="18"/>
          <w:szCs w:val="18"/>
          <w:color w:val="auto"/>
        </w:rPr>
      </w:pPr>
    </w:p>
    <w:p>
      <w:pPr>
        <w:ind w:left="1140" w:right="500" w:hanging="438"/>
        <w:spacing w:after="0" w:line="263"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and participation under our medical and dental benefit plans, at active employee rates, for 18 months following termination of employment or, if earlier, until the date on which Mr. Pigott becomes eligible for medical and dental benefits from a subsequent employer; and</w:t>
      </w:r>
    </w:p>
    <w:p>
      <w:pPr>
        <w:spacing w:after="0" w:line="81" w:lineRule="exact"/>
        <w:rPr>
          <w:rFonts w:ascii="Times New Roman" w:cs="Times New Roman" w:eastAsia="Times New Roman" w:hAnsi="Times New Roman"/>
          <w:sz w:val="18"/>
          <w:szCs w:val="18"/>
          <w:color w:val="auto"/>
        </w:rPr>
      </w:pPr>
    </w:p>
    <w:p>
      <w:pPr>
        <w:ind w:left="1140" w:right="40" w:hanging="438"/>
        <w:spacing w:after="0" w:line="258"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on the termination date with respect to the following Class B Units held by Mr. Pigott: (i) 10% of the Time-Vested Units granted on October 21, 2021 (i.e., 3,483,349.9 Time-Vested Units), (ii) 15% of the Time-Vested Units granted on April 1, 2023 (i.e., 720,000 Time-Vested Units), (iii) 5% of the Time-Vested Units granted on October 1, 2023 (i.e., 346,153.85 Time-Vested Units), and (iv) 15% of the Time-Vested Units granted on March 29, 2024 (i.e., 533,333.4 Time-Vested Units).</w:t>
      </w:r>
    </w:p>
    <w:p>
      <w:pPr>
        <w:spacing w:after="0" w:line="180"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If we terminate Mr. Pigott’s employment without cause prior to December 31, 2025, Mr. Pigott will also receive a lump sum payment equal to his base salary for the period from the termination date through December 31, 2025. In addition, if Mr. Pigott’s employment is terminated by us without cause prior to December 31, 2025, the actual number of Time-Vested Units that become vested upon such termination will be determined as set forth below under the heading “Potential Payments Upon Termination or Change in Control—Accelerated Vesting of Equity Awards,” except that an additional 5% of the Time-Vested Units granted to Mr. Pigott on October 21, 2021 will become vested.</w:t>
      </w:r>
    </w:p>
    <w:p>
      <w:pPr>
        <w:spacing w:after="0" w:line="184"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162"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Pigott’s employment with us and until the 18-month anniversary of his termination.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18"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In 2021, in connection with our acquisition by our Sponsors, we adopted the Mozart Management Aggregator LLC Equity Incentive Plan, which we refer to as the MIP, pursuant to which we grant the Named</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320" w:top="452" w:right="5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Executive Officers and other employees awards of Class B Units of the Aggregator. In 2024, the Class B Units granted to our Named Executive Officers consisted of Time-Vested Units and, for Mr. Miller, Performance-Based Units. For each Class B Unit of the Aggregator issued, Medline Holdings issues a Class B Unit in Medline Holdings to Mozart Management Aggregator LLC on a one-for-one basis. The Time-Vested Units vest 20% per year on each of the first five anniversaries of the vesting commencement date, subject to the Named Executive Officer’s continued employment with us through each applicable vesting date.</w:t>
      </w:r>
    </w:p>
    <w:p>
      <w:pPr>
        <w:spacing w:after="0" w:line="184" w:lineRule="exact"/>
        <w:rPr>
          <w:sz w:val="20"/>
          <w:szCs w:val="20"/>
          <w:color w:val="auto"/>
        </w:rPr>
      </w:pPr>
    </w:p>
    <w:p>
      <w:pPr>
        <w:ind w:left="160" w:right="40" w:firstLine="436"/>
        <w:spacing w:after="0" w:line="267" w:lineRule="auto"/>
        <w:rPr>
          <w:sz w:val="20"/>
          <w:szCs w:val="20"/>
          <w:color w:val="auto"/>
        </w:rPr>
      </w:pPr>
      <w:r>
        <w:rPr>
          <w:rFonts w:ascii="Times New Roman" w:cs="Times New Roman" w:eastAsia="Times New Roman" w:hAnsi="Times New Roman"/>
          <w:sz w:val="17"/>
          <w:szCs w:val="17"/>
          <w:color w:val="auto"/>
        </w:rPr>
        <w:t>The Performance-Vested Units granted to Mr. Miller vest based on achievement of performance metrics tied to MOIC.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our Sponsors that were received in respect of Class A Units of Holdings in connection with this offering).</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Call Rights</w:t>
      </w:r>
    </w:p>
    <w:p>
      <w:pPr>
        <w:spacing w:after="0" w:line="116"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Pursuant to each award agreement, the Aggregator has the right to repurchase vested Class B Units held by each Named Executive Officer in connection with any termination of employment (or, for Messrs. Boyle and Pigott, in connection with certain termination events) or breach of restrictive covenants applicable to the Named Executive Officer (the “Call Right”). For Messrs. Boyle and Pigott, the Call Right applies only in connection with a termination by us for cause, due to the executive’s death or disability, or the executive’s resignation without good reason. The repurchase price for repurchased Class B Units is equal to fair market value, except if the Call Right is exercised in connection with a termination for cause (or resignation when grounds for cause exist) or restrictive covenant violation, in which case the repurchase price is the lesser of fair market value and cost. In addition, if a Named Executive Officer engages in a competitive business following termination, the Call Right can be exercised for 12 months following the Named Executive Officer’s engagement in a competitive business at a repurchase price equal to fair market value for each repurchased Class B Unit. The aggregate repurchase value is converted into a number of Class A Units of the Aggregator, which are then repurchased.</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Put Rights</w:t>
      </w:r>
    </w:p>
    <w:p>
      <w:pPr>
        <w:spacing w:after="0" w:line="116"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In addition, the award agreements permit each Named Executive Officer to sell (the “Put Right”) up to 20% of the Named Executive Officer’s vested Class B Units on each interim liquidity date. The first interim liquidity date occurs on October 21, 2026, and subsequent interim liquidity dates occur every three years thereafter. The Named Executive Officer must be employed on the interim liquidity date to be eligible to exercise the Put Right, except the Named Executive Officer can exercise the Put Right upon an interim liquidity date that occurs within 12 months of a termination other than for cause (or resignation when grounds for cause exist). The Put Right lapses on an initial public offering.</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Acceleration; Forfeiture</w:t>
      </w:r>
    </w:p>
    <w:p>
      <w:pPr>
        <w:spacing w:after="0" w:line="116"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Except for accelerated vesting that may occur in connection with certain termination events for Messrs. Boyle and Pigott, all unvested Class B Units are forfeited upon a termination of employment. Upon the occurrence of a sale transaction (defined as described below), certain Time-Vested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60"/>
          </w:cols>
          <w:pgMar w:left="320" w:top="452" w:right="5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18" w:lineRule="exact"/>
        <w:rPr>
          <w:sz w:val="20"/>
          <w:szCs w:val="20"/>
          <w:color w:val="auto"/>
        </w:rPr>
      </w:pPr>
    </w:p>
    <w:p>
      <w:pPr>
        <w:ind w:left="160" w:right="82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outstanding equity awards held by our Named Executive Officers as of December 31, 2024.</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54"/>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Equity</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66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Plan</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Plan</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Awards:</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Awards:</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Market or</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Equity</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Number</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Payout</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66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Plan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Market</w:t>
            </w: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47"/>
              <w:spacing w:after="0" w:line="13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6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47"/>
              <w:spacing w:after="0" w:line="134"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8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6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Other</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47"/>
              <w:spacing w:after="0" w:line="134" w:lineRule="exact"/>
              <w:rPr>
                <w:sz w:val="20"/>
                <w:szCs w:val="20"/>
                <w:color w:val="auto"/>
              </w:rPr>
            </w:pPr>
            <w:r>
              <w:rPr>
                <w:rFonts w:ascii="Times New Roman" w:cs="Times New Roman" w:eastAsia="Times New Roman" w:hAnsi="Times New Roman"/>
                <w:sz w:val="12"/>
                <w:szCs w:val="12"/>
                <w:b w:val="1"/>
                <w:bCs w:val="1"/>
                <w:color w:val="auto"/>
              </w:rPr>
              <w:t>Units of</w:t>
            </w:r>
          </w:p>
        </w:tc>
        <w:tc>
          <w:tcPr>
            <w:tcW w:w="8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Units of</w:t>
            </w: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Rights</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Rights</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6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Option</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47"/>
              <w:spacing w:after="0" w:line="134" w:lineRule="exact"/>
              <w:rPr>
                <w:sz w:val="20"/>
                <w:szCs w:val="20"/>
                <w:color w:val="auto"/>
              </w:rPr>
            </w:pPr>
            <w:r>
              <w:rPr>
                <w:rFonts w:ascii="Times New Roman" w:cs="Times New Roman" w:eastAsia="Times New Roman" w:hAnsi="Times New Roman"/>
                <w:sz w:val="12"/>
                <w:szCs w:val="12"/>
                <w:b w:val="1"/>
                <w:bCs w:val="1"/>
                <w:color w:val="auto"/>
              </w:rPr>
              <w:t>Stock That</w:t>
            </w:r>
          </w:p>
        </w:tc>
        <w:tc>
          <w:tcPr>
            <w:tcW w:w="8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Stock That</w:t>
            </w: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That Have</w:t>
            </w:r>
          </w:p>
        </w:tc>
        <w:tc>
          <w:tcPr>
            <w:tcW w:w="66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That Have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Service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Options</w:t>
            </w:r>
          </w:p>
        </w:tc>
        <w:tc>
          <w:tcPr>
            <w:tcW w:w="8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6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7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960" w:type="dxa"/>
            <w:vAlign w:val="bottom"/>
            <w:gridSpan w:val="2"/>
          </w:tcPr>
          <w:p>
            <w:pPr>
              <w:jc w:val="center"/>
              <w:ind w:right="247"/>
              <w:spacing w:after="0" w:line="134" w:lineRule="exact"/>
              <w:rPr>
                <w:sz w:val="20"/>
                <w:szCs w:val="20"/>
                <w:color w:val="auto"/>
              </w:rPr>
            </w:pPr>
            <w:r>
              <w:rPr>
                <w:rFonts w:ascii="Times New Roman" w:cs="Times New Roman" w:eastAsia="Times New Roman" w:hAnsi="Times New Roman"/>
                <w:sz w:val="12"/>
                <w:szCs w:val="12"/>
                <w:b w:val="1"/>
                <w:bCs w:val="1"/>
                <w:color w:val="auto"/>
              </w:rPr>
              <w:t>Have Not</w:t>
            </w:r>
          </w:p>
        </w:tc>
        <w:tc>
          <w:tcPr>
            <w:tcW w:w="8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Have Not</w:t>
            </w: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w w:val="96"/>
              </w:rPr>
              <w:t>Not</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w w:val="96"/>
              </w:rPr>
              <w:t>Not</w:t>
            </w:r>
          </w:p>
        </w:tc>
        <w:tc>
          <w:tcPr>
            <w:tcW w:w="0" w:type="dxa"/>
            <w:vAlign w:val="bottom"/>
          </w:tcPr>
          <w:p>
            <w:pPr>
              <w:spacing w:after="0"/>
              <w:rPr>
                <w:sz w:val="1"/>
                <w:szCs w:val="1"/>
                <w:color w:val="auto"/>
              </w:rPr>
            </w:pPr>
          </w:p>
        </w:tc>
      </w:tr>
      <w:tr>
        <w:trPr>
          <w:trHeight w:val="134"/>
        </w:trPr>
        <w:tc>
          <w:tcPr>
            <w:tcW w:w="23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1"/>
                <w:szCs w:val="11"/>
                <w:color w:val="auto"/>
              </w:rPr>
            </w:pPr>
          </w:p>
        </w:tc>
        <w:tc>
          <w:tcPr>
            <w:tcW w:w="74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Inception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gridSpan w:val="2"/>
          </w:tcPr>
          <w:p>
            <w:pPr>
              <w:jc w:val="center"/>
              <w:ind w:left="225"/>
              <w:spacing w:after="0" w:line="134"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1"/>
                <w:szCs w:val="11"/>
                <w:color w:val="auto"/>
              </w:rPr>
            </w:pPr>
          </w:p>
        </w:tc>
        <w:tc>
          <w:tcPr>
            <w:tcW w:w="8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2"/>
                <w:szCs w:val="12"/>
                <w:b w:val="1"/>
                <w:bCs w:val="1"/>
                <w:color w:val="auto"/>
              </w:rPr>
              <w:t>Options</w:t>
            </w:r>
          </w:p>
        </w:tc>
        <w:tc>
          <w:tcPr>
            <w:tcW w:w="6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Price</w:t>
            </w:r>
          </w:p>
        </w:tc>
        <w:tc>
          <w:tcPr>
            <w:tcW w:w="7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960" w:type="dxa"/>
            <w:vAlign w:val="bottom"/>
            <w:gridSpan w:val="2"/>
          </w:tcPr>
          <w:p>
            <w:pPr>
              <w:jc w:val="center"/>
              <w:ind w:right="247"/>
              <w:spacing w:after="0" w:line="134"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8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9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66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0" w:type="dxa"/>
            <w:vAlign w:val="bottom"/>
          </w:tcPr>
          <w:p>
            <w:pPr>
              <w:spacing w:after="0"/>
              <w:rPr>
                <w:sz w:val="1"/>
                <w:szCs w:val="1"/>
                <w:color w:val="auto"/>
              </w:rPr>
            </w:pPr>
          </w:p>
        </w:tc>
      </w:tr>
      <w:tr>
        <w:trPr>
          <w:trHeight w:val="154"/>
        </w:trPr>
        <w:tc>
          <w:tcPr>
            <w:tcW w:w="2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2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38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James M. Boyle</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10/21/2021</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10/21/2021</w:t>
            </w:r>
          </w:p>
        </w:tc>
        <w:tc>
          <w:tcPr>
            <w:tcW w:w="2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13,933,400</w:t>
            </w:r>
          </w:p>
        </w:tc>
        <w:tc>
          <w:tcPr>
            <w:tcW w:w="280" w:type="dxa"/>
            <w:vAlign w:val="bottom"/>
            <w:tcBorders>
              <w:top w:val="single" w:sz="8" w:color="CCEEFF"/>
            </w:tcBorders>
            <w:shd w:val="clear" w:color="auto" w:fill="CCEEFF"/>
          </w:tcPr>
          <w:p>
            <w:pPr>
              <w:jc w:val="right"/>
              <w:ind w:right="107"/>
              <w:spacing w:after="0" w:line="118" w:lineRule="exact"/>
              <w:rPr>
                <w:sz w:val="20"/>
                <w:szCs w:val="20"/>
                <w:color w:val="auto"/>
              </w:rPr>
            </w:pPr>
            <w:r>
              <w:rPr>
                <w:rFonts w:ascii="Times New Roman" w:cs="Times New Roman" w:eastAsia="Times New Roman" w:hAnsi="Times New Roman"/>
                <w:sz w:val="11"/>
                <w:szCs w:val="11"/>
                <w:color w:val="auto"/>
                <w:w w:val="77"/>
              </w:rPr>
              <w:t>(1)</w:t>
            </w:r>
          </w:p>
        </w:tc>
        <w:tc>
          <w:tcPr>
            <w:tcW w:w="68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11,704,056</w:t>
            </w: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3,840,000</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2,918,400</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12,923,077</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8,658,461</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5,384,615</w:t>
            </w:r>
            <w:r>
              <w:rPr>
                <w:rFonts w:ascii="Times New Roman" w:cs="Times New Roman" w:eastAsia="Times New Roman" w:hAnsi="Times New Roman"/>
                <w:sz w:val="10"/>
                <w:szCs w:val="10"/>
                <w:color w:val="auto"/>
              </w:rPr>
              <w:t>(3)</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5,384,615</w:t>
            </w:r>
            <w:r>
              <w:rPr>
                <w:rFonts w:ascii="Times New Roman" w:cs="Times New Roman" w:eastAsia="Times New Roman" w:hAnsi="Times New Roman"/>
                <w:sz w:val="10"/>
                <w:szCs w:val="10"/>
                <w:color w:val="auto"/>
              </w:rPr>
              <w:t>(4)</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5,384,615</w:t>
            </w:r>
            <w:r>
              <w:rPr>
                <w:rFonts w:ascii="Times New Roman" w:cs="Times New Roman" w:eastAsia="Times New Roman" w:hAnsi="Times New Roman"/>
                <w:sz w:val="10"/>
                <w:szCs w:val="10"/>
                <w:color w:val="auto"/>
              </w:rPr>
              <w:t>(5)</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3,555,556</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1,742,222</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3,833,334</w:t>
            </w:r>
            <w:r>
              <w:rPr>
                <w:rFonts w:ascii="Times New Roman" w:cs="Times New Roman" w:eastAsia="Times New Roman" w:hAnsi="Times New Roman"/>
                <w:sz w:val="10"/>
                <w:szCs w:val="10"/>
                <w:color w:val="auto"/>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1,201,111</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Michael B. Drazin</w:t>
            </w:r>
          </w:p>
        </w:tc>
        <w:tc>
          <w:tcPr>
            <w:tcW w:w="12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10/21/2021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10/21/2021</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107"/>
              <w:spacing w:after="0" w:line="125" w:lineRule="exact"/>
              <w:rPr>
                <w:sz w:val="20"/>
                <w:szCs w:val="20"/>
                <w:color w:val="auto"/>
              </w:rPr>
            </w:pPr>
            <w:r>
              <w:rPr>
                <w:rFonts w:ascii="Times New Roman" w:cs="Times New Roman" w:eastAsia="Times New Roman" w:hAnsi="Times New Roman"/>
                <w:sz w:val="14"/>
                <w:szCs w:val="14"/>
                <w:color w:val="auto"/>
              </w:rPr>
              <w:t>12,540,060</w:t>
            </w:r>
            <w:r>
              <w:rPr>
                <w:rFonts w:ascii="Times New Roman" w:cs="Times New Roman" w:eastAsia="Times New Roman" w:hAnsi="Times New Roman"/>
                <w:sz w:val="10"/>
                <w:szCs w:val="10"/>
                <w:color w:val="auto"/>
              </w:rPr>
              <w:t>(1)</w:t>
            </w:r>
          </w:p>
        </w:tc>
        <w:tc>
          <w:tcPr>
            <w:tcW w:w="860" w:type="dxa"/>
            <w:vAlign w:val="bottom"/>
            <w:gridSpan w:val="2"/>
          </w:tcPr>
          <w:p>
            <w:pPr>
              <w:jc w:val="right"/>
              <w:ind w:right="180"/>
              <w:spacing w:after="0" w:line="125" w:lineRule="exact"/>
              <w:rPr>
                <w:sz w:val="20"/>
                <w:szCs w:val="20"/>
                <w:color w:val="auto"/>
              </w:rPr>
            </w:pPr>
            <w:r>
              <w:rPr>
                <w:rFonts w:ascii="Times New Roman" w:cs="Times New Roman" w:eastAsia="Times New Roman" w:hAnsi="Times New Roman"/>
                <w:sz w:val="14"/>
                <w:szCs w:val="14"/>
                <w:color w:val="auto"/>
              </w:rPr>
              <w:t>10,533,650</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86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3,088,429</w:t>
            </w:r>
            <w:r>
              <w:rPr>
                <w:rFonts w:ascii="Times New Roman" w:cs="Times New Roman" w:eastAsia="Times New Roman" w:hAnsi="Times New Roman"/>
                <w:sz w:val="10"/>
                <w:szCs w:val="10"/>
                <w:color w:val="auto"/>
              </w:rPr>
              <w:t>(1)</w:t>
            </w:r>
          </w:p>
        </w:tc>
        <w:tc>
          <w:tcPr>
            <w:tcW w:w="8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2,347,206</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86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8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3,207,666</w:t>
            </w:r>
            <w:r>
              <w:rPr>
                <w:rFonts w:ascii="Times New Roman" w:cs="Times New Roman" w:eastAsia="Times New Roman" w:hAnsi="Times New Roman"/>
                <w:sz w:val="10"/>
                <w:szCs w:val="10"/>
                <w:color w:val="auto"/>
              </w:rPr>
              <w:t>(1)</w:t>
            </w:r>
          </w:p>
        </w:tc>
        <w:tc>
          <w:tcPr>
            <w:tcW w:w="8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1,571,756</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3,222,222</w:t>
            </w:r>
            <w:r>
              <w:rPr>
                <w:rFonts w:ascii="Times New Roman" w:cs="Times New Roman" w:eastAsia="Times New Roman" w:hAnsi="Times New Roman"/>
                <w:sz w:val="10"/>
                <w:szCs w:val="10"/>
                <w:color w:val="auto"/>
              </w:rPr>
              <w:t>(2)</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1,009,630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p>
        </w:tc>
        <w:tc>
          <w:tcPr>
            <w:tcW w:w="140" w:type="dxa"/>
            <w:vAlign w:val="bottom"/>
          </w:tcPr>
          <w:p>
            <w:pPr>
              <w:spacing w:after="0"/>
              <w:rPr>
                <w:sz w:val="14"/>
                <w:szCs w:val="14"/>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James M. Pigott</w:t>
            </w:r>
          </w:p>
        </w:tc>
        <w:tc>
          <w:tcPr>
            <w:tcW w:w="860" w:type="dxa"/>
            <w:vAlign w:val="bottom"/>
            <w:gridSpan w:val="3"/>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4"/>
                <w:szCs w:val="14"/>
                <w:color w:val="auto"/>
              </w:rPr>
              <w:t>10/21/2021</w:t>
            </w:r>
          </w:p>
        </w:tc>
        <w:tc>
          <w:tcPr>
            <w:tcW w:w="84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10/21/2021</w:t>
            </w: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7"/>
              <w:spacing w:after="0" w:line="125" w:lineRule="exact"/>
              <w:rPr>
                <w:sz w:val="20"/>
                <w:szCs w:val="20"/>
                <w:color w:val="auto"/>
              </w:rPr>
            </w:pPr>
            <w:r>
              <w:rPr>
                <w:rFonts w:ascii="Times New Roman" w:cs="Times New Roman" w:eastAsia="Times New Roman" w:hAnsi="Times New Roman"/>
                <w:sz w:val="14"/>
                <w:szCs w:val="14"/>
                <w:color w:val="auto"/>
              </w:rPr>
              <w:t>13,933,400</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25" w:lineRule="exact"/>
              <w:rPr>
                <w:sz w:val="20"/>
                <w:szCs w:val="20"/>
                <w:color w:val="auto"/>
              </w:rPr>
            </w:pPr>
            <w:r>
              <w:rPr>
                <w:rFonts w:ascii="Times New Roman" w:cs="Times New Roman" w:eastAsia="Times New Roman" w:hAnsi="Times New Roman"/>
                <w:sz w:val="14"/>
                <w:szCs w:val="14"/>
                <w:color w:val="auto"/>
              </w:rPr>
              <w:t>11,704,056</w:t>
            </w: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3,840,000</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2,918,400</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5,538,462</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3,710,769</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2,307,692</w:t>
            </w:r>
            <w:r>
              <w:rPr>
                <w:rFonts w:ascii="Times New Roman" w:cs="Times New Roman" w:eastAsia="Times New Roman" w:hAnsi="Times New Roman"/>
                <w:sz w:val="10"/>
                <w:szCs w:val="10"/>
                <w:color w:val="auto"/>
              </w:rPr>
              <w:t>(3)</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2,307,692</w:t>
            </w:r>
            <w:r>
              <w:rPr>
                <w:rFonts w:ascii="Times New Roman" w:cs="Times New Roman" w:eastAsia="Times New Roman" w:hAnsi="Times New Roman"/>
                <w:sz w:val="10"/>
                <w:szCs w:val="10"/>
                <w:color w:val="auto"/>
              </w:rPr>
              <w:t>(4)</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2,307,692</w:t>
            </w:r>
            <w:r>
              <w:rPr>
                <w:rFonts w:ascii="Times New Roman" w:cs="Times New Roman" w:eastAsia="Times New Roman" w:hAnsi="Times New Roman"/>
                <w:sz w:val="10"/>
                <w:szCs w:val="10"/>
                <w:color w:val="auto"/>
              </w:rPr>
              <w:t>(5)</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3,555,556</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1,742,222</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3,833,334</w:t>
            </w:r>
            <w:r>
              <w:rPr>
                <w:rFonts w:ascii="Times New Roman" w:cs="Times New Roman" w:eastAsia="Times New Roman" w:hAnsi="Times New Roman"/>
                <w:sz w:val="10"/>
                <w:szCs w:val="10"/>
                <w:color w:val="auto"/>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1,201,111</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Christopher P. Shryock</w:t>
            </w:r>
          </w:p>
        </w:tc>
        <w:tc>
          <w:tcPr>
            <w:tcW w:w="12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7/1/2024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50"/>
              <w:spacing w:after="0" w:line="125"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ind w:right="105"/>
              <w:spacing w:after="0" w:line="125" w:lineRule="exact"/>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right"/>
              <w:ind w:right="107"/>
              <w:spacing w:after="0"/>
              <w:rPr>
                <w:sz w:val="20"/>
                <w:szCs w:val="20"/>
                <w:color w:val="auto"/>
              </w:rPr>
            </w:pPr>
            <w:r>
              <w:rPr>
                <w:rFonts w:ascii="Times New Roman" w:cs="Times New Roman" w:eastAsia="Times New Roman" w:hAnsi="Times New Roman"/>
                <w:sz w:val="14"/>
                <w:szCs w:val="14"/>
                <w:color w:val="auto"/>
              </w:rPr>
              <w:t>6,976,744</w:t>
            </w:r>
            <w:r>
              <w:rPr>
                <w:rFonts w:ascii="Times New Roman" w:cs="Times New Roman" w:eastAsia="Times New Roman" w:hAnsi="Times New Roman"/>
                <w:sz w:val="10"/>
                <w:szCs w:val="10"/>
                <w:color w:val="auto"/>
              </w:rPr>
              <w:t>(6)</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837,209</w:t>
            </w:r>
          </w:p>
        </w:tc>
        <w:tc>
          <w:tcPr>
            <w:tcW w:w="920" w:type="dxa"/>
            <w:vAlign w:val="bottom"/>
            <w:gridSpan w:val="2"/>
          </w:tcPr>
          <w:p>
            <w:pPr>
              <w:jc w:val="right"/>
              <w:ind w:right="180"/>
              <w:spacing w:after="0" w:line="125" w:lineRule="exact"/>
              <w:rPr>
                <w:sz w:val="20"/>
                <w:szCs w:val="20"/>
                <w:color w:val="auto"/>
              </w:rPr>
            </w:pPr>
            <w:r>
              <w:rPr>
                <w:rFonts w:ascii="Times New Roman" w:cs="Times New Roman" w:eastAsia="Times New Roman" w:hAnsi="Times New Roman"/>
                <w:sz w:val="14"/>
                <w:szCs w:val="14"/>
                <w:color w:val="auto"/>
              </w:rPr>
              <w:t>833,334</w:t>
            </w:r>
            <w:r>
              <w:rPr>
                <w:rFonts w:ascii="Times New Roman" w:cs="Times New Roman" w:eastAsia="Times New Roman" w:hAnsi="Times New Roman"/>
                <w:sz w:val="10"/>
                <w:szCs w:val="10"/>
                <w:color w:val="auto"/>
              </w:rPr>
              <w:t>(2)</w:t>
            </w:r>
          </w:p>
        </w:tc>
        <w:tc>
          <w:tcPr>
            <w:tcW w:w="66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9/27/2024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9/27/2024</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Stephen L. Miller</w:t>
            </w:r>
          </w:p>
        </w:tc>
        <w:tc>
          <w:tcPr>
            <w:tcW w:w="860" w:type="dxa"/>
            <w:vAlign w:val="bottom"/>
            <w:gridSpan w:val="3"/>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4"/>
                <w:szCs w:val="14"/>
                <w:color w:val="auto"/>
              </w:rPr>
              <w:t>7/1/2022</w:t>
            </w:r>
          </w:p>
        </w:tc>
        <w:tc>
          <w:tcPr>
            <w:tcW w:w="84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7/1/2022</w:t>
            </w: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7"/>
              <w:spacing w:after="0" w:line="125" w:lineRule="exact"/>
              <w:rPr>
                <w:sz w:val="20"/>
                <w:szCs w:val="20"/>
                <w:color w:val="auto"/>
              </w:rPr>
            </w:pPr>
            <w:r>
              <w:rPr>
                <w:rFonts w:ascii="Times New Roman" w:cs="Times New Roman" w:eastAsia="Times New Roman" w:hAnsi="Times New Roman"/>
                <w:sz w:val="14"/>
                <w:szCs w:val="14"/>
                <w:color w:val="auto"/>
              </w:rPr>
              <w:t>6,000,000</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25" w:lineRule="exact"/>
              <w:rPr>
                <w:sz w:val="20"/>
                <w:szCs w:val="20"/>
                <w:color w:val="auto"/>
              </w:rPr>
            </w:pPr>
            <w:r>
              <w:rPr>
                <w:rFonts w:ascii="Times New Roman" w:cs="Times New Roman" w:eastAsia="Times New Roman" w:hAnsi="Times New Roman"/>
                <w:sz w:val="14"/>
                <w:szCs w:val="14"/>
                <w:color w:val="auto"/>
              </w:rPr>
              <w:t>4,980,000</w:t>
            </w: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1,200,000</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912,000</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3,000,000</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1,470,000</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3,703,704</w:t>
            </w:r>
            <w:r>
              <w:rPr>
                <w:rFonts w:ascii="Times New Roman" w:cs="Times New Roman" w:eastAsia="Times New Roman" w:hAnsi="Times New Roman"/>
                <w:sz w:val="10"/>
                <w:szCs w:val="10"/>
                <w:color w:val="auto"/>
              </w:rPr>
              <w:t>(1)</w:t>
            </w:r>
          </w:p>
        </w:tc>
        <w:tc>
          <w:tcPr>
            <w:tcW w:w="8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1,814,815</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(3)</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(4)</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617,284</w:t>
            </w:r>
            <w:r>
              <w:rPr>
                <w:rFonts w:ascii="Times New Roman" w:cs="Times New Roman" w:eastAsia="Times New Roman" w:hAnsi="Times New Roman"/>
                <w:sz w:val="10"/>
                <w:szCs w:val="10"/>
                <w:color w:val="auto"/>
              </w:rPr>
              <w:t>(5)</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2/13/2024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4/1/2025</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3,000,000</w:t>
            </w:r>
            <w:r>
              <w:rPr>
                <w:rFonts w:ascii="Times New Roman" w:cs="Times New Roman" w:eastAsia="Times New Roman" w:hAnsi="Times New Roman"/>
                <w:sz w:val="10"/>
                <w:szCs w:val="10"/>
                <w:color w:val="auto"/>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940,000</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Douglas P. Golwas</w:t>
            </w:r>
          </w:p>
        </w:tc>
        <w:tc>
          <w:tcPr>
            <w:tcW w:w="12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10/21/2023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10/21/2021</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107"/>
              <w:spacing w:after="0" w:line="125" w:lineRule="exact"/>
              <w:rPr>
                <w:sz w:val="20"/>
                <w:szCs w:val="20"/>
                <w:color w:val="auto"/>
              </w:rPr>
            </w:pPr>
            <w:r>
              <w:rPr>
                <w:rFonts w:ascii="Times New Roman" w:cs="Times New Roman" w:eastAsia="Times New Roman" w:hAnsi="Times New Roman"/>
                <w:sz w:val="14"/>
                <w:szCs w:val="14"/>
                <w:color w:val="auto"/>
              </w:rPr>
              <w:t>8,708,375</w:t>
            </w:r>
            <w:r>
              <w:rPr>
                <w:rFonts w:ascii="Times New Roman" w:cs="Times New Roman" w:eastAsia="Times New Roman" w:hAnsi="Times New Roman"/>
                <w:sz w:val="10"/>
                <w:szCs w:val="10"/>
                <w:color w:val="auto"/>
              </w:rPr>
              <w:t>(1)</w:t>
            </w:r>
          </w:p>
        </w:tc>
        <w:tc>
          <w:tcPr>
            <w:tcW w:w="860" w:type="dxa"/>
            <w:vAlign w:val="bottom"/>
            <w:gridSpan w:val="2"/>
          </w:tcPr>
          <w:p>
            <w:pPr>
              <w:jc w:val="right"/>
              <w:ind w:right="180"/>
              <w:spacing w:after="0" w:line="125" w:lineRule="exact"/>
              <w:rPr>
                <w:sz w:val="20"/>
                <w:szCs w:val="20"/>
                <w:color w:val="auto"/>
              </w:rPr>
            </w:pPr>
            <w:r>
              <w:rPr>
                <w:rFonts w:ascii="Times New Roman" w:cs="Times New Roman" w:eastAsia="Times New Roman" w:hAnsi="Times New Roman"/>
                <w:sz w:val="14"/>
                <w:szCs w:val="14"/>
                <w:color w:val="auto"/>
              </w:rPr>
              <w:t>7,315,035</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86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8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2,400,000</w:t>
            </w:r>
            <w:r>
              <w:rPr>
                <w:rFonts w:ascii="Times New Roman" w:cs="Times New Roman" w:eastAsia="Times New Roman" w:hAnsi="Times New Roman"/>
                <w:sz w:val="10"/>
                <w:szCs w:val="10"/>
                <w:color w:val="auto"/>
              </w:rPr>
              <w:t>(1)</w:t>
            </w:r>
          </w:p>
        </w:tc>
        <w:tc>
          <w:tcPr>
            <w:tcW w:w="8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1,824,000</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86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8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07"/>
              <w:spacing w:after="0" w:line="147" w:lineRule="exact"/>
              <w:rPr>
                <w:sz w:val="20"/>
                <w:szCs w:val="20"/>
                <w:color w:val="auto"/>
              </w:rPr>
            </w:pPr>
            <w:r>
              <w:rPr>
                <w:rFonts w:ascii="Times New Roman" w:cs="Times New Roman" w:eastAsia="Times New Roman" w:hAnsi="Times New Roman"/>
                <w:sz w:val="14"/>
                <w:szCs w:val="14"/>
                <w:color w:val="auto"/>
              </w:rPr>
              <w:t>2,222,222</w:t>
            </w:r>
            <w:r>
              <w:rPr>
                <w:rFonts w:ascii="Times New Roman" w:cs="Times New Roman" w:eastAsia="Times New Roman" w:hAnsi="Times New Roman"/>
                <w:sz w:val="10"/>
                <w:szCs w:val="10"/>
                <w:color w:val="auto"/>
              </w:rPr>
              <w:t>(1)</w:t>
            </w:r>
          </w:p>
        </w:tc>
        <w:tc>
          <w:tcPr>
            <w:tcW w:w="8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1,088,889</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3,055,556</w:t>
            </w:r>
            <w:r>
              <w:rPr>
                <w:rFonts w:ascii="Times New Roman" w:cs="Times New Roman" w:eastAsia="Times New Roman" w:hAnsi="Times New Roman"/>
                <w:sz w:val="10"/>
                <w:szCs w:val="10"/>
                <w:color w:val="auto"/>
              </w:rPr>
              <w:t>(2)</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957,407</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16"/>
                <w:szCs w:val="16"/>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2/13/2024</w:t>
            </w:r>
          </w:p>
        </w:tc>
        <w:tc>
          <w:tcPr>
            <w:tcW w:w="14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7"/>
              </w:rPr>
              <w:t>(2)</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74930</wp:posOffset>
            </wp:positionV>
            <wp:extent cx="7645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600" w:hanging="433"/>
        <w:spacing w:after="0" w:line="228"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Units that vest over 5 years, with 20% vesting on the 12-month anniversary of the vesting commencement date, which is the same as the grant date, and an additional 20% vesting every year thereafter. For Messrs. Boyle and Pigott, a portion of Time-Vested Units will accelerate upon a termination by us without Cause, by the executive for Good Reason, or due to disability. If such termination occurs prior to the first anniversary of the vesting commencement date, 20% of the Time-Vested Units will become vested. If such termination occurs after the first anniversary of the vesting commencement date, the number of Time-Vested Units that will become vested will be calculated by multiplying (x) 20% of the Time-Vested Units by (y) a fraction, the numerator of which is the number of full and partial three-calendar month periods elapsed from the immediately preceding vesting commencement date and the denominator of</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80"/>
          </w:cols>
          <w:pgMar w:left="320" w:top="451"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20"/>
        <w:spacing w:after="0" w:line="225" w:lineRule="auto"/>
        <w:rPr>
          <w:sz w:val="20"/>
          <w:szCs w:val="20"/>
          <w:color w:val="auto"/>
        </w:rPr>
      </w:pPr>
      <w:r>
        <w:rPr>
          <w:rFonts w:ascii="Times New Roman" w:cs="Times New Roman" w:eastAsia="Times New Roman" w:hAnsi="Times New Roman"/>
          <w:sz w:val="14"/>
          <w:szCs w:val="14"/>
          <w:color w:val="auto"/>
        </w:rPr>
        <w:t>which is 4. Awards with a service inception date that precede the grant date represent Management Incentive Plan Awards, which awards are initially expressed as “dollars at work” and converted into a number of Time-Vested Units in the fiscal year following the service inception date based on Company and individual performance against the performance goals specified in the Management Incentive Plan. For additional details, see “—Compensation Elements—Long-Term Equity Incentive Compensation—2024 Management Incentive Plan” and footnote 3 to the Summary Compensation Table above.</w:t>
      </w:r>
    </w:p>
    <w:p>
      <w:pPr>
        <w:spacing w:after="0" w:line="1" w:lineRule="exact"/>
        <w:rPr>
          <w:sz w:val="20"/>
          <w:szCs w:val="20"/>
          <w:color w:val="auto"/>
        </w:rPr>
      </w:pPr>
    </w:p>
    <w:p>
      <w:pPr>
        <w:ind w:left="600" w:right="100" w:hanging="433"/>
        <w:spacing w:after="0" w:line="219" w:lineRule="auto"/>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2024 MIP Awards assuming maximum performance. These awards will be paid out in a number of Time-Vested Units, with the total number of Time-Vested Units issued determined by dividing the “dollars at work” earned under the 2024 MIP Award by the threshold value on the grant date. The actual number of Time-Vested Units that will be distributed is not yet determinable.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For additional details, see “— Compensation Elements—Long-Term Equity Incentive Compensation—2024 Management Incentive Plan” and footnote 3 to the Summary Compensation Table above.</w:t>
      </w:r>
    </w:p>
    <w:p>
      <w:pPr>
        <w:spacing w:after="0" w:line="1" w:lineRule="exact"/>
        <w:rPr>
          <w:rFonts w:ascii="Times New Roman" w:cs="Times New Roman" w:eastAsia="Times New Roman" w:hAnsi="Times New Roman"/>
          <w:sz w:val="14"/>
          <w:szCs w:val="14"/>
          <w:color w:val="auto"/>
        </w:rPr>
      </w:pPr>
    </w:p>
    <w:p>
      <w:pPr>
        <w:jc w:val="both"/>
        <w:ind w:left="600" w:hanging="433"/>
        <w:spacing w:after="0" w:line="219" w:lineRule="auto"/>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(2.25x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jc w:val="both"/>
        <w:ind w:left="600" w:hanging="433"/>
        <w:spacing w:after="0" w:line="219" w:lineRule="auto"/>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(2.50x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jc w:val="both"/>
        <w:ind w:left="600" w:hanging="433"/>
        <w:spacing w:after="0" w:line="219" w:lineRule="auto"/>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(2.75x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ind w:left="600" w:right="460" w:hanging="433"/>
        <w:spacing w:after="0" w:line="235" w:lineRule="auto"/>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Units that vest over 5 years, with 20% vesting on the 12-month anniversary of the vesting commencement date and an additional 20% vesting every year thereafter.</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the Fiscal Year 2024</w:t>
      </w:r>
    </w:p>
    <w:p>
      <w:pPr>
        <w:spacing w:after="0" w:line="118"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regarding the amounts received by our Named Executive Officers upon exercise of options or similar instruments or the vesting of stock or similar instruments during the fiscal year ended December 31, 2024.</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3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Acquired on</w:t>
            </w:r>
          </w:p>
        </w:tc>
        <w:tc>
          <w:tcPr>
            <w:tcW w:w="10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7"/>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3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72"/>
        </w:trPr>
        <w:tc>
          <w:tcPr>
            <w:tcW w:w="532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4"/>
                <w:szCs w:val="14"/>
                <w:color w:val="auto"/>
              </w:rPr>
            </w:pPr>
          </w:p>
        </w:tc>
        <w:tc>
          <w:tcPr>
            <w:tcW w:w="1040" w:type="dxa"/>
            <w:vAlign w:val="bottom"/>
          </w:tcPr>
          <w:p>
            <w:pPr>
              <w:jc w:val="center"/>
              <w:spacing w:after="0" w:line="17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4"/>
                <w:szCs w:val="14"/>
                <w:color w:val="auto"/>
              </w:rPr>
            </w:pPr>
          </w:p>
        </w:tc>
        <w:tc>
          <w:tcPr>
            <w:tcW w:w="960" w:type="dxa"/>
            <w:vAlign w:val="bottom"/>
          </w:tcPr>
          <w:p>
            <w:pPr>
              <w:jc w:val="center"/>
              <w:spacing w:after="0" w:line="172"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11,157,469</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8,525,443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7,042,137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5,676,042</w:t>
            </w:r>
          </w:p>
        </w:tc>
        <w:tc>
          <w:tcPr>
            <w:tcW w:w="0" w:type="dxa"/>
            <w:vAlign w:val="bottom"/>
          </w:tcPr>
          <w:p>
            <w:pPr>
              <w:spacing w:after="0"/>
              <w:rPr>
                <w:sz w:val="1"/>
                <w:szCs w:val="1"/>
                <w:color w:val="auto"/>
              </w:rPr>
            </w:pPr>
          </w:p>
        </w:tc>
      </w:tr>
      <w:tr>
        <w:trPr>
          <w:trHeight w:val="214"/>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9,311,315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7,288,520</w:t>
            </w:r>
          </w:p>
        </w:tc>
        <w:tc>
          <w:tcPr>
            <w:tcW w:w="0" w:type="dxa"/>
            <w:vAlign w:val="bottom"/>
          </w:tcPr>
          <w:p>
            <w:pPr>
              <w:spacing w:after="0"/>
              <w:rPr>
                <w:sz w:val="1"/>
                <w:szCs w:val="1"/>
                <w:color w:val="auto"/>
              </w:rPr>
            </w:pPr>
          </w:p>
        </w:tc>
      </w:tr>
      <w:tr>
        <w:trPr>
          <w:trHeight w:val="21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2,300,000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1,579,000</w:t>
            </w:r>
          </w:p>
        </w:tc>
        <w:tc>
          <w:tcPr>
            <w:tcW w:w="0" w:type="dxa"/>
            <w:vAlign w:val="bottom"/>
          </w:tcPr>
          <w:p>
            <w:pPr>
              <w:spacing w:after="0"/>
              <w:rPr>
                <w:sz w:val="1"/>
                <w:szCs w:val="1"/>
                <w:color w:val="auto"/>
              </w:rPr>
            </w:pPr>
          </w:p>
        </w:tc>
      </w:tr>
      <w:tr>
        <w:trPr>
          <w:trHeight w:val="23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4,954,187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3,975,517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7645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6" w:lineRule="exact"/>
        <w:rPr>
          <w:sz w:val="20"/>
          <w:szCs w:val="20"/>
          <w:color w:val="auto"/>
        </w:rPr>
      </w:pPr>
    </w:p>
    <w:p>
      <w:pPr>
        <w:ind w:left="600" w:hanging="433"/>
        <w:spacing w:after="0"/>
        <w:tabs>
          <w:tab w:leader="none" w:pos="6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Units that vested during fiscal 2024.</w:t>
      </w:r>
    </w:p>
    <w:p>
      <w:pPr>
        <w:spacing w:after="0" w:line="2" w:lineRule="exact"/>
        <w:rPr>
          <w:rFonts w:ascii="Times New Roman" w:cs="Times New Roman" w:eastAsia="Times New Roman" w:hAnsi="Times New Roman"/>
          <w:sz w:val="14"/>
          <w:szCs w:val="14"/>
          <w:color w:val="auto"/>
        </w:rPr>
      </w:pPr>
    </w:p>
    <w:p>
      <w:pPr>
        <w:ind w:left="600" w:right="120" w:hanging="433"/>
        <w:spacing w:after="0" w:line="235" w:lineRule="auto"/>
        <w:tabs>
          <w:tab w:leader="none" w:pos="6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 Upon Termination</w:t>
      </w:r>
    </w:p>
    <w:p>
      <w:pPr>
        <w:spacing w:after="0" w:line="118" w:lineRule="exact"/>
        <w:rPr>
          <w:sz w:val="20"/>
          <w:szCs w:val="20"/>
          <w:color w:val="auto"/>
        </w:rPr>
      </w:pPr>
    </w:p>
    <w:p>
      <w:pPr>
        <w:jc w:val="both"/>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The severance payments and benefits due to Mr. Boyle in connection with certain terminations of employment with Medline are set forth in his employment agreement. The severance payments and benefits payable to Mr. Pigott in connection with his forthcoming departure are set forth in his transition agreement and are summarized above under the heading “—Narrative Disclosure to Summary Compensation Table and Grants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40"/>
          </w:cols>
          <w:pgMar w:left="320" w:top="451" w:right="5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of Plan-Based Awards Table—Agreements with Named Executive Officers—Employment Agreement and Transition and Separation Agreement with Mr. Pigott.” The rest of our Named Executive Officers do not have contractual entitlements to severance payments or benefits.</w:t>
      </w:r>
    </w:p>
    <w:p>
      <w:pPr>
        <w:spacing w:after="0" w:line="162"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Pursuant to the Boyle employment agreement, in the event of a termination of employment by Medline without “cause” (as defined in his employment agreement) or by Mr. Boyle for “good reason” (as defined in his employment agreement), in each case, subject to Mr. Boyle’s execution of a general release of claims in favor Medline and continued compliance with the restrictive covenants set forth in the employment agreement, Mr. Boyle will receive: (i) an amount equal to 1.5 times the sum of his then-current base salary and target annual bonus for 18 months, payable in monthly installments in accordance with our standard payroll practices, (ii) any earned but unpaid prior year annual bonus, (iii) a pro-rated annual bonus for the year of termination, and (iv) if he timely elects continued coverage under the Consolidated Omnibus Budget Reconciliation Act of 1985 (COBRA), continued coverage and participation under our medical and dental benefit plans, at active employee rates, for 18 months following termination of employment or, if earlier, until the date on which he becomes eligible for medical and dental benefits from a subsequent employer.</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Accelerated Vesting of Equity Awards</w:t>
      </w:r>
    </w:p>
    <w:p>
      <w:pPr>
        <w:spacing w:after="0" w:line="118"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In connection with Mr. Boyle’s termination by us without “cause,” by him for “good reason” or due to disability after October 1, 2023 (a “Qualifying Termination”), provided that Mr. Boyle executes and does not revoke a release of claims, a pro-rata portion of each award of Time-Vested Units granted to him that would vest on the next anniversary of the applicable vesting commencement date occurring after the Qualifying Termination will become vested upon such Qualifying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In accordance with the Pigott transition agreement, in connection with Mr. Pigott’s termination by us without cause, provided Mr. Pigott executes and does not revoke a release of claims, a pro-rata portion of each award of Time-Vested Units granted to him that would vest on the next anniversary of the applicable vesting commencement date occurring after the termination date will become vested upon such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termination, and the denominator of which is 4. For the Time-Vested Units granted to Mr. Pigott in October 2021, in addition to the pro-rata portion of the Time-Based Units that vest, another 5% of the Time-Based Units will become vested upon termination.</w:t>
      </w:r>
    </w:p>
    <w:p>
      <w:pPr>
        <w:spacing w:after="0" w:line="184"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Upon any other termination with respect to Messrs. Boyle and Pigott, all unvested Time-Vested Units and unvested Performance-Vested Units will, in each case, terminate and be forfeited immediately for no consideration. Upon any termination with respect to Messrs. Drazin, Shryock, and Golwas, all unvested Time-Vested Units (and, for Mr. Miller, all unvested Performance-Vested Units) will terminate and be forfeited immediately for no consideration.</w:t>
      </w:r>
    </w:p>
    <w:p>
      <w:pPr>
        <w:spacing w:after="0" w:line="180"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In the event of a sale transaction (defined as described below), certain outstanding Time-Vested Unit awards held by certain of our Named Executive Officers will become fully vested. Specifically, all Class B Units granted to Messrs. Boyle, Drazin, Pigott, and Golwas in October 2021 will become fully vested upon a sale transaction occurring while the Named Executive Officer is employed. In addition, the Time-Vested Units granted to Messrs. Boyle and Pigott in October 2023 and the Time-Vested Units granted to Mr. Miller in connection with his Key Talent Award will become fully vested upon a sale transaction occurring while the Named Executive Officer is employed. For purposes of accelerated vesting of certain Time-Vested Units, a sale transaction generally means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40"/>
          </w:cols>
          <w:pgMar w:left="320" w:top="452" w:right="5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 This offering does not constitute a sale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Assuming a termination of employment effective as of December 31, 2024 (i) by us without cause, (ii) by the executive for good reason or</w:t>
      </w:r>
    </w:p>
    <w:p>
      <w:pPr>
        <w:spacing w:after="0" w:line="26" w:lineRule="exact"/>
        <w:rPr>
          <w:sz w:val="20"/>
          <w:szCs w:val="20"/>
          <w:color w:val="auto"/>
        </w:rPr>
      </w:pPr>
    </w:p>
    <w:p>
      <w:pPr>
        <w:ind w:left="160" w:right="60" w:firstLine="7"/>
        <w:spacing w:after="0" w:line="252" w:lineRule="auto"/>
        <w:tabs>
          <w:tab w:leader="none" w:pos="4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executive’s death or disability, each of the specified Named Executive Officers would have received the severance payments and benefits set forth in the table below. In addition, assuming the occurrence of a sale transaction effective on December 31, 2024, each of the specified Named Executive Officers would have realized the value in respect of accelerated vesting of certain Time-Vested Units set forth in the table below.</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Termination</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3"/>
                <w:szCs w:val="13"/>
                <w:b w:val="1"/>
                <w:bCs w:val="1"/>
                <w:color w:val="auto"/>
              </w:rPr>
              <w:t>Termination</w:t>
            </w:r>
          </w:p>
        </w:tc>
        <w:tc>
          <w:tcPr>
            <w:tcW w:w="11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3"/>
                <w:szCs w:val="13"/>
                <w:b w:val="1"/>
                <w:bCs w:val="1"/>
                <w:color w:val="auto"/>
              </w:rPr>
              <w:t>Due to</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3"/>
                <w:szCs w:val="13"/>
                <w:b w:val="1"/>
                <w:bCs w:val="1"/>
                <w:color w:val="auto"/>
                <w:w w:val="99"/>
              </w:rPr>
              <w:t>Termination</w:t>
            </w:r>
          </w:p>
        </w:tc>
        <w:tc>
          <w:tcPr>
            <w:tcW w:w="11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3"/>
                <w:szCs w:val="13"/>
                <w:b w:val="1"/>
                <w:bCs w:val="1"/>
                <w:color w:val="auto"/>
              </w:rPr>
              <w:t>for Good</w:t>
            </w:r>
          </w:p>
        </w:tc>
        <w:tc>
          <w:tcPr>
            <w:tcW w:w="11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3"/>
                <w:szCs w:val="13"/>
                <w:b w:val="1"/>
                <w:bCs w:val="1"/>
                <w:color w:val="auto"/>
              </w:rPr>
              <w:t>Death or</w:t>
            </w:r>
          </w:p>
        </w:tc>
        <w:tc>
          <w:tcPr>
            <w:tcW w:w="116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3"/>
                <w:szCs w:val="13"/>
                <w:b w:val="1"/>
                <w:bCs w:val="1"/>
                <w:color w:val="auto"/>
              </w:rPr>
              <w:t>Sale</w:t>
            </w:r>
          </w:p>
        </w:tc>
        <w:tc>
          <w:tcPr>
            <w:tcW w:w="0" w:type="dxa"/>
            <w:vAlign w:val="bottom"/>
          </w:tcPr>
          <w:p>
            <w:pPr>
              <w:spacing w:after="0"/>
              <w:rPr>
                <w:sz w:val="1"/>
                <w:szCs w:val="1"/>
                <w:color w:val="auto"/>
              </w:rPr>
            </w:pPr>
          </w:p>
        </w:tc>
      </w:tr>
      <w:tr>
        <w:trPr>
          <w:trHeight w:val="147"/>
        </w:trPr>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2"/>
                <w:szCs w:val="12"/>
                <w:color w:val="auto"/>
              </w:rPr>
            </w:pPr>
          </w:p>
        </w:tc>
        <w:tc>
          <w:tcPr>
            <w:tcW w:w="3480" w:type="dxa"/>
            <w:vAlign w:val="bottom"/>
            <w:vMerge w:val="restart"/>
          </w:tcPr>
          <w:p>
            <w:pPr>
              <w:ind w:left="1340"/>
              <w:spacing w:after="0"/>
              <w:rPr>
                <w:sz w:val="20"/>
                <w:szCs w:val="20"/>
                <w:color w:val="auto"/>
              </w:rPr>
            </w:pPr>
            <w:r>
              <w:rPr>
                <w:rFonts w:ascii="Times New Roman" w:cs="Times New Roman" w:eastAsia="Times New Roman" w:hAnsi="Times New Roman"/>
                <w:sz w:val="13"/>
                <w:szCs w:val="13"/>
                <w:b w:val="1"/>
                <w:bCs w:val="1"/>
                <w:color w:val="auto"/>
              </w:rPr>
              <w:t>Payment Type</w:t>
            </w:r>
          </w:p>
        </w:tc>
        <w:tc>
          <w:tcPr>
            <w:tcW w:w="120" w:type="dxa"/>
            <w:vAlign w:val="bottom"/>
          </w:tcPr>
          <w:p>
            <w:pPr>
              <w:spacing w:after="0"/>
              <w:rPr>
                <w:sz w:val="12"/>
                <w:szCs w:val="12"/>
                <w:color w:val="auto"/>
              </w:rPr>
            </w:pPr>
          </w:p>
        </w:tc>
        <w:tc>
          <w:tcPr>
            <w:tcW w:w="128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3"/>
                <w:szCs w:val="13"/>
                <w:b w:val="1"/>
                <w:bCs w:val="1"/>
                <w:color w:val="auto"/>
              </w:rPr>
              <w:t>Without Cause</w:t>
            </w:r>
          </w:p>
        </w:tc>
        <w:tc>
          <w:tcPr>
            <w:tcW w:w="11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3"/>
                <w:szCs w:val="13"/>
                <w:b w:val="1"/>
                <w:bCs w:val="1"/>
                <w:color w:val="auto"/>
              </w:rPr>
              <w:t>Reason</w:t>
            </w:r>
          </w:p>
        </w:tc>
        <w:tc>
          <w:tcPr>
            <w:tcW w:w="11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116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0" w:type="dxa"/>
            <w:vAlign w:val="bottom"/>
          </w:tcPr>
          <w:p>
            <w:pPr>
              <w:spacing w:after="0"/>
              <w:rPr>
                <w:sz w:val="1"/>
                <w:szCs w:val="1"/>
                <w:color w:val="auto"/>
              </w:rPr>
            </w:pPr>
          </w:p>
        </w:tc>
      </w:tr>
      <w:tr>
        <w:trPr>
          <w:trHeight w:val="164"/>
        </w:trPr>
        <w:tc>
          <w:tcPr>
            <w:tcW w:w="2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1040" w:type="dxa"/>
            <w:vAlign w:val="bottom"/>
            <w:gridSpan w:val="2"/>
          </w:tcPr>
          <w:p>
            <w:pPr>
              <w:jc w:val="center"/>
              <w:ind w:left="45"/>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M. Boyle</w:t>
            </w:r>
          </w:p>
        </w:tc>
        <w:tc>
          <w:tcPr>
            <w:tcW w:w="120" w:type="dxa"/>
            <w:vAlign w:val="bottom"/>
            <w:tcBorders>
              <w:top w:val="single" w:sz="8" w:color="CCEEFF"/>
            </w:tcBorders>
            <w:shd w:val="clear" w:color="auto" w:fill="CCEEFF"/>
          </w:tcPr>
          <w:p>
            <w:pPr>
              <w:spacing w:after="0"/>
              <w:rPr>
                <w:sz w:val="15"/>
                <w:szCs w:val="15"/>
                <w:color w:val="auto"/>
              </w:rPr>
            </w:pPr>
          </w:p>
        </w:tc>
        <w:tc>
          <w:tcPr>
            <w:tcW w:w="348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severance</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3,750,000</w:t>
            </w:r>
          </w:p>
        </w:tc>
        <w:tc>
          <w:tcPr>
            <w:tcW w:w="360" w:type="dxa"/>
            <w:vAlign w:val="bottom"/>
            <w:tcBorders>
              <w:top w:val="single" w:sz="8" w:color="CCEEFF"/>
            </w:tcBorders>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85"/>
              </w:rPr>
              <w:t>(1)</w:t>
            </w:r>
          </w:p>
        </w:tc>
        <w:tc>
          <w:tcPr>
            <w:tcW w:w="7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3,750,000</w:t>
            </w:r>
          </w:p>
        </w:tc>
        <w:tc>
          <w:tcPr>
            <w:tcW w:w="360" w:type="dxa"/>
            <w:vAlign w:val="bottom"/>
            <w:tcBorders>
              <w:top w:val="single" w:sz="8" w:color="CCEEFF"/>
            </w:tcBorders>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85"/>
              </w:rPr>
              <w:t>(1)</w:t>
            </w: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Year Bonus</w:t>
            </w:r>
          </w:p>
        </w:tc>
        <w:tc>
          <w:tcPr>
            <w:tcW w:w="1400" w:type="dxa"/>
            <w:vAlign w:val="bottom"/>
            <w:gridSpan w:val="3"/>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5"/>
                <w:szCs w:val="15"/>
                <w:color w:val="auto"/>
              </w:rPr>
              <w:t>1,250,000</w:t>
            </w:r>
            <w:r>
              <w:rPr>
                <w:rFonts w:ascii="Times New Roman" w:cs="Times New Roman" w:eastAsia="Times New Roman" w:hAnsi="Times New Roman"/>
                <w:sz w:val="23"/>
                <w:szCs w:val="23"/>
                <w:color w:val="auto"/>
                <w:vertAlign w:val="superscript"/>
              </w:rPr>
              <w:t>(2)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1,250,000</w:t>
            </w:r>
          </w:p>
        </w:tc>
        <w:tc>
          <w:tcPr>
            <w:tcW w:w="114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5"/>
                <w:szCs w:val="15"/>
                <w:color w:val="auto"/>
              </w:rPr>
              <w:t>1,250,000</w:t>
            </w:r>
            <w:r>
              <w:rPr>
                <w:rFonts w:ascii="Times New Roman" w:cs="Times New Roman" w:eastAsia="Times New Roman" w:hAnsi="Times New Roman"/>
                <w:sz w:val="23"/>
                <w:szCs w:val="23"/>
                <w:color w:val="auto"/>
                <w:vertAlign w:val="superscript"/>
              </w:rPr>
              <w:t>(2)</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benefits</w:t>
            </w:r>
          </w:p>
        </w:tc>
        <w:tc>
          <w:tcPr>
            <w:tcW w:w="1400" w:type="dxa"/>
            <w:vAlign w:val="bottom"/>
            <w:gridSpan w:val="3"/>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5"/>
                <w:szCs w:val="15"/>
                <w:color w:val="auto"/>
              </w:rPr>
              <w:t>45,199</w:t>
            </w:r>
            <w:r>
              <w:rPr>
                <w:rFonts w:ascii="Times New Roman" w:cs="Times New Roman" w:eastAsia="Times New Roman" w:hAnsi="Times New Roman"/>
                <w:sz w:val="23"/>
                <w:szCs w:val="23"/>
                <w:color w:val="auto"/>
                <w:vertAlign w:val="superscript"/>
              </w:rPr>
              <w:t>(3)</w:t>
            </w:r>
          </w:p>
        </w:tc>
        <w:tc>
          <w:tcPr>
            <w:tcW w:w="1120" w:type="dxa"/>
            <w:vAlign w:val="bottom"/>
            <w:gridSpan w:val="2"/>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5"/>
                <w:szCs w:val="15"/>
                <w:color w:val="auto"/>
              </w:rPr>
              <w:t>45,199</w:t>
            </w:r>
            <w:r>
              <w:rPr>
                <w:rFonts w:ascii="Times New Roman" w:cs="Times New Roman" w:eastAsia="Times New Roman" w:hAnsi="Times New Roman"/>
                <w:sz w:val="23"/>
                <w:szCs w:val="23"/>
                <w:color w:val="auto"/>
                <w:vertAlign w:val="superscript"/>
              </w:rPr>
              <w:t>(3)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16"/>
                <w:szCs w:val="16"/>
                <w:color w:val="auto"/>
              </w:rPr>
              <w:t>2,899,805</w:t>
            </w:r>
            <w:r>
              <w:rPr>
                <w:rFonts w:ascii="Times New Roman" w:cs="Times New Roman" w:eastAsia="Times New Roman" w:hAnsi="Times New Roman"/>
                <w:sz w:val="24"/>
                <w:szCs w:val="24"/>
                <w:color w:val="auto"/>
                <w:vertAlign w:val="superscript"/>
              </w:rPr>
              <w:t>(4)</w:t>
            </w:r>
          </w:p>
        </w:tc>
        <w:tc>
          <w:tcPr>
            <w:tcW w:w="112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16"/>
                <w:szCs w:val="16"/>
                <w:color w:val="auto"/>
              </w:rPr>
              <w:t>2,899,805</w:t>
            </w:r>
            <w:r>
              <w:rPr>
                <w:rFonts w:ascii="Times New Roman" w:cs="Times New Roman" w:eastAsia="Times New Roman" w:hAnsi="Times New Roman"/>
                <w:sz w:val="24"/>
                <w:szCs w:val="24"/>
                <w:color w:val="auto"/>
                <w:vertAlign w:val="superscript"/>
              </w:rPr>
              <w:t>(4)</w:t>
            </w:r>
          </w:p>
        </w:tc>
        <w:tc>
          <w:tcPr>
            <w:tcW w:w="1140" w:type="dxa"/>
            <w:vAlign w:val="bottom"/>
            <w:gridSpan w:val="2"/>
            <w:shd w:val="clear" w:color="auto" w:fill="CCEEFF"/>
          </w:tcPr>
          <w:p>
            <w:pPr>
              <w:jc w:val="right"/>
              <w:ind w:right="220"/>
              <w:spacing w:after="0" w:line="214" w:lineRule="exact"/>
              <w:rPr>
                <w:sz w:val="20"/>
                <w:szCs w:val="20"/>
                <w:color w:val="auto"/>
              </w:rPr>
            </w:pPr>
            <w:r>
              <w:rPr>
                <w:rFonts w:ascii="Times New Roman" w:cs="Times New Roman" w:eastAsia="Times New Roman" w:hAnsi="Times New Roman"/>
                <w:sz w:val="16"/>
                <w:szCs w:val="16"/>
                <w:color w:val="auto"/>
              </w:rPr>
              <w:t>2,899,805</w:t>
            </w:r>
            <w:r>
              <w:rPr>
                <w:rFonts w:ascii="Times New Roman" w:cs="Times New Roman" w:eastAsia="Times New Roman" w:hAnsi="Times New Roman"/>
                <w:sz w:val="24"/>
                <w:szCs w:val="24"/>
                <w:color w:val="auto"/>
                <w:vertAlign w:val="superscript"/>
              </w:rPr>
              <w:t>(4)</w:t>
            </w:r>
          </w:p>
        </w:tc>
        <w:tc>
          <w:tcPr>
            <w:tcW w:w="1160" w:type="dxa"/>
            <w:vAlign w:val="bottom"/>
            <w:gridSpan w:val="2"/>
            <w:shd w:val="clear" w:color="auto" w:fill="CCEEFF"/>
          </w:tcPr>
          <w:p>
            <w:pPr>
              <w:jc w:val="right"/>
              <w:ind w:right="180"/>
              <w:spacing w:after="0" w:line="214" w:lineRule="exact"/>
              <w:rPr>
                <w:sz w:val="20"/>
                <w:szCs w:val="20"/>
                <w:color w:val="auto"/>
              </w:rPr>
            </w:pPr>
            <w:r>
              <w:rPr>
                <w:rFonts w:ascii="Times New Roman" w:cs="Times New Roman" w:eastAsia="Times New Roman" w:hAnsi="Times New Roman"/>
                <w:sz w:val="16"/>
                <w:szCs w:val="16"/>
                <w:color w:val="auto"/>
              </w:rPr>
              <w:t>20,362,517</w:t>
            </w:r>
            <w:r>
              <w:rPr>
                <w:rFonts w:ascii="Times New Roman" w:cs="Times New Roman" w:eastAsia="Times New Roman" w:hAnsi="Times New Roman"/>
                <w:sz w:val="24"/>
                <w:szCs w:val="24"/>
                <w:color w:val="auto"/>
                <w:vertAlign w:val="superscript"/>
              </w:rPr>
              <w:t>(5)</w:t>
            </w: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7,945,005</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7,945,005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4,149,805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20,362,517</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1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line="185" w:lineRule="exact"/>
              <w:rPr>
                <w:sz w:val="20"/>
                <w:szCs w:val="20"/>
                <w:color w:val="auto"/>
              </w:rPr>
            </w:pPr>
            <w:r>
              <w:rPr>
                <w:rFonts w:ascii="Times New Roman" w:cs="Times New Roman" w:eastAsia="Times New Roman" w:hAnsi="Times New Roman"/>
                <w:sz w:val="14"/>
                <w:szCs w:val="14"/>
                <w:color w:val="auto"/>
              </w:rPr>
              <w:t>10,533,650</w:t>
            </w:r>
            <w:r>
              <w:rPr>
                <w:rFonts w:ascii="Times New Roman" w:cs="Times New Roman" w:eastAsia="Times New Roman" w:hAnsi="Times New Roman"/>
                <w:sz w:val="21"/>
                <w:szCs w:val="21"/>
                <w:color w:val="auto"/>
                <w:vertAlign w:val="superscript"/>
              </w:rPr>
              <w:t>(5)</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10,533,650</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12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22"/>
                <w:szCs w:val="22"/>
                <w:color w:val="auto"/>
                <w:vertAlign w:val="superscript"/>
              </w:rPr>
              <w:t>(1)</w:t>
            </w:r>
          </w:p>
        </w:tc>
        <w:tc>
          <w:tcPr>
            <w:tcW w:w="1400" w:type="dxa"/>
            <w:vAlign w:val="bottom"/>
            <w:gridSpan w:val="3"/>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5"/>
                <w:szCs w:val="15"/>
                <w:color w:val="auto"/>
              </w:rPr>
              <w:t>5,225,000</w:t>
            </w:r>
            <w:r>
              <w:rPr>
                <w:rFonts w:ascii="Times New Roman" w:cs="Times New Roman" w:eastAsia="Times New Roman" w:hAnsi="Times New Roman"/>
                <w:sz w:val="22"/>
                <w:szCs w:val="22"/>
                <w:color w:val="auto"/>
                <w:vertAlign w:val="superscript"/>
              </w:rPr>
              <w:t>(6)</w:t>
            </w: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Year Bonus</w:t>
            </w:r>
          </w:p>
        </w:tc>
        <w:tc>
          <w:tcPr>
            <w:tcW w:w="1400" w:type="dxa"/>
            <w:vAlign w:val="bottom"/>
            <w:gridSpan w:val="3"/>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5"/>
                <w:szCs w:val="15"/>
                <w:color w:val="auto"/>
              </w:rPr>
              <w:t>1,100,000</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benefits</w:t>
            </w:r>
          </w:p>
        </w:tc>
        <w:tc>
          <w:tcPr>
            <w:tcW w:w="1400" w:type="dxa"/>
            <w:vAlign w:val="bottom"/>
            <w:gridSpan w:val="3"/>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5"/>
                <w:szCs w:val="15"/>
                <w:color w:val="auto"/>
              </w:rPr>
              <w:t>45,199</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16"/>
                <w:szCs w:val="16"/>
                <w:color w:val="auto"/>
              </w:rPr>
              <w:t>2,590,575</w:t>
            </w:r>
            <w:r>
              <w:rPr>
                <w:rFonts w:ascii="Times New Roman" w:cs="Times New Roman" w:eastAsia="Times New Roman" w:hAnsi="Times New Roman"/>
                <w:sz w:val="24"/>
                <w:szCs w:val="24"/>
                <w:color w:val="auto"/>
                <w:vertAlign w:val="superscript"/>
              </w:rPr>
              <w:t>(4)</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line="214" w:lineRule="exact"/>
              <w:rPr>
                <w:sz w:val="20"/>
                <w:szCs w:val="20"/>
                <w:color w:val="auto"/>
              </w:rPr>
            </w:pPr>
            <w:r>
              <w:rPr>
                <w:rFonts w:ascii="Times New Roman" w:cs="Times New Roman" w:eastAsia="Times New Roman" w:hAnsi="Times New Roman"/>
                <w:sz w:val="24"/>
                <w:szCs w:val="24"/>
                <w:color w:val="auto"/>
                <w:vertAlign w:val="subscript"/>
              </w:rPr>
              <w:t xml:space="preserve"> </w:t>
            </w:r>
            <w:r>
              <w:rPr>
                <w:rFonts w:ascii="Times New Roman" w:cs="Times New Roman" w:eastAsia="Times New Roman" w:hAnsi="Times New Roman"/>
                <w:sz w:val="10"/>
                <w:szCs w:val="10"/>
                <w:color w:val="auto"/>
              </w:rPr>
              <w:t xml:space="preserve">  (4)</w:t>
            </w:r>
          </w:p>
        </w:tc>
        <w:tc>
          <w:tcPr>
            <w:tcW w:w="1160" w:type="dxa"/>
            <w:vAlign w:val="bottom"/>
            <w:gridSpan w:val="2"/>
            <w:shd w:val="clear" w:color="auto" w:fill="CCEEFF"/>
          </w:tcPr>
          <w:p>
            <w:pPr>
              <w:jc w:val="right"/>
              <w:ind w:right="180"/>
              <w:spacing w:after="0" w:line="214" w:lineRule="exact"/>
              <w:rPr>
                <w:sz w:val="20"/>
                <w:szCs w:val="20"/>
                <w:color w:val="auto"/>
              </w:rPr>
            </w:pPr>
            <w:r>
              <w:rPr>
                <w:rFonts w:ascii="Times New Roman" w:cs="Times New Roman" w:eastAsia="Times New Roman" w:hAnsi="Times New Roman"/>
                <w:sz w:val="16"/>
                <w:szCs w:val="16"/>
                <w:color w:val="auto"/>
              </w:rPr>
              <w:t>15,414,825</w:t>
            </w:r>
            <w:r>
              <w:rPr>
                <w:rFonts w:ascii="Times New Roman" w:cs="Times New Roman" w:eastAsia="Times New Roman" w:hAnsi="Times New Roman"/>
                <w:sz w:val="24"/>
                <w:szCs w:val="24"/>
                <w:color w:val="auto"/>
                <w:vertAlign w:val="superscript"/>
              </w:rPr>
              <w:t>(5)</w:t>
            </w: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8,960,774</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15,414,825</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Christopher P. Shryock</w:t>
            </w:r>
          </w:p>
        </w:tc>
        <w:tc>
          <w:tcPr>
            <w:tcW w:w="120" w:type="dxa"/>
            <w:vAlign w:val="bottom"/>
          </w:tcPr>
          <w:p>
            <w:pPr>
              <w:spacing w:after="0"/>
              <w:rPr>
                <w:sz w:val="16"/>
                <w:szCs w:val="16"/>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7"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1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Class B Unit Vesting</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180"/>
              <w:spacing w:after="0" w:line="185" w:lineRule="exact"/>
              <w:rPr>
                <w:sz w:val="20"/>
                <w:szCs w:val="20"/>
                <w:color w:val="auto"/>
              </w:rPr>
            </w:pPr>
            <w:r>
              <w:rPr>
                <w:rFonts w:ascii="Times New Roman" w:cs="Times New Roman" w:eastAsia="Times New Roman" w:hAnsi="Times New Roman"/>
                <w:sz w:val="14"/>
                <w:szCs w:val="14"/>
                <w:color w:val="auto"/>
              </w:rPr>
              <w:t>7,315,035</w:t>
            </w:r>
            <w:r>
              <w:rPr>
                <w:rFonts w:ascii="Times New Roman" w:cs="Times New Roman" w:eastAsia="Times New Roman" w:hAnsi="Times New Roman"/>
                <w:sz w:val="21"/>
                <w:szCs w:val="21"/>
                <w:color w:val="auto"/>
                <w:vertAlign w:val="superscript"/>
              </w:rPr>
              <w:t>(5)</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7,315,035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645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0" w:lineRule="exact"/>
        <w:rPr>
          <w:sz w:val="20"/>
          <w:szCs w:val="20"/>
          <w:color w:val="auto"/>
        </w:rPr>
      </w:pPr>
    </w:p>
    <w:p>
      <w:pPr>
        <w:ind w:left="600" w:right="480" w:hanging="433"/>
        <w:spacing w:after="0" w:line="231" w:lineRule="auto"/>
        <w:tabs>
          <w:tab w:leader="none" w:pos="6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reflect a cash severance payment consisting of 1.5 times the sum of his annual base salary ($1,250,000) and target bonus for 2024 ($1,250,000), paid over 18 months.</w:t>
      </w:r>
    </w:p>
    <w:p>
      <w:pPr>
        <w:ind w:left="600" w:hanging="433"/>
        <w:spacing w:after="0" w:line="219" w:lineRule="auto"/>
        <w:tabs>
          <w:tab w:leader="none" w:pos="6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reflect each Named Executive Officer’s annual bonus earned for 2024, pro-rated for the period of service during 2024.</w:t>
      </w:r>
    </w:p>
    <w:p>
      <w:pPr>
        <w:ind w:left="600" w:hanging="433"/>
        <w:spacing w:after="0" w:line="219" w:lineRule="auto"/>
        <w:tabs>
          <w:tab w:leader="none" w:pos="6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cost of providing the Named Executive Officer with continued medical, dental and vision insurance under COBRA for a period of 18 months assuming 2025 rates.</w:t>
      </w:r>
    </w:p>
    <w:p>
      <w:pPr>
        <w:ind w:left="600" w:right="200" w:hanging="433"/>
        <w:spacing w:after="0" w:line="219" w:lineRule="auto"/>
        <w:tabs>
          <w:tab w:leader="none" w:pos="6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the amounts reported reflect partial accelerated vesting of the Time-Vested Units in the event of termination by us without cause, by Mr. Boyle for good reason, and disability. For Mr. Pigott, the amount reported reflects partial accelerated vesting of the Time-Vested Units in accordance with the Pigott transition agreement. The amounts reported for the Time-Vested Units are based upon the appreciation in the value of our business from and after the date of grant through the date of our most recent valuation prior to December 31, 2024.</w:t>
      </w:r>
    </w:p>
    <w:p>
      <w:pPr>
        <w:ind w:left="600" w:hanging="433"/>
        <w:spacing w:after="0" w:line="219" w:lineRule="auto"/>
        <w:tabs>
          <w:tab w:leader="none" w:pos="6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reflect the value of accelerated vesting of Time-Vested Units in the event of a sale transaction. The amounts reported for the Time-Vested Units are based upon the appreciation in the value of our business from and after the date of grant through the date of our most recent valuation prior to December 31, 2024. For Mr. Boyle, the value of accelerated vesting consists of $11,704,056 for Time-Vested Units granted in October 2021 and $8,658,461 for Time-Vested Units granted in October 2023. For Mr. Pigott, the value of accelerated vesting consists of $11,704,056 for Time-Vested Units granted in October 2021 and $3,710,769 for Time-Vested Units granted in October 2023.</w:t>
      </w:r>
    </w:p>
    <w:p>
      <w:pPr>
        <w:ind w:left="600" w:right="80" w:hanging="433"/>
        <w:spacing w:after="0" w:line="235" w:lineRule="auto"/>
        <w:tabs>
          <w:tab w:leader="none" w:pos="6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reported reflects the cash severance payment due to Mr. Pigott pursuant to the Pigott transition agreement, consisting of 1.5 times the sum of his base salary ($1,100,000) and estimated target bonus for 2025 ($1,650,000), which is paid over 18 months, plus an additional $1,100,000 for base salary through December 31, 2025, which is paid in a lump sum.</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2"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8"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includes Mr. Sweet, are currently entitled to compensation consisting of:</w:t>
      </w:r>
    </w:p>
    <w:p>
      <w:pPr>
        <w:spacing w:after="0" w:line="82" w:lineRule="exact"/>
        <w:rPr>
          <w:sz w:val="20"/>
          <w:szCs w:val="20"/>
          <w:color w:val="auto"/>
        </w:rPr>
      </w:pPr>
    </w:p>
    <w:p>
      <w:pPr>
        <w:ind w:left="1140" w:hanging="438"/>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retainer of $125,000 per year;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cash retainers of $25,000 (Audit) and $20,000 (Compensation, Nominating and Governance, and Risk);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equity award of RSUs with a grant date fair value of $300,000, that cliff vest on the 30 month anniversary of grant;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award of RSUs with a grant date fair value of $200,000, vesting on the first anniversary of grant.</w:t>
      </w:r>
    </w:p>
    <w:p>
      <w:pPr>
        <w:spacing w:after="0" w:line="221"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The form and amount of compensation for our non-employee directors was established based on recommendations from management’s compensation consultant, Korn Ferry, based on benchmarking against the peer group used for 2025 Named Executive Officer compensation. We anticipate that we will review our director compensation program in connection with this offering and make such changes as we determine are necessary or appropriate for our status as a public company.</w:t>
      </w:r>
    </w:p>
    <w:p>
      <w:pPr>
        <w:spacing w:after="0" w:line="180" w:lineRule="exact"/>
        <w:rPr>
          <w:sz w:val="20"/>
          <w:szCs w:val="20"/>
          <w:color w:val="auto"/>
        </w:rPr>
      </w:pPr>
    </w:p>
    <w:p>
      <w:pPr>
        <w:ind w:left="160" w:right="140" w:firstLine="436"/>
        <w:spacing w:after="0" w:line="255" w:lineRule="auto"/>
        <w:rPr>
          <w:sz w:val="20"/>
          <w:szCs w:val="20"/>
          <w:color w:val="auto"/>
        </w:rPr>
      </w:pPr>
      <w:r>
        <w:rPr>
          <w:rFonts w:ascii="Times New Roman" w:cs="Times New Roman" w:eastAsia="Times New Roman" w:hAnsi="Times New Roman"/>
          <w:sz w:val="18"/>
          <w:szCs w:val="18"/>
          <w:color w:val="auto"/>
        </w:rPr>
        <w:t>During 2024, James Abrams (our former Chief Operating Officer), Charles Mills (our former Chief Executive Officer), and Andrew Mills (our former President) served as members of our board of directors. In connection with their service, each of Messrs. Abrams, Mills, and Mills received a quarterly cash retainer of $50,000. The board of directors believed the annual retainers for Messrs. Abrams, Mills, and Mills was appropriate in light of their familiarity with our business from their tenures as senior executives. They received no other compensation or benefits for their service, nor will they receive compensation for services following the completion of this offering.</w:t>
      </w:r>
    </w:p>
    <w:p>
      <w:pPr>
        <w:spacing w:after="0" w:line="184"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paid or accrued by us to or on behalf of Messrs. Abrams, Mills, Mills, and Sweet for services rendered to us as directors during the last fiscal year.</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Earned</w:t>
            </w:r>
          </w:p>
        </w:tc>
        <w:tc>
          <w:tcPr>
            <w:tcW w:w="12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260" w:type="dxa"/>
            <w:vAlign w:val="bottom"/>
            <w:gridSpan w:val="2"/>
            <w:vMerge w:val="continue"/>
          </w:tcPr>
          <w:p>
            <w:pPr>
              <w:spacing w:after="0"/>
              <w:rPr>
                <w:sz w:val="12"/>
                <w:szCs w:val="12"/>
                <w:color w:val="auto"/>
              </w:rPr>
            </w:pPr>
          </w:p>
        </w:tc>
        <w:tc>
          <w:tcPr>
            <w:tcW w:w="1340" w:type="dxa"/>
            <w:vAlign w:val="bottom"/>
            <w:gridSpan w:val="2"/>
          </w:tcPr>
          <w:p>
            <w:pPr>
              <w:jc w:val="right"/>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40" w:type="dxa"/>
            <w:vAlign w:val="bottom"/>
            <w:gridSpan w:val="2"/>
            <w:vMerge w:val="continue"/>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260" w:type="dxa"/>
            <w:vAlign w:val="bottom"/>
            <w:gridSpan w:val="2"/>
          </w:tcPr>
          <w:p>
            <w:pPr>
              <w:jc w:val="center"/>
              <w:ind w:right="6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40" w:type="dxa"/>
            <w:vAlign w:val="bottom"/>
            <w:gridSpan w:val="2"/>
          </w:tcPr>
          <w:p>
            <w:pPr>
              <w:jc w:val="right"/>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gridSpan w:val="2"/>
          </w:tcPr>
          <w:p>
            <w:pPr>
              <w:jc w:val="right"/>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 Abrams</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N. Mills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150,000</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Mills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150,000</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Sweet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38,676</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300,000</w:t>
            </w:r>
            <w:r>
              <w:rPr>
                <w:rFonts w:ascii="Times New Roman" w:cs="Times New Roman" w:eastAsia="Times New Roman" w:hAnsi="Times New Roman"/>
                <w:sz w:val="26"/>
                <w:szCs w:val="26"/>
                <w:color w:val="auto"/>
                <w:w w:val="99"/>
                <w:vertAlign w:val="superscript"/>
              </w:rPr>
              <w:t>(1)</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7" w:lineRule="exact"/>
        <w:rPr>
          <w:sz w:val="20"/>
          <w:szCs w:val="20"/>
          <w:color w:val="auto"/>
        </w:rPr>
      </w:pPr>
    </w:p>
    <w:p>
      <w:pPr>
        <w:ind w:left="600" w:right="280" w:hanging="433"/>
        <w:spacing w:after="0" w:line="238" w:lineRule="auto"/>
        <w:tabs>
          <w:tab w:leader="none" w:pos="6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the aggregate grant date fair value of 174,419 RSUs granted to Mr. Sweet on September 27, 2024 in connection with his commencement of service as a member of the board of directors. The grant date fair value was calculated in accordance with ASC Topic 718. As of December 31, 2024, all of Mr. Sweet’s RSU awards remained outstanding.</w:t>
      </w:r>
    </w:p>
    <w:p>
      <w:pPr>
        <w:spacing w:after="0" w:line="284" w:lineRule="exact"/>
        <w:rPr>
          <w:sz w:val="20"/>
          <w:szCs w:val="20"/>
          <w:color w:val="auto"/>
        </w:rPr>
      </w:pPr>
    </w:p>
    <w:p>
      <w:pPr>
        <w:ind w:left="160" w:right="5040"/>
        <w:spacing w:after="0" w:line="374" w:lineRule="auto"/>
        <w:rPr>
          <w:sz w:val="20"/>
          <w:szCs w:val="20"/>
          <w:color w:val="auto"/>
        </w:rPr>
      </w:pPr>
      <w:r>
        <w:rPr>
          <w:rFonts w:ascii="Times New Roman" w:cs="Times New Roman" w:eastAsia="Times New Roman" w:hAnsi="Times New Roman"/>
          <w:sz w:val="18"/>
          <w:szCs w:val="18"/>
          <w:b w:val="1"/>
          <w:bCs w:val="1"/>
          <w:color w:val="auto"/>
        </w:rPr>
        <w:t xml:space="preserve">Compensation Arrangements to be Adopted in Connection with this Offering </w:t>
      </w:r>
      <w:r>
        <w:rPr>
          <w:rFonts w:ascii="Times New Roman" w:cs="Times New Roman" w:eastAsia="Times New Roman" w:hAnsi="Times New Roman"/>
          <w:sz w:val="18"/>
          <w:szCs w:val="18"/>
          <w:b w:val="1"/>
          <w:bCs w:val="1"/>
          <w:i w:val="1"/>
          <w:iCs w:val="1"/>
          <w:color w:val="auto"/>
        </w:rPr>
        <w:t>Omnibus Incentive Plan</w:t>
      </w:r>
    </w:p>
    <w:p>
      <w:pPr>
        <w:spacing w:after="0" w:line="1" w:lineRule="exact"/>
        <w:rPr>
          <w:sz w:val="20"/>
          <w:szCs w:val="20"/>
          <w:color w:val="auto"/>
        </w:rPr>
      </w:pPr>
    </w:p>
    <w:p>
      <w:pPr>
        <w:ind w:left="160" w:right="36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this offering, our Board of Directors expects to adopt, and we expect our stockholders to approve, the Medline Inc. 2025 Omnibus Incentive Plan, which we refer to as the Omnibus Incentive Plan, prior to the completion of the offering. The term “Board of Directors” as used in this “Omnibus Incentive Plan” section refers to the board of directors of Medline.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52"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our Omnibus Incentive Plan is to provide a means through which to attract and retain key personnel and to provide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whereby our directors, officers, employees, consultants, and advisors can acquire and maintain an equity interest in us, or be paid incentive compensation, including incentive compensation measured by reference to the value of our shares of Class A common stock, thereby strengthening their commitment to our welfare and aligning their interests with those of our stockholders.</w:t>
      </w:r>
    </w:p>
    <w:p>
      <w:pPr>
        <w:spacing w:after="0" w:line="180" w:lineRule="exact"/>
        <w:rPr>
          <w:sz w:val="20"/>
          <w:szCs w:val="20"/>
          <w:color w:val="auto"/>
        </w:rPr>
      </w:pPr>
    </w:p>
    <w:p>
      <w:pPr>
        <w:ind w:left="160" w:right="100" w:firstLine="436"/>
        <w:spacing w:after="0" w:line="271"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Eligible participants are any (i) individual employed by Medline or any of its subsidiaries, provided that no employee covered by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collective bargaining agreement will be eligible to receive awards under our Omnibus Incentive Plan unless and to the extent such eligibility is set forth in a collective bargaining agreement or in an agreement or instrument related thereto; (ii) director or officer of Medline or any of its subsidiaries; or</w:t>
      </w:r>
    </w:p>
    <w:p>
      <w:pPr>
        <w:spacing w:after="0" w:line="1" w:lineRule="exact"/>
        <w:rPr>
          <w:sz w:val="20"/>
          <w:szCs w:val="20"/>
          <w:color w:val="auto"/>
        </w:rPr>
      </w:pPr>
    </w:p>
    <w:p>
      <w:pPr>
        <w:ind w:left="160" w:right="20" w:firstLine="7"/>
        <w:spacing w:after="0" w:line="250" w:lineRule="auto"/>
        <w:tabs>
          <w:tab w:leader="none" w:pos="47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consultant or advisor to Holdings or any of its subsidiaries, or any other person, in each case, who may be offered securities registrable pursuant to a registration statement on Form S-8 under the Securities Act who, in the case of each of clauses (i) through (iii) above, has entered into an award agreement or who has received written notification from the Committee (as defined herein) or its designee that they have been selected to participate in our Omnibus Incentive Plan.</w:t>
      </w:r>
    </w:p>
    <w:p>
      <w:pPr>
        <w:spacing w:after="0" w:line="187" w:lineRule="exact"/>
        <w:rPr>
          <w:sz w:val="20"/>
          <w:szCs w:val="20"/>
          <w:color w:val="auto"/>
        </w:rPr>
      </w:pPr>
    </w:p>
    <w:p>
      <w:pPr>
        <w:ind w:left="160" w:firstLine="43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Our Omnibus Incentive Plan will be administered by the compensation committee of our Board of Directors, or such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of our Board of Directors to which it has properly delegated power, or if no such committee or subcommittee exists, our Board of Directors (such administering body referred to herein, for purposes of this description of the Omnibus Incentive Plan, as the “Committee”).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Omnibus Incentive Plan. The Committee is authorized to: (i) designate participants; (ii) determine the type or types of awards to be granted to a participant; (iii) determine the number of shares of our Class A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our Class A common stock, or Common Units, as applicable, other securities, other awards, or other property, or canceled, forfeited, or suspended and the method or methods by which awards may be settled, exercised, canceled, forfeited, or suspended;</w:t>
      </w:r>
    </w:p>
    <w:p>
      <w:pPr>
        <w:ind w:left="160" w:right="40" w:firstLine="7"/>
        <w:spacing w:after="0" w:line="262" w:lineRule="auto"/>
        <w:tabs>
          <w:tab w:leader="none" w:pos="46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to what extent, and under what circumstances the delivery of cash, shares of our Class A common stock, other securities, other awards, or other property and other amounts payable with respect to an award will be deferred either automatically or at the election of the participant or of the Committee; (vii) interpret, administer, reconcile any inconsistency in, correct any defect in, and/or supply any omission in our Omnibus Incentive Plan and any instrument or agreement relating to, or award granted under, our Omnibus Incentive Plan; (viii) establish, amend, suspend, or waive any rules and regulations and appoint such agents as the Committee may deem appropriate for the proper administration of our Omnibus Incentive Plan;</w:t>
      </w:r>
    </w:p>
    <w:p>
      <w:pPr>
        <w:spacing w:after="0" w:line="2" w:lineRule="exact"/>
        <w:rPr>
          <w:rFonts w:ascii="Times New Roman" w:cs="Times New Roman" w:eastAsia="Times New Roman" w:hAnsi="Times New Roman"/>
          <w:sz w:val="17"/>
          <w:szCs w:val="17"/>
          <w:color w:val="auto"/>
        </w:rPr>
      </w:pPr>
    </w:p>
    <w:p>
      <w:pPr>
        <w:ind w:left="160" w:right="20" w:firstLine="7"/>
        <w:spacing w:after="0" w:line="268" w:lineRule="auto"/>
        <w:tabs>
          <w:tab w:leader="none" w:pos="46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sub-plans; and (x) make any other determination and take any other action that the Committee deems necessary or desirable for the administration of our Omnibus Incentive Plan. Unless otherwise expressly provided in our Omnibus Incentive Plan, all designations, determinations, interpretations, and other decisions under or with respect to our Omnibus Incentive Plan or any award or any documents evidencing awards granted pursuant to our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172" w:lineRule="exact"/>
        <w:rPr>
          <w:sz w:val="20"/>
          <w:szCs w:val="20"/>
          <w:color w:val="auto"/>
        </w:rPr>
      </w:pPr>
    </w:p>
    <w:p>
      <w:pPr>
        <w:ind w:left="160" w:right="10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Awards Subject to our Omnibus Incentive Plan. </w:t>
      </w:r>
      <w:r>
        <w:rPr>
          <w:rFonts w:ascii="Times New Roman" w:cs="Times New Roman" w:eastAsia="Times New Roman" w:hAnsi="Times New Roman"/>
          <w:sz w:val="18"/>
          <w:szCs w:val="18"/>
          <w:color w:val="auto"/>
        </w:rPr>
        <w:t>Our Omnibus Incentive Plan provides that the total number of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Common Units (collectively, “Interests”) that may be issued under our Omnibus Incentive Plan is equal to no more than        shares of our Class A common stock (excluding shares of Class A common stock received by, or to be received by, participants in connection with the exchange for, conversion into, redemption of, or substitution for Common Units or for such other equity or equity-based awards issued by Medline Holdings (or a predecessor or affiliate thereof) and exchangeable for, convertible into</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1"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160"/>
        <w:spacing w:after="0" w:line="274" w:lineRule="auto"/>
        <w:rPr>
          <w:sz w:val="20"/>
          <w:szCs w:val="20"/>
          <w:color w:val="auto"/>
        </w:rPr>
      </w:pPr>
      <w:r>
        <w:rPr>
          <w:rFonts w:ascii="Times New Roman" w:cs="Times New Roman" w:eastAsia="Times New Roman" w:hAnsi="Times New Roman"/>
          <w:sz w:val="17"/>
          <w:szCs w:val="17"/>
          <w:color w:val="auto"/>
        </w:rPr>
        <w:t>or redeemable or substitutable for, shares of Class A common stock), or the “Absolute Share Limit”; provided, however, that the Absolute Share Limit shall be increased on the first day of each fiscal year beginning with the 2026 fiscal year in an amount equal to the least of (x)         Interests, (y)</w:t>
      </w:r>
    </w:p>
    <w:p>
      <w:pPr>
        <w:ind w:left="160"/>
        <w:spacing w:after="0" w:line="248" w:lineRule="auto"/>
        <w:rPr>
          <w:sz w:val="20"/>
          <w:szCs w:val="20"/>
          <w:color w:val="auto"/>
        </w:rPr>
      </w:pPr>
      <w:r>
        <w:rPr>
          <w:rFonts w:ascii="Times New Roman" w:cs="Times New Roman" w:eastAsia="Times New Roman" w:hAnsi="Times New Roman"/>
          <w:sz w:val="18"/>
          <w:szCs w:val="18"/>
          <w:color w:val="auto"/>
        </w:rPr>
        <w:t>        % of the total number of Interests outstanding on the last day of the immediately preceding fiscal year, and (z) a lower number of Interests as determined by our Board of Directors. Of this amount, the maximum number of Interests for which incentive stock options may be granted is        ; and during a single fiscal year, each non-employee director shall be granted a number of Interests subject to awards, taken together with any cash fees paid to such non-employee director during the fiscal year, equal to a total value of $1,000,000 or such lower amount as determined by our Board of Directors. Unless otherwise determined by the Committee, shares of our Class A common stock delivered by us or our affiliates upon exchange of Common Units or other equity securities of any of our subsidiaries that have been issued under our Omnibus Incentive Plan shall be issued under our Omnibus Incentive Plan. Except for “Substitute Awards” (as described below), to the extent that an award expires or is canceled, forfeited, terminated, settled in cash, or otherwise is settled without issuance to the participant of the full number of Interests to which the award related, the unissued shares will again be available for grant under our Omnibus Incentive Plan. Shares of our Class A common stock withheld in payment of the exercise price, or taxes relating to an award, and shares equal to the number of shares surrendered in payment of any exercise price, or taxes relating to an award, shall be deemed to constitute shares not issued; provided, however, that such shares shall not become available for issuance if either: (i) the applicable shares are withheld or surrendered following the termination of our Omnibus Incentive Plan or (ii) at the time the applicable shares are withheld or surrendered, it would constitute a material revision of our Omnibus Incentive Plan subject to stockholder approval under any then-applicable rules of the national securities exchange on which our Class A common stock is listed. No award may be granted under our Omnibus Incentive Plan after the tenth anniversary of the Effective Date (as defined in our Omnibus Incentive Plan), but awards granted before then may extend beyond that date. Awards may, in the sole discretion of the Committee, be granted in assumption of, or in substitution for, outstanding awards previously granted by an entity directly or indirectly acquired by us or with which we combine, or Substitute Awards, and such Substitute Awards will not be counted against the Absolute Share Limit, except that Substitute Awards intended to qualify as incentive stock options will count against the limit on incentive stock options described above.</w:t>
      </w:r>
    </w:p>
    <w:p>
      <w:pPr>
        <w:spacing w:after="0" w:line="195" w:lineRule="exact"/>
        <w:rPr>
          <w:sz w:val="20"/>
          <w:szCs w:val="20"/>
          <w:color w:val="auto"/>
        </w:rPr>
      </w:pPr>
    </w:p>
    <w:p>
      <w:pPr>
        <w:ind w:left="160" w:right="20" w:firstLine="436"/>
        <w:spacing w:after="0" w:line="265" w:lineRule="auto"/>
        <w:rPr>
          <w:sz w:val="20"/>
          <w:szCs w:val="20"/>
          <w:color w:val="auto"/>
        </w:rPr>
      </w:pPr>
      <w:r>
        <w:rPr>
          <w:rFonts w:ascii="Times New Roman" w:cs="Times New Roman" w:eastAsia="Times New Roman" w:hAnsi="Times New Roman"/>
          <w:sz w:val="17"/>
          <w:szCs w:val="17"/>
          <w:i w:val="1"/>
          <w:iCs w:val="1"/>
          <w:color w:val="auto"/>
        </w:rPr>
        <w:t>Grants</w:t>
      </w:r>
      <w:r>
        <w:rPr>
          <w:rFonts w:ascii="Times New Roman" w:cs="Times New Roman" w:eastAsia="Times New Roman" w:hAnsi="Times New Roman"/>
          <w:sz w:val="17"/>
          <w:szCs w:val="17"/>
          <w:color w:val="auto"/>
        </w:rPr>
        <w:t>. All awards granted under our Omnibus Incentive Plan will vest and become exercisable in such manner and on such date or dates or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event or events as determined by the Committee, including, without limitation, attainment of Performance Conditions. As used herein, “Performance Conditions” means specific levels of performance of Medline (and/or one or more members of its subsidiaries, divisions, or operational and/or business units, product lines, brands, business segments, administrative departments, or any combination of the foregoing), which may be determined in accordance with GAAP or on a non-GAAP basis 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w:t>
      </w:r>
    </w:p>
    <w:p>
      <w:pPr>
        <w:spacing w:after="0" w:line="2" w:lineRule="exact"/>
        <w:rPr>
          <w:sz w:val="20"/>
          <w:szCs w:val="20"/>
          <w:color w:val="auto"/>
        </w:rPr>
      </w:pPr>
    </w:p>
    <w:p>
      <w:pPr>
        <w:jc w:val="both"/>
        <w:ind w:left="160" w:right="620" w:firstLine="7"/>
        <w:spacing w:after="0" w:line="262" w:lineRule="auto"/>
        <w:tabs>
          <w:tab w:leader="none" w:pos="41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productivity ratios; (xi) share price (including, but not limited to, growth measures and total stockholder return); (xii) expense targets or cost reduction goals, general and administrative expense savings; (xiii) operating efficiency; (xiv) objective measures of customer/client satisfaction;</w:t>
      </w:r>
    </w:p>
    <w:p>
      <w:pPr>
        <w:spacing w:after="0" w:line="1" w:lineRule="exact"/>
        <w:rPr>
          <w:rFonts w:ascii="Times New Roman" w:cs="Times New Roman" w:eastAsia="Times New Roman" w:hAnsi="Times New Roman"/>
          <w:sz w:val="17"/>
          <w:szCs w:val="17"/>
          <w:color w:val="auto"/>
        </w:rPr>
      </w:pPr>
    </w:p>
    <w:p>
      <w:pPr>
        <w:ind w:left="500" w:hanging="333"/>
        <w:spacing w:after="0"/>
        <w:tabs>
          <w:tab w:leader="none" w:pos="5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targets; (xvi) measures of economic value added or other ‘value creation’ metrics; (xvii) enterprise value; (xviii) sales;</w:t>
      </w:r>
    </w:p>
    <w:p>
      <w:pPr>
        <w:spacing w:after="0" w:line="6" w:lineRule="exact"/>
        <w:rPr>
          <w:rFonts w:ascii="Times New Roman" w:cs="Times New Roman" w:eastAsia="Times New Roman" w:hAnsi="Times New Roman"/>
          <w:sz w:val="18"/>
          <w:szCs w:val="18"/>
          <w:color w:val="auto"/>
        </w:rPr>
      </w:pPr>
    </w:p>
    <w:p>
      <w:pPr>
        <w:ind w:left="160" w:right="360" w:firstLine="7"/>
        <w:spacing w:after="0" w:line="250" w:lineRule="auto"/>
        <w:tabs>
          <w:tab w:leader="none" w:pos="5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60"/>
          </w:cols>
          <w:pgMar w:left="320" w:top="452" w:right="5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of Medline or its subsidiaries as a whole or any divisions or operational and/or business units, product lines, brands, business segments, or administrative departments of Medline and/or one or more of its subsidiaries,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82" w:lineRule="exact"/>
        <w:rPr>
          <w:sz w:val="20"/>
          <w:szCs w:val="20"/>
          <w:color w:val="auto"/>
        </w:rPr>
      </w:pPr>
    </w:p>
    <w:p>
      <w:pPr>
        <w:ind w:left="160" w:right="20" w:firstLine="43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Under our Omnibus Incentive Plan, the Committee may grant non-qualified stock options and incentive stock options with terms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determined by the Committee that are not inconsistent with our Omnibus Incentive Plan; provided, that all stock options granted under our Omnibus Incentive Plan are required to have a per share exercise price that is not less than 100% of the fair market value of our shares of Class A common stock in respect of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our shares of Class A common stock is prohibited by our insider trading policy (or “blackout period” imposed by us), the term will automatically be extended to the 30th day following the end of such period. The purchase price for the shares of our Class A common stock as to which a stock option is exercised may be paid to us, to the extent permitted by law (i) in cash, check, cash equivalent, and/or shares of our Class A common stock valued at the fair market value at the time the option is exercised; provided, that such shares of our Class A common stock are not subject to any pledge or other security interest and have been held by the participant for at least six months (or such other period as established from time to time by the Committee in order to avoid adverse accounting treatment applying GAAP) or</w:t>
      </w:r>
    </w:p>
    <w:p>
      <w:pPr>
        <w:spacing w:after="0" w:line="6" w:lineRule="exact"/>
        <w:rPr>
          <w:sz w:val="20"/>
          <w:szCs w:val="20"/>
          <w:color w:val="auto"/>
        </w:rPr>
      </w:pPr>
    </w:p>
    <w:p>
      <w:pPr>
        <w:ind w:left="160" w:right="80" w:firstLine="7"/>
        <w:spacing w:after="0" w:line="249" w:lineRule="auto"/>
        <w:tabs>
          <w:tab w:leader="none" w:pos="42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other method as the Committee may permit in its sole discretion, including, without limitation: (a) in other property having a fair market value on the date of exercise equal to the exercise price, (b) if there is a public market for the shares of our Class A common stock at such time, by means of a broker-assisted “cashless exercise” pursuant to which we are delivered (including telephonically to the extent permitted by the Committee) a copy of irrevocable instructions to a stockbroker to sell the shares of our Class A common stock otherwise issuable upon the exercise of the option and to deliver promptly to us an amount equal to the exercise price or (c) a “net exercise” procedure effected by withholding the minimum number of shares of our Class A common stock otherwise issuable in respect of an option that is needed to pay the exercise price. Any fractional shares of our Class A common stock shall be settled in cash.</w:t>
      </w:r>
    </w:p>
    <w:p>
      <w:pPr>
        <w:spacing w:after="0" w:line="188"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grant stock appreciation rights (“SARs”) under our Omnibus Incentive Plan, with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determined by the Committee that are not inconsistent with our Omnibus Incentive Plan. The Committee may also award SARs independent of any option. Generally, each SAR will entitle the participant upon exercise to an amount (in cash, shares of our Class A common stock, or a combination of cash and shares, as determined by the Committee) equal to the product of (i) the excess of (a) the fair market value on the exercise date of one share of our Class A common stock over (b) the strike price per share of our Class A common stock covered by the SAR, times (ii) the number of shares of our Class A common stock covered by the SAR, less any taxes required to be withheld. The strike price per share of our Class A common stock covered by a SAR will be determined by the Committee at the time of grant but in no event may such amount be less than 100% of the fair market value of a share of our Class A common stock on the date the SAR is granted (other than in the case of SARs granted in substitution of previously granted awards).</w:t>
      </w:r>
    </w:p>
    <w:p>
      <w:pPr>
        <w:spacing w:after="0" w:line="184" w:lineRule="exact"/>
        <w:rPr>
          <w:sz w:val="20"/>
          <w:szCs w:val="20"/>
          <w:color w:val="auto"/>
        </w:rPr>
      </w:pPr>
    </w:p>
    <w:p>
      <w:pPr>
        <w:ind w:left="160" w:right="6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Restricted Stock and Restricted Stock Units. </w:t>
      </w:r>
      <w:r>
        <w:rPr>
          <w:rFonts w:ascii="Times New Roman" w:cs="Times New Roman" w:eastAsia="Times New Roman" w:hAnsi="Times New Roman"/>
          <w:sz w:val="18"/>
          <w:szCs w:val="18"/>
          <w:color w:val="auto"/>
        </w:rPr>
        <w:t>The Committee may grant restricted shares of Class A common stock or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RSUs represent the right to receive, upon vesting and the expiration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1"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340"/>
        <w:spacing w:after="0" w:line="258" w:lineRule="auto"/>
        <w:rPr>
          <w:sz w:val="20"/>
          <w:szCs w:val="20"/>
          <w:color w:val="auto"/>
        </w:rPr>
      </w:pPr>
      <w:r>
        <w:rPr>
          <w:rFonts w:ascii="Times New Roman" w:cs="Times New Roman" w:eastAsia="Times New Roman" w:hAnsi="Times New Roman"/>
          <w:sz w:val="18"/>
          <w:szCs w:val="18"/>
          <w:color w:val="auto"/>
        </w:rPr>
        <w:t>any applicable restricted period, one share of our Class A common stock for each RSU, or, in the sole discretion of the Committee, the cash value thereof (or any combination thereof). As to restricted shares of our Class A common stock, subject to the other provisions of our Omnibus Incentive Plan, the holder will generally have the rights and privileges of a stockholder as to such restricted shares of our Class A common stock, including, without limitation, the right to vote such restricted shares of our Class A common stock.</w:t>
      </w:r>
    </w:p>
    <w:p>
      <w:pPr>
        <w:spacing w:after="0" w:line="17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Common Units</w:t>
      </w:r>
      <w:r>
        <w:rPr>
          <w:rFonts w:ascii="Times New Roman" w:cs="Times New Roman" w:eastAsia="Times New Roman" w:hAnsi="Times New Roman"/>
          <w:sz w:val="18"/>
          <w:szCs w:val="18"/>
          <w:color w:val="auto"/>
        </w:rPr>
        <w:t>. The Committee may issue awards in the form of Common Units or other classes of limited partnership units in Medline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pursuant to Medline Holdings’ limited partnership agreement. Common Unit awards will be valued by reference to, or otherwise determined by reference to or based on, our shares of Class A common stock. Common Unit awards may be (i) convertible, exchangeable, or redeemable for other limited partnership interests in Medline Holdings or our shares of Class A common stock or (ii) valued by reference to the book value, fair value, or performance of Medline Holdings. For purposes of calculating the number of our shares of Class A common stock in respect of Common Unit awards relative to the total number of our shares of Class A common stock available for issuance under our Omnibus Incentive Plan, the Committee will establish, in good faith, the maximum number of our shares of Class A common stock to which a participant receiving a Common Unit award may be entitled upon fulfillment of all applicable conditions set forth in the relevant award documentation, including vesting conditions, capital account allocations, value accretion factors, conversion ratios, exchange ratios, and other similar criteria. If and when any such conditions are no longer capable of being met, in whole or in part, the number of our shares of Class A common stock in respect of such Common Unit award will be reduced accordingly by the Committee, and the number of our shares Class A common stock available under our Omnibus Incentive Plan will be increased by one share for each share so reduced. The Committee will determine all other terms of Common Unit awards.</w:t>
      </w:r>
    </w:p>
    <w:p>
      <w:pPr>
        <w:spacing w:after="0" w:line="184" w:lineRule="exact"/>
        <w:rPr>
          <w:sz w:val="20"/>
          <w:szCs w:val="20"/>
          <w:color w:val="auto"/>
        </w:rPr>
      </w:pPr>
    </w:p>
    <w:p>
      <w:pPr>
        <w:ind w:left="160" w:right="1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Other Equity-Based Awards and Other Cash-Based Awards. </w:t>
      </w:r>
      <w:r>
        <w:rPr>
          <w:rFonts w:ascii="Times New Roman" w:cs="Times New Roman" w:eastAsia="Times New Roman" w:hAnsi="Times New Roman"/>
          <w:sz w:val="18"/>
          <w:szCs w:val="18"/>
          <w:color w:val="auto"/>
        </w:rPr>
        <w:t>The Committee may grant other equity-based or other cash-based awards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Omnibus Incentive Plan, with terms and conditions determined by the Committee that are not inconsistent with our Omnibus Incentive Plan.</w:t>
      </w:r>
    </w:p>
    <w:p>
      <w:pPr>
        <w:spacing w:after="0" w:line="159"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Effect of Certain Events on Our Omnibus Incentive Plan and Awards. </w:t>
      </w:r>
      <w:r>
        <w:rPr>
          <w:rFonts w:ascii="Times New Roman" w:cs="Times New Roman" w:eastAsia="Times New Roman" w:hAnsi="Times New Roman"/>
          <w:sz w:val="18"/>
          <w:szCs w:val="18"/>
          <w:color w:val="auto"/>
        </w:rPr>
        <w:t>In the event of (i) any dividend (other than regular cash dividends)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(whether in the form of cash, shares of our Class A common stock, other securities, or other property), recapitalization, stock split, reverse stock split, reorganization, merger, consolidation, split-up, split-off, spin-off, combination, repurchase, or exchange of shares of our Class A common stock, Common Units, or other securities, issuance of warrants or other rights to acquire shares of our Class A common stock or other securities, or other similar corporate transaction or event that affects the shares of our Class A common stock (including a “Change in Control,” as defined in our Omnibus Incentive Plan); or (ii) unusual or nonrecurring events affecting us,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“Adjustment Event”), the Committee will, in respect of any such Adjustment Event, make such proportionate substitution or adjustment, if any, as it deems equitable, to any or all of (a) the Absolute Share Limit, or any other limit applicable under our Omnibus Incentive Plan with respect to the number of awards which may be granted thereunder; (b) the number of our Interests or other securities (or number and kind of other securities or other property) which may be issued in respect of awards or with respect to which awards may be granted under our Omnibus Incentive Plan or any sub-plan; and (c) the terms of any outstanding award, including, without limitation, (x) the number of Interests or other securities (or number and kind of other securities or other property) subject to outstanding awards or to which outstanding awards relate; (y) the exercise price or strike price with respect to any award; or (z) any applicable performance measures; provided, that in the case of any “equity restructuring,” (within the meaning of the FASB ASC Topic 718 (or any successor pronouncement thereto)) the Committee will make an equitable or proportionate adjustment to outstanding awards to reflect such equity restructuring. In connection with any Adjustment Event, the Committee may, in its sole discretion, provide for any one or more of the following: (i) substitution or assumption of awards, acceleration of the exercisability of, lapse of restrictions on, or termination of, awards or a period of time for participants to exercise outstanding awards prior to the occurrence of such event (and any such award not so exercised will terminate</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60"/>
          </w:cols>
          <w:pgMar w:left="320" w:top="451" w:right="5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color w:val="auto"/>
        </w:rPr>
        <w:t>upon the occurrence of such event); and (ii) 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our Class A common stock received or to be received by other holders of our shares of Class A common stock in such event), including, without limitation, in the case of stock options and SARs, a cash payment equal to the excess, if any, of the fair market value of the shares of our Class A common stock subject to the option or SAR over the aggregate exercise price or strike price thereof, or, in the case of restricted stock, RSUs, or other equity-based awards that are not vested as of such cancellation, a cash payment or equity subject to deferred vesting and delivery consistent with the vesting restrictions applicable to such award prior to cancellation of the underlying shares in respect thereof.</w:t>
      </w:r>
    </w:p>
    <w:p>
      <w:pPr>
        <w:spacing w:after="0" w:line="190"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Non-transferability of Awards. </w:t>
      </w:r>
      <w:r>
        <w:rPr>
          <w:rFonts w:ascii="Times New Roman" w:cs="Times New Roman" w:eastAsia="Times New Roman" w:hAnsi="Times New Roman"/>
          <w:sz w:val="18"/>
          <w:szCs w:val="18"/>
          <w:color w:val="auto"/>
        </w:rPr>
        <w:t>No award will be permitted to be assigned, alienated, pledged, attached, sold, or otherwise transferred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encumbered by a participant other than by will or by the 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84" w:lineRule="exact"/>
        <w:rPr>
          <w:sz w:val="20"/>
          <w:szCs w:val="20"/>
          <w:color w:val="auto"/>
        </w:rPr>
      </w:pPr>
    </w:p>
    <w:p>
      <w:pPr>
        <w:ind w:left="160" w:right="40" w:firstLine="43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Our Board of Directors may amend, alter, suspend, discontinue or terminate our Omnibus Incentive Plan 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portion thereof at any time; provided, that no such amendment, alteration, suspension, discontinuance, or termination may be made without stockholder approval if (i) such approval is necessary to comply with any regulatory requirement applicable to our Omnibus Incentive Plan or for changes in GAAP to new accounting standards; (ii) it would materially increase the number of securities which may be issued under our Omnibus Incentive Plan (except for adjustments in connection with certain corporate events); or (iii) it would materially modify the requirements for participation in our Omnibus Incentive Plan; provided, further, that any such amendment, alteration, suspension, discontinuance, or termination that would materially adversely affect the rights of any participant or any holder or beneficiary of any award will not to that extent be effective without such individual’s consent.</w:t>
      </w:r>
    </w:p>
    <w:p>
      <w:pPr>
        <w:spacing w:after="0" w:line="174"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of employment or service); provided, that, except as otherwise permitted in our Omnibus Incentive Plan, any such waiver, amendment, alteration, suspension, discontinuance, cancellation, or termination that would materially adversely affect the rights of any participant with respect to such award will not to that extent be effective without such individual’s consent; provided, further, that without stockholder approval, except as otherwise permitted in our Omnibus Incentive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value of the cancelled option or SAR; and (iii) the Committee may not take any other action which is considered a “repricing” for purposes of the stockholder approval rules of any securities exchange or inter-dealer quotation system on which our securities are listed or quoted.</w:t>
      </w:r>
    </w:p>
    <w:p>
      <w:pPr>
        <w:spacing w:after="0" w:line="187"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The Committee in its sole discretion may provide as part of an award dividends or dividend equivalents,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terms and conditions as may be determined by the Committee in its sole discretion. Any dividends payable in respect of restricted stock awards that remain subject to vesting conditions shall be retained by the Company and delivered to the participant within 15 days following the date 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2"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0"/>
        <w:spacing w:after="0" w:line="258" w:lineRule="auto"/>
        <w:rPr>
          <w:sz w:val="20"/>
          <w:szCs w:val="20"/>
          <w:color w:val="auto"/>
        </w:rPr>
      </w:pPr>
      <w:r>
        <w:rPr>
          <w:rFonts w:ascii="Times New Roman" w:cs="Times New Roman" w:eastAsia="Times New Roman" w:hAnsi="Times New Roman"/>
          <w:sz w:val="18"/>
          <w:szCs w:val="18"/>
          <w:color w:val="auto"/>
        </w:rPr>
        <w:t>which such restrictions on such restricted stock awards lapse and, if such restricted stock is forfeited, the participant shall have no right to such dividends. Dividends attributable to RSUs shall be distributed to the participant in cash or, in the sole discretion of the Committee, in shares of our Class A common stock having a fair market value equal to the amount of such dividends, upon the settlement of the RSUs and, if such RSUs are forfeited, the participant shall have no right to such dividends.</w:t>
      </w:r>
    </w:p>
    <w:p>
      <w:pPr>
        <w:spacing w:after="0" w:line="178" w:lineRule="exact"/>
        <w:rPr>
          <w:sz w:val="20"/>
          <w:szCs w:val="20"/>
          <w:color w:val="auto"/>
        </w:rPr>
      </w:pPr>
    </w:p>
    <w:p>
      <w:pPr>
        <w:ind w:left="160" w:right="10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Clawback/Repayment. </w:t>
      </w:r>
      <w:r>
        <w:rPr>
          <w:rFonts w:ascii="Times New Roman" w:cs="Times New Roman" w:eastAsia="Times New Roman" w:hAnsi="Times New Roman"/>
          <w:sz w:val="18"/>
          <w:szCs w:val="18"/>
          <w:color w:val="auto"/>
        </w:rPr>
        <w:t>All awards are subject to reduction, cancellation, forfeiture, or recoupment to the extent necessary to comply with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us any such excess amount.</w:t>
      </w:r>
    </w:p>
    <w:p>
      <w:pPr>
        <w:spacing w:after="0" w:line="18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Detrimental Activity. </w:t>
      </w:r>
      <w:r>
        <w:rPr>
          <w:rFonts w:ascii="Times New Roman" w:cs="Times New Roman" w:eastAsia="Times New Roman" w:hAnsi="Times New Roman"/>
          <w:sz w:val="18"/>
          <w:szCs w:val="18"/>
          <w:color w:val="auto"/>
        </w:rPr>
        <w:t>If a participant has engaged in any detrimental activity, as defined in our Omnibus Incentive Plan,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Committee may, in its sole discretion, provide for one or more of the following: (i) cancellation of any or all of such participant’s outstanding awards or (ii) forfeiture and repayment to us on any gain realized on the vesting, exercise, or settlement of any awards previously granted to such participant.</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In connection with this offering, our Board of Directors expects to adopt, and we expect our stockholders to approve, the Medline Inc.</w:t>
      </w:r>
    </w:p>
    <w:p>
      <w:pPr>
        <w:spacing w:after="0" w:line="28" w:lineRule="exact"/>
        <w:rPr>
          <w:sz w:val="20"/>
          <w:szCs w:val="20"/>
          <w:color w:val="auto"/>
        </w:rPr>
      </w:pPr>
    </w:p>
    <w:p>
      <w:pPr>
        <w:jc w:val="both"/>
        <w:ind w:left="160" w:right="360"/>
        <w:spacing w:after="0" w:line="252" w:lineRule="auto"/>
        <w:rPr>
          <w:sz w:val="20"/>
          <w:szCs w:val="20"/>
          <w:color w:val="auto"/>
        </w:rPr>
      </w:pPr>
      <w:r>
        <w:rPr>
          <w:rFonts w:ascii="Times New Roman" w:cs="Times New Roman" w:eastAsia="Times New Roman" w:hAnsi="Times New Roman"/>
          <w:sz w:val="18"/>
          <w:szCs w:val="18"/>
          <w:color w:val="auto"/>
        </w:rPr>
        <w:t>2025 Employee Stock Purchase Plan, which we refer to as the ESPP, prior to the completion of the offering. The ESPP is intended to give eligible employees an opportunity to acquire shares of our common stock and promote our best interests and enhance our long-term performance. The term “Board of Directors” as used in this “Employee Stock Purchase Plan” section refers to the Board of Directors of Medline Inc.</w:t>
      </w:r>
    </w:p>
    <w:p>
      <w:pPr>
        <w:spacing w:after="0" w:line="185" w:lineRule="exact"/>
        <w:rPr>
          <w:sz w:val="20"/>
          <w:szCs w:val="20"/>
          <w:color w:val="auto"/>
        </w:rPr>
      </w:pPr>
    </w:p>
    <w:p>
      <w:pPr>
        <w:ind w:left="160" w:firstLine="436"/>
        <w:spacing w:after="0" w:line="285" w:lineRule="auto"/>
        <w:rPr>
          <w:sz w:val="20"/>
          <w:szCs w:val="20"/>
          <w:color w:val="auto"/>
        </w:rPr>
      </w:pPr>
      <w:r>
        <w:rPr>
          <w:rFonts w:ascii="Times New Roman" w:cs="Times New Roman" w:eastAsia="Times New Roman" w:hAnsi="Times New Roman"/>
          <w:sz w:val="17"/>
          <w:szCs w:val="17"/>
          <w:color w:val="auto"/>
        </w:rPr>
        <w:t>Under the ESPP, we may authorize offerings that qualify as being under an “employee stock purchase plan” under Section 423 of the Code. We may also authorize offerings under the 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Shares Reserved for the ESPP</w:t>
      </w:r>
      <w:r>
        <w:rPr>
          <w:rFonts w:ascii="Times New Roman" w:cs="Times New Roman" w:eastAsia="Times New Roman" w:hAnsi="Times New Roman"/>
          <w:sz w:val="18"/>
          <w:szCs w:val="18"/>
          <w:color w:val="auto"/>
        </w:rPr>
        <w:t>. The aggregate number of shares of our common stock that may be issued under the ESPP may not exceed</w:t>
      </w:r>
    </w:p>
    <w:p>
      <w:pPr>
        <w:spacing w:after="0" w:line="28" w:lineRule="exact"/>
        <w:rPr>
          <w:sz w:val="20"/>
          <w:szCs w:val="20"/>
          <w:color w:val="auto"/>
        </w:rPr>
      </w:pPr>
    </w:p>
    <w:p>
      <w:pPr>
        <w:ind w:left="160" w:right="80"/>
        <w:spacing w:after="0" w:line="249" w:lineRule="auto"/>
        <w:rPr>
          <w:sz w:val="20"/>
          <w:szCs w:val="20"/>
          <w:color w:val="auto"/>
        </w:rPr>
      </w:pPr>
      <w:r>
        <w:rPr>
          <w:rFonts w:ascii="Times New Roman" w:cs="Times New Roman" w:eastAsia="Times New Roman" w:hAnsi="Times New Roman"/>
          <w:sz w:val="18"/>
          <w:szCs w:val="18"/>
          <w:color w:val="auto"/>
        </w:rPr>
        <w:t>        shares, 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least of (x)         shares of common stock and (y)     % of the total number of shares of our common stock outstanding on the last day of the immediately preceding fiscal year, and (z) a lower number of shares of common stock as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89"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ESPP will be administered by the compensation committee of our Board of Directors unless the Board of Directors elects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ESPP.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320" w:top="452" w:right="5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spacing w:after="0" w:line="255" w:lineRule="auto"/>
        <w:rPr>
          <w:sz w:val="20"/>
          <w:szCs w:val="20"/>
          <w:color w:val="auto"/>
        </w:rPr>
      </w:pPr>
      <w:r>
        <w:rPr>
          <w:rFonts w:ascii="Times New Roman" w:cs="Times New Roman" w:eastAsia="Times New Roman" w:hAnsi="Times New Roman"/>
          <w:sz w:val="18"/>
          <w:szCs w:val="18"/>
          <w:color w:val="auto"/>
        </w:rPr>
        <w:t>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w:t>
      </w:r>
    </w:p>
    <w:p>
      <w:pPr>
        <w:spacing w:after="0" w:line="1" w:lineRule="exact"/>
        <w:rPr>
          <w:sz w:val="20"/>
          <w:szCs w:val="20"/>
          <w:color w:val="auto"/>
        </w:rPr>
      </w:pPr>
    </w:p>
    <w:p>
      <w:pPr>
        <w:ind w:left="160" w:right="140"/>
        <w:spacing w:after="0" w:line="250" w:lineRule="auto"/>
        <w:rPr>
          <w:sz w:val="20"/>
          <w:szCs w:val="20"/>
          <w:color w:val="auto"/>
        </w:rPr>
      </w:pPr>
      <w:r>
        <w:rPr>
          <w:rFonts w:ascii="Times New Roman" w:cs="Times New Roman" w:eastAsia="Times New Roman" w:hAnsi="Times New Roman"/>
          <w:sz w:val="18"/>
          <w:szCs w:val="18"/>
          <w:color w:val="auto"/>
        </w:rPr>
        <w:t>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87"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ESPP will become effective on or about the date of this offering. However, no offering periods will commence under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such time and 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80" w:lineRule="exact"/>
        <w:rPr>
          <w:sz w:val="20"/>
          <w:szCs w:val="20"/>
          <w:color w:val="auto"/>
        </w:rPr>
      </w:pPr>
    </w:p>
    <w:p>
      <w:pPr>
        <w:ind w:left="160" w:firstLine="436"/>
        <w:spacing w:after="0" w:line="269" w:lineRule="auto"/>
        <w:rPr>
          <w:sz w:val="20"/>
          <w:szCs w:val="20"/>
          <w:color w:val="auto"/>
        </w:rPr>
      </w:pPr>
      <w:r>
        <w:rPr>
          <w:rFonts w:ascii="Times New Roman" w:cs="Times New Roman" w:eastAsia="Times New Roman" w:hAnsi="Times New Roman"/>
          <w:sz w:val="17"/>
          <w:szCs w:val="17"/>
          <w:i w:val="1"/>
          <w:iCs w:val="1"/>
          <w:color w:val="auto"/>
        </w:rPr>
        <w:t>Eligible Participants</w:t>
      </w:r>
      <w:r>
        <w:rPr>
          <w:rFonts w:ascii="Times New Roman" w:cs="Times New Roman" w:eastAsia="Times New Roman" w:hAnsi="Times New Roman"/>
          <w:sz w:val="17"/>
          <w:szCs w:val="17"/>
          <w:color w:val="auto"/>
        </w:rPr>
        <w:t>. Subject to the compensation committee’s ability to exclude certain groups of employees on a uniform and nondiscriminatory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w:t>
      </w:r>
    </w:p>
    <w:p>
      <w:pPr>
        <w:ind w:left="160" w:right="20"/>
        <w:spacing w:after="0" w:line="248" w:lineRule="auto"/>
        <w:rPr>
          <w:sz w:val="20"/>
          <w:szCs w:val="20"/>
          <w:color w:val="auto"/>
        </w:rPr>
      </w:pP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Medline Inc., whether now existing or existing in the future, that has been designated by the compensation committee from time to time in its sole discretion as eligible to participate in the ESPP. The compensation committee may designate subsidiaries or affiliates of Medline Inc. as designated companies in an offering that does not satisfy the requirements of Section 423 of the Code. For offerings that, when taken together with the ESPP, comply with Section 423 of the Code and the regulations thereunder, only Medline Inc. and its subsidiaries may be designated companies;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given time, a subsidiary that is a designated company under a Section 423 Code-compliant offering will not be a designated company under an offering that does not comply with Section 423 of the Code.</w:t>
      </w:r>
    </w:p>
    <w:p>
      <w:pPr>
        <w:spacing w:after="0" w:line="194"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Contributions</w:t>
      </w:r>
      <w:r>
        <w:rPr>
          <w:rFonts w:ascii="Times New Roman" w:cs="Times New Roman" w:eastAsia="Times New Roman" w:hAnsi="Times New Roman"/>
          <w:sz w:val="18"/>
          <w:szCs w:val="18"/>
          <w:color w:val="auto"/>
        </w:rPr>
        <w:t>. A participant may acquire common stock under the ESPP by authorizing the use of contributions to purchase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84" w:lineRule="exact"/>
        <w:rPr>
          <w:sz w:val="20"/>
          <w:szCs w:val="20"/>
          <w:color w:val="auto"/>
        </w:rPr>
      </w:pPr>
    </w:p>
    <w:p>
      <w:pPr>
        <w:ind w:left="160" w:right="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Offering Periods and Purchase Price</w:t>
      </w:r>
      <w:r>
        <w:rPr>
          <w:rFonts w:ascii="Times New Roman" w:cs="Times New Roman" w:eastAsia="Times New Roman" w:hAnsi="Times New Roman"/>
          <w:sz w:val="18"/>
          <w:szCs w:val="18"/>
          <w:color w:val="auto"/>
        </w:rPr>
        <w:t>. The ESPP generally provides for two six-month offering periods, with one purchase period in each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has the authority to change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1"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60" w:right="40"/>
        <w:spacing w:after="0" w:line="280" w:lineRule="auto"/>
        <w:rPr>
          <w:sz w:val="20"/>
          <w:szCs w:val="20"/>
          <w:color w:val="auto"/>
        </w:rPr>
      </w:pPr>
      <w:r>
        <w:rPr>
          <w:rFonts w:ascii="Times New Roman" w:cs="Times New Roman" w:eastAsia="Times New Roman" w:hAnsi="Times New Roman"/>
          <w:sz w:val="18"/>
          <w:szCs w:val="18"/>
          <w:color w:val="auto"/>
        </w:rPr>
        <w:t xml:space="preserve">duration of a purchase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change is announced a reasonable period of time prior to its effective date and the purchase period is not greater than 27 months.</w:t>
      </w:r>
    </w:p>
    <w:p>
      <w:pPr>
        <w:spacing w:after="0" w:line="161"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participant may purchase shares of common stock with a fair market value (as of the date of purchase right grant) in excess of $25,000 (or local equivalent)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84"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84"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82" w:lineRule="exact"/>
        <w:rPr>
          <w:sz w:val="20"/>
          <w:szCs w:val="20"/>
          <w:color w:val="auto"/>
        </w:rPr>
      </w:pPr>
    </w:p>
    <w:p>
      <w:pPr>
        <w:ind w:left="160" w:right="4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A participant will have no rights as a stockholder with respect to our shares that the participant has a purchase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in any offering until those shares are issued to the participant.</w:t>
      </w:r>
    </w:p>
    <w:p>
      <w:pPr>
        <w:spacing w:after="0" w:line="159" w:lineRule="exact"/>
        <w:rPr>
          <w:sz w:val="20"/>
          <w:szCs w:val="20"/>
          <w:color w:val="auto"/>
        </w:rPr>
      </w:pPr>
    </w:p>
    <w:p>
      <w:pPr>
        <w:ind w:left="160" w:right="2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Rights Not Transferable</w:t>
      </w:r>
      <w:r>
        <w:rPr>
          <w:rFonts w:ascii="Times New Roman" w:cs="Times New Roman" w:eastAsia="Times New Roman" w:hAnsi="Times New Roman"/>
          <w:sz w:val="18"/>
          <w:szCs w:val="18"/>
          <w:color w:val="auto"/>
        </w:rPr>
        <w:t>. A participant’s rights under the ESPP will be exercisable only by the participant and are not transferable other than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or the laws of descent or distribution.</w:t>
      </w:r>
    </w:p>
    <w:p>
      <w:pPr>
        <w:spacing w:after="0" w:line="159"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Effect of a Change in Control; Adjustments</w:t>
      </w:r>
      <w:r>
        <w:rPr>
          <w:rFonts w:ascii="Times New Roman" w:cs="Times New Roman" w:eastAsia="Times New Roman" w:hAnsi="Times New Roman"/>
          <w:sz w:val="18"/>
          <w:szCs w:val="18"/>
          <w:color w:val="auto"/>
        </w:rPr>
        <w:t>. If there is any change in the outstanding shares of our common stock because of a merger,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(as defined in the Omnibus Incentive Plan), consolidation, recapitalization or reorganization involving Medline Inc., or if our Board of Directors declares a stock dividend, stock split distributable in shares of common stock or reverse stock split, other distribution or combination or reclassification of our common stock, or if there is a similar change in the capital stock structure of Medline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96" w:lineRule="exact"/>
        <w:rPr>
          <w:sz w:val="20"/>
          <w:szCs w:val="20"/>
          <w:color w:val="auto"/>
        </w:rPr>
      </w:pPr>
    </w:p>
    <w:p>
      <w:pPr>
        <w:ind w:left="1140" w:hanging="438"/>
        <w:spacing w:after="0"/>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or substitution of purchase rights by a successor entity (or parent or subsidiary of such successor);</w:t>
      </w:r>
    </w:p>
    <w:p>
      <w:pPr>
        <w:spacing w:after="0" w:line="127" w:lineRule="exact"/>
        <w:rPr>
          <w:rFonts w:ascii="Times New Roman" w:cs="Times New Roman" w:eastAsia="Times New Roman" w:hAnsi="Times New Roman"/>
          <w:sz w:val="18"/>
          <w:szCs w:val="18"/>
          <w:color w:val="auto"/>
        </w:rPr>
      </w:pPr>
    </w:p>
    <w:p>
      <w:pPr>
        <w:ind w:left="5500" w:right="80" w:hanging="4798"/>
        <w:spacing w:after="0" w:line="448"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a date on which all outstanding purchase rights will be exercised on or before the consummation date of the change in control; 190</w:t>
      </w:r>
    </w:p>
    <w:p>
      <w:pPr>
        <w:sectPr>
          <w:pgSz w:w="11900" w:h="16838" w:orient="portrait"/>
          <w:cols w:equalWidth="0" w:num="1">
            <w:col w:w="11080"/>
          </w:cols>
          <w:pgMar w:left="320" w:top="451"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outstanding purchase rights and refund of accumulated contributions to each participant prior to the change in control;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outstanding purchase rights unchanged.</w:t>
      </w:r>
    </w:p>
    <w:p>
      <w:pPr>
        <w:spacing w:after="0" w:line="219"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Amendment; Termination</w:t>
      </w:r>
      <w:r>
        <w:rPr>
          <w:rFonts w:ascii="Times New Roman" w:cs="Times New Roman" w:eastAsia="Times New Roman" w:hAnsi="Times New Roman"/>
          <w:sz w:val="18"/>
          <w:szCs w:val="18"/>
          <w:color w:val="auto"/>
        </w:rPr>
        <w:t>. The ESPP may be amended, altered, suspended and/or terminated at any time by our Board of Directors;</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Plan</w:t>
      </w:r>
    </w:p>
    <w:p>
      <w:pPr>
        <w:spacing w:after="0" w:line="118"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our Board of Directors expects to adopt the Medline Inc. Executive Severance Plan, which we refer to as the Severance Plan, prior to the completion of the offering with such plan to be effective upon the completion of the offering. The purpose of the Severance Plan is to provide severance benefits to certain eligible employees of Medline and its affiliates who experience a termination of employment under the conditions described in the Severance Plan. It is expected that all of our named executive officers other than Mr. Pigott will participate in the Severance Plan. Participants in the Severance Plan will not be entitled to severance benefits under any other agreement, plan, program, or policy of Medline, including for Mr. Boyle, the severance payments and benefits set forth in his employment agreement.</w:t>
      </w:r>
    </w:p>
    <w:p>
      <w:pPr>
        <w:spacing w:after="0" w:line="184"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Under the Severance Plan, participants will be eligible to receive severance payments and benefits in connection with a termination without Cause or resignation for Good Reason, each as defined in the Severance Plan, which we refer to as a Qualifying Separation.</w:t>
      </w:r>
    </w:p>
    <w:p>
      <w:pPr>
        <w:spacing w:after="0" w:line="162"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a Qualifying Separation prior to a Change in Control (as defined in the Severance Plan), the severance payments and benefits consist of the following:</w:t>
      </w:r>
    </w:p>
    <w:p>
      <w:pPr>
        <w:spacing w:after="0" w:line="69" w:lineRule="exact"/>
        <w:rPr>
          <w:sz w:val="20"/>
          <w:szCs w:val="20"/>
          <w:color w:val="auto"/>
        </w:rPr>
      </w:pPr>
    </w:p>
    <w:p>
      <w:pPr>
        <w:ind w:left="1140" w:right="40" w:hanging="438"/>
        <w:spacing w:after="0" w:line="253" w:lineRule="auto"/>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(i) a lump sum cash payment equal to two (2) times the sum of his then-current base salary plus target annual bonus; (ii) any earned but unpaid prior year bonus, paid when bonuses are paid to executives, which we refer to as the Prior Year Bonus; (iii) a pro-rata annual bonus for the year in which the Qualifying Separation occurs, based on actual achievement of applicable performance goals and pro-rated for the period of service during the year in which the Qualifying Separation occurs, paid in a lump sum which we refer to as the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p>
    <w:p>
      <w:pPr>
        <w:spacing w:after="0" w:line="90" w:lineRule="exact"/>
        <w:rPr>
          <w:rFonts w:ascii="Times New Roman" w:cs="Times New Roman" w:eastAsia="Times New Roman" w:hAnsi="Times New Roman"/>
          <w:sz w:val="18"/>
          <w:szCs w:val="18"/>
          <w:color w:val="auto"/>
        </w:rPr>
      </w:pPr>
    </w:p>
    <w:p>
      <w:pPr>
        <w:ind w:left="1140" w:right="220" w:hanging="438"/>
        <w:spacing w:after="0" w:line="278" w:lineRule="auto"/>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Drazin, Shryock, Miller, and Golwas: (i) a lump sum cash payment equal to one and one-half (1.5) times the sum of his then-current base salary plus target annual bonus; (ii) the Prior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60"/>
          </w:cols>
          <w:pgMar w:left="320" w:top="452" w:right="5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220"/>
        <w:spacing w:after="0" w:line="263" w:lineRule="auto"/>
        <w:rPr>
          <w:sz w:val="20"/>
          <w:szCs w:val="20"/>
          <w:color w:val="auto"/>
        </w:rPr>
      </w:pPr>
      <w:r>
        <w:rPr>
          <w:rFonts w:ascii="Times New Roman" w:cs="Times New Roman" w:eastAsia="Times New Roman" w:hAnsi="Times New Roman"/>
          <w:sz w:val="18"/>
          <w:szCs w:val="18"/>
          <w:color w:val="auto"/>
        </w:rPr>
        <w:t>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75" w:lineRule="exact"/>
        <w:rPr>
          <w:sz w:val="20"/>
          <w:szCs w:val="20"/>
          <w:color w:val="auto"/>
        </w:rPr>
      </w:pPr>
    </w:p>
    <w:p>
      <w:pPr>
        <w:ind w:left="160" w:right="50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a Qualifying Separation occurring upon or within 24 months (for Mr. Boyle) or 18 months (for Messrs. Drazin, Shryock, Miller, and Golwas) following a Change in Control, the severance benefits and payments consist of the following:</w:t>
      </w:r>
    </w:p>
    <w:p>
      <w:pPr>
        <w:spacing w:after="0" w:line="69" w:lineRule="exact"/>
        <w:rPr>
          <w:sz w:val="20"/>
          <w:szCs w:val="20"/>
          <w:color w:val="auto"/>
        </w:rPr>
      </w:pPr>
    </w:p>
    <w:p>
      <w:pPr>
        <w:ind w:left="1140" w:right="20" w:hanging="438"/>
        <w:spacing w:after="0" w:line="258"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(i) a lump sum cash payment equal to two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which we refer to as the CIC COBRA Benefit; and (v) the Outplacement Benefit.</w:t>
      </w:r>
    </w:p>
    <w:p>
      <w:pPr>
        <w:spacing w:after="0" w:line="86" w:lineRule="exact"/>
        <w:rPr>
          <w:rFonts w:ascii="Times New Roman" w:cs="Times New Roman" w:eastAsia="Times New Roman" w:hAnsi="Times New Roman"/>
          <w:sz w:val="18"/>
          <w:szCs w:val="18"/>
          <w:color w:val="auto"/>
        </w:rPr>
      </w:pPr>
    </w:p>
    <w:p>
      <w:pPr>
        <w:ind w:left="1140" w:right="140" w:hanging="438"/>
        <w:spacing w:after="0" w:line="263"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Drazin, Shryock, Miller, and Golwas: (i) a lump sum cash payment equal to two (2) times the sum of his then-current base salary plus target annual bonus; (ii) the Prior Year Bonus; (iii) the Pro-Rata Bonus; (iv) the CIC COBRA Benefit; and (v) the Outplacement Benefit.</w:t>
      </w:r>
    </w:p>
    <w:p>
      <w:pPr>
        <w:spacing w:after="0" w:line="175"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restrictive covenant obligations. Payments under the Severance Plan (other than any accrued obligations) are subject to recoupment in accordance with any clawback policy in effect from time to time (including pursuant to applicable exchange listing requirements or otherwise, pursuant to the Company’s Incentive Compensation Clawback Policy, if a participant breaches any restrictive covenant obligations or otherwise fails to comply with the terms of the Severance Plan).</w:t>
      </w:r>
    </w:p>
    <w:p>
      <w:pPr>
        <w:spacing w:after="0" w:line="168"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80" w:lineRule="exact"/>
        <w:rPr>
          <w:sz w:val="20"/>
          <w:szCs w:val="20"/>
          <w:color w:val="auto"/>
        </w:rPr>
      </w:pPr>
    </w:p>
    <w:p>
      <w:pPr>
        <w:ind w:left="160" w:right="200" w:firstLine="436"/>
        <w:spacing w:after="0" w:line="255" w:lineRule="auto"/>
        <w:rPr>
          <w:sz w:val="20"/>
          <w:szCs w:val="20"/>
          <w:color w:val="auto"/>
        </w:rPr>
      </w:pPr>
      <w:r>
        <w:rPr>
          <w:rFonts w:ascii="Times New Roman" w:cs="Times New Roman" w:eastAsia="Times New Roman" w:hAnsi="Times New Roman"/>
          <w:sz w:val="18"/>
          <w:szCs w:val="18"/>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Treatment of Existing Equity Interests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All Class B Units held by the Continuing Incentive Unitholders will be converted into Incentive Units in connection with the Reclassification, as described above under “Organizational Structure.” The Incentive Units will be subject to the same terms and conditions as applied to the Class B Units immediately prior to the Reclassification. In addition, CUPI Units held by the Continuing Common Unitholders will be converted into Common Units in connection with the Reclassification, as described above under “Organizational Structure.”</w:t>
      </w:r>
    </w:p>
    <w:p>
      <w:pPr>
        <w:spacing w:after="0" w:line="180"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in connection with the Reclassification, CUPI Units and all vested and unvested Class B Units held by Exchanging Unitholders that are not reclassified into Units will be directly or indirectly exchanged for shares of Class A common stock (in the case of CUPI Units and vested Class B Units) and restricted shares 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2"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Class A common stock (in the case of unvested Class B Units). The number of shares of Class A common stock delivered in respect of the units held by the Exchanging CUPI Unitholders and Exchanging Class B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the unit would have received. CUPI Units and vested Class B Units will be converted into fully vested shares of Class A common stock and unvested Class B Units will be converted into restricted shares of Class A common stock, which will be subject to vesting terms that are the same as those applicable to the unvested Class B Units immediately prior to the Reclassification, as described above. The precise number of shares of Class A common stock delivered in respect of Class B Units and CUPI Units will be determined based on the initial public offering price. Assuming an offering price of $    per share of Class A common stock, which is the midpoint of the range on the front cover of this prospectus, the aggregate number of shares of Class A common stock issued to Exchanging Class B Unitholders and Exchanging CUPI Unitholders would be        , or approximately   % of the total of         shares of Class A common stock issued and outstanding following this offering and the consummation of the transactions contemplated by the Reclassification. The total number of restricted shares of Class A common stock issued to Exchanging Class B Unitholders in respect of unvested Class B Units would be        , or approximately   % of the total of         shares of Class A common stock issued and outstanding following this offering and the consummation of the transactions contemplated by the Reclassification.</w:t>
      </w:r>
    </w:p>
    <w:p>
      <w:pPr>
        <w:spacing w:after="0" w:line="1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connection with the Reclassification,          RSUs in respect of Class A Units will be exchanged for RSUs in respect of shares of Class A</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common stock. The exchanged RSUs will remain subject to vesting terms that are the same as those that apply immediately prior to the Reclassification.</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Award Grants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In connection with the Reclassification, we intend to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These stock options will have an exercise price per share that is equal to or higher than the initial public offering price per share and will vest according to the same vesting schedule as the corresponding Class B Units, in respect of which they are being granted, except that no stock option will vest until the later of the     anniversary of the completion of this offering and the existing vesting date of the underlying Class B Unit. The precise number of stock options we grant in respect of Class B Units held by certain Exchanging Class B Unitholders will be based on the initial public offering price. Assuming an offering price of $    per share of Class A common stock, which is the midpoint of the range on the front cover of this prospectus, the aggregate number of stock options granted to certain Exchanging Class B Unitholders would be        .</w:t>
      </w:r>
    </w:p>
    <w:p>
      <w:pPr>
        <w:spacing w:after="0" w:line="192" w:lineRule="exact"/>
        <w:rPr>
          <w:sz w:val="20"/>
          <w:szCs w:val="20"/>
          <w:color w:val="auto"/>
        </w:rPr>
      </w:pPr>
    </w:p>
    <w:p>
      <w:pPr>
        <w:ind w:left="160" w:right="60" w:firstLine="436"/>
        <w:spacing w:after="0" w:line="270" w:lineRule="auto"/>
        <w:rPr>
          <w:sz w:val="20"/>
          <w:szCs w:val="20"/>
          <w:color w:val="auto"/>
        </w:rPr>
      </w:pPr>
      <w:r>
        <w:rPr>
          <w:rFonts w:ascii="Times New Roman" w:cs="Times New Roman" w:eastAsia="Times New Roman" w:hAnsi="Times New Roman"/>
          <w:sz w:val="17"/>
          <w:szCs w:val="17"/>
          <w:color w:val="auto"/>
        </w:rPr>
        <w:t>In addition, in connection with the Reclassification, we intend to grant RSUs in respect of shares of Class A common stock under the Omnibus Incentive Plan to certain Exchanging Unitholders to compensate them for the loss of opportunity to participate in the tax receivable agreement, in which they would have had the opportunity to participate had their units not been exchanged for shares of Class A common stock. These RSUs will vest according to the same vesting schedule as the corresponding unit, except that no RSU will vest until the later of the    anniversary of the completion of this offering and the existing vesting date of the underlying units. The precise number of RSUs we grant in respect of units held by such Exchanging Unitholders will be based on the initial public offering price. Assuming an offering price of $    per share of Class A common stock, which is the midpoint of the range on the front cover of this prospectus, the aggregate number of RSUs granted to such Exchanging Unitholders would be      .</w:t>
      </w:r>
    </w:p>
    <w:p>
      <w:pPr>
        <w:spacing w:after="0" w:line="172"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this offering, we may grant options to purchase shares of Class A common stock and RSUs under the Omnibus Incentive Plan to our named executive officers and other employees. We also may grant RSUs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2"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to our non-employee directors. The stock options will have an exercise price per share that is equal to or higher than the initial public offering price per share. These stock options and RSUs granted to named executive officers and other employees generally will be subject to time- and/or performance-based vesting criteria. Assuming an offering price of $    per share of Class A common stock, which is the midpoint of the range on the front cover of this prospectus, the aggregate number of stock options granted to these employees would be         (for an aggregate value of $    at this assumed offering price) and the aggregate number of RSUs granted to these employees would be   (for an aggregate value of $    at this assumed offering price). RSUs granted to our non-employee directors will be subject to time-based vesting criteria. Assuming an offering price of $    per share of Class A common stock, which is the midpoint of the range on the front cover of this prospectus, and the aggregate number of RSUs granted to our non-employee directors would be (for an aggregate value of $    at this assumed offering price).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20"/>
          </w:cols>
          <w:pgMar w:left="320" w:top="451" w:right="5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3" w:lineRule="exact"/>
        <w:rPr>
          <w:sz w:val="20"/>
          <w:szCs w:val="20"/>
          <w:color w:val="auto"/>
        </w:rPr>
      </w:pPr>
    </w:p>
    <w:p>
      <w:pPr>
        <w:ind w:left="160" w:right="1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Nomination Agreements</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this offering, we intend to enter into separate director nomination agreements with each Designating Stockholder. These agreements will require us to, among other things, nominate an agreed number of individuals designated by each such holder (such directors, the “Designated Directors” and each, a “Designated Director”) for election as our directors at any meeting of our stockholders, for so long as such holder continues to beneficially own at least 5% of the outstanding shares of Class A common stock, assuming exchange of all Common Units. Each Designating Stockholder will have the right to designate a number of directors for nomination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Accordingly, the specific number of directors that each Designating Stockholder is entitled to designate will depend on such Designating Stockholder’s beneficial ownership as well as the size of our board of directors. Although a Designating Stockholder may be permitted to designate a certain number of individuals pursuant to the foregoing provision, there is no requirement that such Designating Stockholder chooses to designate all (or any) such individuals. Medline Inc. has been advised by the Designating Stockholders that at the time of this offering Blackstone, Carlyle and H&amp;F each intend to designate two directors, the Mills Family intends to designate three directors, and Hux does not intend to designate any directors. See “Management—Background and Experience of Directors” for information regarding which of the directors of Medline Inc. will be designated by the relevant Designating Stockholder.</w:t>
      </w:r>
    </w:p>
    <w:p>
      <w:pPr>
        <w:spacing w:after="0" w:line="190"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Each of our Designating Stockholders will agree,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75" w:lineRule="exact"/>
        <w:rPr>
          <w:sz w:val="20"/>
          <w:szCs w:val="20"/>
          <w:color w:val="auto"/>
        </w:rPr>
      </w:pPr>
    </w:p>
    <w:p>
      <w:pPr>
        <w:ind w:left="160" w:right="360" w:firstLine="436"/>
        <w:spacing w:after="0" w:line="258" w:lineRule="auto"/>
        <w:rPr>
          <w:sz w:val="20"/>
          <w:szCs w:val="20"/>
          <w:color w:val="auto"/>
        </w:rPr>
      </w:pPr>
      <w:r>
        <w:rPr>
          <w:rFonts w:ascii="Times New Roman" w:cs="Times New Roman" w:eastAsia="Times New Roman" w:hAnsi="Times New Roman"/>
          <w:sz w:val="18"/>
          <w:szCs w:val="18"/>
          <w:color w:val="auto"/>
        </w:rPr>
        <w:t>For so long as the director nomination agreements remain in effect, Designated Directors may be removed only with the consent of the Designating Stockholder that designated such Designated Director. In the case of a vacancy on our board created by the removal or resignation of a Designated Director, the director nomination agreements will require us to nominate an individual designated by the Designating Stockholder that designated such Designating Director for election to fill the vacancy.</w:t>
      </w:r>
    </w:p>
    <w:p>
      <w:pPr>
        <w:spacing w:after="0" w:line="18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the director nomination agreements will permit our Designating Stockholders and their affiliates to assign their rights and obligations under the agreements, in whole or in part, without our prior written consent.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our Designating Stockholders have certain customary information rights pursuant to the director nomination agreements.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18" w:lineRule="exact"/>
        <w:rPr>
          <w:sz w:val="20"/>
          <w:szCs w:val="20"/>
          <w:color w:val="auto"/>
        </w:rPr>
      </w:pPr>
    </w:p>
    <w:p>
      <w:pPr>
        <w:ind w:left="160" w:right="58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the Offering Transactions, we will enter into an exchange agreement (the “Exchange Agreement”) with the Continuing Unitholders pursuant to which each holder of Common Units (including</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40"/>
          </w:cols>
          <w:pgMar w:left="320" w:top="452" w:right="5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67" w:lineRule="auto"/>
        <w:rPr>
          <w:sz w:val="20"/>
          <w:szCs w:val="20"/>
          <w:color w:val="auto"/>
        </w:rPr>
      </w:pPr>
      <w:r>
        <w:rPr>
          <w:rFonts w:ascii="Times New Roman" w:cs="Times New Roman" w:eastAsia="Times New Roman" w:hAnsi="Times New Roman"/>
          <w:sz w:val="17"/>
          <w:szCs w:val="17"/>
          <w:color w:val="auto"/>
        </w:rPr>
        <w:t>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the applicable restricted periods described in “Shares Eligible for Future Sale—Lock-Up Agreements,” would be subject to the restrictions described in such section. The exchange agreement will also provide that a holder of Common Units will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18"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Transactions, we will enter into a registration rights agreement with our Principal Stockholders and our Other Pre-IPO Investors, which will provide for customary “demand” registrations and “piggyback” registration rights. The registration rights agreement also will provide that we will pay certain expenses relating to such registrations and indemnify the registration rights holders against (or make contributions in respect of) certain liabilities which may arise under the Securities Act.</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18"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In connection with the Offering Transactions, Medline Inc. will enter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w:t>
      </w:r>
    </w:p>
    <w:p>
      <w:pPr>
        <w:spacing w:after="0" w:line="1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40"/>
          </w:cols>
          <w:pgMar w:left="320" w:top="452" w:right="5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0" w:lineRule="auto"/>
        <w:rPr>
          <w:sz w:val="20"/>
          <w:szCs w:val="20"/>
          <w:color w:val="auto"/>
        </w:rPr>
      </w:pPr>
      <w:r>
        <w:rPr>
          <w:rFonts w:ascii="Times New Roman" w:cs="Times New Roman" w:eastAsia="Times New Roman" w:hAnsi="Times New Roman"/>
          <w:sz w:val="18"/>
          <w:szCs w:val="18"/>
          <w:color w:val="auto"/>
        </w:rPr>
        <w:t>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94" w:lineRule="exact"/>
        <w:rPr>
          <w:sz w:val="20"/>
          <w:szCs w:val="20"/>
          <w:color w:val="auto"/>
        </w:rPr>
      </w:pPr>
    </w:p>
    <w:p>
      <w:pPr>
        <w:ind w:left="1140" w:right="20" w:hanging="438"/>
        <w:spacing w:after="0" w:line="256"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purchases or exchanges</w:t>
      </w:r>
      <w:r>
        <w:rPr>
          <w:rFonts w:ascii="Times New Roman" w:cs="Times New Roman" w:eastAsia="Times New Roman" w:hAnsi="Times New Roman"/>
          <w:sz w:val="18"/>
          <w:szCs w:val="18"/>
          <w:color w:val="auto"/>
        </w:rPr>
        <w:t>—for instance, the increase in any tax deductions will vary depending on the fair market value,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86" w:lineRule="exact"/>
        <w:rPr>
          <w:rFonts w:ascii="Times New Roman" w:cs="Times New Roman" w:eastAsia="Times New Roman" w:hAnsi="Times New Roman"/>
          <w:sz w:val="18"/>
          <w:szCs w:val="18"/>
          <w:color w:val="auto"/>
        </w:rPr>
      </w:pPr>
    </w:p>
    <w:p>
      <w:pPr>
        <w:ind w:left="1140" w:right="40" w:hanging="438"/>
        <w:spacing w:after="0" w:line="264"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price of shares of Class A common stock at the time of the purchase or exchange</w:t>
      </w:r>
      <w:r>
        <w:rPr>
          <w:rFonts w:ascii="Times New Roman" w:cs="Times New Roman" w:eastAsia="Times New Roman" w:hAnsi="Times New Roman"/>
          <w:sz w:val="18"/>
          <w:szCs w:val="18"/>
          <w:color w:val="auto"/>
        </w:rPr>
        <w:t>—the increase in any tax deductions, as well as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increase in other assets, of Medline Holdings, is directly proportional to the price of shares of Class A common stock at the time of the purchase or exchange;</w:t>
      </w:r>
    </w:p>
    <w:p>
      <w:pPr>
        <w:spacing w:after="0" w:line="79" w:lineRule="exact"/>
        <w:rPr>
          <w:rFonts w:ascii="Times New Roman" w:cs="Times New Roman" w:eastAsia="Times New Roman" w:hAnsi="Times New Roman"/>
          <w:sz w:val="18"/>
          <w:szCs w:val="18"/>
          <w:color w:val="auto"/>
        </w:rPr>
      </w:pPr>
    </w:p>
    <w:p>
      <w:pPr>
        <w:ind w:left="1140" w:right="280" w:hanging="438"/>
        <w:spacing w:after="0" w:line="280"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extent to which such purchases or exchanges do not result in a basis adjustment</w:t>
      </w:r>
      <w:r>
        <w:rPr>
          <w:rFonts w:ascii="Times New Roman" w:cs="Times New Roman" w:eastAsia="Times New Roman" w:hAnsi="Times New Roman"/>
          <w:sz w:val="18"/>
          <w:szCs w:val="18"/>
          <w:color w:val="auto"/>
        </w:rPr>
        <w:t>—if a purchase or an exchange does not result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to existing basis, increased deductions will not be available;</w:t>
      </w:r>
    </w:p>
    <w:p>
      <w:pPr>
        <w:spacing w:after="0" w:line="65" w:lineRule="exact"/>
        <w:rPr>
          <w:rFonts w:ascii="Times New Roman" w:cs="Times New Roman" w:eastAsia="Times New Roman" w:hAnsi="Times New Roman"/>
          <w:sz w:val="18"/>
          <w:szCs w:val="18"/>
          <w:color w:val="auto"/>
        </w:rPr>
      </w:pPr>
    </w:p>
    <w:p>
      <w:pPr>
        <w:ind w:left="1140" w:right="240" w:hanging="438"/>
        <w:spacing w:after="0" w:line="280"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of tax attributes</w:t>
      </w:r>
      <w:r>
        <w:rPr>
          <w:rFonts w:ascii="Times New Roman" w:cs="Times New Roman" w:eastAsia="Times New Roman" w:hAnsi="Times New Roman"/>
          <w:sz w:val="18"/>
          <w:szCs w:val="18"/>
          <w:color w:val="auto"/>
        </w:rPr>
        <w:t>—the amount of applicable tax attributes of the Blocker Companies at the time of the Blocker Transfers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the amount and timing of payments under the tax receivable agreement;</w:t>
      </w:r>
    </w:p>
    <w:p>
      <w:pPr>
        <w:spacing w:after="0" w:line="65" w:lineRule="exact"/>
        <w:rPr>
          <w:rFonts w:ascii="Times New Roman" w:cs="Times New Roman" w:eastAsia="Times New Roman" w:hAnsi="Times New Roman"/>
          <w:sz w:val="18"/>
          <w:szCs w:val="18"/>
          <w:color w:val="auto"/>
        </w:rPr>
      </w:pPr>
    </w:p>
    <w:p>
      <w:pPr>
        <w:ind w:left="1140" w:right="80" w:hanging="438"/>
        <w:spacing w:after="0" w:line="258"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rates</w:t>
      </w:r>
      <w:r>
        <w:rPr>
          <w:rFonts w:ascii="Times New Roman" w:cs="Times New Roman" w:eastAsia="Times New Roman" w:hAnsi="Times New Roman"/>
          <w:sz w:val="18"/>
          <w:szCs w:val="18"/>
          <w:color w:val="auto"/>
        </w:rPr>
        <w:t>—payments under the tax receivable agreement will be calculated using the actual U.S. federal income tax 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for 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86" w:lineRule="exact"/>
        <w:rPr>
          <w:rFonts w:ascii="Times New Roman" w:cs="Times New Roman" w:eastAsia="Times New Roman" w:hAnsi="Times New Roman"/>
          <w:sz w:val="18"/>
          <w:szCs w:val="18"/>
          <w:color w:val="auto"/>
        </w:rPr>
      </w:pPr>
    </w:p>
    <w:p>
      <w:pPr>
        <w:ind w:left="1140" w:hanging="438"/>
        <w:spacing w:after="0" w:line="253"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and timing of our income</w:t>
      </w:r>
      <w:r>
        <w:rPr>
          <w:rFonts w:ascii="Times New Roman" w:cs="Times New Roman" w:eastAsia="Times New Roman" w:hAnsi="Times New Roman"/>
          <w:sz w:val="18"/>
          <w:szCs w:val="18"/>
          <w:color w:val="auto"/>
        </w:rPr>
        <w:t>—Medline Inc. is obligated to pay 90% of the cash tax benefits under the tax receivable agreement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when realized. If Medline Inc. does not have taxable income, Medline Inc. is generally not required (absent the event of certain changes of control, certain material breaches of the tax receivable agreement by Medline Inc., or an insolvency event)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60"/>
          </w:cols>
          <w:pgMar w:left="320" w:top="452" w:right="5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40" w:firstLine="436"/>
        <w:spacing w:after="0" w:line="253" w:lineRule="auto"/>
        <w:rPr>
          <w:sz w:val="20"/>
          <w:szCs w:val="20"/>
          <w:color w:val="auto"/>
        </w:rPr>
      </w:pPr>
      <w:r>
        <w:rPr>
          <w:rFonts w:ascii="Times New Roman" w:cs="Times New Roman" w:eastAsia="Times New Roman" w:hAnsi="Times New Roman"/>
          <w:sz w:val="18"/>
          <w:szCs w:val="18"/>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basis points. The payments under the tax receivable agreement are not conditioned upon continued ownership of us by the pre-IPO owners.</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84" w:lineRule="exact"/>
        <w:rPr>
          <w:sz w:val="20"/>
          <w:szCs w:val="20"/>
          <w:color w:val="auto"/>
        </w:rPr>
      </w:pPr>
    </w:p>
    <w:p>
      <w:pPr>
        <w:jc w:val="both"/>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80"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84"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this offering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1"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Medline Holdings Amended and Restated Limited Partnership Agreement</w:t>
      </w:r>
    </w:p>
    <w:p>
      <w:pPr>
        <w:spacing w:after="0" w:line="118" w:lineRule="exact"/>
        <w:rPr>
          <w:sz w:val="20"/>
          <w:szCs w:val="20"/>
          <w:color w:val="auto"/>
        </w:rPr>
      </w:pPr>
    </w:p>
    <w:p>
      <w:pPr>
        <w:ind w:left="160" w:right="380" w:firstLine="436"/>
        <w:spacing w:after="0" w:line="263" w:lineRule="auto"/>
        <w:rPr>
          <w:sz w:val="20"/>
          <w:szCs w:val="20"/>
          <w:color w:val="auto"/>
        </w:rPr>
      </w:pPr>
      <w:r>
        <w:rPr>
          <w:rFonts w:ascii="Times New Roman" w:cs="Times New Roman" w:eastAsia="Times New Roman" w:hAnsi="Times New Roman"/>
          <w:sz w:val="18"/>
          <w:szCs w:val="18"/>
          <w:color w:val="auto"/>
        </w:rPr>
        <w:t>As a result of the Offering Transactions, Medline Inc. will directly or indirectly hold Common Units in Medline Holdings and will be the sole general partner of Medline Holdings. Accordingly, Medline Inc. will operate and control all of the business and affairs of Medline Holdings, and, through Medline Holdings and its operating entity subsidiaries, conduct our business.</w:t>
      </w:r>
    </w:p>
    <w:p>
      <w:pPr>
        <w:spacing w:after="0" w:line="175"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Pursuant to the amended and restated limited partnership agreement of Medline Holdings as it will be in effect at the time of this offering,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87" w:lineRule="exact"/>
        <w:rPr>
          <w:sz w:val="20"/>
          <w:szCs w:val="20"/>
          <w:color w:val="auto"/>
        </w:rPr>
      </w:pPr>
    </w:p>
    <w:p>
      <w:pPr>
        <w:ind w:left="160" w:right="100" w:firstLine="436"/>
        <w:spacing w:after="0" w:line="269" w:lineRule="auto"/>
        <w:rPr>
          <w:sz w:val="20"/>
          <w:szCs w:val="20"/>
          <w:color w:val="auto"/>
        </w:rPr>
      </w:pPr>
      <w:r>
        <w:rPr>
          <w:rFonts w:ascii="Times New Roman" w:cs="Times New Roman" w:eastAsia="Times New Roman" w:hAnsi="Times New Roman"/>
          <w:sz w:val="17"/>
          <w:szCs w:val="17"/>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will provide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73"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will not be exchangeable unless and until such Incentive Unit vests.</w:t>
      </w:r>
    </w:p>
    <w:p>
      <w:pPr>
        <w:spacing w:after="0" w:line="187"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The amended and restated limited partnership agreement of Medline Holdings will also provide that substantially all expenses incurred by or attributable to Medline Inc. (such as expenses incurred in connection with this offering), but not including obligations incurred under the tax receivable agreement by Medline Inc., income tax expenses of Medline Inc. and payments on indebtedness incurred by Medline Inc., will be borne by Medline Holdings.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Services Agreements</w:t>
      </w:r>
    </w:p>
    <w:p>
      <w:pPr>
        <w:spacing w:after="0" w:line="118" w:lineRule="exact"/>
        <w:rPr>
          <w:sz w:val="20"/>
          <w:szCs w:val="20"/>
          <w:color w:val="auto"/>
        </w:rPr>
      </w:pPr>
    </w:p>
    <w:p>
      <w:pPr>
        <w:ind w:left="160" w:right="60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the Sponsor Acquisition, Medline Holdings entered into services agreements (the “Services Agreements”) with each of Blackstone Management Partners L.L.C. and Blackstone Capital Partners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2"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84"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We made payments pursuant to the Services Agreements to BX Management totaling $270 thousand, $360 thousand and $711 thousand in the years ended December 31, 2022, 2023 and 2024, respectively. We made payments pursuant to the Services Agreements to Carlyle Management totaling $244 thousand in the year ended December 31, 2023. We made payments pursuant to the Services Agreements to H&amp;F Management totaling</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$120 thousand in the year ended December 31, 2024. We have not made any payments to Mills Family Holdco pursuant to the Services Agreements.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Services Agreements will continue in effect following this offering.</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We intend to use any proceeds from the issuance of shares pursuant to any exercise by the underwriters of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See “Principal Stockholders” for additional information regarding the proceeds from this offering that may be paid to certain of our pre-IPO owners.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February 2023, Andrew Mills received an allocation of term loans under our Senior Secured Credit Facilities (as defined herein), of which</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$17.8 million principal remained outstanding as of December 31, 2024. Borrowings under the Senior Secured Credit Facilities bear interest at a floating</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rate as further described in “Description of Certain Indebtedness—Senior Secured Credit Facilities—Interest rate and fees.” For the years ended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December 31, 2024 and 2023, the Company paid Mr. Mills $1.9 million and $0.2 million in principal and $1.6 million and $1.6 million in interest,</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respectively, under the Senior Secured Credit Facilities. For additional details on the terms of the Senior Secured Credit Facilities, see “Description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Certain Indebtedness—Senior Secured Credit Facilities.”</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a written statement of policy regarding transactions with related persons, which we refer to as our “related person policy.” Our related person policy will require that a “related person”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this offering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40"/>
          </w:cols>
          <w:pgMar w:left="320" w:top="451" w:right="5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have entered, or will enter, into an indemnification agreement with each of our directors and executive officers. The indemnification agreements, together with our amended and restated bylaws, will provide that we will indemnify our directors and officers to the fullest extent permitted by the DGCL, subject to limited exceptions. The indemnification agreements, together with our amended and restated bylaws, will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Family and Other Relationships</w:t>
      </w:r>
    </w:p>
    <w:p>
      <w:pPr>
        <w:spacing w:after="0" w:line="118"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Charles Mills, a member of our board of directors, served as our Chief Executive Officer from 1997 to October 2023 and is the cousin of Andrew Mills. During fiscal 2022 and fiscal 2023, Mr. Mills received total compensation of $1,424,568 and $1,137,984, respectively, including salary, bonus, and 401(k) contributions.</w:t>
      </w:r>
    </w:p>
    <w:p>
      <w:pPr>
        <w:spacing w:after="0" w:line="175" w:lineRule="exact"/>
        <w:rPr>
          <w:sz w:val="20"/>
          <w:szCs w:val="20"/>
          <w:color w:val="auto"/>
        </w:rPr>
      </w:pPr>
    </w:p>
    <w:p>
      <w:pPr>
        <w:jc w:val="both"/>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Andrew Mills, a member of our board of directors, served as our President from 1997 to October 2023 and is the cousin of Charles Mills and the brother-in-law of James Abrams. During fiscal 2022 and fiscal 2023, Mr. Mills received total compensation of $1,236,135 and $394,036, respectively, including salary, bonus, and 401(k) contributions.</w:t>
      </w:r>
    </w:p>
    <w:p>
      <w:pPr>
        <w:spacing w:after="0" w:line="175" w:lineRule="exact"/>
        <w:rPr>
          <w:sz w:val="20"/>
          <w:szCs w:val="20"/>
          <w:color w:val="auto"/>
        </w:rPr>
      </w:pPr>
    </w:p>
    <w:p>
      <w:pPr>
        <w:jc w:val="both"/>
        <w:ind w:left="160" w:right="500" w:firstLine="436"/>
        <w:spacing w:after="0" w:line="263" w:lineRule="auto"/>
        <w:rPr>
          <w:sz w:val="20"/>
          <w:szCs w:val="20"/>
          <w:color w:val="auto"/>
        </w:rPr>
      </w:pPr>
      <w:r>
        <w:rPr>
          <w:rFonts w:ascii="Times New Roman" w:cs="Times New Roman" w:eastAsia="Times New Roman" w:hAnsi="Times New Roman"/>
          <w:sz w:val="18"/>
          <w:szCs w:val="18"/>
          <w:color w:val="auto"/>
        </w:rPr>
        <w:t>James Abrams, a member of our board of directors, served as our Chief Operating Officer from 1997 to October 2023 and is the brother of William J. Abrams, son of Robert Abrams and the brother-in-law of Andrew Mills. During fiscal 2022 and fiscal 2023, Mr. Abrams received total compensation of $1,212,199 and $487,717, respectively, including salary, bonus, and 401(k) contributions.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William J. Abrams is the brother of James Abrams. Mr. Abrams joined Medline in 2009 and has served as our Executive Vice President, Supply</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Chain Solutions since 2023. During fiscal 2022, fiscal 2023, and fiscal 2024, Mr. Abrams received total compensation of $1,791,278, $1,377,619, 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$1,891,034, respectively, including salary, bonus, equity awards, long term incentives, and 401(k) contributions. Mr. Abrams previously held units in the</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Company’s Managing Partner Program (the “MPU Program”). The MPU Program was a cash-based incentive plan designed to replicate the economics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of owning Company common stock. The Managing Partner Units (“MPUs”) issued pursuant to the MPU Program entitled the MPU Unit holders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opportunity to earn both (i) a share of the Company’s “Adjusted Earnings before Taxes” (the Company’s audited consolidated earnings before taxes as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determined in accordance with GAAP, as adjusted for certain items) (“Profit Sharing Distributions”) and (ii) special payments tied to certain liquidity</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events. In addition to regular Profit Sharing Distributions, executives who held MPUs and remained employed until a liquidity event were eligible to</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receive the “Liquidity Event MPU Amount,” which is an amount per MPU equal to the price per share of Company common stock paid to holders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thereof in connection with the liquidity event, less the book value per share of the Company at the time of the liquidity event. The Sponsor Acquisition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qualified as a liquidity event under the MPU Program and entitled MPU Unit holders, including Mr. Abrams, to the Liquidity Event MPU Amount to be</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paid in equal one-third installments, with the first installment paid on the date of the Sponsor Acquisition and the remaining installments on the first and</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second anniversary of the Sponsor Acquisition, subject to the executive’s compliance with certain restrictive covenants and, with respect to 50% of such</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distributions, the executive’s continued employment on the distribution dates. The Company’s obligations under the MPU Program were satisfied as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October 21, 2023, and no further grants or distributions under the MPU Program will be made in the future. In each of fiscal 2022 and fiscal 2023,</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Mr. Abrams received distributions on his MPU Units of $11,938,474.</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60"/>
          </w:cols>
          <w:pgMar w:left="320" w:top="451" w:right="5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Justin Mills is the son of Andrew Mills. Mr. Mills is currently employed by the Company as a sales representative in Acute Care. During fiscal 2024, Mr. Mills received total compensation of $222,784, including base salary, commission, and other benefits.</w:t>
      </w:r>
    </w:p>
    <w:p>
      <w:pPr>
        <w:spacing w:after="0" w:line="162"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Robert Abrams is the father of James Abrams and William J. Abrams and is currently employed as the Company’s Corporate Purchasing Director. During fiscal 2022, fiscal 2023 and fiscal 2024, Mr. Abrams received total compensation of $133,173, $137,981 and $127,917, respectively, comprised of his base salary.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MPU Rollover Investments</w:t>
      </w:r>
    </w:p>
    <w:p>
      <w:pPr>
        <w:spacing w:after="0" w:line="118"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$18,306,416 of his Liquidity Event MPU Amount into Class A Units, of which $12,204,277 was funded by a loan from Medline Holdings; (iv) William J. Abrams reinvested $7,521,238 of his Liquidity Event MPU Amount into Class A Units, of which $5,014,159 was funded by a loan from Medline Holdings; (v) Amanda Laabs reinvested $3,809,629 of her Liquidity Event MPU Amount into Class A Units, of which $2,539,753 was funded by a loan from Medline Holdings; (vi) Alex Liberman reinvested $6,996,528 of his Liquidity Event MPU Amount into Class A Units, of which $4,664,352 was funded by a loan from Medline Holdings; and (vii) Doug Golwas reinvested $7,068,825 of his Liquidity Event MPU Amount into Class A Units, of which $4,712,550 was funded by a loan from Medline Holdings. Loans from Medline Holdings under the Reinvestment Program bore interest at an annual interest rate of 0.25%, compounded annually. Aggregate interest payments paid during the life of the loans by Messrs. Boyle, Pigott, Abrams, Liberman and Golwas and Ms. Laabs totaled $20,454, $45,766, $18,803, $17,491, $17,672, and $9,524, respectively. All loans under the Reinvestment Program were fully repaid as of October 20, 2023.</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60"/>
          </w:cols>
          <w:pgMar w:left="320" w:top="451" w:right="5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tables set forth information regarding the beneficial ownership of shares of our Class A common stock and our Class B common stock by (1) each person known to us to beneficially own more than 5% of any class of the outstanding voting securities of Medline Inc., (2) each of our directors, director nominees, and named executive officers and (3) all of our directors, director nominees, and executive officers as a group.</w:t>
      </w:r>
    </w:p>
    <w:p>
      <w:pPr>
        <w:spacing w:after="0" w:line="175"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percentage of beneficial ownership of shares of our Class A common stock and our Class B common stock outstanding before the offering set forth below is based on the number of shares of our Class A common stock and our Class B common stock to be issued and outstanding immediately prior to the consummation of this offering. The percentage of beneficial ownership of our Class A common stock and our Class B common stock after the offering set forth below is based on shares of our Class A common stock and our Class B common stock to be issued and outstanding immediately after the offering. Beneficial ownership is determined in accordance with the rules of the SEC.</w:t>
      </w:r>
    </w:p>
    <w:p>
      <w:pPr>
        <w:spacing w:after="0" w:line="184" w:lineRule="exact"/>
        <w:rPr>
          <w:sz w:val="20"/>
          <w:szCs w:val="20"/>
          <w:color w:val="auto"/>
        </w:rPr>
      </w:pPr>
    </w:p>
    <w:p>
      <w:pPr>
        <w:ind w:left="160" w:right="160" w:firstLine="436"/>
        <w:spacing w:after="0" w:line="251" w:lineRule="auto"/>
        <w:rPr>
          <w:sz w:val="20"/>
          <w:szCs w:val="20"/>
          <w:color w:val="auto"/>
        </w:rPr>
      </w:pPr>
      <w:r>
        <w:rPr>
          <w:rFonts w:ascii="Times New Roman" w:cs="Times New Roman" w:eastAsia="Times New Roman" w:hAnsi="Times New Roman"/>
          <w:sz w:val="18"/>
          <w:szCs w:val="18"/>
          <w:color w:val="auto"/>
        </w:rPr>
        <w:t>In connection with this offering, we will issue to each Continuing Common Unitholder one share of Class B common stock for each Common Unit such Continuing Common Unitholder beneficially owns immediately prior to the consummation of this offering.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will hold all of the initially outstanding shares of our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20"/>
          </w:cols>
          <w:pgMar w:left="320" w:top="452" w:right="5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8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3600" w:type="dxa"/>
            <w:vAlign w:val="bottom"/>
            <w:gridSpan w:val="6"/>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 Common Stock Beneficially Owned</w:t>
            </w:r>
            <w:r>
              <w:rPr>
                <w:rFonts w:ascii="Times New Roman" w:cs="Times New Roman" w:eastAsia="Times New Roman" w:hAnsi="Times New Roman"/>
                <w:sz w:val="18"/>
                <w:szCs w:val="18"/>
                <w:b w:val="1"/>
                <w:bCs w:val="1"/>
                <w:color w:val="auto"/>
                <w:vertAlign w:val="superscript"/>
              </w:rPr>
              <w:t>(1)</w:t>
            </w:r>
          </w:p>
        </w:tc>
        <w:tc>
          <w:tcPr>
            <w:tcW w:w="3620" w:type="dxa"/>
            <w:vAlign w:val="bottom"/>
            <w:gridSpan w:val="6"/>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B Common Stock Beneficially Owned</w:t>
            </w:r>
            <w:r>
              <w:rPr>
                <w:rFonts w:ascii="Times New Roman" w:cs="Times New Roman" w:eastAsia="Times New Roman" w:hAnsi="Times New Roman"/>
                <w:sz w:val="18"/>
                <w:szCs w:val="18"/>
                <w:b w:val="1"/>
                <w:bCs w:val="1"/>
                <w:color w:val="auto"/>
                <w:vertAlign w:val="superscript"/>
              </w:rPr>
              <w:t>(1)</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Combined Voting Power</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w w:val="99"/>
              </w:rPr>
              <w:t>Offering</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72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Transactions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Transactions</w:t>
            </w:r>
          </w:p>
        </w:tc>
        <w:tc>
          <w:tcPr>
            <w:tcW w:w="72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Transactions</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Transactions</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Assuming</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Transactions</w:t>
            </w: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Assuming</w:t>
            </w:r>
          </w:p>
        </w:tc>
        <w:tc>
          <w:tcPr>
            <w:tcW w:w="72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Transactions</w:t>
            </w: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Assuming</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Assuming</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Underwriters’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Assuming</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Underwriters’</w:t>
            </w:r>
          </w:p>
        </w:tc>
        <w:tc>
          <w:tcPr>
            <w:tcW w:w="72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Assuming</w:t>
            </w: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Underwriters’</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Prior to the</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Underwriters’</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Option is</w:t>
            </w:r>
          </w:p>
        </w:tc>
        <w:tc>
          <w:tcPr>
            <w:tcW w:w="120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Prior to the</w:t>
            </w:r>
          </w:p>
        </w:tc>
        <w:tc>
          <w:tcPr>
            <w:tcW w:w="12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Underwriters’</w:t>
            </w: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Option is</w:t>
            </w:r>
          </w:p>
        </w:tc>
        <w:tc>
          <w:tcPr>
            <w:tcW w:w="7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Prior to the</w:t>
            </w: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Underwriters’</w:t>
            </w: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Option is</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Option is Not</w:t>
            </w:r>
          </w:p>
        </w:tc>
        <w:tc>
          <w:tcPr>
            <w:tcW w:w="120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Exercised in</w:t>
            </w:r>
          </w:p>
        </w:tc>
        <w:tc>
          <w:tcPr>
            <w:tcW w:w="120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2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Option is Not</w:t>
            </w:r>
          </w:p>
        </w:tc>
        <w:tc>
          <w:tcPr>
            <w:tcW w:w="12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Exercised in</w:t>
            </w:r>
          </w:p>
        </w:tc>
        <w:tc>
          <w:tcPr>
            <w:tcW w:w="7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Option is Not</w:t>
            </w: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Exercised in</w:t>
            </w:r>
          </w:p>
        </w:tc>
        <w:tc>
          <w:tcPr>
            <w:tcW w:w="0" w:type="dxa"/>
            <w:vAlign w:val="bottom"/>
          </w:tcPr>
          <w:p>
            <w:pPr>
              <w:spacing w:after="0"/>
              <w:rPr>
                <w:sz w:val="1"/>
                <w:szCs w:val="1"/>
                <w:color w:val="auto"/>
              </w:rPr>
            </w:pPr>
          </w:p>
        </w:tc>
      </w:tr>
      <w:tr>
        <w:trPr>
          <w:trHeight w:val="154"/>
        </w:trPr>
        <w:tc>
          <w:tcPr>
            <w:tcW w:w="1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u w:val="single" w:color="auto"/>
                <w:color w:val="auto"/>
              </w:rPr>
              <w:t>Name of Beneficial Owner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Transactions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Exercised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Full</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Transactions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Exercised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Full</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Transactions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Exercised</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Full</w:t>
            </w:r>
          </w:p>
        </w:tc>
        <w:tc>
          <w:tcPr>
            <w:tcW w:w="0" w:type="dxa"/>
            <w:vAlign w:val="bottom"/>
          </w:tcPr>
          <w:p>
            <w:pPr>
              <w:spacing w:after="0"/>
              <w:rPr>
                <w:sz w:val="1"/>
                <w:szCs w:val="1"/>
                <w:color w:val="auto"/>
              </w:rPr>
            </w:pPr>
          </w:p>
        </w:tc>
      </w:tr>
      <w:tr>
        <w:trPr>
          <w:trHeight w:val="120"/>
        </w:trPr>
        <w:tc>
          <w:tcPr>
            <w:tcW w:w="1460" w:type="dxa"/>
            <w:vAlign w:val="bottom"/>
            <w:vMerge w:val="continue"/>
          </w:tcPr>
          <w:p>
            <w:pPr>
              <w:spacing w:after="0"/>
              <w:rPr>
                <w:sz w:val="10"/>
                <w:szCs w:val="10"/>
                <w:color w:val="auto"/>
              </w:rPr>
            </w:pPr>
          </w:p>
        </w:tc>
        <w:tc>
          <w:tcPr>
            <w:tcW w:w="11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u w:val="single" w:color="auto"/>
                <w:color w:val="auto"/>
              </w:rPr>
              <w:t>Number Percentage</w:t>
            </w:r>
          </w:p>
        </w:tc>
        <w:tc>
          <w:tcPr>
            <w:tcW w:w="8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u w:val="single" w:color="auto"/>
                <w:color w:val="auto"/>
              </w:rPr>
              <w:t>Number Percentage</w:t>
            </w:r>
          </w:p>
        </w:tc>
        <w:tc>
          <w:tcPr>
            <w:tcW w:w="8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u w:val="single" w:color="auto"/>
                <w:color w:val="auto"/>
              </w:rPr>
              <w:t>Number Percentage</w:t>
            </w:r>
          </w:p>
        </w:tc>
        <w:tc>
          <w:tcPr>
            <w:tcW w:w="8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u w:val="single" w:color="auto"/>
                <w:color w:val="auto"/>
              </w:rPr>
              <w:t>Number Percentage</w:t>
            </w:r>
          </w:p>
        </w:tc>
        <w:tc>
          <w:tcPr>
            <w:tcW w:w="8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u w:val="single" w:color="auto"/>
                <w:color w:val="auto"/>
              </w:rPr>
              <w:t>Number Percentage</w:t>
            </w:r>
          </w:p>
        </w:tc>
        <w:tc>
          <w:tcPr>
            <w:tcW w:w="1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u w:val="single" w:color="auto"/>
                <w:color w:val="auto"/>
              </w:rPr>
              <w:t>Number Percentage</w:t>
            </w: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left="18"/>
              <w:spacing w:after="0" w:line="121"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Times New Roman" w:cs="Times New Roman" w:eastAsia="Times New Roman" w:hAnsi="Times New Roman"/>
          <w:sz w:val="14"/>
          <w:szCs w:val="14"/>
          <w:color w:val="auto"/>
        </w:rPr>
        <w:t>Blackstone</w:t>
      </w: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7040245" cy="1016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040245" cy="101600"/>
                    </a:xfrm>
                    <a:prstGeom prst="rect">
                      <a:avLst/>
                    </a:prstGeom>
                    <a:noFill/>
                  </pic:spPr>
                </pic:pic>
              </a:graphicData>
            </a:graphic>
          </wp:anchor>
        </w:drawing>
      </w:r>
    </w:p>
    <w:p>
      <w:pPr>
        <w:ind w:left="160"/>
        <w:spacing w:after="0" w:line="219" w:lineRule="auto"/>
        <w:rPr>
          <w:sz w:val="20"/>
          <w:szCs w:val="20"/>
          <w:color w:val="auto"/>
        </w:rPr>
      </w:pPr>
      <w:r>
        <w:rPr>
          <w:rFonts w:ascii="Times New Roman" w:cs="Times New Roman" w:eastAsia="Times New Roman" w:hAnsi="Times New Roman"/>
          <w:sz w:val="14"/>
          <w:szCs w:val="14"/>
          <w:color w:val="auto"/>
        </w:rPr>
        <w:t>Carlyle</w:t>
      </w:r>
      <w:r>
        <w:rPr>
          <w:rFonts w:ascii="Times New Roman" w:cs="Times New Roman" w:eastAsia="Times New Roman" w:hAnsi="Times New Roman"/>
          <w:sz w:val="10"/>
          <w:szCs w:val="10"/>
          <w:color w:val="auto"/>
        </w:rPr>
        <w:t>(4)</w:t>
      </w:r>
    </w:p>
    <w:p>
      <w:pPr>
        <w:ind w:left="160"/>
        <w:spacing w:after="0" w:line="219" w:lineRule="auto"/>
        <w:rPr>
          <w:sz w:val="20"/>
          <w:szCs w:val="20"/>
          <w:color w:val="auto"/>
        </w:rPr>
      </w:pPr>
      <w:r>
        <w:rPr>
          <w:rFonts w:ascii="Times New Roman" w:cs="Times New Roman" w:eastAsia="Times New Roman" w:hAnsi="Times New Roman"/>
          <w:sz w:val="14"/>
          <w:szCs w:val="14"/>
          <w:color w:val="auto"/>
        </w:rPr>
        <w:t>H&amp;F</w:t>
      </w: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19" w:lineRule="auto"/>
        <w:rPr>
          <w:sz w:val="20"/>
          <w:szCs w:val="20"/>
          <w:color w:val="auto"/>
        </w:rPr>
      </w:pPr>
      <w:r>
        <w:rPr>
          <w:rFonts w:ascii="Times New Roman" w:cs="Times New Roman" w:eastAsia="Times New Roman" w:hAnsi="Times New Roman"/>
          <w:sz w:val="14"/>
          <w:szCs w:val="14"/>
          <w:color w:val="auto"/>
        </w:rPr>
        <w:t>Mozart HoldCo, Inc.</w:t>
      </w:r>
      <w:r>
        <w:rPr>
          <w:rFonts w:ascii="Times New Roman" w:cs="Times New Roman" w:eastAsia="Times New Roman" w:hAnsi="Times New Roman"/>
          <w:sz w:val="10"/>
          <w:szCs w:val="10"/>
          <w:color w:val="auto"/>
        </w:rPr>
        <w:t>(6)</w:t>
      </w:r>
    </w:p>
    <w:p>
      <w:pPr>
        <w:ind w:left="160"/>
        <w:spacing w:after="0" w:line="220" w:lineRule="auto"/>
        <w:rPr>
          <w:sz w:val="20"/>
          <w:szCs w:val="20"/>
          <w:color w:val="auto"/>
        </w:rPr>
      </w:pPr>
      <w:r>
        <w:rPr>
          <w:rFonts w:ascii="Times New Roman" w:cs="Times New Roman" w:eastAsia="Times New Roman" w:hAnsi="Times New Roman"/>
          <w:sz w:val="14"/>
          <w:szCs w:val="14"/>
          <w:color w:val="auto"/>
        </w:rPr>
        <w:t>Hux Investment 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186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040245" cy="186690"/>
                    </a:xfrm>
                    <a:prstGeom prst="rect">
                      <a:avLst/>
                    </a:prstGeom>
                    <a:noFill/>
                  </pic:spPr>
                </pic:pic>
              </a:graphicData>
            </a:graphic>
          </wp:anchor>
        </w:drawing>
      </w:r>
    </w:p>
    <w:p>
      <w:pPr>
        <w:ind w:left="320"/>
        <w:spacing w:after="0" w:line="219" w:lineRule="auto"/>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10"/>
          <w:szCs w:val="10"/>
          <w:color w:val="auto"/>
        </w:rPr>
        <w:t>(7)</w:t>
      </w:r>
    </w:p>
    <w:p>
      <w:pPr>
        <w:ind w:left="160"/>
        <w:spacing w:after="0" w:line="219" w:lineRule="auto"/>
        <w:rPr>
          <w:sz w:val="20"/>
          <w:szCs w:val="20"/>
          <w:color w:val="auto"/>
        </w:rPr>
      </w:pPr>
      <w:r>
        <w:rPr>
          <w:rFonts w:ascii="Times New Roman" w:cs="Times New Roman" w:eastAsia="Times New Roman" w:hAnsi="Times New Roman"/>
          <w:sz w:val="14"/>
          <w:szCs w:val="14"/>
          <w:color w:val="auto"/>
        </w:rPr>
        <w:t>Platinum Falcon B 2018</w:t>
      </w:r>
    </w:p>
    <w:p>
      <w:pPr>
        <w:ind w:left="320"/>
        <w:spacing w:after="0" w:line="220" w:lineRule="auto"/>
        <w:rPr>
          <w:sz w:val="20"/>
          <w:szCs w:val="20"/>
          <w:color w:val="auto"/>
        </w:rPr>
      </w:pPr>
      <w:r>
        <w:rPr>
          <w:rFonts w:ascii="Times New Roman" w:cs="Times New Roman" w:eastAsia="Times New Roman" w:hAnsi="Times New Roman"/>
          <w:sz w:val="14"/>
          <w:szCs w:val="14"/>
          <w:color w:val="auto"/>
        </w:rPr>
        <w:t>RSB Limited</w:t>
      </w:r>
      <w:r>
        <w:rPr>
          <w:rFonts w:ascii="Times New Roman" w:cs="Times New Roman" w:eastAsia="Times New Roman" w:hAnsi="Times New Roman"/>
          <w:sz w:val="10"/>
          <w:szCs w:val="10"/>
          <w:color w:val="auto"/>
        </w:rPr>
        <w:t>(8)</w:t>
      </w:r>
    </w:p>
    <w:p>
      <w:pPr>
        <w:ind w:left="160"/>
        <w:spacing w:after="0" w:line="219" w:lineRule="auto"/>
        <w:rPr>
          <w:sz w:val="20"/>
          <w:szCs w:val="20"/>
          <w:color w:val="auto"/>
        </w:rPr>
      </w:pPr>
      <w:r>
        <w:rPr>
          <w:rFonts w:ascii="Times New Roman" w:cs="Times New Roman" w:eastAsia="Times New Roman" w:hAnsi="Times New Roman"/>
          <w:sz w:val="14"/>
          <w:szCs w:val="14"/>
          <w:color w:val="auto"/>
        </w:rPr>
        <w:t>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19" w:lineRule="auto"/>
        <w:rPr>
          <w:sz w:val="20"/>
          <w:szCs w:val="20"/>
          <w:color w:val="auto"/>
        </w:rPr>
      </w:pPr>
      <w:r>
        <w:rPr>
          <w:rFonts w:ascii="Times New Roman" w:cs="Times New Roman" w:eastAsia="Times New Roman" w:hAnsi="Times New Roman"/>
          <w:sz w:val="14"/>
          <w:szCs w:val="14"/>
          <w:color w:val="auto"/>
        </w:rPr>
        <w:t>James M. Pigott</w:t>
      </w:r>
    </w:p>
    <w:p>
      <w:pPr>
        <w:ind w:left="160"/>
        <w:spacing w:after="0" w:line="220" w:lineRule="auto"/>
        <w:rPr>
          <w:sz w:val="20"/>
          <w:szCs w:val="20"/>
          <w:color w:val="auto"/>
        </w:rPr>
      </w:pPr>
      <w:r>
        <w:rPr>
          <w:rFonts w:ascii="Times New Roman" w:cs="Times New Roman" w:eastAsia="Times New Roman" w:hAnsi="Times New Roman"/>
          <w:sz w:val="14"/>
          <w:szCs w:val="14"/>
          <w:color w:val="auto"/>
        </w:rPr>
        <w:t>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19" w:lineRule="auto"/>
        <w:rPr>
          <w:sz w:val="20"/>
          <w:szCs w:val="20"/>
          <w:color w:val="auto"/>
        </w:rPr>
      </w:pPr>
      <w:r>
        <w:rPr>
          <w:rFonts w:ascii="Times New Roman" w:cs="Times New Roman" w:eastAsia="Times New Roman" w:hAnsi="Times New Roman"/>
          <w:sz w:val="14"/>
          <w:szCs w:val="14"/>
          <w:color w:val="auto"/>
        </w:rPr>
        <w:t>Stephen L. Miller</w:t>
      </w:r>
    </w:p>
    <w:p>
      <w:pPr>
        <w:ind w:left="160"/>
        <w:spacing w:after="0" w:line="219" w:lineRule="auto"/>
        <w:rPr>
          <w:sz w:val="20"/>
          <w:szCs w:val="20"/>
          <w:color w:val="auto"/>
        </w:rPr>
      </w:pPr>
      <w:r>
        <w:rPr>
          <w:rFonts w:ascii="Times New Roman" w:cs="Times New Roman" w:eastAsia="Times New Roman" w:hAnsi="Times New Roman"/>
          <w:sz w:val="14"/>
          <w:szCs w:val="14"/>
          <w:color w:val="auto"/>
        </w:rPr>
        <w:t>Christopher P. Shryock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20" w:lineRule="auto"/>
        <w:rPr>
          <w:sz w:val="20"/>
          <w:szCs w:val="20"/>
          <w:color w:val="auto"/>
        </w:rPr>
      </w:pPr>
      <w:r>
        <w:rPr>
          <w:rFonts w:ascii="Times New Roman" w:cs="Times New Roman" w:eastAsia="Times New Roman" w:hAnsi="Times New Roman"/>
          <w:sz w:val="14"/>
          <w:szCs w:val="14"/>
          <w:color w:val="auto"/>
        </w:rPr>
        <w:t>Douglas P. Golwas</w:t>
      </w:r>
    </w:p>
    <w:p>
      <w:pPr>
        <w:ind w:left="160"/>
        <w:spacing w:after="0" w:line="219" w:lineRule="auto"/>
        <w:rPr>
          <w:sz w:val="20"/>
          <w:szCs w:val="20"/>
          <w:color w:val="auto"/>
        </w:rPr>
      </w:pPr>
      <w:r>
        <w:rPr>
          <w:rFonts w:ascii="Times New Roman" w:cs="Times New Roman" w:eastAsia="Times New Roman" w:hAnsi="Times New Roman"/>
          <w:sz w:val="14"/>
          <w:szCs w:val="14"/>
          <w:color w:val="auto"/>
        </w:rPr>
        <w:t>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19" w:lineRule="auto"/>
        <w:rPr>
          <w:sz w:val="20"/>
          <w:szCs w:val="20"/>
          <w:color w:val="auto"/>
        </w:rPr>
      </w:pPr>
      <w:r>
        <w:rPr>
          <w:rFonts w:ascii="Times New Roman" w:cs="Times New Roman" w:eastAsia="Times New Roman" w:hAnsi="Times New Roman"/>
          <w:sz w:val="14"/>
          <w:szCs w:val="14"/>
          <w:color w:val="auto"/>
        </w:rPr>
        <w:t>Joseph P. Baratta</w:t>
      </w:r>
    </w:p>
    <w:p>
      <w:pPr>
        <w:ind w:left="160"/>
        <w:spacing w:after="0" w:line="220" w:lineRule="auto"/>
        <w:rPr>
          <w:sz w:val="20"/>
          <w:szCs w:val="20"/>
          <w:color w:val="auto"/>
        </w:rPr>
      </w:pPr>
      <w:r>
        <w:rPr>
          <w:rFonts w:ascii="Times New Roman" w:cs="Times New Roman" w:eastAsia="Times New Roman" w:hAnsi="Times New Roman"/>
          <w:sz w:val="14"/>
          <w:szCs w:val="14"/>
          <w:color w:val="auto"/>
        </w:rPr>
        <w:t>Jacob D.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19" w:lineRule="auto"/>
        <w:rPr>
          <w:sz w:val="20"/>
          <w:szCs w:val="20"/>
          <w:color w:val="auto"/>
        </w:rPr>
      </w:pPr>
      <w:r>
        <w:rPr>
          <w:rFonts w:ascii="Times New Roman" w:cs="Times New Roman" w:eastAsia="Times New Roman" w:hAnsi="Times New Roman"/>
          <w:sz w:val="14"/>
          <w:szCs w:val="14"/>
          <w:color w:val="auto"/>
        </w:rPr>
        <w:t>Andrew J. Mills</w:t>
      </w:r>
    </w:p>
    <w:p>
      <w:pPr>
        <w:ind w:left="160"/>
        <w:spacing w:after="0" w:line="219" w:lineRule="auto"/>
        <w:rPr>
          <w:sz w:val="20"/>
          <w:szCs w:val="20"/>
          <w:color w:val="auto"/>
        </w:rPr>
      </w:pPr>
      <w:r>
        <w:rPr>
          <w:rFonts w:ascii="Times New Roman" w:cs="Times New Roman" w:eastAsia="Times New Roman" w:hAnsi="Times New Roman"/>
          <w:sz w:val="14"/>
          <w:szCs w:val="14"/>
          <w:color w:val="auto"/>
        </w:rPr>
        <w:t>Charles 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20" w:lineRule="auto"/>
        <w:rPr>
          <w:sz w:val="20"/>
          <w:szCs w:val="20"/>
          <w:color w:val="auto"/>
        </w:rPr>
      </w:pPr>
      <w:r>
        <w:rPr>
          <w:rFonts w:ascii="Times New Roman" w:cs="Times New Roman" w:eastAsia="Times New Roman" w:hAnsi="Times New Roman"/>
          <w:sz w:val="14"/>
          <w:szCs w:val="14"/>
          <w:color w:val="auto"/>
        </w:rPr>
        <w:t>Robert R. Schmidt</w:t>
      </w:r>
    </w:p>
    <w:p>
      <w:pPr>
        <w:ind w:left="160"/>
        <w:spacing w:after="0" w:line="219" w:lineRule="auto"/>
        <w:rPr>
          <w:sz w:val="20"/>
          <w:szCs w:val="20"/>
          <w:color w:val="auto"/>
        </w:rPr>
      </w:pPr>
      <w:r>
        <w:rPr>
          <w:rFonts w:ascii="Times New Roman" w:cs="Times New Roman" w:eastAsia="Times New Roman" w:hAnsi="Times New Roman"/>
          <w:sz w:val="14"/>
          <w:szCs w:val="14"/>
          <w:color w:val="auto"/>
        </w:rPr>
        <w:t>Anushka M. Sunder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19" w:lineRule="auto"/>
        <w:rPr>
          <w:sz w:val="20"/>
          <w:szCs w:val="20"/>
          <w:color w:val="auto"/>
        </w:rPr>
      </w:pPr>
      <w:r>
        <w:rPr>
          <w:rFonts w:ascii="Times New Roman" w:cs="Times New Roman" w:eastAsia="Times New Roman" w:hAnsi="Times New Roman"/>
          <w:sz w:val="14"/>
          <w:szCs w:val="14"/>
          <w:color w:val="auto"/>
        </w:rPr>
        <w:t>Thomas W. Sweet</w:t>
      </w:r>
    </w:p>
    <w:p>
      <w:pPr>
        <w:ind w:left="160"/>
        <w:spacing w:after="0" w:line="219" w:lineRule="auto"/>
        <w:rPr>
          <w:sz w:val="20"/>
          <w:szCs w:val="20"/>
          <w:color w:val="auto"/>
        </w:rPr>
      </w:pPr>
      <w:r>
        <w:rPr>
          <w:rFonts w:ascii="Times New Roman" w:cs="Times New Roman" w:eastAsia="Times New Roman" w:hAnsi="Times New Roman"/>
          <w:sz w:val="14"/>
          <w:szCs w:val="14"/>
          <w:color w:val="auto"/>
        </w:rPr>
        <w:t>Allen R. 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933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40245" cy="93345"/>
                    </a:xfrm>
                    <a:prstGeom prst="rect">
                      <a:avLst/>
                    </a:prstGeom>
                    <a:noFill/>
                  </pic:spPr>
                </pic:pic>
              </a:graphicData>
            </a:graphic>
          </wp:anchor>
        </w:drawing>
      </w:r>
    </w:p>
    <w:p>
      <w:pPr>
        <w:ind w:left="160"/>
        <w:spacing w:after="0" w:line="220" w:lineRule="auto"/>
        <w:rPr>
          <w:sz w:val="20"/>
          <w:szCs w:val="20"/>
          <w:color w:val="auto"/>
        </w:rPr>
      </w:pPr>
      <w:r>
        <w:rPr>
          <w:rFonts w:ascii="Times New Roman" w:cs="Times New Roman" w:eastAsia="Times New Roman" w:hAnsi="Times New Roman"/>
          <w:sz w:val="14"/>
          <w:szCs w:val="14"/>
          <w:color w:val="auto"/>
        </w:rPr>
        <w:t>Stephen H. Wise</w:t>
      </w:r>
    </w:p>
    <w:p>
      <w:pPr>
        <w:ind w:left="160"/>
        <w:spacing w:after="0" w:line="219" w:lineRule="auto"/>
        <w:rPr>
          <w:sz w:val="20"/>
          <w:szCs w:val="20"/>
          <w:color w:val="auto"/>
        </w:rPr>
      </w:pPr>
      <w:r>
        <w:rPr>
          <w:rFonts w:ascii="Times New Roman" w:cs="Times New Roman" w:eastAsia="Times New Roman" w:hAnsi="Times New Roman"/>
          <w:sz w:val="14"/>
          <w:szCs w:val="14"/>
          <w:color w:val="auto"/>
        </w:rPr>
        <w:t>Directors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040245" cy="3733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40245" cy="373380"/>
                    </a:xfrm>
                    <a:prstGeom prst="rect">
                      <a:avLst/>
                    </a:prstGeom>
                    <a:noFill/>
                  </pic:spPr>
                </pic:pic>
              </a:graphicData>
            </a:graphic>
          </wp:anchor>
        </w:drawing>
      </w:r>
    </w:p>
    <w:p>
      <w:pPr>
        <w:ind w:left="320"/>
        <w:spacing w:after="0" w:line="219" w:lineRule="auto"/>
        <w:rPr>
          <w:sz w:val="20"/>
          <w:szCs w:val="20"/>
          <w:color w:val="auto"/>
        </w:rPr>
      </w:pPr>
      <w:r>
        <w:rPr>
          <w:rFonts w:ascii="Times New Roman" w:cs="Times New Roman" w:eastAsia="Times New Roman" w:hAnsi="Times New Roman"/>
          <w:sz w:val="14"/>
          <w:szCs w:val="14"/>
          <w:color w:val="auto"/>
        </w:rPr>
        <w:t>officers</w:t>
      </w:r>
    </w:p>
    <w:p>
      <w:pPr>
        <w:ind w:left="320"/>
        <w:spacing w:after="0" w:line="220" w:lineRule="auto"/>
        <w:rPr>
          <w:sz w:val="20"/>
          <w:szCs w:val="20"/>
          <w:color w:val="auto"/>
        </w:rPr>
      </w:pPr>
      <w:r>
        <w:rPr>
          <w:rFonts w:ascii="Times New Roman" w:cs="Times New Roman" w:eastAsia="Times New Roman" w:hAnsi="Times New Roman"/>
          <w:sz w:val="14"/>
          <w:szCs w:val="14"/>
          <w:color w:val="auto"/>
        </w:rPr>
        <w:t>as a group</w:t>
      </w:r>
    </w:p>
    <w:p>
      <w:pPr>
        <w:ind w:left="320"/>
        <w:spacing w:after="0"/>
        <w:rPr>
          <w:sz w:val="20"/>
          <w:szCs w:val="20"/>
          <w:color w:val="auto"/>
        </w:rPr>
      </w:pPr>
      <w:r>
        <w:rPr>
          <w:rFonts w:ascii="Times New Roman" w:cs="Times New Roman" w:eastAsia="Times New Roman" w:hAnsi="Times New Roman"/>
          <w:sz w:val="14"/>
          <w:szCs w:val="14"/>
          <w:color w:val="auto"/>
        </w:rPr>
        <w:t>(20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7645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7" w:lineRule="exact"/>
        <w:rPr>
          <w:sz w:val="20"/>
          <w:szCs w:val="20"/>
          <w:color w:val="auto"/>
        </w:rPr>
      </w:pPr>
    </w:p>
    <w:p>
      <w:pPr>
        <w:ind w:left="600" w:hanging="433"/>
        <w:spacing w:after="0"/>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2" w:lineRule="exact"/>
        <w:rPr>
          <w:sz w:val="20"/>
          <w:szCs w:val="20"/>
          <w:color w:val="auto"/>
        </w:rPr>
      </w:pPr>
    </w:p>
    <w:p>
      <w:pPr>
        <w:ind w:left="600" w:right="180" w:hanging="433"/>
        <w:spacing w:after="0" w:line="219" w:lineRule="auto"/>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exchange agreement, Common Units are exchangeable for shares of our Class A common stock on a one-for-one basis after the completion of this offering,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“Certain Relationships and Related Person Transactions—Exchange Agreement.” The Continuing Common Unitholders will hold all of the initially issued and outstanding shares of our Class B common stock, and the number of shares of our Class B common stock listed in the table above correlates to the number of Common Units each Continuing Common Unitholder beneficially owns. Beneficial ownership of shares of our Class B common stock reflected in this table has not been also reflected as beneficial ownership of shares of our Class A common stock for which Common Units may be exchanged.</w:t>
      </w:r>
    </w:p>
    <w:p>
      <w:pPr>
        <w:spacing w:after="0" w:line="1" w:lineRule="exact"/>
        <w:rPr>
          <w:rFonts w:ascii="Times New Roman" w:cs="Times New Roman" w:eastAsia="Times New Roman" w:hAnsi="Times New Roman"/>
          <w:sz w:val="14"/>
          <w:szCs w:val="14"/>
          <w:color w:val="auto"/>
        </w:rPr>
      </w:pPr>
    </w:p>
    <w:p>
      <w:pPr>
        <w:ind w:left="600" w:right="320" w:hanging="433"/>
        <w:spacing w:after="0" w:line="219" w:lineRule="auto"/>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shares eligible to vote in the election of directors of Medline Inc. voting together as a single class. See “Description of Capital Stock— Common Stock.”</w:t>
      </w:r>
    </w:p>
    <w:p>
      <w:pPr>
        <w:ind w:left="600" w:hanging="433"/>
        <w:spacing w:after="0" w:line="219" w:lineRule="auto"/>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of Class A common stock directly held by Blackstone Mozart Co-Invest II L.P.,             shares of Class A common stock directly held by Blackstone</w:t>
      </w:r>
    </w:p>
    <w:p>
      <w:pPr>
        <w:jc w:val="both"/>
        <w:ind w:left="600" w:right="180"/>
        <w:spacing w:after="0" w:line="230" w:lineRule="auto"/>
        <w:rPr>
          <w:sz w:val="20"/>
          <w:szCs w:val="20"/>
          <w:color w:val="auto"/>
        </w:rPr>
      </w:pPr>
      <w:r>
        <w:rPr>
          <w:rFonts w:ascii="Times New Roman" w:cs="Times New Roman" w:eastAsia="Times New Roman" w:hAnsi="Times New Roman"/>
          <w:sz w:val="14"/>
          <w:szCs w:val="14"/>
          <w:color w:val="auto"/>
        </w:rPr>
        <w:t>Supplemental Account—C (Mozart) L.P.,         shares of Class A common stock directly held by Blackstone Supplemental Account—H (Mozart) L.P.,         shares of Class A common stock directly held by Blackstone Supplemental Account—P L.P.,         shares of Class A common stock directly held by BCP VIII Supplemental Account—PS L.P. and         shares of Class B common stock directly held by BCP Mozart Aggregator L.P. (together, the “Blackstone Funds”).</w:t>
      </w:r>
    </w:p>
    <w:p>
      <w:pPr>
        <w:spacing w:after="0" w:line="69" w:lineRule="exact"/>
        <w:rPr>
          <w:sz w:val="20"/>
          <w:szCs w:val="20"/>
          <w:color w:val="auto"/>
        </w:rPr>
      </w:pPr>
    </w:p>
    <w:p>
      <w:pPr>
        <w:ind w:left="600" w:right="300"/>
        <w:spacing w:after="0" w:line="238" w:lineRule="auto"/>
        <w:rPr>
          <w:sz w:val="20"/>
          <w:szCs w:val="20"/>
          <w:color w:val="auto"/>
        </w:rPr>
      </w:pPr>
      <w:r>
        <w:rPr>
          <w:rFonts w:ascii="Times New Roman" w:cs="Times New Roman" w:eastAsia="Times New Roman" w:hAnsi="Times New Roman"/>
          <w:sz w:val="14"/>
          <w:szCs w:val="14"/>
          <w:color w:val="auto"/>
        </w:rPr>
        <w:t>Blackstone Management Associates VIII L.P. is the general partner of each of Blackstone Mozart Co-Invest II L.P., Blackstone Supplemental Account—C (Mozart) L.P., Blackstone Supplemental Account—H (Mozart) L.P., Blackstone Supplemental Account – P L.P. and BCP VIII Supplemental Account—PS L.P. BMA VIII L.L.C. is the general partner of Blackstone Management Associates VIII L.P.</w:t>
      </w:r>
    </w:p>
    <w:p>
      <w:pPr>
        <w:spacing w:after="0" w:line="6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BCP 8 Holdings Mozart Manager L.L.C. is the general partner of BCP Mozart Aggregator L.P. BMA VIII L.L.C. is the managing member of BCP 8 Holdings Mozart Manager L.L.C.</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20"/>
          </w:cols>
          <w:pgMar w:left="320" w:top="451" w:right="3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Blackstone Holdings II L.P. is the managing member of BMA VIII L.L.C. Blackstone Holdings I/II GP L.L.C. is the general partner of Blackstone Holdings II L.P.</w:t>
      </w:r>
    </w:p>
    <w:p>
      <w:pPr>
        <w:spacing w:after="0" w:line="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Blackstone Inc. is the sole member of Blackstone Holdings I/II GP L.L.C. The sole holder of the Series II preferred stock of Blackstone Inc. is Blackstone Group Management L.L.C.</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Blackstone Group Management L.L.C. is wholly-owned by Blackstone’s senior managing directors and controlled by its founder, Stephen A. Schwarzman.</w:t>
      </w:r>
    </w:p>
    <w:p>
      <w:pPr>
        <w:spacing w:after="0" w:line="77" w:lineRule="exact"/>
        <w:rPr>
          <w:sz w:val="20"/>
          <w:szCs w:val="20"/>
          <w:color w:val="auto"/>
        </w:rPr>
      </w:pPr>
    </w:p>
    <w:p>
      <w:pPr>
        <w:jc w:val="both"/>
        <w:ind w:left="600" w:right="400"/>
        <w:spacing w:after="0" w:line="238" w:lineRule="auto"/>
        <w:rPr>
          <w:sz w:val="20"/>
          <w:szCs w:val="20"/>
          <w:color w:val="auto"/>
        </w:rPr>
      </w:pPr>
      <w:r>
        <w:rPr>
          <w:rFonts w:ascii="Times New Roman" w:cs="Times New Roman" w:eastAsia="Times New Roman" w:hAnsi="Times New Roman"/>
          <w:sz w:val="14"/>
          <w:szCs w:val="14"/>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ind w:left="600" w:hanging="433"/>
        <w:spacing w:after="0" w:line="187" w:lineRule="auto"/>
        <w:tabs>
          <w:tab w:leader="none" w:pos="600" w:val="left"/>
        </w:tabs>
        <w:numPr>
          <w:ilvl w:val="0"/>
          <w:numId w:val="1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shares of Class A common stock directly held by Carlyle Mozart Coinvestment Holdings, L.P.,             shares of Class A common stock directly held by CP VII</w:t>
      </w:r>
    </w:p>
    <w:p>
      <w:pPr>
        <w:spacing w:after="0" w:line="131" w:lineRule="exact"/>
        <w:rPr>
          <w:sz w:val="20"/>
          <w:szCs w:val="20"/>
          <w:color w:val="auto"/>
        </w:rPr>
      </w:pPr>
    </w:p>
    <w:p>
      <w:pPr>
        <w:ind w:left="600" w:right="40"/>
        <w:spacing w:after="0" w:line="231" w:lineRule="auto"/>
        <w:rPr>
          <w:sz w:val="20"/>
          <w:szCs w:val="20"/>
          <w:color w:val="auto"/>
        </w:rPr>
      </w:pPr>
      <w:r>
        <w:rPr>
          <w:rFonts w:ascii="Times New Roman" w:cs="Times New Roman" w:eastAsia="Times New Roman" w:hAnsi="Times New Roman"/>
          <w:sz w:val="14"/>
          <w:szCs w:val="14"/>
          <w:color w:val="auto"/>
        </w:rPr>
        <w:t>Circle AIF Holdings, S.C.Sp.,         shares of Class A common stock directly held by CP VII Circle Holdings, L.P.,         shares of Class A common stock directly held by CP VII Circle Holdings – A, L.P.,         shares of Class A common stock directly held by CP VIII Circle AIF Holdings, S.C.Sp.,         shares of Class A common stock directly</w:t>
      </w:r>
    </w:p>
    <w:p>
      <w:pPr>
        <w:ind w:left="600"/>
        <w:spacing w:after="0" w:line="230" w:lineRule="auto"/>
        <w:rPr>
          <w:sz w:val="20"/>
          <w:szCs w:val="20"/>
          <w:color w:val="auto"/>
        </w:rPr>
      </w:pPr>
      <w:r>
        <w:rPr>
          <w:rFonts w:ascii="Times New Roman" w:cs="Times New Roman" w:eastAsia="Times New Roman" w:hAnsi="Times New Roman"/>
          <w:sz w:val="14"/>
          <w:szCs w:val="14"/>
          <w:color w:val="auto"/>
        </w:rPr>
        <w:t>held by CP VIII Circle Holdings, L.P. and         shares of Class B common stock directly held by CP Circle Holdings, L.P. (Carlyle Mozart Coinvestment Holdings, L.P., CP VII Circle AIF Holdings, S.C.Sp., CP VII Circle Holdings, L.P., CP VII Circle Holdings – A, L.P. and CP Circle Holdings, L.P. together, the “Carlyle VII Funds”; CP VIII Circle Holdings, L.P. and CP VIII Circle AIF Holdings, S.C.Sp. together, the “Carlyle VIII Funds”; and the Carlyle VII Funds together with the Carlyle VIII Funds, the “Carlyle Funds”).</w:t>
      </w:r>
    </w:p>
    <w:p>
      <w:pPr>
        <w:spacing w:after="0" w:line="69" w:lineRule="exact"/>
        <w:rPr>
          <w:sz w:val="20"/>
          <w:szCs w:val="20"/>
          <w:color w:val="auto"/>
        </w:rPr>
      </w:pPr>
    </w:p>
    <w:p>
      <w:pPr>
        <w:ind w:left="600" w:right="20"/>
        <w:spacing w:after="0" w:line="230" w:lineRule="auto"/>
        <w:rPr>
          <w:sz w:val="20"/>
          <w:szCs w:val="20"/>
          <w:color w:val="auto"/>
        </w:rPr>
      </w:pPr>
      <w:r>
        <w:rPr>
          <w:rFonts w:ascii="Times New Roman" w:cs="Times New Roman" w:eastAsia="Times New Roman" w:hAnsi="Times New Roman"/>
          <w:sz w:val="14"/>
          <w:szCs w:val="14"/>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71" w:lineRule="exact"/>
        <w:rPr>
          <w:sz w:val="20"/>
          <w:szCs w:val="20"/>
          <w:color w:val="auto"/>
        </w:rPr>
      </w:pPr>
    </w:p>
    <w:p>
      <w:pPr>
        <w:ind w:left="600" w:right="180"/>
        <w:spacing w:after="0" w:line="255" w:lineRule="auto"/>
        <w:rPr>
          <w:sz w:val="20"/>
          <w:szCs w:val="20"/>
          <w:color w:val="auto"/>
        </w:rPr>
      </w:pPr>
      <w:r>
        <w:rPr>
          <w:rFonts w:ascii="Times New Roman" w:cs="Times New Roman" w:eastAsia="Times New Roman" w:hAnsi="Times New Roman"/>
          <w:sz w:val="14"/>
          <w:szCs w:val="14"/>
          <w:color w:val="auto"/>
        </w:rPr>
        <w:t>CG Subsidiary Holdings L.L.C. is also the sole member of TC Group VIII, L.L.C., which is the general partner of TC Group VIII, L.P., which is the Delaware general partner of CP VIII Circle AIF Holdings, S.C.Sp. and the general partner of CP VIII Circle Holdings, L.P.</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TC Group Sub L.P. is also the general partner of TC Group VII Lux GP, S.à r.l., which is the Luxembourg general partner of CP VII Circle AIF Holdings, S.C.Sp.</w:t>
            </w:r>
          </w:p>
        </w:tc>
      </w:tr>
      <w:tr>
        <w:trPr>
          <w:trHeight w:val="216"/>
        </w:trPr>
        <w:tc>
          <w:tcPr>
            <w:tcW w:w="300" w:type="dxa"/>
            <w:vAlign w:val="bottom"/>
          </w:tcPr>
          <w:p>
            <w:pPr>
              <w:spacing w:after="0"/>
              <w:rPr>
                <w:sz w:val="18"/>
                <w:szCs w:val="18"/>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Voting and investment determinations with respect to the securities held by the Carlyle VII Funds are made by the investment committee of TC Group VII S1, L.P. Voting and</w:t>
            </w:r>
          </w:p>
        </w:tc>
      </w:tr>
      <w:tr>
        <w:trPr>
          <w:trHeight w:val="147"/>
        </w:trPr>
        <w:tc>
          <w:tcPr>
            <w:tcW w:w="300" w:type="dxa"/>
            <w:vAlign w:val="bottom"/>
          </w:tcPr>
          <w:p>
            <w:pPr>
              <w:spacing w:after="0"/>
              <w:rPr>
                <w:sz w:val="12"/>
                <w:szCs w:val="12"/>
                <w:color w:val="auto"/>
              </w:rPr>
            </w:pPr>
          </w:p>
        </w:tc>
        <w:tc>
          <w:tcPr>
            <w:tcW w:w="103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investment determinations with respect to the securities held by the Carlyle VIII Funds are made by the investment committee of TC Group VIII, L.P. Each of these investment</w:t>
            </w:r>
          </w:p>
        </w:tc>
      </w:tr>
      <w:tr>
        <w:trPr>
          <w:trHeight w:val="147"/>
        </w:trPr>
        <w:tc>
          <w:tcPr>
            <w:tcW w:w="300" w:type="dxa"/>
            <w:vAlign w:val="bottom"/>
          </w:tcPr>
          <w:p>
            <w:pPr>
              <w:spacing w:after="0"/>
              <w:rPr>
                <w:sz w:val="12"/>
                <w:szCs w:val="12"/>
                <w:color w:val="auto"/>
              </w:rPr>
            </w:pPr>
          </w:p>
        </w:tc>
        <w:tc>
          <w:tcPr>
            <w:tcW w:w="103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committees is comprised of William Conway, Jr., Daniel D’Aniello, David Rubenstein, Allan Holt, Sandra Horbach, Brian Bernasek, James Burr, Ian Fujiyama, Patrick McCarter,</w:t>
            </w:r>
          </w:p>
        </w:tc>
      </w:tr>
      <w:tr>
        <w:trPr>
          <w:trHeight w:val="147"/>
        </w:trPr>
        <w:tc>
          <w:tcPr>
            <w:tcW w:w="300" w:type="dxa"/>
            <w:vAlign w:val="bottom"/>
          </w:tcPr>
          <w:p>
            <w:pPr>
              <w:spacing w:after="0"/>
              <w:rPr>
                <w:sz w:val="12"/>
                <w:szCs w:val="12"/>
                <w:color w:val="auto"/>
              </w:rPr>
            </w:pPr>
          </w:p>
        </w:tc>
        <w:tc>
          <w:tcPr>
            <w:tcW w:w="103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William McMullan, Martin Sumner, Stephen Wise, Anna Tye, Jeremy Anderson and Marco De Benedetti as a non-voting observer. Each member of the investment committees</w:t>
            </w:r>
          </w:p>
        </w:tc>
      </w:tr>
      <w:tr>
        <w:trPr>
          <w:trHeight w:val="185"/>
        </w:trPr>
        <w:tc>
          <w:tcPr>
            <w:tcW w:w="300" w:type="dxa"/>
            <w:vAlign w:val="bottom"/>
          </w:tcPr>
          <w:p>
            <w:pPr>
              <w:spacing w:after="0"/>
              <w:rPr>
                <w:sz w:val="16"/>
                <w:szCs w:val="16"/>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disclaims beneficial ownership of all such securities.</w:t>
            </w:r>
          </w:p>
        </w:tc>
      </w:tr>
      <w:tr>
        <w:trPr>
          <w:trHeight w:val="216"/>
        </w:trPr>
        <w:tc>
          <w:tcPr>
            <w:tcW w:w="300" w:type="dxa"/>
            <w:vAlign w:val="bottom"/>
          </w:tcPr>
          <w:p>
            <w:pPr>
              <w:spacing w:after="0"/>
              <w:rPr>
                <w:sz w:val="18"/>
                <w:szCs w:val="18"/>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address for each of TC Group VII Lux GP, S.à r.l., CP VII Circle AIF Holdings, S.C.Sp. and CP VIII Circle AIF Holdings, S.C.Sp. is 9, rue de Bitbourg, L-1273 Luxembourg,</w:t>
            </w:r>
          </w:p>
        </w:tc>
      </w:tr>
      <w:tr>
        <w:trPr>
          <w:trHeight w:val="147"/>
        </w:trPr>
        <w:tc>
          <w:tcPr>
            <w:tcW w:w="300" w:type="dxa"/>
            <w:vAlign w:val="bottom"/>
          </w:tcPr>
          <w:p>
            <w:pPr>
              <w:spacing w:after="0"/>
              <w:rPr>
                <w:sz w:val="12"/>
                <w:szCs w:val="12"/>
                <w:color w:val="auto"/>
              </w:rPr>
            </w:pPr>
          </w:p>
        </w:tc>
        <w:tc>
          <w:tcPr>
            <w:tcW w:w="1036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Grand Duchy of Luxembourg. The address for each of the other entities named in this footnote is c/o The Carlyle Group, 1001 Pennsylvania Avenue, NW, Suite 220 South,</w:t>
            </w:r>
          </w:p>
        </w:tc>
      </w:tr>
      <w:tr>
        <w:trPr>
          <w:trHeight w:val="185"/>
        </w:trPr>
        <w:tc>
          <w:tcPr>
            <w:tcW w:w="300" w:type="dxa"/>
            <w:vAlign w:val="bottom"/>
          </w:tcPr>
          <w:p>
            <w:pPr>
              <w:spacing w:after="0"/>
              <w:rPr>
                <w:sz w:val="16"/>
                <w:szCs w:val="16"/>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Washington, D.C. 20004.</w:t>
            </w:r>
          </w:p>
        </w:tc>
      </w:tr>
      <w:tr>
        <w:trPr>
          <w:trHeight w:val="246"/>
        </w:trPr>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(5)</w:t>
            </w:r>
          </w:p>
        </w:tc>
        <w:tc>
          <w:tcPr>
            <w:tcW w:w="10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Reflects            shares of Class A common stock held by Hellman &amp; Friedman Capital Partners X (Parallel), L.P.,            shares of Class A common stock held by HFCP X</w:t>
            </w:r>
          </w:p>
        </w:tc>
      </w:tr>
    </w:tbl>
    <w:p>
      <w:pPr>
        <w:ind w:left="600"/>
        <w:spacing w:after="0" w:line="219" w:lineRule="auto"/>
        <w:tabs>
          <w:tab w:leader="none" w:pos="6720" w:val="left"/>
        </w:tabs>
        <w:rPr>
          <w:sz w:val="20"/>
          <w:szCs w:val="20"/>
          <w:color w:val="auto"/>
        </w:rPr>
      </w:pPr>
      <w:r>
        <w:rPr>
          <w:rFonts w:ascii="Times New Roman" w:cs="Times New Roman" w:eastAsia="Times New Roman" w:hAnsi="Times New Roman"/>
          <w:sz w:val="14"/>
          <w:szCs w:val="14"/>
          <w:color w:val="auto"/>
        </w:rPr>
        <w:t xml:space="preserve">(Parallel - A), L.P.,             shares of Class A common stock held by Mend Partners II, L.P. and          </w:t>
        <w:tab/>
        <w:t>shares of Class B common stock held by Mend Investment Holdings I, L.P.</w:t>
      </w:r>
    </w:p>
    <w:p>
      <w:pPr>
        <w:ind w:left="600"/>
        <w:spacing w:after="0"/>
        <w:rPr>
          <w:sz w:val="20"/>
          <w:szCs w:val="20"/>
          <w:color w:val="auto"/>
        </w:rPr>
      </w:pPr>
      <w:r>
        <w:rPr>
          <w:rFonts w:ascii="Times New Roman" w:cs="Times New Roman" w:eastAsia="Times New Roman" w:hAnsi="Times New Roman"/>
          <w:sz w:val="14"/>
          <w:szCs w:val="14"/>
          <w:color w:val="auto"/>
        </w:rPr>
        <w:t>(collectively, the “H&amp;F Funds”).</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Hellman &amp; Friedman Investors X, L.P. (“Investors X GP”) is the general partner of Hellman &amp; Friedman Capital Partners X (Parallel), L.P. and HFCP X (Parallel - A), L.P.</w:t>
      </w:r>
    </w:p>
    <w:p>
      <w:pPr>
        <w:spacing w:after="0" w:line="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Mend Partners GP, LLC (“Mend GP”) is the general partner of Mend Partners II, L.P. Investors X GP is the managing member of Mend GP.</w:t>
      </w:r>
    </w:p>
    <w:p>
      <w:pPr>
        <w:spacing w:after="0" w:line="93" w:lineRule="exact"/>
        <w:rPr>
          <w:sz w:val="20"/>
          <w:szCs w:val="20"/>
          <w:color w:val="auto"/>
        </w:rPr>
      </w:pPr>
    </w:p>
    <w:p>
      <w:pPr>
        <w:ind w:left="600" w:right="560"/>
        <w:spacing w:after="0" w:line="255" w:lineRule="auto"/>
        <w:rPr>
          <w:sz w:val="20"/>
          <w:szCs w:val="20"/>
          <w:color w:val="auto"/>
        </w:rPr>
      </w:pPr>
      <w:r>
        <w:rPr>
          <w:rFonts w:ascii="Times New Roman" w:cs="Times New Roman" w:eastAsia="Times New Roman" w:hAnsi="Times New Roman"/>
          <w:sz w:val="14"/>
          <w:szCs w:val="14"/>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9" w:lineRule="exact"/>
        <w:rPr>
          <w:sz w:val="20"/>
          <w:szCs w:val="20"/>
          <w:color w:val="auto"/>
        </w:rPr>
      </w:pPr>
    </w:p>
    <w:p>
      <w:pPr>
        <w:ind w:left="600" w:right="280"/>
        <w:spacing w:after="0" w:line="238" w:lineRule="auto"/>
        <w:rPr>
          <w:sz w:val="20"/>
          <w:szCs w:val="20"/>
          <w:color w:val="auto"/>
        </w:rPr>
      </w:pPr>
      <w:r>
        <w:rPr>
          <w:rFonts w:ascii="Times New Roman" w:cs="Times New Roman" w:eastAsia="Times New Roman" w:hAnsi="Times New Roman"/>
          <w:sz w:val="14"/>
          <w:szCs w:val="14"/>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named in this footnote is c/o Hellman &amp; Friedman LLC, 415 Mission Street, Suite 5700, San Francisco, California 94105.</w:t>
      </w:r>
    </w:p>
    <w:p>
      <w:pPr>
        <w:spacing w:after="0" w:line="83" w:lineRule="exact"/>
        <w:rPr>
          <w:sz w:val="20"/>
          <w:szCs w:val="20"/>
          <w:color w:val="auto"/>
        </w:rPr>
      </w:pPr>
    </w:p>
    <w:p>
      <w:pPr>
        <w:ind w:left="600" w:right="200" w:hanging="433"/>
        <w:spacing w:after="0" w:line="238" w:lineRule="auto"/>
        <w:tabs>
          <w:tab w:leader="none" w:pos="6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Mozart HoldCo, Inc. is an entity that is owned directly and/or indirectly by members of the Mills Family and their personal planning vehicles.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w:t>
      </w:r>
    </w:p>
    <w:p>
      <w:pPr>
        <w:spacing w:after="0" w:line="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(7)</w:t>
            </w:r>
          </w:p>
        </w:tc>
        <w:tc>
          <w:tcPr>
            <w:tcW w:w="10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shares of Class A common stock are held of record by Hux Investment Pte. Ltd. Hux shares the power to vote and the power to dispose of these shares with GIC Special</w:t>
            </w:r>
          </w:p>
        </w:tc>
      </w:tr>
      <w:tr>
        <w:trPr>
          <w:trHeight w:val="147"/>
        </w:trPr>
        <w:tc>
          <w:tcPr>
            <w:tcW w:w="300" w:type="dxa"/>
            <w:vAlign w:val="bottom"/>
          </w:tcPr>
          <w:p>
            <w:pPr>
              <w:spacing w:after="0"/>
              <w:rPr>
                <w:sz w:val="12"/>
                <w:szCs w:val="12"/>
                <w:color w:val="auto"/>
              </w:rPr>
            </w:pPr>
          </w:p>
        </w:tc>
        <w:tc>
          <w:tcPr>
            <w:tcW w:w="105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Investments Pte. Ltd. (“GIC SI”) and GIC Private Limited (“GIC”), both of which are private limited companies incorporated in Singapore. GIC SI is wholly-owned by GIC and is the</w:t>
            </w:r>
          </w:p>
        </w:tc>
      </w:tr>
      <w:tr>
        <w:trPr>
          <w:trHeight w:val="147"/>
        </w:trPr>
        <w:tc>
          <w:tcPr>
            <w:tcW w:w="300" w:type="dxa"/>
            <w:vAlign w:val="bottom"/>
          </w:tcPr>
          <w:p>
            <w:pPr>
              <w:spacing w:after="0"/>
              <w:rPr>
                <w:sz w:val="12"/>
                <w:szCs w:val="12"/>
                <w:color w:val="auto"/>
              </w:rPr>
            </w:pPr>
          </w:p>
        </w:tc>
        <w:tc>
          <w:tcPr>
            <w:tcW w:w="105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private equity investment arm of GIC. GIC is wholly-owned by the Government of Singapore and was set up with the sole purpose of managing the Government of Singapore’s</w:t>
            </w:r>
          </w:p>
        </w:tc>
      </w:tr>
      <w:tr>
        <w:trPr>
          <w:trHeight w:val="185"/>
        </w:trPr>
        <w:tc>
          <w:tcPr>
            <w:tcW w:w="300" w:type="dxa"/>
            <w:vAlign w:val="bottom"/>
          </w:tcPr>
          <w:p>
            <w:pPr>
              <w:spacing w:after="0"/>
              <w:rPr>
                <w:sz w:val="16"/>
                <w:szCs w:val="16"/>
                <w:color w:val="auto"/>
              </w:rPr>
            </w:pPr>
          </w:p>
        </w:tc>
        <w:tc>
          <w:tcPr>
            <w:tcW w:w="10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reserves. The Government of Singapore disclaims beneficial ownership of such shares. The address for Hux is 168 Robinson Road, #37-01 Capital Tower, Singapore 068912.</w:t>
            </w:r>
          </w:p>
        </w:tc>
      </w:tr>
      <w:tr>
        <w:trPr>
          <w:trHeight w:val="346"/>
        </w:trPr>
        <w:tc>
          <w:tcPr>
            <w:tcW w:w="300" w:type="dxa"/>
            <w:vAlign w:val="bottom"/>
          </w:tcPr>
          <w:p>
            <w:pPr>
              <w:spacing w:after="0"/>
              <w:rPr>
                <w:sz w:val="24"/>
                <w:szCs w:val="24"/>
                <w:color w:val="auto"/>
              </w:rPr>
            </w:pPr>
          </w:p>
        </w:tc>
        <w:tc>
          <w:tcPr>
            <w:tcW w:w="1058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205</w:t>
            </w:r>
          </w:p>
        </w:tc>
      </w:tr>
    </w:tbl>
    <w:p>
      <w:pPr>
        <w:sectPr>
          <w:pgSz w:w="11900" w:h="16838" w:orient="portrait"/>
          <w:cols w:equalWidth="0" w:num="1">
            <w:col w:w="11080"/>
          </w:cols>
          <w:pgMar w:left="320" w:top="451"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1062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tc>
      </w:tr>
      <w:tr>
        <w:trPr>
          <w:trHeight w:val="237"/>
        </w:trPr>
        <w:tc>
          <w:tcPr>
            <w:tcW w:w="300" w:type="dxa"/>
            <w:vAlign w:val="bottom"/>
          </w:tcPr>
          <w:p>
            <w:pPr>
              <w:spacing w:after="0"/>
              <w:rPr>
                <w:sz w:val="20"/>
                <w:szCs w:val="20"/>
                <w:color w:val="auto"/>
              </w:rPr>
            </w:pPr>
          </w:p>
        </w:tc>
        <w:tc>
          <w:tcPr>
            <w:tcW w:w="1062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tc>
      </w:tr>
      <w:tr>
        <w:trPr>
          <w:trHeight w:val="271"/>
        </w:trPr>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(8)</w:t>
            </w:r>
          </w:p>
        </w:tc>
        <w:tc>
          <w:tcPr>
            <w:tcW w:w="10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shares of Class A common stock are directly held by Platinum Falcon B 2018 RSC Limited, a restricted scope company incorporated in the Abu Dhabi Global Market</w:t>
            </w:r>
          </w:p>
        </w:tc>
      </w:tr>
      <w:tr>
        <w:trPr>
          <w:trHeight w:val="147"/>
        </w:trPr>
        <w:tc>
          <w:tcPr>
            <w:tcW w:w="300" w:type="dxa"/>
            <w:vAlign w:val="bottom"/>
          </w:tcPr>
          <w:p>
            <w:pPr>
              <w:spacing w:after="0"/>
              <w:rPr>
                <w:sz w:val="12"/>
                <w:szCs w:val="12"/>
                <w:color w:val="auto"/>
              </w:rPr>
            </w:pPr>
          </w:p>
        </w:tc>
        <w:tc>
          <w:tcPr>
            <w:tcW w:w="106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and an indirect wholly owned subsidiary of the Abu Dhabi Investment Authority (“ADIA”), a public institution established by the Government of the Emirate of Abu Dhabi. By reason</w:t>
            </w:r>
          </w:p>
        </w:tc>
      </w:tr>
      <w:tr>
        <w:trPr>
          <w:trHeight w:val="147"/>
        </w:trPr>
        <w:tc>
          <w:tcPr>
            <w:tcW w:w="300" w:type="dxa"/>
            <w:vAlign w:val="bottom"/>
          </w:tcPr>
          <w:p>
            <w:pPr>
              <w:spacing w:after="0"/>
              <w:rPr>
                <w:sz w:val="12"/>
                <w:szCs w:val="12"/>
                <w:color w:val="auto"/>
              </w:rPr>
            </w:pPr>
          </w:p>
        </w:tc>
        <w:tc>
          <w:tcPr>
            <w:tcW w:w="106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of its ownership of Platinum Falcon and pursuant to the rules and regulations of the SEC, ADIA may also be deemed to share investment and voting power over and, therefore,</w:t>
            </w:r>
          </w:p>
        </w:tc>
      </w:tr>
      <w:tr>
        <w:trPr>
          <w:trHeight w:val="147"/>
        </w:trPr>
        <w:tc>
          <w:tcPr>
            <w:tcW w:w="300" w:type="dxa"/>
            <w:vAlign w:val="bottom"/>
          </w:tcPr>
          <w:p>
            <w:pPr>
              <w:spacing w:after="0"/>
              <w:rPr>
                <w:sz w:val="12"/>
                <w:szCs w:val="12"/>
                <w:color w:val="auto"/>
              </w:rPr>
            </w:pPr>
          </w:p>
        </w:tc>
        <w:tc>
          <w:tcPr>
            <w:tcW w:w="106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beneficial ownership of, the shares held directly by Platinum Falcon. The address for ADIA is 211 Corniche Street, P.O. Box 3600, Abu Dhabi, United Arab Emirates and the address</w:t>
            </w:r>
          </w:p>
        </w:tc>
      </w:tr>
      <w:tr>
        <w:trPr>
          <w:trHeight w:val="185"/>
        </w:trPr>
        <w:tc>
          <w:tcPr>
            <w:tcW w:w="3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 Platinum Falcon B 2018 RSC Limited is Level 26, Al Khatem Tower, Abu Dhabi Global Market Square, Al Maryah Island, Abu Dhabi, United Arab Emirates.</w:t>
            </w:r>
          </w:p>
        </w:tc>
      </w:tr>
    </w:tbl>
    <w:p>
      <w:pPr>
        <w:spacing w:after="0" w:line="180"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We intend to use any proceeds from the issuance of shares pursuant to any exercise by the underwriters of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Of this amount, the following table sets forth the amounts that may be received by certain of our pre-IPO owners and their respective affiliated entities.</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6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Assuming Underwriters’</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 Is Exercised in Full</w:t>
            </w: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940" w:type="dxa"/>
            <w:vAlign w:val="bottom"/>
            <w:tcBorders>
              <w:top w:val="single" w:sz="8" w:color="auto"/>
            </w:tcBorders>
            <w:gridSpan w:val="2"/>
          </w:tcPr>
          <w:p>
            <w:pPr>
              <w:jc w:val="center"/>
              <w:ind w:right="9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40" w:type="dxa"/>
            <w:vAlign w:val="bottom"/>
            <w:gridSpan w:val="2"/>
          </w:tcPr>
          <w:p>
            <w:pPr>
              <w:jc w:val="center"/>
              <w:ind w:right="960"/>
              <w:spacing w:after="0" w:line="147" w:lineRule="exact"/>
              <w:rPr>
                <w:sz w:val="20"/>
                <w:szCs w:val="20"/>
                <w:color w:val="auto"/>
              </w:rPr>
            </w:pPr>
            <w:r>
              <w:rPr>
                <w:rFonts w:ascii="Times New Roman" w:cs="Times New Roman" w:eastAsia="Times New Roman" w:hAnsi="Times New Roman"/>
                <w:sz w:val="14"/>
                <w:szCs w:val="14"/>
                <w:b w:val="1"/>
                <w:bCs w:val="1"/>
                <w:color w:val="auto"/>
              </w:rPr>
              <w:t>Equity Interests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Sold</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1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1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6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206</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The following section summarizes the terms of our material principal indebtedness.</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75" w:lineRule="exact"/>
        <w:rPr>
          <w:sz w:val="20"/>
          <w:szCs w:val="20"/>
          <w:color w:val="auto"/>
        </w:rPr>
      </w:pPr>
    </w:p>
    <w:p>
      <w:pPr>
        <w:ind w:left="160" w:right="380" w:firstLine="436"/>
        <w:spacing w:after="0" w:line="263" w:lineRule="auto"/>
        <w:rPr>
          <w:sz w:val="20"/>
          <w:szCs w:val="20"/>
          <w:color w:val="auto"/>
        </w:rPr>
      </w:pPr>
      <w:r>
        <w:rPr>
          <w:rFonts w:ascii="Times New Roman" w:cs="Times New Roman" w:eastAsia="Times New Roman" w:hAnsi="Times New Roman"/>
          <w:sz w:val="18"/>
          <w:szCs w:val="18"/>
          <w:color w:val="auto"/>
        </w:rPr>
        <w:t>The Sponsor Acquisition Credit Agreement initially provided for (i) the Initial Dollar Term Loan Facility in an aggregate principal amount of $7,270 million, (ii) the Initial Euro Term Loan Facility in an aggregate principal amount equal to the euro equivalent of $500 million and (iii) the Revolving Credit Facility in an aggregate principal amount of $1,000 million.</w:t>
      </w:r>
    </w:p>
    <w:p>
      <w:pPr>
        <w:spacing w:after="0" w:line="175" w:lineRule="exact"/>
        <w:rPr>
          <w:sz w:val="20"/>
          <w:szCs w:val="20"/>
          <w:color w:val="auto"/>
        </w:rPr>
      </w:pPr>
    </w:p>
    <w:p>
      <w:pPr>
        <w:ind w:left="160" w:firstLine="436"/>
        <w:spacing w:after="0" w:line="265" w:lineRule="auto"/>
        <w:rPr>
          <w:sz w:val="20"/>
          <w:szCs w:val="20"/>
          <w:color w:val="auto"/>
        </w:rPr>
      </w:pPr>
      <w:r>
        <w:rPr>
          <w:rFonts w:ascii="Times New Roman" w:cs="Times New Roman" w:eastAsia="Times New Roman" w:hAnsi="Times New Roman"/>
          <w:sz w:val="17"/>
          <w:szCs w:val="17"/>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New Dollar Term Loan Facility, the Refinanced Dollar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and, together with the Revolving Credit Facility and the New Euro Term Loan Facility, the “Senior Secured Credit Facilities”).</w:t>
      </w:r>
    </w:p>
    <w:p>
      <w:pPr>
        <w:spacing w:after="0" w:line="186" w:lineRule="exact"/>
        <w:rPr>
          <w:sz w:val="20"/>
          <w:szCs w:val="20"/>
          <w:color w:val="auto"/>
        </w:rPr>
      </w:pPr>
    </w:p>
    <w:p>
      <w:pPr>
        <w:ind w:left="160" w:right="20" w:firstLine="436"/>
        <w:spacing w:after="0" w:line="266" w:lineRule="auto"/>
        <w:rPr>
          <w:sz w:val="20"/>
          <w:szCs w:val="20"/>
          <w:color w:val="auto"/>
        </w:rPr>
      </w:pPr>
      <w:r>
        <w:rPr>
          <w:rFonts w:ascii="Times New Roman" w:cs="Times New Roman" w:eastAsia="Times New Roman" w:hAnsi="Times New Roman"/>
          <w:sz w:val="17"/>
          <w:szCs w:val="17"/>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 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w:t>
      </w:r>
    </w:p>
    <w:p>
      <w:pPr>
        <w:spacing w:after="0" w:line="3" w:lineRule="exact"/>
        <w:rPr>
          <w:sz w:val="20"/>
          <w:szCs w:val="20"/>
          <w:color w:val="auto"/>
        </w:rPr>
      </w:pPr>
    </w:p>
    <w:p>
      <w:pPr>
        <w:ind w:left="160" w:right="140" w:firstLine="7"/>
        <w:spacing w:after="0" w:line="250" w:lineRule="auto"/>
        <w:tabs>
          <w:tab w:leader="none" w:pos="40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60"/>
          </w:cols>
          <w:pgMar w:left="320" w:top="452" w:right="5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color w:val="auto"/>
        </w:rPr>
        <w:t xml:space="preserve">as we (I) in the case of incremental indebtedness that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Borrowings under the New Dollar Term Loan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New Dollar Term Loan Facility, to a Term SOFR floor of 0.50%, and in the case of the Revolving Credit Facility, to a Term SOFR floor of 0.00%. Borrowings under the New Euro Term Loan Facility bear interest at a rate per annum equal to an applicable margin over a EURIBOR rate for euro deposits determined by reference to the applicable page for the EURIBOR rate for euro deposits for the interest period relevant to such borrowing.</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18"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62"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(i) the New Dollar Term Loan Facility in connection with certain repricing transactions that occur prior to the 6-month anniversary of the Fourth Amendment Date shall be subject to a prepayment premium of 1.0% of the principal amount of the term loans so prepaid, refinanced or repriced, subject to certain exceptions and (ii) the New Euro Term Loan Facility in connection with certain repricing transactions that occur prior to the 6-month anniversary of the Third Amendment Date shall be subject to a prepayment premium of 1.0% of the principal amount of such term loans so prepaid, refinanced, or repriced, subject to certain exceptions.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Amortization and Maturity</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The term loans under the New Dollar Term Loan Facility amortize in equal quarterly installments in an aggregate annual amount equal to 1.00% of the original principal amount of such term loans as of the Fourth Amendment Date, with the balance being payable on the Initial Term Loan Maturity Date. The term loans under</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40"/>
          </w:cols>
          <w:pgMar w:left="320" w:top="452" w:right="5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the New Euro Term Loan Facility do not have any amortization, with the balance payable on the Initial Term Loan Maturity Date. The Revolving Credit Facility will, subject to the Springing Condition, mature five years after the Third Amendment Date.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18"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84"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69" w:lineRule="exact"/>
        <w:rPr>
          <w:sz w:val="20"/>
          <w:szCs w:val="20"/>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 and</w:t>
      </w:r>
    </w:p>
    <w:p>
      <w:pPr>
        <w:spacing w:after="0" w:line="127" w:lineRule="exact"/>
        <w:rPr>
          <w:rFonts w:ascii="Times New Roman" w:cs="Times New Roman" w:eastAsia="Times New Roman" w:hAnsi="Times New Roman"/>
          <w:sz w:val="18"/>
          <w:szCs w:val="18"/>
          <w:color w:val="auto"/>
        </w:rPr>
      </w:pPr>
    </w:p>
    <w:p>
      <w:pPr>
        <w:ind w:left="1140" w:right="80" w:hanging="438"/>
        <w:spacing w:after="0" w:line="278" w:lineRule="auto"/>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subordinated indebtedness in a manner materially adverse to the lenders under the Senior Secured Credit Facilities.</w:t>
      </w:r>
    </w:p>
    <w:p>
      <w:pPr>
        <w:spacing w:after="0" w:line="162" w:lineRule="exact"/>
        <w:rPr>
          <w:sz w:val="20"/>
          <w:szCs w:val="20"/>
          <w:color w:val="auto"/>
        </w:rPr>
      </w:pPr>
    </w:p>
    <w:p>
      <w:pPr>
        <w:ind w:left="160" w:right="340" w:firstLine="436"/>
        <w:spacing w:after="0" w:line="255"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60"/>
          </w:cols>
          <w:pgMar w:left="320" w:top="452"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Dollar Term Loan Facility</w:t>
      </w:r>
    </w:p>
    <w:p>
      <w:pPr>
        <w:spacing w:after="0" w:line="118" w:lineRule="exact"/>
        <w:rPr>
          <w:sz w:val="20"/>
          <w:szCs w:val="20"/>
          <w:color w:val="auto"/>
        </w:rPr>
      </w:pPr>
    </w:p>
    <w:p>
      <w:pPr>
        <w:ind w:left="160" w:firstLine="436"/>
        <w:spacing w:after="0" w:line="270" w:lineRule="auto"/>
        <w:rPr>
          <w:sz w:val="20"/>
          <w:szCs w:val="20"/>
          <w:color w:val="auto"/>
        </w:rPr>
      </w:pPr>
      <w:r>
        <w:rPr>
          <w:rFonts w:ascii="Times New Roman" w:cs="Times New Roman" w:eastAsia="Times New Roman" w:hAnsi="Times New Roman"/>
          <w:sz w:val="17"/>
          <w:szCs w:val="17"/>
          <w:color w:val="auto"/>
        </w:rPr>
        <w:t>On the Third Amendment Date, we incurred term loans under a new dollar-denominated senior secured term loan facility in an aggregate principal amount of approximately $1,519 million. The New Dollar Term Loan Facility has substantially identical terms to the Existing Dollar Term Loan Facility, provided, however, that (a) the New Dollar Term Loan Facility is a separate class of term loans under the Credit Agreement, (b) the applicable margin with respect to the interest rates under the New Dollar Term Loan Facility is lower than the applicable margin with respect to the interest rates under the Existing Dollar Term Loan Facility, and (c) any voluntary prepayment, refinancing, or repricing of the term loans under the New Dollar Term Loan Facility in connection with certain repricing transactions that occur prior to the 6-month anniversary of the Third Amendment Date are subject to a prepayment premium of 1.0% of the principal amount of the term loans so prepaid, refinanced, or repriced, subject to certain exceptions.</w:t>
      </w:r>
    </w:p>
    <w:p>
      <w:pPr>
        <w:spacing w:after="0" w:line="2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Euro Term Loan Facility</w:t>
      </w:r>
    </w:p>
    <w:p>
      <w:pPr>
        <w:spacing w:after="0" w:line="118"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On the Third Amendment Date, we refinanced all of our Existing Euro Term Loan Facility with the incurrence of new euro-denominated Term B loans and incurred incremental euro-denominated Term B loans in an aggregate principal amount of approximately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 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Extension</w:t>
      </w:r>
    </w:p>
    <w:p>
      <w:pPr>
        <w:spacing w:after="0" w:line="118"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On the Third Amendment Date, we amended the Revolving Credit Facility to extend the maturity date to the date that is five years following the Third Amendment Date, subject to the Springing Condition.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2021 Notes</w:t>
      </w:r>
    </w:p>
    <w:p>
      <w:pPr>
        <w:spacing w:after="0" w:line="118" w:lineRule="exact"/>
        <w:rPr>
          <w:sz w:val="20"/>
          <w:szCs w:val="20"/>
          <w:color w:val="auto"/>
        </w:rPr>
      </w:pPr>
    </w:p>
    <w:p>
      <w:pPr>
        <w:ind w:left="160" w:right="40" w:firstLine="436"/>
        <w:spacing w:after="0" w:line="270" w:lineRule="auto"/>
        <w:rPr>
          <w:sz w:val="20"/>
          <w:szCs w:val="20"/>
          <w:color w:val="auto"/>
        </w:rPr>
      </w:pPr>
      <w:r>
        <w:rPr>
          <w:rFonts w:ascii="Times New Roman" w:cs="Times New Roman" w:eastAsia="Times New Roman" w:hAnsi="Times New Roman"/>
          <w:sz w:val="17"/>
          <w:szCs w:val="17"/>
          <w:color w:val="auto"/>
        </w:rPr>
        <w:t>To partially finance the Sponsor Acquisition, Medline Borrower, LP (the “Issuer”) and Medline 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w:t>
      </w:r>
    </w:p>
    <w:p>
      <w:pPr>
        <w:spacing w:after="0" w:line="1" w:lineRule="exact"/>
        <w:rPr>
          <w:sz w:val="20"/>
          <w:szCs w:val="20"/>
          <w:color w:val="auto"/>
        </w:rPr>
      </w:pPr>
    </w:p>
    <w:p>
      <w:pPr>
        <w:ind w:left="160" w:right="180"/>
        <w:spacing w:after="0" w:line="256" w:lineRule="auto"/>
        <w:rPr>
          <w:sz w:val="20"/>
          <w:szCs w:val="20"/>
          <w:color w:val="auto"/>
        </w:rPr>
      </w:pPr>
      <w:r>
        <w:rPr>
          <w:rFonts w:ascii="Times New Roman" w:cs="Times New Roman" w:eastAsia="Times New Roman" w:hAnsi="Times New Roman"/>
          <w:sz w:val="18"/>
          <w:szCs w:val="18"/>
          <w:color w:val="auto"/>
        </w:rPr>
        <w:t>5.250% Senior Notes due 2029 (the “2021 Unsecured Notes” and, together with the 2021 Secured Notes, the “2021 Notes”)) pursuant to an indenture, dated as of October 15, 2021 (the “2021 Unsecured Notes Indenture”).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60"/>
          </w:cols>
          <w:pgMar w:left="320" w:top="452"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The 2021 Secured Notes have a fixed annual interest rate of 3.875%, which will be paid in cash semi-annually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Ranking and Guarantees</w:t>
      </w:r>
    </w:p>
    <w:p>
      <w:pPr>
        <w:spacing w:after="0" w:line="118"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The 2021 Notes are guaranteed by Medline Intermediate, LP and each of the Issuer’s wholly owned domestic restricted subsidiaries (other than the Co-Issuer) that guarantee our Senior Secured Credit Facilities.</w:t>
      </w:r>
    </w:p>
    <w:p>
      <w:pPr>
        <w:spacing w:after="0" w:line="162"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84"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18"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9" w:lineRule="exact"/>
        <w:rPr>
          <w:sz w:val="20"/>
          <w:szCs w:val="20"/>
          <w:color w:val="auto"/>
        </w:rPr>
      </w:pPr>
    </w:p>
    <w:p>
      <w:pPr>
        <w:ind w:left="1140" w:hanging="438"/>
        <w:spacing w:after="0"/>
        <w:tabs>
          <w:tab w:leader="none" w:pos="11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60"/>
          </w:cols>
          <w:pgMar w:left="320" w:top="452" w:right="5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2024 Notes</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84"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The 2024 Notes have a fixed annual interest rate of 6.250%, which will be paid in cash semi-annually in arrears on April 1 and October 1 of each year and will mature on April 1, 2029.</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Ranking and Guarantees</w:t>
      </w:r>
    </w:p>
    <w:p>
      <w:pPr>
        <w:spacing w:after="0" w:line="118"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The 2024 Notes are guaranteed by Medline Intermediate, LP and each of the Issuer’s wholly owned domestic restricted subsidiaries (other than the Co-Issuer) that guarantee our Senior Secured Credit Facilities.</w:t>
      </w:r>
    </w:p>
    <w:p>
      <w:pPr>
        <w:spacing w:after="0" w:line="162"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18"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8"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20"/>
          </w:cols>
          <w:pgMar w:left="320" w:top="451" w:right="5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40"/>
        <w:spacing w:after="0" w:line="254" w:lineRule="auto"/>
        <w:rPr>
          <w:sz w:val="20"/>
          <w:szCs w:val="20"/>
          <w:color w:val="auto"/>
        </w:rPr>
      </w:pPr>
      <w:r>
        <w:rPr>
          <w:rFonts w:ascii="Times New Roman" w:cs="Times New Roman" w:eastAsia="Times New Roman" w:hAnsi="Times New Roman"/>
          <w:sz w:val="18"/>
          <w:szCs w:val="18"/>
          <w:color w:val="auto"/>
        </w:rPr>
        <w:t>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84"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75"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9" w:lineRule="exact"/>
        <w:rPr>
          <w:sz w:val="20"/>
          <w:szCs w:val="20"/>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27" w:lineRule="exact"/>
        <w:rPr>
          <w:rFonts w:ascii="Times New Roman" w:cs="Times New Roman" w:eastAsia="Times New Roman" w:hAnsi="Times New Roman"/>
          <w:sz w:val="18"/>
          <w:szCs w:val="18"/>
          <w:color w:val="auto"/>
        </w:rPr>
      </w:pPr>
    </w:p>
    <w:p>
      <w:pPr>
        <w:ind w:left="5500" w:right="1900" w:hanging="4798"/>
        <w:spacing w:after="0" w:line="448" w:lineRule="auto"/>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 213</w:t>
      </w:r>
    </w:p>
    <w:p>
      <w:pPr>
        <w:sectPr>
          <w:pgSz w:w="11900" w:h="16838" w:orient="portrait"/>
          <w:cols w:equalWidth="0" w:num="1">
            <w:col w:w="11080"/>
          </w:cols>
          <w:pgMar w:left="320" w:top="451"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our certificate of incorporation and our bylaws. The following is a description of the material terms of, and is qualified in its entirety by, Medline Inc.’s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Medline Inc. and not to any of its subsidiaries.</w:t>
      </w:r>
    </w:p>
    <w:p>
      <w:pPr>
        <w:spacing w:after="0" w:line="184"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be organized under the DGCL. Upon the consummation of this offering, our authorized capital stock will consist of         shares of Class A common stock, par value $0.0001 per share,         shares of Class B common stock, par value $0.0001 per share, and         shares of preferred stock, par value $0.0001 per share. No shares of preferred stock</w:t>
      </w:r>
    </w:p>
    <w:p>
      <w:pPr>
        <w:spacing w:after="0" w:line="1" w:lineRule="exact"/>
        <w:rPr>
          <w:sz w:val="20"/>
          <w:szCs w:val="20"/>
          <w:color w:val="auto"/>
        </w:rPr>
      </w:pPr>
    </w:p>
    <w:p>
      <w:pPr>
        <w:ind w:left="160" w:right="320"/>
        <w:spacing w:after="0" w:line="256" w:lineRule="auto"/>
        <w:rPr>
          <w:sz w:val="20"/>
          <w:szCs w:val="20"/>
          <w:color w:val="auto"/>
        </w:rPr>
      </w:pPr>
      <w:r>
        <w:rPr>
          <w:rFonts w:ascii="Times New Roman" w:cs="Times New Roman" w:eastAsia="Times New Roman" w:hAnsi="Times New Roman"/>
          <w:sz w:val="18"/>
          <w:szCs w:val="18"/>
          <w:color w:val="auto"/>
        </w:rPr>
        <w:t>will be issued or outstanding immediately after the offering contemplated by this prospectus. Unless our board of directors determines otherwise, we will issue all shares of our capital stock in uncertificated form.</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8"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5"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75"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75"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Holders of shares of our Class B common stock are entitled to one vote for each share held of record on all matters on which stockholders are entitled to vote generally, including the election and removal of directors.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184" w:lineRule="exact"/>
        <w:rPr>
          <w:sz w:val="20"/>
          <w:szCs w:val="20"/>
          <w:color w:val="auto"/>
        </w:rPr>
      </w:pPr>
    </w:p>
    <w:p>
      <w:pPr>
        <w:ind w:left="160" w:right="260" w:firstLine="436"/>
        <w:spacing w:after="0" w:line="255" w:lineRule="auto"/>
        <w:rPr>
          <w:sz w:val="20"/>
          <w:szCs w:val="20"/>
          <w:color w:val="auto"/>
        </w:rPr>
      </w:pPr>
      <w:r>
        <w:rPr>
          <w:rFonts w:ascii="Times New Roman" w:cs="Times New Roman" w:eastAsia="Times New Roman" w:hAnsi="Times New Roman"/>
          <w:sz w:val="18"/>
          <w:szCs w:val="18"/>
          <w:color w:val="auto"/>
        </w:rPr>
        <w:t>We will issue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2"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Holders of shares of our Class B common stock will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91"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Holders of our Class B common stock are not entitled to receive dividends or to receive a distribution upon a liquidation, dissolution, or winding up of Medline Inc.</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any restrictions on transfer of shares of Class B common stock other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than:</w:t>
      </w:r>
    </w:p>
    <w:p>
      <w:pPr>
        <w:spacing w:after="0" w:line="109" w:lineRule="exact"/>
        <w:rPr>
          <w:sz w:val="20"/>
          <w:szCs w:val="20"/>
          <w:color w:val="auto"/>
        </w:rPr>
      </w:pPr>
    </w:p>
    <w:p>
      <w:pPr>
        <w:ind w:left="1140" w:hanging="438"/>
        <w:spacing w:after="0" w:line="278"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an automatic transfer of shares of Class B common stock to us upon an exchange of the Common Units associated with such shares;</w:t>
      </w:r>
    </w:p>
    <w:p>
      <w:pPr>
        <w:spacing w:after="0" w:line="68"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that the holder will not transfer shares of Class B common stock to any person unless the holder transfers an equal number of Common Units to the same person;</w:t>
      </w:r>
    </w:p>
    <w:p>
      <w:pPr>
        <w:spacing w:after="0" w:line="68"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that, in the event the holder transfers Common Units to any person, the holder transfer an equal number of shares of Class B common stock to the same person.</w:t>
      </w:r>
    </w:p>
    <w:p>
      <w:pPr>
        <w:spacing w:after="0" w:line="162"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holders of our Class B common stock will be subject to those of the holders of any shares of our preferred stock or any other series or class of stock we may authorize and issue in the future.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8"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1" w:lineRule="exact"/>
        <w:rPr>
          <w:sz w:val="20"/>
          <w:szCs w:val="20"/>
          <w:color w:val="auto"/>
        </w:rPr>
      </w:pPr>
    </w:p>
    <w:p>
      <w:pPr>
        <w:ind w:left="1140" w:hanging="438"/>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40"/>
          </w:cols>
          <w:pgMar w:left="320" w:top="451" w:right="5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120" w:hanging="438"/>
        <w:spacing w:after="0" w:line="263"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 on shares of such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27" w:lineRule="exact"/>
        <w:rPr>
          <w:rFonts w:ascii="Times New Roman" w:cs="Times New Roman" w:eastAsia="Times New Roman" w:hAnsi="Times New Roman"/>
          <w:sz w:val="18"/>
          <w:szCs w:val="18"/>
          <w:color w:val="auto"/>
        </w:rPr>
      </w:pPr>
    </w:p>
    <w:p>
      <w:pPr>
        <w:ind w:left="1140" w:right="460" w:hanging="438"/>
        <w:spacing w:after="0" w:line="278"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our affairs or other event;</w:t>
      </w:r>
    </w:p>
    <w:p>
      <w:pPr>
        <w:spacing w:after="0" w:line="68" w:lineRule="exact"/>
        <w:rPr>
          <w:rFonts w:ascii="Times New Roman" w:cs="Times New Roman" w:eastAsia="Times New Roman" w:hAnsi="Times New Roman"/>
          <w:sz w:val="18"/>
          <w:szCs w:val="18"/>
          <w:color w:val="auto"/>
        </w:rPr>
      </w:pPr>
    </w:p>
    <w:p>
      <w:pPr>
        <w:ind w:left="1140" w:right="40" w:hanging="438"/>
        <w:spacing w:after="0" w:line="285" w:lineRule="auto"/>
        <w:tabs>
          <w:tab w:leader="none" w:pos="11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5"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of our capital stock;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the series.</w:t>
      </w:r>
    </w:p>
    <w:p>
      <w:pPr>
        <w:spacing w:after="0" w:line="221"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8" w:lineRule="exact"/>
        <w:rPr>
          <w:sz w:val="20"/>
          <w:szCs w:val="20"/>
          <w:color w:val="auto"/>
        </w:rPr>
      </w:pPr>
    </w:p>
    <w:p>
      <w:pPr>
        <w:ind w:left="160" w:right="180" w:firstLine="436"/>
        <w:spacing w:after="0" w:line="251" w:lineRule="auto"/>
        <w:rPr>
          <w:sz w:val="20"/>
          <w:szCs w:val="20"/>
          <w:color w:val="auto"/>
        </w:rPr>
      </w:pPr>
      <w:r>
        <w:rPr>
          <w:rFonts w:ascii="Times New Roman" w:cs="Times New Roman" w:eastAsia="Times New Roman" w:hAnsi="Times New Roman"/>
          <w:sz w:val="18"/>
          <w:szCs w:val="18"/>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 except that our amended and restated certificate of incorporation will provide that holders of Class B common stock shall not be entitled to any dividends on their shares of Class B common stock. See also “Dividend Policy.”</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60"/>
          </w:cols>
          <w:pgMar w:left="320" w:top="451" w:right="5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140"/>
        <w:spacing w:after="0" w:line="282"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18"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shares that are authorized and available for issuance.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84"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80" w:lineRule="exact"/>
        <w:rPr>
          <w:sz w:val="20"/>
          <w:szCs w:val="20"/>
          <w:color w:val="auto"/>
        </w:rPr>
      </w:pPr>
    </w:p>
    <w:p>
      <w:pPr>
        <w:ind w:left="160" w:right="340" w:firstLine="436"/>
        <w:spacing w:after="0" w:line="277" w:lineRule="auto"/>
        <w:rPr>
          <w:sz w:val="20"/>
          <w:szCs w:val="20"/>
          <w:color w:val="auto"/>
        </w:rPr>
      </w:pPr>
      <w:r>
        <w:rPr>
          <w:rFonts w:ascii="Times New Roman" w:cs="Times New Roman" w:eastAsia="Times New Roman" w:hAnsi="Times New Roman"/>
          <w:sz w:val="17"/>
          <w:szCs w:val="17"/>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4" w:lineRule="exact"/>
        <w:rPr>
          <w:sz w:val="20"/>
          <w:szCs w:val="20"/>
          <w:color w:val="auto"/>
        </w:rPr>
      </w:pPr>
    </w:p>
    <w:p>
      <w:pPr>
        <w:ind w:left="1140" w:right="480" w:hanging="438"/>
        <w:spacing w:after="0" w:line="278"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40"/>
          </w:cols>
          <w:pgMar w:left="320" w:top="451" w:right="5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480" w:hanging="438"/>
        <w:spacing w:after="0" w:line="308" w:lineRule="auto"/>
        <w:tabs>
          <w:tab w:leader="none" w:pos="11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6" w:lineRule="exact"/>
        <w:rPr>
          <w:rFonts w:ascii="Times New Roman" w:cs="Times New Roman" w:eastAsia="Times New Roman" w:hAnsi="Times New Roman"/>
          <w:sz w:val="17"/>
          <w:szCs w:val="17"/>
          <w:color w:val="auto"/>
        </w:rPr>
      </w:pPr>
    </w:p>
    <w:p>
      <w:pPr>
        <w:ind w:left="1140" w:right="260" w:hanging="438"/>
        <w:spacing w:after="0" w:line="292" w:lineRule="auto"/>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our outstanding voting stock that is not owned by the interested stockholder.</w:t>
      </w:r>
    </w:p>
    <w:p>
      <w:pPr>
        <w:spacing w:after="0" w:line="26"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84" w:lineRule="exact"/>
        <w:rPr>
          <w:sz w:val="20"/>
          <w:szCs w:val="20"/>
          <w:color w:val="auto"/>
        </w:rPr>
      </w:pPr>
    </w:p>
    <w:p>
      <w:pPr>
        <w:ind w:left="160" w:right="140" w:firstLine="436"/>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84" w:lineRule="exact"/>
        <w:rPr>
          <w:sz w:val="20"/>
          <w:szCs w:val="20"/>
          <w:color w:val="auto"/>
        </w:rPr>
      </w:pPr>
    </w:p>
    <w:p>
      <w:pPr>
        <w:ind w:left="160" w:right="200" w:firstLine="436"/>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18" w:lineRule="exact"/>
        <w:rPr>
          <w:sz w:val="20"/>
          <w:szCs w:val="20"/>
          <w:color w:val="auto"/>
        </w:rPr>
      </w:pPr>
    </w:p>
    <w:p>
      <w:pPr>
        <w:jc w:val="both"/>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18"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2"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Consent</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18"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will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18" w:lineRule="exact"/>
        <w:rPr>
          <w:sz w:val="20"/>
          <w:szCs w:val="20"/>
          <w:color w:val="auto"/>
        </w:rPr>
      </w:pPr>
    </w:p>
    <w:p>
      <w:pPr>
        <w:ind w:left="160" w:right="120" w:firstLine="436"/>
        <w:spacing w:after="0" w:line="270" w:lineRule="auto"/>
        <w:rPr>
          <w:sz w:val="20"/>
          <w:szCs w:val="20"/>
          <w:color w:val="auto"/>
        </w:rPr>
      </w:pPr>
      <w:r>
        <w:rPr>
          <w:rFonts w:ascii="Times New Roman" w:cs="Times New Roman" w:eastAsia="Times New Roman" w:hAnsi="Times New Roman"/>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52"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18"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62"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84"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87"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18" w:lineRule="exact"/>
        <w:rPr>
          <w:sz w:val="20"/>
          <w:szCs w:val="20"/>
          <w:color w:val="auto"/>
        </w:rPr>
      </w:pPr>
    </w:p>
    <w:p>
      <w:pPr>
        <w:ind w:left="160" w:right="60" w:firstLine="436"/>
        <w:spacing w:after="0" w:line="266" w:lineRule="auto"/>
        <w:rPr>
          <w:sz w:val="20"/>
          <w:szCs w:val="20"/>
          <w:color w:val="auto"/>
        </w:rPr>
      </w:pPr>
      <w:r>
        <w:rPr>
          <w:rFonts w:ascii="Times New Roman" w:cs="Times New Roman" w:eastAsia="Times New Roman" w:hAnsi="Times New Roman"/>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ind w:left="380" w:hanging="213"/>
        <w:spacing w:after="0"/>
        <w:tabs>
          <w:tab w:leader="none" w:pos="3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 corporate opportunity in the same or similar lines of business in which we or our affiliates now engage or propose to engage or</w:t>
      </w:r>
    </w:p>
    <w:p>
      <w:pPr>
        <w:spacing w:after="0" w:line="6" w:lineRule="exact"/>
        <w:rPr>
          <w:rFonts w:ascii="Times New Roman" w:cs="Times New Roman" w:eastAsia="Times New Roman" w:hAnsi="Times New Roman"/>
          <w:sz w:val="18"/>
          <w:szCs w:val="18"/>
          <w:color w:val="auto"/>
        </w:rPr>
      </w:pPr>
    </w:p>
    <w:p>
      <w:pPr>
        <w:ind w:left="160" w:right="200" w:firstLine="7"/>
        <w:spacing w:after="0" w:line="256" w:lineRule="auto"/>
        <w:tabs>
          <w:tab w:leader="none" w:pos="42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competing with us or our affiliates. In addition, to the fullest extent permitted by law, in the event that our Sponsors, the Mills Family or any non-employee director acquires knowledge of a potential transaction or other</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1"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will enter into with the Designating Stockholders will also contain provisions providing the Designating Stockholders with access to our corporate information.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187"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0"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transfer agent and registrar for shares of our Class A common stock will be Equiniti Trust Company, LLC.</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applied to list our Class A common stock on Nasdaq under the symbol “MDLN.”</w:t>
      </w:r>
    </w:p>
    <w:p>
      <w:pPr>
        <w:spacing w:after="0" w:line="1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40"/>
          </w:cols>
          <w:pgMar w:left="320" w:top="452" w:right="5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TO NON-U.S. HOLDERS</w:t>
      </w:r>
    </w:p>
    <w:p>
      <w:pPr>
        <w:spacing w:after="0" w:line="225"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68" w:lineRule="exact"/>
        <w:rPr>
          <w:sz w:val="20"/>
          <w:szCs w:val="20"/>
          <w:color w:val="auto"/>
        </w:rPr>
      </w:pPr>
    </w:p>
    <w:p>
      <w:pPr>
        <w:ind w:left="160" w:right="840" w:firstLine="436"/>
        <w:spacing w:after="0" w:line="278" w:lineRule="auto"/>
        <w:rPr>
          <w:sz w:val="20"/>
          <w:szCs w:val="20"/>
          <w:color w:val="auto"/>
        </w:rPr>
      </w:pPr>
      <w:r>
        <w:rPr>
          <w:rFonts w:ascii="Times New Roman" w:cs="Times New Roman" w:eastAsia="Times New Roman" w:hAnsi="Times New Roman"/>
          <w:sz w:val="18"/>
          <w:szCs w:val="18"/>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69" w:lineRule="exact"/>
        <w:rPr>
          <w:sz w:val="20"/>
          <w:szCs w:val="20"/>
          <w:color w:val="auto"/>
        </w:rPr>
      </w:pPr>
    </w:p>
    <w:p>
      <w:pPr>
        <w:ind w:left="1140" w:hanging="438"/>
        <w:spacing w:after="0"/>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7" w:lineRule="exact"/>
        <w:rPr>
          <w:rFonts w:ascii="Times New Roman" w:cs="Times New Roman" w:eastAsia="Times New Roman" w:hAnsi="Times New Roman"/>
          <w:sz w:val="18"/>
          <w:szCs w:val="18"/>
          <w:color w:val="auto"/>
        </w:rPr>
      </w:pPr>
    </w:p>
    <w:p>
      <w:pPr>
        <w:ind w:left="1140" w:hanging="438"/>
        <w:spacing w:after="0" w:line="259" w:lineRule="auto"/>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has a valid election in effect under applicable U.S. Treasury regulations to be treated as a U.S. person.</w:t>
      </w:r>
    </w:p>
    <w:p>
      <w:pPr>
        <w:spacing w:after="0" w:line="202" w:lineRule="exact"/>
        <w:rPr>
          <w:sz w:val="20"/>
          <w:szCs w:val="20"/>
          <w:color w:val="auto"/>
        </w:rPr>
      </w:pPr>
    </w:p>
    <w:p>
      <w:pPr>
        <w:ind w:left="160" w:right="40" w:firstLine="436"/>
        <w:spacing w:after="0" w:line="266" w:lineRule="auto"/>
        <w:rPr>
          <w:sz w:val="20"/>
          <w:szCs w:val="20"/>
          <w:color w:val="auto"/>
        </w:rPr>
      </w:pPr>
      <w:r>
        <w:rPr>
          <w:rFonts w:ascii="Times New Roman" w:cs="Times New Roman" w:eastAsia="Times New Roman" w:hAnsi="Times New Roman"/>
          <w:sz w:val="17"/>
          <w:szCs w:val="17"/>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82" w:lineRule="exact"/>
        <w:rPr>
          <w:sz w:val="20"/>
          <w:szCs w:val="20"/>
          <w:color w:val="auto"/>
        </w:rPr>
      </w:pPr>
    </w:p>
    <w:p>
      <w:pPr>
        <w:jc w:val="both"/>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71" w:lineRule="exact"/>
        <w:rPr>
          <w:sz w:val="20"/>
          <w:szCs w:val="20"/>
          <w:color w:val="auto"/>
        </w:rPr>
      </w:pPr>
    </w:p>
    <w:p>
      <w:pPr>
        <w:ind w:left="160" w:right="3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80"/>
          </w:cols>
          <w:pgMar w:left="320" w:top="452"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4"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4"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18"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Class A common stock generally will not be subject to U.S. federal income tax unless:</w:t>
      </w:r>
    </w:p>
    <w:p>
      <w:pPr>
        <w:spacing w:after="0" w:line="69" w:lineRule="exact"/>
        <w:rPr>
          <w:sz w:val="20"/>
          <w:szCs w:val="20"/>
          <w:color w:val="auto"/>
        </w:rPr>
      </w:pPr>
    </w:p>
    <w:p>
      <w:pPr>
        <w:ind w:left="1140" w:right="400" w:hanging="438"/>
        <w:spacing w:after="0" w:line="278" w:lineRule="auto"/>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8" w:lineRule="exact"/>
        <w:rPr>
          <w:rFonts w:ascii="Times New Roman" w:cs="Times New Roman" w:eastAsia="Times New Roman" w:hAnsi="Times New Roman"/>
          <w:sz w:val="18"/>
          <w:szCs w:val="18"/>
          <w:color w:val="auto"/>
        </w:rPr>
      </w:pPr>
    </w:p>
    <w:p>
      <w:pPr>
        <w:ind w:left="1140" w:right="280" w:hanging="438"/>
        <w:spacing w:after="0" w:line="278" w:lineRule="auto"/>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1" w:lineRule="exact"/>
        <w:rPr>
          <w:sz w:val="20"/>
          <w:szCs w:val="20"/>
          <w:color w:val="auto"/>
        </w:rPr>
      </w:pPr>
    </w:p>
    <w:p>
      <w:pPr>
        <w:ind w:left="160" w:right="20" w:firstLine="436"/>
        <w:spacing w:after="0" w:line="285" w:lineRule="auto"/>
        <w:rPr>
          <w:sz w:val="20"/>
          <w:szCs w:val="20"/>
          <w:color w:val="auto"/>
        </w:rPr>
      </w:pPr>
      <w:r>
        <w:rPr>
          <w:rFonts w:ascii="Times New Roman" w:cs="Times New Roman" w:eastAsia="Times New Roman" w:hAnsi="Times New Roman"/>
          <w:sz w:val="17"/>
          <w:szCs w:val="17"/>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60"/>
          </w:cols>
          <w:pgMar w:left="320" w:top="452" w:right="5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80"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5"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75"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80"/>
          </w:cols>
          <w:pgMar w:left="320" w:top="452"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160" w:firstLine="436"/>
        <w:spacing w:after="0" w:line="270"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72"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Upon completion of this offering we will have a total of         shares of our Class A common stock outstanding (or         shares of Class A common stock if the underwriters exercise in full their option to purchase additional shares of Class A common stock).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shares of our Class A common stock held by the Pre-IPO Stockholders and the Exchanging Unitholders (or         shares of Class A common stock if the underwriters exercise in full their option to purchase additional shares of Class A common stock) will be “restricted securities,” as defined in Rule 144 and may not be sold absent registration under the Securities Act or compliance with Rule 144 thereunder or in reliance on another exemption from registration.</w:t>
      </w:r>
    </w:p>
    <w:p>
      <w:pPr>
        <w:spacing w:after="0" w:line="187" w:lineRule="exact"/>
        <w:rPr>
          <w:sz w:val="20"/>
          <w:szCs w:val="20"/>
          <w:color w:val="auto"/>
        </w:rPr>
      </w:pPr>
    </w:p>
    <w:p>
      <w:pPr>
        <w:ind w:left="160" w:right="60" w:firstLine="436"/>
        <w:spacing w:after="0" w:line="250" w:lineRule="auto"/>
        <w:rPr>
          <w:sz w:val="20"/>
          <w:szCs w:val="20"/>
          <w:color w:val="auto"/>
        </w:rPr>
      </w:pPr>
      <w:r>
        <w:rPr>
          <w:rFonts w:ascii="Times New Roman" w:cs="Times New Roman" w:eastAsia="Times New Roman" w:hAnsi="Times New Roman"/>
          <w:sz w:val="18"/>
          <w:szCs w:val="18"/>
          <w:color w:val="auto"/>
        </w:rPr>
        <w:t>In addition, subject to certain limitations and exceptions, pursuant to the terms of an exchange agreement we will enter into with the Continuing Unitholders, holders of Common Units (including Common Units issued upon conversion of vested Incentive Units) may (subject to the terms of the exchange agreement) exchange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consummation of this offering, the Continuing Unitholders will hold         Common Units (or         Common Units if the underwriters exercise in full their option to purchase additional shares of Class A common stock), all of which will be exchangeable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Moreover, as a result of the registration rights agreement, all or a portion of these shares may be eligible for future sale without restriction, subject to the lock-up arrangements described below. See “—Registration Rights” and “Certain Relationships and Related Person Transactions— Registration Rights Agreement.”</w:t>
      </w:r>
    </w:p>
    <w:p>
      <w:pPr>
        <w:spacing w:after="0" w:line="193"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In addition,         shares of Class A common stock may be granted under our Omnibus Incentive Plan, including shares of Class A common stock issuable following vesting and upon exchange for         as-converted Incentive Units held by the Continuing Incentive Unitholders with a weighted average participation threshold of $    per unit. For additional information concerning the awards under the Omnibus Incentive Plan that we intend to grant in connection with this offering or that will be outstanding at the time of this offering, see “Summary—The Offering.” In addition, for a description of these grants under our Omnibus Incentive Plan, see “Management—Compensation Arrangements to be Adopted in Connection with this Offering—Omnibus Incentive Plan.” Additionally,         shares of Class A common stock will be reserved for issuance under our ESPP. For a detailed description of the ESPP, see “Management—Compensation Arrangements to be Adopted in Connection with this Offering—Employee Stock Purchase Plan.” We intend to file one or more registration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80"/>
          </w:cols>
          <w:pgMar w:left="320" w:top="452"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statements on Form S-8 under the Securities Act to register shares of Class A common stock or securities convertible into or exchangeable for shares of Class A common stock issued under or covered by our Omnibus Incentive Plan and our ESPP. Any such Form S-8 registration statements will automatically become effective upon filing. Accordingly, shares of Class A common stock registered under such registration statements will be available for sale in the open market. We expect that the initial registration statement on Form S-8 will cover         shares of Class A common stock.</w:t>
      </w:r>
    </w:p>
    <w:p>
      <w:pPr>
        <w:spacing w:after="0" w:line="180" w:lineRule="exact"/>
        <w:rPr>
          <w:sz w:val="20"/>
          <w:szCs w:val="20"/>
          <w:color w:val="auto"/>
        </w:rPr>
      </w:pPr>
    </w:p>
    <w:p>
      <w:pPr>
        <w:ind w:left="160" w:right="200" w:firstLine="43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partnership agreement of Medline Holdings permits Medline Holdings to issue an unlimited number of additional limited partnership interests of Medline Holdings with designations, preferences, rights, powers, and duties that are different from, and may be senior to, those applicable to the Common Units, and which may be exchangeable for shares of our Class A common stock.</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8"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the Offering Transactions, we will enter into a registration rights agreement with our Principal Stockholders and our Other Pre-IPO Investors. See “Certain Relationships and Related Person Transactions—Registration Rights Agreement.”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our officers, directors, our Principal Stockholders, our Other Pre-IPO Investors, and our other pre-IPO owners representing substantially all of the Common Units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 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in cash or otherwise, or publicly disclose the intention to make any such offer, sale, pledge, or disposition, or to enter into any transaction, swap, hedge, or other arrangement, without, in each case, the prior written consent of either Goldman Sachs &amp; Co. LLC or Morgan Stanley &amp; Co. LLC, and one additional representative, on behalf of the underwriters, for a period of 180 days after the date of this prospectus. These agreements are subject to certain exceptions, as set forth in “Underwriting.”</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8"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60"/>
          </w:cols>
          <w:pgMar w:left="320" w:top="451" w:right="5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three-month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84"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60"/>
          </w:cols>
          <w:pgMar w:left="320" w:top="451" w:right="5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5"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18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58"/>
        </w:trPr>
        <w:tc>
          <w:tcPr>
            <w:tcW w:w="5920" w:type="dxa"/>
            <w:vAlign w:val="bottom"/>
            <w:gridSpan w:val="2"/>
            <w:vMerge w:val="continue"/>
          </w:tcPr>
          <w:p>
            <w:pPr>
              <w:spacing w:after="0"/>
              <w:rPr>
                <w:sz w:val="13"/>
                <w:szCs w:val="13"/>
                <w:color w:val="auto"/>
              </w:rPr>
            </w:pPr>
          </w:p>
        </w:tc>
        <w:tc>
          <w:tcPr>
            <w:tcW w:w="1480" w:type="dxa"/>
            <w:vAlign w:val="bottom"/>
            <w:gridSpan w:val="2"/>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Goldman Sachs &amp; Co. LLC</w:t>
            </w:r>
          </w:p>
        </w:tc>
        <w:tc>
          <w:tcPr>
            <w:tcW w:w="1440" w:type="dxa"/>
            <w:vAlign w:val="bottom"/>
            <w:shd w:val="clear" w:color="auto" w:fill="CCEEFF"/>
          </w:tcPr>
          <w:p>
            <w:pPr>
              <w:ind w:left="720"/>
              <w:spacing w:after="0" w:line="201"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00" w:firstLine="436"/>
        <w:spacing w:after="0" w:line="278"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purchase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80"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additional shares.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Paid by Us</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5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07"/>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We and our officers and directors and our pre-IPO owners have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the date of this prospectus, except with the prior written consent of either Goldman Sachs &amp; Co. LLC or Morgan Stanley &amp; Co. LLC, and one additional representative, on behalf of the underwriters.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applied to list the shares on Nasdaq under the symbol “MDLN.”</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80"/>
          </w:cols>
          <w:pgMar w:left="320" w:top="451"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180"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93"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estimate that its share of the total expenses of the offering, excluding underwriting discounts and commissions, will be approximately</w:t>
      </w:r>
    </w:p>
    <w:p>
      <w:pPr>
        <w:spacing w:after="0" w:line="26" w:lineRule="exact"/>
        <w:rPr>
          <w:sz w:val="20"/>
          <w:szCs w:val="20"/>
          <w:color w:val="auto"/>
        </w:rPr>
      </w:pPr>
    </w:p>
    <w:p>
      <w:pPr>
        <w:ind w:left="160" w:right="80"/>
        <w:spacing w:after="0" w:line="256" w:lineRule="auto"/>
        <w:rPr>
          <w:sz w:val="20"/>
          <w:szCs w:val="20"/>
          <w:color w:val="auto"/>
        </w:rPr>
      </w:pPr>
      <w:r>
        <w:rPr>
          <w:rFonts w:ascii="Times New Roman" w:cs="Times New Roman" w:eastAsia="Times New Roman" w:hAnsi="Times New Roman"/>
          <w:sz w:val="18"/>
          <w:szCs w:val="18"/>
          <w:color w:val="auto"/>
        </w:rPr>
        <w:t>$        . We have also agreed to reimburse the underwriters for certain FINRA-related expenses incurred by them in connection with the offering in an amount up to $        .</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w:t>
      </w:r>
    </w:p>
    <w:p>
      <w:pPr>
        <w:spacing w:after="0" w:line="221"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8"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40"/>
          </w:cols>
          <w:pgMar w:left="320" w:top="452" w:right="5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 For example, Bank of America, N.A., an affiliate of BofA Securities, Inc., is administrative agent and collateral agent under the credit agreement that governs our Senior Secured Credit Facilities, and JPMorgan Chase Bank, N.A., an affiliate of J.P. Morgan Securities LLC, Bank of America, N.A., Goldman Sachs Bank USA, an affiliate of Goldman Sachs &amp; Co. LLC, and Morgan Stanley Senior Funding Inc., an affiliate of Morgan Stanley &amp; Co. LLC, are joint-lead arrangers and lenders under certain of our Senior Secured Credit Facilities. In addition, J.P. Morgan Securities LLC and Goldman Sachs &amp; Co. LLC served as the representatives of the initial purchasers, and BofA Securities, Inc. and Morgan Stanley &amp; Co. LLC served as joint bookrunning managers in connection with our offering of $4,500 million aggregate principal amount of the 2021 Secured Notes and $2,500 million aggregate principal amount of the 2021 Unsecured Notes, for which they received customary fees and commissions. Goldman Sachs &amp; Co. and BofA Securities, Inc. served as the representatives of the initial purchasers, and J.P. Morgan Securities LLC and Morgan Stanley &amp; Co. LLC served as joint bookrunning managers in connection with our offering of $1,000 million aggregate principal amount of the Initial 2024 Notes, for which they received customary fees and commissions. Goldman Sachs &amp; Co. LLC, BofA Securities, Inc., and J.P. Morgan Securities LLC served as the representatives of the initial purchasers, and Morgan Stanley &amp; Co. LLC served as joint bookrunning manager, in connection with our offering of $500 million aggregate principal amount of the Additional 2024 Notes, for which they received customary fees and commissions.</w:t>
      </w:r>
    </w:p>
    <w:p>
      <w:pPr>
        <w:spacing w:after="0" w:line="190"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6"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Class A common stock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(as defined herein),</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40"/>
          </w:cols>
          <w:pgMar w:left="320" w:top="452" w:right="5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20"/>
        <w:spacing w:after="0" w:line="278" w:lineRule="auto"/>
        <w:rPr>
          <w:sz w:val="20"/>
          <w:szCs w:val="20"/>
          <w:color w:val="auto"/>
        </w:rPr>
      </w:pPr>
      <w:r>
        <w:rPr>
          <w:rFonts w:ascii="Times New Roman" w:cs="Times New Roman" w:eastAsia="Times New Roman" w:hAnsi="Times New Roman"/>
          <w:sz w:val="18"/>
          <w:szCs w:val="18"/>
          <w:color w:val="auto"/>
        </w:rPr>
        <w:t>except that offers of shares may be made to the public in that Member State at any time under the following exemptions under the Prospectus Regulation:</w:t>
      </w:r>
    </w:p>
    <w:p>
      <w:pPr>
        <w:spacing w:after="0" w:line="69" w:lineRule="exact"/>
        <w:rPr>
          <w:sz w:val="20"/>
          <w:szCs w:val="20"/>
          <w:color w:val="auto"/>
        </w:rPr>
      </w:pPr>
    </w:p>
    <w:p>
      <w:pPr>
        <w:ind w:left="1140" w:hanging="545"/>
        <w:spacing w:after="0"/>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 (as defined herein);</w:t>
      </w:r>
    </w:p>
    <w:p>
      <w:pPr>
        <w:spacing w:after="0" w:line="127" w:lineRule="exact"/>
        <w:rPr>
          <w:rFonts w:ascii="Times New Roman" w:cs="Times New Roman" w:eastAsia="Times New Roman" w:hAnsi="Times New Roman"/>
          <w:sz w:val="18"/>
          <w:szCs w:val="18"/>
          <w:color w:val="auto"/>
        </w:rPr>
      </w:pPr>
    </w:p>
    <w:p>
      <w:pPr>
        <w:ind w:left="1140" w:right="100" w:hanging="545"/>
        <w:spacing w:after="0" w:line="278" w:lineRule="auto"/>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underwriters for any such offer; or</w:t>
      </w:r>
    </w:p>
    <w:p>
      <w:pPr>
        <w:spacing w:after="0" w:line="68" w:lineRule="exact"/>
        <w:rPr>
          <w:rFonts w:ascii="Times New Roman" w:cs="Times New Roman" w:eastAsia="Times New Roman" w:hAnsi="Times New Roman"/>
          <w:sz w:val="18"/>
          <w:szCs w:val="18"/>
          <w:color w:val="auto"/>
        </w:rPr>
      </w:pPr>
    </w:p>
    <w:p>
      <w:pPr>
        <w:ind w:left="1140" w:right="20" w:hanging="545"/>
        <w:spacing w:after="0" w:line="255" w:lineRule="auto"/>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4"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Member State to qualified investors as so defined or in circumstances in which the prior consent of the representatives has been obtained to each such proposed offer or resale.</w:t>
      </w:r>
    </w:p>
    <w:p>
      <w:pPr>
        <w:spacing w:after="0" w:line="184"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Class A common stock in any Member State means the communication in any form and by means of sufficient information on the terms of the offer and the shares of Class A common stock to be offered so as to enable an investor to decide to purchase shares of Class A common stock, and the expression “Prospectus Regulation” means Regulation (EU) 2017/1129 (as amended).</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6" w:lineRule="exact"/>
        <w:rPr>
          <w:sz w:val="20"/>
          <w:szCs w:val="20"/>
          <w:color w:val="auto"/>
        </w:rPr>
      </w:pPr>
    </w:p>
    <w:p>
      <w:pPr>
        <w:jc w:val="both"/>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82" w:lineRule="exact"/>
        <w:rPr>
          <w:sz w:val="20"/>
          <w:szCs w:val="20"/>
          <w:color w:val="auto"/>
        </w:rPr>
      </w:pPr>
    </w:p>
    <w:p>
      <w:pPr>
        <w:ind w:left="1140" w:hanging="545"/>
        <w:spacing w:after="0"/>
        <w:tabs>
          <w:tab w:leader="none" w:pos="1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(as defined herein);</w:t>
      </w:r>
    </w:p>
    <w:p>
      <w:pPr>
        <w:spacing w:after="0" w:line="127" w:lineRule="exact"/>
        <w:rPr>
          <w:rFonts w:ascii="Times New Roman" w:cs="Times New Roman" w:eastAsia="Times New Roman" w:hAnsi="Times New Roman"/>
          <w:sz w:val="18"/>
          <w:szCs w:val="18"/>
          <w:color w:val="auto"/>
        </w:rPr>
      </w:pPr>
    </w:p>
    <w:p>
      <w:pPr>
        <w:ind w:left="1140" w:right="380" w:hanging="545"/>
        <w:spacing w:after="0" w:line="278" w:lineRule="auto"/>
        <w:tabs>
          <w:tab w:leader="none" w:pos="1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(“FSMA”);</w:t>
      </w:r>
    </w:p>
    <w:p>
      <w:pPr>
        <w:spacing w:after="0" w:line="219" w:lineRule="exact"/>
        <w:rPr>
          <w:sz w:val="20"/>
          <w:szCs w:val="20"/>
          <w:color w:val="auto"/>
        </w:rPr>
      </w:pPr>
    </w:p>
    <w:p>
      <w:pPr>
        <w:ind w:left="160" w:right="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Class A common stock shall require any underwriter to publish a prospectus pursuant to Section 85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FSMA or supplement a prospectus pursuant to Article 23 of the UK Prospectus Regulation.</w:t>
      </w:r>
    </w:p>
    <w:p>
      <w:pPr>
        <w:spacing w:after="0" w:line="161"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Class A common stock in the United Kingdom means the communication in any form and by any means of sufficient information on the terms of the offer and any shares to be offered so as to enable an investor to decide to purchase or subscribe for any shares of Class A common stock and the expression “UK Prospectus Regulation”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60"/>
          </w:cols>
          <w:pgMar w:left="320" w:top="451" w:right="5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63" w:lineRule="auto"/>
        <w:rPr>
          <w:sz w:val="20"/>
          <w:szCs w:val="20"/>
          <w:color w:val="auto"/>
        </w:rPr>
      </w:pPr>
      <w:r>
        <w:rPr>
          <w:rFonts w:ascii="Times New Roman" w:cs="Times New Roman" w:eastAsia="Times New Roman" w:hAnsi="Times New Roman"/>
          <w:sz w:val="18"/>
          <w:szCs w:val="18"/>
          <w:color w:val="auto"/>
        </w:rPr>
        <w:t>means Regulation (EU) 2017/1129 as it forms part of domestic law by virtue of the European Union (Withdrawal) Act 2018 and each person who initially acquires any shares of Class A common stock or to whom any offer is made will be deemed to have represented, warranted and agreed to and with each of the underwriters and us that it is a qualified investor within the meaning of Article 2(e) of the UK Prospectus Regulation.</w:t>
      </w:r>
    </w:p>
    <w:p>
      <w:pPr>
        <w:spacing w:after="0" w:line="175"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Each person in the UK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180"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are persons falling within Article 49(2)(a) to (d)(“high net worth companies, unincorporated associations etc.”) of the Financial Promotion Order; (iii) persons who are outside the United Kingdom; and (iv)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shares of Class A common stock will only be available to, and any invitation, offer, or agreement to subscribe for, purchase, or otherwise acquire such shares will be engaged only with, Relevant Persons. Any person who is not a Relevant Person should not act or rely on this prospectus or any of its contents.</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4" w:lineRule="exact"/>
        <w:rPr>
          <w:sz w:val="20"/>
          <w:szCs w:val="20"/>
          <w:color w:val="auto"/>
        </w:rPr>
      </w:pPr>
    </w:p>
    <w:p>
      <w:pPr>
        <w:ind w:left="160" w:right="180" w:firstLine="436"/>
        <w:spacing w:after="0" w:line="277"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Dubai International Financial Centre</w:t>
      </w:r>
    </w:p>
    <w:p>
      <w:pPr>
        <w:spacing w:after="0" w:line="116" w:lineRule="exact"/>
        <w:rPr>
          <w:sz w:val="20"/>
          <w:szCs w:val="20"/>
          <w:color w:val="auto"/>
        </w:rPr>
      </w:pPr>
    </w:p>
    <w:p>
      <w:pPr>
        <w:ind w:left="160" w:right="260" w:firstLine="436"/>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40"/>
          </w:cols>
          <w:pgMar w:left="320" w:top="451" w:right="5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78" w:lineRule="auto"/>
        <w:rPr>
          <w:sz w:val="20"/>
          <w:szCs w:val="20"/>
          <w:color w:val="auto"/>
        </w:rPr>
      </w:pPr>
      <w:r>
        <w:rPr>
          <w:rFonts w:ascii="Times New Roman" w:cs="Times New Roman" w:eastAsia="Times New Roman" w:hAnsi="Times New Roman"/>
          <w:sz w:val="18"/>
          <w:szCs w:val="18"/>
          <w:color w:val="auto"/>
        </w:rPr>
        <w:t>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16"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6"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16"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60" w:right="480" w:firstLine="436"/>
        <w:spacing w:after="0" w:line="278"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60"/>
          </w:cols>
          <w:pgMar w:left="320" w:top="452" w:right="5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420"/>
        <w:spacing w:after="0" w:line="263" w:lineRule="auto"/>
        <w:rPr>
          <w:sz w:val="20"/>
          <w:szCs w:val="20"/>
          <w:color w:val="auto"/>
        </w:rPr>
      </w:pPr>
      <w:r>
        <w:rPr>
          <w:rFonts w:ascii="Times New Roman" w:cs="Times New Roman" w:eastAsia="Times New Roman" w:hAnsi="Times New Roman"/>
          <w:sz w:val="18"/>
          <w:szCs w:val="18"/>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5"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16" w:lineRule="exact"/>
        <w:rPr>
          <w:sz w:val="20"/>
          <w:szCs w:val="20"/>
          <w:color w:val="auto"/>
        </w:rPr>
      </w:pPr>
    </w:p>
    <w:p>
      <w:pPr>
        <w:ind w:left="160" w:right="100" w:firstLine="436"/>
        <w:spacing w:after="0" w:line="251"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6"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60"/>
          </w:cols>
          <w:pgMar w:left="320" w:top="452" w:right="5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6"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3" w:lineRule="exact"/>
        <w:rPr>
          <w:sz w:val="20"/>
          <w:szCs w:val="20"/>
          <w:color w:val="auto"/>
        </w:rPr>
      </w:pPr>
    </w:p>
    <w:p>
      <w:pPr>
        <w:ind w:left="160" w:right="280" w:firstLine="7"/>
        <w:spacing w:after="0" w:line="256" w:lineRule="auto"/>
        <w:tabs>
          <w:tab w:leader="none" w:pos="47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w:t>
      </w:r>
    </w:p>
    <w:p>
      <w:pPr>
        <w:spacing w:after="0" w:line="127" w:lineRule="exact"/>
        <w:rPr>
          <w:sz w:val="20"/>
          <w:szCs w:val="20"/>
          <w:color w:val="auto"/>
        </w:rPr>
      </w:pPr>
    </w:p>
    <w:p>
      <w:pPr>
        <w:ind w:left="1140" w:right="100" w:hanging="545"/>
        <w:spacing w:after="0" w:line="278"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68" w:lineRule="exact"/>
        <w:rPr>
          <w:rFonts w:ascii="Times New Roman" w:cs="Times New Roman" w:eastAsia="Times New Roman" w:hAnsi="Times New Roman"/>
          <w:sz w:val="18"/>
          <w:szCs w:val="18"/>
          <w:color w:val="auto"/>
        </w:rPr>
      </w:pPr>
    </w:p>
    <w:p>
      <w:pPr>
        <w:ind w:left="1140" w:right="300" w:hanging="545"/>
        <w:spacing w:after="0" w:line="278"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the securities (as defined in Section 239(1) of the SFA) of that corporation shall not be transferable for six months after that corporation has acquired the shares under Section 275 of the SFA except:</w:t>
      </w:r>
    </w:p>
    <w:p>
      <w:pPr>
        <w:spacing w:after="0" w:line="189" w:lineRule="exact"/>
        <w:rPr>
          <w:sz w:val="20"/>
          <w:szCs w:val="20"/>
          <w:color w:val="auto"/>
        </w:rPr>
      </w:pPr>
    </w:p>
    <w:p>
      <w:pPr>
        <w:ind w:left="1140" w:hanging="545"/>
        <w:spacing w:after="0"/>
        <w:tabs>
          <w:tab w:leader="none" w:pos="11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275(1A) or Section 276(4)(i)</w:t>
      </w:r>
    </w:p>
    <w:p>
      <w:pPr>
        <w:spacing w:after="0" w:line="37"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SFA;</w:t>
      </w:r>
    </w:p>
    <w:p>
      <w:pPr>
        <w:spacing w:after="0" w:line="108" w:lineRule="exact"/>
        <w:rPr>
          <w:rFonts w:ascii="Times New Roman" w:cs="Times New Roman" w:eastAsia="Times New Roman" w:hAnsi="Times New Roman"/>
          <w:sz w:val="17"/>
          <w:szCs w:val="17"/>
          <w:color w:val="auto"/>
        </w:rPr>
      </w:pPr>
    </w:p>
    <w:p>
      <w:pPr>
        <w:ind w:left="1140" w:hanging="545"/>
        <w:spacing w:after="0"/>
        <w:tabs>
          <w:tab w:leader="none" w:pos="11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19" w:lineRule="exact"/>
        <w:rPr>
          <w:sz w:val="20"/>
          <w:szCs w:val="20"/>
          <w:color w:val="auto"/>
        </w:rPr>
      </w:pPr>
    </w:p>
    <w:p>
      <w:pPr>
        <w:ind w:left="160" w:right="12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Singapore Securities and Futures Act Product Classification</w:t>
      </w:r>
      <w:r>
        <w:rPr>
          <w:rFonts w:ascii="Times New Roman" w:cs="Times New Roman" w:eastAsia="Times New Roman" w:hAnsi="Times New Roman"/>
          <w:sz w:val="18"/>
          <w:szCs w:val="18"/>
          <w:color w:val="auto"/>
        </w:rPr>
        <w:t>—Solely for the purposes of its obligations pursuant to Sections 309B(1)(a)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116"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60"/>
          </w:cols>
          <w:pgMar w:left="320" w:top="452" w:right="5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116"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shares of Class A common stock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1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0820"/>
          </w:cols>
          <w:pgMar w:left="320" w:top="452" w:right="7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60" w:right="200" w:firstLine="43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Medline Holdings, LP at December 31, 2024,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8"/>
          <w:szCs w:val="18"/>
          <w:i w:val="1"/>
          <w:iCs w:val="1"/>
          <w:color w:val="auto"/>
        </w:rPr>
        <w:t>http://www.sec.gov.</w:t>
      </w:r>
    </w:p>
    <w:p>
      <w:pPr>
        <w:spacing w:after="0" w:line="185" w:lineRule="exact"/>
        <w:rPr>
          <w:sz w:val="20"/>
          <w:szCs w:val="20"/>
          <w:color w:val="auto"/>
        </w:rPr>
      </w:pPr>
    </w:p>
    <w:p>
      <w:pPr>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maintain an internet site at </w:t>
      </w:r>
      <w:r>
        <w:rPr>
          <w:rFonts w:ascii="Times New Roman" w:cs="Times New Roman" w:eastAsia="Times New Roman" w:hAnsi="Times New Roman"/>
          <w:sz w:val="18"/>
          <w:szCs w:val="18"/>
          <w:i w:val="1"/>
          <w:iCs w:val="1"/>
          <w:color w:val="auto"/>
        </w:rPr>
        <w:t>www.medline.com.</w:t>
      </w:r>
      <w:r>
        <w:rPr>
          <w:rFonts w:ascii="Times New Roman" w:cs="Times New Roman" w:eastAsia="Times New Roman" w:hAnsi="Times New Roman"/>
          <w:sz w:val="18"/>
          <w:szCs w:val="18"/>
          <w:color w:val="auto"/>
        </w:rPr>
        <w:t xml:space="preserve"> The information on, or accessible from, our website is not part of this prospectus by reference or otherwise.</w:t>
      </w:r>
    </w:p>
    <w:p>
      <w:pPr>
        <w:spacing w:after="0" w:line="161"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the informational requirements of the Exchange Act and will be required to file annual, quarterly and current reports, proxy statements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80"/>
          </w:cols>
          <w:pgMar w:left="320" w:top="451" w:right="4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40" w:type="dxa"/>
            <w:vAlign w:val="bottom"/>
          </w:tcPr>
          <w:p>
            <w:pPr>
              <w:spacing w:after="0"/>
              <w:rPr>
                <w:sz w:val="17"/>
                <w:szCs w:val="17"/>
                <w:color w:val="auto"/>
              </w:rPr>
            </w:pPr>
          </w:p>
        </w:tc>
      </w:tr>
      <w:tr>
        <w:trPr>
          <w:trHeight w:val="519"/>
        </w:trPr>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87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Medline Inc. has requested confidential treatment of this registration statement and associated</w:t>
            </w:r>
          </w:p>
        </w:tc>
        <w:tc>
          <w:tcPr>
            <w:tcW w:w="940" w:type="dxa"/>
            <w:vAlign w:val="bottom"/>
          </w:tcPr>
          <w:p>
            <w:pPr>
              <w:spacing w:after="0"/>
              <w:rPr>
                <w:sz w:val="24"/>
                <w:szCs w:val="24"/>
                <w:color w:val="auto"/>
              </w:rPr>
            </w:pPr>
          </w:p>
        </w:tc>
      </w:tr>
      <w:tr>
        <w:trPr>
          <w:trHeight w:val="237"/>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correspondence pursuant to Rule 83 of the Securities and Exchange Commission.</w:t>
            </w:r>
          </w:p>
        </w:tc>
        <w:tc>
          <w:tcPr>
            <w:tcW w:w="940" w:type="dxa"/>
            <w:vAlign w:val="bottom"/>
          </w:tcPr>
          <w:p>
            <w:pPr>
              <w:spacing w:after="0"/>
              <w:rPr>
                <w:sz w:val="20"/>
                <w:szCs w:val="20"/>
                <w:color w:val="auto"/>
              </w:rPr>
            </w:pPr>
          </w:p>
        </w:tc>
      </w:tr>
      <w:tr>
        <w:trPr>
          <w:trHeight w:val="361"/>
        </w:trPr>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40" w:type="dxa"/>
            <w:vAlign w:val="bottom"/>
            <w:gridSpan w:val="6"/>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940" w:type="dxa"/>
            <w:vAlign w:val="bottom"/>
          </w:tcPr>
          <w:p>
            <w:pPr>
              <w:spacing w:after="0"/>
              <w:rPr>
                <w:sz w:val="24"/>
                <w:szCs w:val="24"/>
                <w:color w:val="auto"/>
              </w:rPr>
            </w:pPr>
          </w:p>
        </w:tc>
      </w:tr>
      <w:tr>
        <w:trPr>
          <w:trHeight w:val="436"/>
        </w:trPr>
        <w:tc>
          <w:tcPr>
            <w:tcW w:w="1008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Medline Holdings, LP:</w:t>
            </w:r>
          </w:p>
        </w:tc>
        <w:tc>
          <w:tcPr>
            <w:tcW w:w="940" w:type="dxa"/>
            <w:vAlign w:val="bottom"/>
          </w:tcPr>
          <w:p>
            <w:pPr>
              <w:spacing w:after="0"/>
              <w:rPr>
                <w:sz w:val="24"/>
                <w:szCs w:val="24"/>
                <w:color w:val="auto"/>
              </w:rPr>
            </w:pPr>
          </w:p>
        </w:tc>
      </w:tr>
      <w:tr>
        <w:trPr>
          <w:trHeight w:val="214"/>
        </w:trPr>
        <w:tc>
          <w:tcPr>
            <w:tcW w:w="1008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940" w:type="dxa"/>
            <w:vAlign w:val="bottom"/>
          </w:tcPr>
          <w:p>
            <w:pPr>
              <w:spacing w:after="0"/>
              <w:rPr>
                <w:sz w:val="18"/>
                <w:szCs w:val="18"/>
                <w:color w:val="auto"/>
              </w:rPr>
            </w:pPr>
          </w:p>
        </w:tc>
      </w:tr>
      <w:tr>
        <w:trPr>
          <w:trHeight w:val="192"/>
        </w:trPr>
        <w:tc>
          <w:tcPr>
            <w:tcW w:w="520" w:type="dxa"/>
            <w:vAlign w:val="bottom"/>
          </w:tcPr>
          <w:p>
            <w:pPr>
              <w:spacing w:after="0"/>
              <w:rPr>
                <w:sz w:val="16"/>
                <w:szCs w:val="16"/>
                <w:color w:val="auto"/>
              </w:rPr>
            </w:pPr>
          </w:p>
        </w:tc>
        <w:tc>
          <w:tcPr>
            <w:tcW w:w="9560" w:type="dxa"/>
            <w:vAlign w:val="bottom"/>
            <w:gridSpan w:val="8"/>
          </w:tcPr>
          <w:p>
            <w:pPr>
              <w:spacing w:after="0" w:line="19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ID-42)</w:t>
            </w: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F-2</w:t>
            </w:r>
          </w:p>
        </w:tc>
      </w:tr>
      <w:tr>
        <w:trPr>
          <w:trHeight w:val="194"/>
        </w:trPr>
        <w:tc>
          <w:tcPr>
            <w:tcW w:w="520" w:type="dxa"/>
            <w:vAlign w:val="bottom"/>
          </w:tcPr>
          <w:p>
            <w:pPr>
              <w:spacing w:after="0"/>
              <w:rPr>
                <w:sz w:val="16"/>
                <w:szCs w:val="16"/>
                <w:color w:val="auto"/>
              </w:rPr>
            </w:pPr>
          </w:p>
        </w:tc>
        <w:tc>
          <w:tcPr>
            <w:tcW w:w="5400" w:type="dxa"/>
            <w:vAlign w:val="bottom"/>
            <w:tcBorders>
              <w:top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4160" w:type="dxa"/>
            <w:vAlign w:val="bottom"/>
            <w:gridSpan w:val="4"/>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52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4"/>
        </w:trPr>
        <w:tc>
          <w:tcPr>
            <w:tcW w:w="520" w:type="dxa"/>
            <w:vAlign w:val="bottom"/>
          </w:tcPr>
          <w:p>
            <w:pPr>
              <w:spacing w:after="0"/>
              <w:rPr>
                <w:sz w:val="16"/>
                <w:szCs w:val="16"/>
                <w:color w:val="auto"/>
              </w:rPr>
            </w:pPr>
          </w:p>
        </w:tc>
        <w:tc>
          <w:tcPr>
            <w:tcW w:w="95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2024, 2023, and 2022</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52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4"/>
        </w:trPr>
        <w:tc>
          <w:tcPr>
            <w:tcW w:w="520" w:type="dxa"/>
            <w:vAlign w:val="bottom"/>
          </w:tcPr>
          <w:p>
            <w:pPr>
              <w:spacing w:after="0"/>
              <w:rPr>
                <w:sz w:val="16"/>
                <w:szCs w:val="16"/>
                <w:color w:val="auto"/>
              </w:rPr>
            </w:pPr>
          </w:p>
        </w:tc>
        <w:tc>
          <w:tcPr>
            <w:tcW w:w="896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Consolidated Statements of Mezzanine Equity and Partners’ Capital for the Years Ended December 31, 2024, 2023, and 2022</w:t>
            </w:r>
          </w:p>
        </w:tc>
        <w:tc>
          <w:tcPr>
            <w:tcW w:w="60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F-6</w:t>
            </w:r>
          </w:p>
        </w:tc>
      </w:tr>
      <w:tr>
        <w:trPr>
          <w:trHeight w:val="194"/>
        </w:trPr>
        <w:tc>
          <w:tcPr>
            <w:tcW w:w="520" w:type="dxa"/>
            <w:vAlign w:val="bottom"/>
          </w:tcPr>
          <w:p>
            <w:pPr>
              <w:spacing w:after="0"/>
              <w:rPr>
                <w:sz w:val="16"/>
                <w:szCs w:val="16"/>
                <w:color w:val="auto"/>
              </w:rPr>
            </w:pPr>
          </w:p>
        </w:tc>
        <w:tc>
          <w:tcPr>
            <w:tcW w:w="95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F-9</w:t>
            </w:r>
          </w:p>
        </w:tc>
      </w:tr>
      <w:tr>
        <w:trPr>
          <w:trHeight w:val="194"/>
        </w:trPr>
        <w:tc>
          <w:tcPr>
            <w:tcW w:w="520" w:type="dxa"/>
            <w:vAlign w:val="bottom"/>
          </w:tcPr>
          <w:p>
            <w:pPr>
              <w:spacing w:after="0"/>
              <w:rPr>
                <w:sz w:val="16"/>
                <w:szCs w:val="16"/>
                <w:color w:val="auto"/>
              </w:rPr>
            </w:pPr>
          </w:p>
        </w:tc>
        <w:tc>
          <w:tcPr>
            <w:tcW w:w="6980" w:type="dxa"/>
            <w:vAlign w:val="bottom"/>
            <w:tcBorders>
              <w:top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580" w:type="dxa"/>
            <w:vAlign w:val="bottom"/>
            <w:gridSpan w:val="3"/>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F-11</w:t>
            </w:r>
          </w:p>
        </w:tc>
      </w:tr>
      <w:tr>
        <w:trPr>
          <w:trHeight w:val="382"/>
        </w:trPr>
        <w:tc>
          <w:tcPr>
            <w:tcW w:w="5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4960" w:type="dxa"/>
            <w:vAlign w:val="bottom"/>
            <w:gridSpan w:val="5"/>
          </w:tcPr>
          <w:p>
            <w:pPr>
              <w:jc w:val="center"/>
              <w:ind w:right="3960"/>
              <w:spacing w:after="0"/>
              <w:rPr>
                <w:sz w:val="20"/>
                <w:szCs w:val="20"/>
                <w:color w:val="auto"/>
              </w:rPr>
            </w:pPr>
            <w:r>
              <w:rPr>
                <w:rFonts w:ascii="Times New Roman" w:cs="Times New Roman" w:eastAsia="Times New Roman" w:hAnsi="Times New Roman"/>
                <w:sz w:val="18"/>
                <w:szCs w:val="18"/>
                <w:color w:val="auto"/>
                <w:w w:val="95"/>
              </w:rPr>
              <w:t>F-1</w:t>
            </w:r>
          </w:p>
        </w:tc>
        <w:tc>
          <w:tcPr>
            <w:tcW w:w="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320" w:top="441"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Board of Managers of Medline Holdings, LP</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8"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Medline Holdings, LP and subsidiaries (the Company) as of December 31, 2024 and 2023, the related consolidated statements of comprehensive income, mezzanine equity and partners’ capital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8" w:lineRule="exact"/>
        <w:rPr>
          <w:sz w:val="20"/>
          <w:szCs w:val="20"/>
          <w:color w:val="auto"/>
        </w:rPr>
      </w:pPr>
    </w:p>
    <w:p>
      <w:pPr>
        <w:ind w:left="160" w:right="8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8" w:lineRule="exact"/>
        <w:rPr>
          <w:sz w:val="20"/>
          <w:szCs w:val="20"/>
          <w:color w:val="auto"/>
        </w:rPr>
      </w:pPr>
    </w:p>
    <w:p>
      <w:pPr>
        <w:ind w:left="160" w:right="340"/>
        <w:spacing w:after="0" w:line="274"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left="160" w:right="80" w:firstLine="7"/>
        <w:spacing w:after="0" w:line="252" w:lineRule="auto"/>
        <w:tabs>
          <w:tab w:leader="none" w:pos="41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1" w:right="5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i w:val="1"/>
          <w:iCs w:val="1"/>
          <w:color w:val="auto"/>
        </w:rPr>
        <w:t>Accrued customer rebates</w:t>
      </w:r>
    </w:p>
    <w:p>
      <w:pPr>
        <w:spacing w:after="0" w:line="183" w:lineRule="exact"/>
        <w:rPr>
          <w:sz w:val="20"/>
          <w:szCs w:val="20"/>
          <w:color w:val="auto"/>
        </w:rPr>
      </w:pPr>
    </w:p>
    <w:p>
      <w:pPr>
        <w:ind w:left="160"/>
        <w:spacing w:after="0"/>
        <w:tabs>
          <w:tab w:leader="none" w:pos="16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disclosed in Note 1 to the consolidated financial statements under the caption “Revenue Recognition”, the Company’s product</w:t>
      </w:r>
    </w:p>
    <w:p>
      <w:pPr>
        <w:sectPr>
          <w:pgSz w:w="11900" w:h="16838" w:orient="portrait"/>
          <w:cols w:equalWidth="0" w:num="1">
            <w:col w:w="11060"/>
          </w:cols>
          <w:pgMar w:left="320" w:top="452" w:right="519" w:bottom="1440" w:gutter="0" w:footer="0" w:header="0"/>
        </w:sectPr>
      </w:pP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sales to customers are adjusted for variable consideration, including customer rebates, which are estimated at the point revenue is recognized. The Company’s estimate of customer rebates is based upon the contractual rebate terms between the Company and its customers, products subject to a rebate, the lag between the sale and the payment of the rebate, and historical rebate payment trends. At December 31, 2024, the Company had $365 million in customer rebates and distributor chargebacks, of which a large portion relates to customer rebates.</w:t>
      </w:r>
    </w:p>
    <w:p>
      <w:pPr>
        <w:spacing w:after="0" w:line="200" w:lineRule="exact"/>
        <w:rPr>
          <w:sz w:val="20"/>
          <w:szCs w:val="20"/>
          <w:color w:val="auto"/>
        </w:rPr>
      </w:pPr>
    </w:p>
    <w:p>
      <w:pPr>
        <w:sectPr>
          <w:pgSz w:w="11900" w:h="16838" w:orient="portrait"/>
          <w:cols w:equalWidth="0" w:num="2">
            <w:col w:w="980" w:space="720"/>
            <w:col w:w="9360"/>
          </w:cols>
          <w:pgMar w:left="320" w:top="452" w:right="519" w:bottom="1440" w:gutter="0" w:footer="0" w:header="0"/>
          <w:type w:val="continuous"/>
        </w:sectPr>
      </w:pPr>
    </w:p>
    <w:p>
      <w:pPr>
        <w:spacing w:after="0" w:line="14" w:lineRule="exact"/>
        <w:rPr>
          <w:sz w:val="20"/>
          <w:szCs w:val="20"/>
          <w:color w:val="auto"/>
        </w:rPr>
      </w:pPr>
    </w:p>
    <w:p>
      <w:pPr>
        <w:ind w:left="1700" w:right="260"/>
        <w:spacing w:after="0" w:line="308" w:lineRule="auto"/>
        <w:rPr>
          <w:sz w:val="20"/>
          <w:szCs w:val="20"/>
          <w:color w:val="auto"/>
        </w:rPr>
      </w:pPr>
      <w:r>
        <w:rPr>
          <w:rFonts w:ascii="Times New Roman" w:cs="Times New Roman" w:eastAsia="Times New Roman" w:hAnsi="Times New Roman"/>
          <w:sz w:val="17"/>
          <w:szCs w:val="17"/>
          <w:color w:val="auto"/>
        </w:rPr>
        <w:t>Auditing the customer rebates liability was challenging due to the significant volume of transactions and data related to product gross sales, customer rebate rates, as well as historical rebate payments, that are used in determining the accrual balance.</w:t>
      </w:r>
    </w:p>
    <w:p>
      <w:pPr>
        <w:sectPr>
          <w:pgSz w:w="11900" w:h="16838" w:orient="portrait"/>
          <w:cols w:equalWidth="0" w:num="1">
            <w:col w:w="11060"/>
          </w:cols>
          <w:pgMar w:left="320" w:top="452" w:right="519" w:bottom="1440" w:gutter="0" w:footer="0" w:header="0"/>
          <w:type w:val="continuous"/>
        </w:sectPr>
      </w:pPr>
    </w:p>
    <w:p>
      <w:pPr>
        <w:spacing w:after="0" w:line="152" w:lineRule="exact"/>
        <w:rPr>
          <w:sz w:val="20"/>
          <w:szCs w:val="20"/>
          <w:color w:val="auto"/>
        </w:rPr>
      </w:pPr>
    </w:p>
    <w:p>
      <w:pPr>
        <w:ind w:left="160"/>
        <w:spacing w:after="0" w:line="275" w:lineRule="auto"/>
        <w:rPr>
          <w:sz w:val="20"/>
          <w:szCs w:val="20"/>
          <w:color w:val="auto"/>
        </w:rPr>
      </w:pPr>
      <w:r>
        <w:rPr>
          <w:rFonts w:ascii="Times New Roman" w:cs="Times New Roman" w:eastAsia="Times New Roman" w:hAnsi="Times New Roman"/>
          <w:sz w:val="17"/>
          <w:szCs w:val="17"/>
          <w:i w:val="1"/>
          <w:iCs w:val="1"/>
          <w:color w:val="auto"/>
        </w:rPr>
        <w:t>How We Addressed the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To test the Company’s customer rebate liability, our audit procedures included, among others, testing the completeness and accuracy of the underlying data used in the estimate, including, but not limited to, gross sales transactions, customer rebate rates,</w:t>
      </w:r>
    </w:p>
    <w:p>
      <w:pPr>
        <w:spacing w:after="0" w:line="1" w:lineRule="exact"/>
        <w:rPr>
          <w:sz w:val="20"/>
          <w:szCs w:val="20"/>
          <w:color w:val="auto"/>
        </w:rPr>
      </w:pPr>
    </w:p>
    <w:p>
      <w:pPr>
        <w:sectPr>
          <w:pgSz w:w="11900" w:h="16838" w:orient="portrait"/>
          <w:cols w:equalWidth="0" w:num="2">
            <w:col w:w="1160" w:space="540"/>
            <w:col w:w="9360"/>
          </w:cols>
          <w:pgMar w:left="320" w:top="452" w:right="519" w:bottom="1440" w:gutter="0" w:footer="0" w:header="0"/>
          <w:type w:val="continuous"/>
        </w:sectPr>
      </w:pPr>
    </w:p>
    <w:p>
      <w:pPr>
        <w:ind w:left="1700" w:hanging="153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Matter in Our Audit </w:t>
      </w:r>
      <w:r>
        <w:rPr>
          <w:rFonts w:ascii="Times New Roman" w:cs="Times New Roman" w:eastAsia="Times New Roman" w:hAnsi="Times New Roman"/>
          <w:sz w:val="17"/>
          <w:szCs w:val="17"/>
          <w:color w:val="auto"/>
        </w:rPr>
        <w:t>and historical rebate payments. We assessed the reasonableness of the data by corroborating payments to customer contracts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recalculated the variable consideration recognized based upon gross sales subject to the rebate and the executed rate per the customer contract and evaluated any differences. We recalculated the total variable consideration on gross sales and the related accrual based upon on the historical rebates as a percentage of gross sales and an independently calculated lag between rebate recognition and settlement. We evaluated the change in the accrued liability by performing inquiries and analytical procedures considering changes in contractual rebate rates, expected lag, and gross sales performance. We also tested subsequent invoicing received from customers to assess the impact to the accrual at the balance sheet date and compared that to the Company’s estimate.</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60"/>
          </w:cols>
          <w:pgMar w:left="320" w:top="452" w:right="519" w:bottom="1440" w:gutter="0" w:footer="0" w:header="0"/>
          <w:type w:val="continuous"/>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$108 and $58 as of December 31, 2024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3,219</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14,559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PARTNERS’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borrowings and other short-term borrowings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borrowings, less current portion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16,416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A Units, no par value; 128 units issued and outstanding as of December 31, 2024 and December 31,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Stock-based compensation, no par value; 106 and 82 units outstanding as of December 31, 2024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mezzanine equity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A Units, no par value; 16,723 units issued and outstanding as of December 31, 2024 and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15,976</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B Units, no par value; 721 and 754 units issued and outstanding as of December 31, 2024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B CUPI Units, no par value; 23 units issued and outstanding as of December 31, 2024 and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partners’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16,744</w:t>
            </w:r>
          </w:p>
        </w:tc>
        <w:tc>
          <w:tcPr>
            <w:tcW w:w="0" w:type="dxa"/>
            <w:vAlign w:val="bottom"/>
          </w:tcPr>
          <w:p>
            <w:pPr>
              <w:spacing w:after="0"/>
              <w:rPr>
                <w:sz w:val="1"/>
                <w:szCs w:val="1"/>
                <w:color w:val="auto"/>
              </w:rPr>
            </w:pPr>
          </w:p>
        </w:tc>
      </w:tr>
      <w:tr>
        <w:trPr>
          <w:trHeight w:val="221"/>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mezzanine equity and partners’ capital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2"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20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260" w:type="dxa"/>
            <w:vAlign w:val="bottom"/>
          </w:tcPr>
          <w:p>
            <w:pPr>
              <w:spacing w:after="0"/>
              <w:rPr>
                <w:sz w:val="10"/>
                <w:szCs w:val="10"/>
                <w:color w:val="auto"/>
              </w:rPr>
            </w:pPr>
          </w:p>
        </w:tc>
        <w:tc>
          <w:tcPr>
            <w:tcW w:w="14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17,346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5,885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Retirement plan, net of tax</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(loss) gain on derivative instruments</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7"/>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0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3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2"/>
                <w:szCs w:val="12"/>
                <w:color w:val="auto"/>
              </w:rPr>
              <w:t>Year ended December 31, 2024</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6"/>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6"/>
          </w:tcPr>
          <w:p>
            <w:pPr>
              <w:jc w:val="right"/>
              <w:ind w:right="22"/>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tcPr>
          <w:p>
            <w:pPr>
              <w:jc w:val="center"/>
              <w:ind w:right="140"/>
              <w:spacing w:after="0" w:line="114"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5"/>
          </w:tcPr>
          <w:p>
            <w:pPr>
              <w:ind w:left="140"/>
              <w:spacing w:after="0" w:line="134" w:lineRule="exact"/>
              <w:rPr>
                <w:sz w:val="20"/>
                <w:szCs w:val="20"/>
                <w:color w:val="auto"/>
              </w:rPr>
            </w:pPr>
            <w:r>
              <w:rPr>
                <w:rFonts w:ascii="Times New Roman" w:cs="Times New Roman" w:eastAsia="Times New Roman" w:hAnsi="Times New Roman"/>
                <w:sz w:val="12"/>
                <w:szCs w:val="12"/>
                <w:color w:val="auto"/>
              </w:rPr>
              <w:t>Stock-based</w:t>
            </w:r>
          </w:p>
        </w:tc>
        <w:tc>
          <w:tcPr>
            <w:tcW w:w="4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140"/>
              <w:spacing w:after="0" w:line="134" w:lineRule="exact"/>
              <w:rPr>
                <w:sz w:val="20"/>
                <w:szCs w:val="20"/>
                <w:color w:val="auto"/>
              </w:rPr>
            </w:pPr>
            <w:r>
              <w:rPr>
                <w:rFonts w:ascii="Times New Roman" w:cs="Times New Roman" w:eastAsia="Times New Roman" w:hAnsi="Times New Roman"/>
                <w:sz w:val="12"/>
                <w:szCs w:val="12"/>
                <w:color w:val="auto"/>
              </w:rPr>
              <w:t>Mezzanine</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60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w w:val="95"/>
              </w:rPr>
              <w:t>Class A</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2"/>
                <w:szCs w:val="12"/>
                <w:color w:val="auto"/>
              </w:rPr>
              <w:t>Compensation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Equity</w:t>
            </w:r>
          </w:p>
        </w:tc>
        <w:tc>
          <w:tcPr>
            <w:tcW w:w="60" w:type="dxa"/>
            <w:vAlign w:val="bottom"/>
          </w:tcPr>
          <w:p>
            <w:pPr>
              <w:spacing w:after="0"/>
              <w:rPr>
                <w:sz w:val="12"/>
                <w:szCs w:val="12"/>
                <w:color w:val="auto"/>
              </w:rPr>
            </w:pPr>
          </w:p>
        </w:tc>
        <w:tc>
          <w:tcPr>
            <w:tcW w:w="1240" w:type="dxa"/>
            <w:vAlign w:val="bottom"/>
            <w:gridSpan w:val="5"/>
          </w:tcPr>
          <w:p>
            <w:pPr>
              <w:ind w:left="340"/>
              <w:spacing w:after="0"/>
              <w:rPr>
                <w:sz w:val="20"/>
                <w:szCs w:val="20"/>
                <w:color w:val="auto"/>
              </w:rPr>
            </w:pPr>
            <w:r>
              <w:rPr>
                <w:rFonts w:ascii="Times New Roman" w:cs="Times New Roman" w:eastAsia="Times New Roman" w:hAnsi="Times New Roman"/>
                <w:sz w:val="12"/>
                <w:szCs w:val="12"/>
                <w:color w:val="auto"/>
              </w:rPr>
              <w:t>Class A</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2"/>
                <w:szCs w:val="12"/>
                <w:color w:val="auto"/>
              </w:rPr>
              <w:t>Class B</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3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40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340" w:type="dxa"/>
            <w:vAlign w:val="bottom"/>
            <w:tcBorders>
              <w:top w:val="single" w:sz="8" w:color="auto"/>
            </w:tcBorders>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color w:val="auto"/>
              </w:rPr>
              <w:t>income</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33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2024</w:t>
            </w: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128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95"/>
              </w:rPr>
              <w:t>178</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3"/>
              </w:rPr>
              <w:t>16,723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$ 16,422</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95"/>
              </w:rPr>
              <w:t>754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108</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ind w:left="400"/>
              <w:spacing w:after="0" w:line="141" w:lineRule="exact"/>
              <w:rPr>
                <w:sz w:val="20"/>
                <w:szCs w:val="20"/>
                <w:color w:val="auto"/>
              </w:rPr>
            </w:pPr>
            <w:r>
              <w:rPr>
                <w:rFonts w:ascii="Times New Roman" w:cs="Times New Roman" w:eastAsia="Times New Roman" w:hAnsi="Times New Roman"/>
                <w:sz w:val="14"/>
                <w:szCs w:val="14"/>
                <w:color w:val="auto"/>
                <w:w w:val="95"/>
              </w:rPr>
              <w:t>188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$ 16,744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1,104</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tcPr>
          <w:p>
            <w:pPr>
              <w:spacing w:after="0"/>
              <w:rPr>
                <w:sz w:val="12"/>
                <w:szCs w:val="12"/>
                <w:color w:val="auto"/>
              </w:rPr>
            </w:pP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47"/>
        </w:trPr>
        <w:tc>
          <w:tcPr>
            <w:tcW w:w="3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3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(177)</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7"/>
        </w:trPr>
        <w:tc>
          <w:tcPr>
            <w:tcW w:w="33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Reclass from liability-classified units</w:t>
            </w:r>
          </w:p>
        </w:tc>
        <w:tc>
          <w:tcPr>
            <w:tcW w:w="3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2"/>
                <w:szCs w:val="12"/>
                <w:color w:val="auto"/>
              </w:rPr>
            </w:pP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7"/>
        </w:trPr>
        <w:tc>
          <w:tcPr>
            <w:tcW w:w="3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3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7"/>
        </w:trPr>
        <w:tc>
          <w:tcPr>
            <w:tcW w:w="33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3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3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53</w:t>
            </w:r>
          </w:p>
        </w:tc>
        <w:tc>
          <w:tcPr>
            <w:tcW w:w="180" w:type="dxa"/>
            <w:vAlign w:val="bottom"/>
          </w:tcPr>
          <w:p>
            <w:pPr>
              <w:spacing w:after="0"/>
              <w:rPr>
                <w:sz w:val="12"/>
                <w:szCs w:val="12"/>
                <w:color w:val="auto"/>
              </w:rPr>
            </w:pP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24"/>
        </w:trPr>
        <w:tc>
          <w:tcPr>
            <w:tcW w:w="33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3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(1,435)</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(64)</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54"/>
        </w:trPr>
        <w:tc>
          <w:tcPr>
            <w:tcW w:w="33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Balance, December 31, 2024</w:t>
            </w:r>
          </w:p>
        </w:tc>
        <w:tc>
          <w:tcPr>
            <w:tcW w:w="28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128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w w:val="95"/>
              </w:rPr>
              <w:t>237</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106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366</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3"/>
              </w:rPr>
              <w:t>16,723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15,976</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w w:val="95"/>
              </w:rPr>
              <w:t>721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123</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1"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2"/>
                <w:szCs w:val="12"/>
                <w:color w:val="auto"/>
              </w:rPr>
              <w:t>Year ended December 31, 2023</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7"/>
          </w:tcPr>
          <w:p>
            <w:pPr>
              <w:ind w:left="14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5"/>
          </w:tcPr>
          <w:p>
            <w:pPr>
              <w:jc w:val="right"/>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10"/>
              <w:spacing w:after="0" w:line="114"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jc w:val="center"/>
              <w:ind w:right="140"/>
              <w:spacing w:after="0" w:line="114"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tcPr>
          <w:p>
            <w:pPr>
              <w:ind w:left="120"/>
              <w:spacing w:after="0" w:line="134" w:lineRule="exact"/>
              <w:rPr>
                <w:sz w:val="20"/>
                <w:szCs w:val="20"/>
                <w:color w:val="auto"/>
              </w:rPr>
            </w:pPr>
            <w:r>
              <w:rPr>
                <w:rFonts w:ascii="Times New Roman" w:cs="Times New Roman" w:eastAsia="Times New Roman" w:hAnsi="Times New Roman"/>
                <w:sz w:val="12"/>
                <w:szCs w:val="12"/>
                <w:color w:val="auto"/>
              </w:rPr>
              <w:t>Stock-based</w:t>
            </w:r>
          </w:p>
        </w:tc>
        <w:tc>
          <w:tcPr>
            <w:tcW w:w="80" w:type="dxa"/>
            <w:vAlign w:val="bottom"/>
          </w:tcPr>
          <w:p>
            <w:pPr>
              <w:spacing w:after="0"/>
              <w:rPr>
                <w:sz w:val="11"/>
                <w:szCs w:val="11"/>
                <w:color w:val="auto"/>
              </w:rPr>
            </w:pPr>
          </w:p>
        </w:tc>
        <w:tc>
          <w:tcPr>
            <w:tcW w:w="660" w:type="dxa"/>
            <w:vAlign w:val="bottom"/>
            <w:tcBorders>
              <w:right w:val="single" w:sz="8" w:color="auto"/>
            </w:tcBorders>
            <w:gridSpan w:val="3"/>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Mezzanine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2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Class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2"/>
                <w:szCs w:val="12"/>
                <w:color w:val="auto"/>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Equity</w:t>
            </w:r>
          </w:p>
        </w:tc>
        <w:tc>
          <w:tcPr>
            <w:tcW w:w="80" w:type="dxa"/>
            <w:vAlign w:val="bottom"/>
          </w:tcPr>
          <w:p>
            <w:pPr>
              <w:spacing w:after="0"/>
              <w:rPr>
                <w:sz w:val="12"/>
                <w:szCs w:val="12"/>
                <w:color w:val="auto"/>
              </w:rPr>
            </w:pPr>
          </w:p>
        </w:tc>
        <w:tc>
          <w:tcPr>
            <w:tcW w:w="12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Class A</w:t>
            </w: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w w:val="97"/>
              </w:rPr>
              <w:t>Class B</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2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20" w:type="dxa"/>
            <w:vAlign w:val="bottom"/>
          </w:tcPr>
          <w:p>
            <w:pPr>
              <w:spacing w:after="0"/>
              <w:rPr>
                <w:sz w:val="11"/>
                <w:szCs w:val="11"/>
                <w:color w:val="auto"/>
              </w:rPr>
            </w:pPr>
          </w:p>
        </w:tc>
        <w:tc>
          <w:tcPr>
            <w:tcW w:w="840" w:type="dxa"/>
            <w:vAlign w:val="bottom"/>
            <w:tcBorders>
              <w:top w:val="single" w:sz="8" w:color="auto"/>
            </w:tcBorders>
            <w:gridSpan w:val="5"/>
          </w:tcPr>
          <w:p>
            <w:pPr>
              <w:jc w:val="right"/>
              <w:spacing w:after="0" w:line="128" w:lineRule="exact"/>
              <w:rPr>
                <w:sz w:val="20"/>
                <w:szCs w:val="20"/>
                <w:color w:val="auto"/>
              </w:rPr>
            </w:pPr>
            <w:r>
              <w:rPr>
                <w:rFonts w:ascii="Times New Roman" w:cs="Times New Roman" w:eastAsia="Times New Roman" w:hAnsi="Times New Roman"/>
                <w:sz w:val="12"/>
                <w:szCs w:val="12"/>
                <w:color w:val="auto"/>
              </w:rPr>
              <w:t>Units  Amount</w:t>
            </w:r>
          </w:p>
        </w:tc>
        <w:tc>
          <w:tcPr>
            <w:tcW w:w="80" w:type="dxa"/>
            <w:vAlign w:val="bottom"/>
          </w:tcPr>
          <w:p>
            <w:pPr>
              <w:spacing w:after="0"/>
              <w:rPr>
                <w:sz w:val="11"/>
                <w:szCs w:val="11"/>
                <w:color w:val="auto"/>
              </w:rPr>
            </w:pPr>
          </w:p>
        </w:tc>
        <w:tc>
          <w:tcPr>
            <w:tcW w:w="540" w:type="dxa"/>
            <w:vAlign w:val="bottom"/>
            <w:tcBorders>
              <w:top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gridSpan w:val="2"/>
          </w:tcPr>
          <w:p>
            <w:pPr>
              <w:ind w:left="8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11"/>
                <w:szCs w:val="11"/>
                <w:color w:val="auto"/>
              </w:rPr>
            </w:pPr>
          </w:p>
        </w:tc>
        <w:tc>
          <w:tcPr>
            <w:tcW w:w="2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42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40" w:type="dxa"/>
            <w:vAlign w:val="bottom"/>
          </w:tcPr>
          <w:p>
            <w:pPr>
              <w:spacing w:after="0"/>
              <w:rPr>
                <w:sz w:val="11"/>
                <w:szCs w:val="11"/>
                <w:color w:val="auto"/>
              </w:rPr>
            </w:pPr>
          </w:p>
        </w:tc>
        <w:tc>
          <w:tcPr>
            <w:tcW w:w="8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2"/>
                <w:szCs w:val="12"/>
                <w:color w:val="auto"/>
              </w:rPr>
              <w:t>income (loss)</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2023</w:t>
            </w:r>
          </w:p>
        </w:tc>
        <w:tc>
          <w:tcPr>
            <w:tcW w:w="28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128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95"/>
              </w:rPr>
              <w:t>138</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w w:val="85"/>
              </w:rPr>
              <w:t>48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w w:val="85"/>
              </w:rPr>
              <w:t>156</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98"/>
              </w:rPr>
              <w:t>16,723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$ 16,290</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680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380"/>
              <w:spacing w:after="0" w:line="141" w:lineRule="exact"/>
              <w:rPr>
                <w:sz w:val="20"/>
                <w:szCs w:val="20"/>
                <w:color w:val="auto"/>
              </w:rPr>
            </w:pPr>
            <w:r>
              <w:rPr>
                <w:rFonts w:ascii="Times New Roman" w:cs="Times New Roman" w:eastAsia="Times New Roman" w:hAnsi="Times New Roman"/>
                <w:sz w:val="14"/>
                <w:szCs w:val="14"/>
                <w:color w:val="auto"/>
                <w:w w:val="95"/>
              </w:rPr>
              <w:t>262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$ 16,621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234</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Capital contribution</w:t>
            </w:r>
          </w:p>
        </w:tc>
        <w:tc>
          <w:tcPr>
            <w:tcW w:w="4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84</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54</w:t>
            </w:r>
          </w:p>
        </w:tc>
        <w:tc>
          <w:tcPr>
            <w:tcW w:w="4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Adjustment of puttable common units to redemption value</w:t>
            </w:r>
          </w:p>
        </w:tc>
        <w:tc>
          <w:tcPr>
            <w:tcW w:w="4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3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32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5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28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(114)</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December 31, 2023</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178</w:t>
            </w:r>
          </w:p>
        </w:tc>
        <w:tc>
          <w:tcPr>
            <w:tcW w:w="36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82</w:t>
            </w:r>
          </w:p>
        </w:tc>
        <w:tc>
          <w:tcPr>
            <w:tcW w:w="2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16,723</w:t>
            </w:r>
          </w:p>
        </w:tc>
        <w:tc>
          <w:tcPr>
            <w:tcW w:w="74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16,422</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754</w:t>
            </w:r>
          </w:p>
        </w:tc>
        <w:tc>
          <w:tcPr>
            <w:tcW w:w="320" w:type="dxa"/>
            <w:vAlign w:val="bottom"/>
            <w:gridSpan w:val="2"/>
            <w:shd w:val="clear" w:color="auto" w:fill="CCEEFF"/>
          </w:tcPr>
          <w:p>
            <w:pPr>
              <w:jc w:val="right"/>
              <w:ind w:right="61"/>
              <w:spacing w:after="0" w:line="14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108</w:t>
            </w:r>
          </w:p>
        </w:tc>
        <w:tc>
          <w:tcPr>
            <w:tcW w:w="4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w w:val="95"/>
              </w:rPr>
              <w:t>188</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16,744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2"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33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2"/>
                <w:szCs w:val="12"/>
                <w:color w:val="auto"/>
              </w:rPr>
              <w:t>Year ended December 31, 2022</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7"/>
          </w:tcPr>
          <w:p>
            <w:pPr>
              <w:ind w:left="18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5"/>
          </w:tcPr>
          <w:p>
            <w:pPr>
              <w:ind w:left="40"/>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right w:val="single" w:sz="8" w:color="auto"/>
            </w:tcBorders>
          </w:tcPr>
          <w:p>
            <w:pPr>
              <w:jc w:val="center"/>
              <w:ind w:right="71"/>
              <w:spacing w:after="0" w:line="114" w:lineRule="exact"/>
              <w:rPr>
                <w:sz w:val="20"/>
                <w:szCs w:val="20"/>
                <w:color w:val="auto"/>
              </w:rPr>
            </w:pPr>
            <w:r>
              <w:rPr>
                <w:rFonts w:ascii="Times New Roman" w:cs="Times New Roman" w:eastAsia="Times New Roman" w:hAnsi="Times New Roman"/>
                <w:sz w:val="12"/>
                <w:szCs w:val="12"/>
                <w:color w:val="auto"/>
                <w:w w:val="94"/>
              </w:rPr>
              <w:t>Total</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jc w:val="center"/>
              <w:ind w:right="140"/>
              <w:spacing w:after="0" w:line="114"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5"/>
          </w:tcPr>
          <w:p>
            <w:pPr>
              <w:jc w:val="center"/>
              <w:spacing w:after="0" w:line="134" w:lineRule="exact"/>
              <w:rPr>
                <w:sz w:val="20"/>
                <w:szCs w:val="20"/>
                <w:color w:val="auto"/>
              </w:rPr>
            </w:pPr>
            <w:r>
              <w:rPr>
                <w:rFonts w:ascii="Times New Roman" w:cs="Times New Roman" w:eastAsia="Times New Roman" w:hAnsi="Times New Roman"/>
                <w:sz w:val="12"/>
                <w:szCs w:val="12"/>
                <w:color w:val="auto"/>
              </w:rPr>
              <w:t>Stock-based</w:t>
            </w:r>
          </w:p>
        </w:tc>
        <w:tc>
          <w:tcPr>
            <w:tcW w:w="140" w:type="dxa"/>
            <w:vAlign w:val="bottom"/>
          </w:tcPr>
          <w:p>
            <w:pPr>
              <w:spacing w:after="0"/>
              <w:rPr>
                <w:sz w:val="11"/>
                <w:szCs w:val="11"/>
                <w:color w:val="auto"/>
              </w:rPr>
            </w:pPr>
          </w:p>
        </w:tc>
        <w:tc>
          <w:tcPr>
            <w:tcW w:w="620" w:type="dxa"/>
            <w:vAlign w:val="bottom"/>
            <w:tcBorders>
              <w:right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auto"/>
              </w:rPr>
              <w:t>Mezzanine</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w w:val="95"/>
              </w:rPr>
              <w:t>Class 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2"/>
                <w:szCs w:val="12"/>
                <w:color w:val="auto"/>
              </w:rPr>
              <w:t>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center"/>
              <w:ind w:right="71"/>
              <w:spacing w:after="0"/>
              <w:rPr>
                <w:sz w:val="20"/>
                <w:szCs w:val="20"/>
                <w:color w:val="auto"/>
              </w:rPr>
            </w:pPr>
            <w:r>
              <w:rPr>
                <w:rFonts w:ascii="Times New Roman" w:cs="Times New Roman" w:eastAsia="Times New Roman" w:hAnsi="Times New Roman"/>
                <w:sz w:val="12"/>
                <w:szCs w:val="12"/>
                <w:color w:val="auto"/>
                <w:w w:val="99"/>
              </w:rPr>
              <w:t>Equity</w:t>
            </w:r>
          </w:p>
        </w:tc>
        <w:tc>
          <w:tcPr>
            <w:tcW w:w="240" w:type="dxa"/>
            <w:vAlign w:val="bottom"/>
          </w:tcPr>
          <w:p>
            <w:pPr>
              <w:spacing w:after="0"/>
              <w:rPr>
                <w:sz w:val="12"/>
                <w:szCs w:val="12"/>
                <w:color w:val="auto"/>
              </w:rPr>
            </w:pP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2"/>
                <w:szCs w:val="12"/>
                <w:color w:val="auto"/>
              </w:rPr>
              <w:t>Class A</w:t>
            </w:r>
          </w:p>
        </w:tc>
        <w:tc>
          <w:tcPr>
            <w:tcW w:w="66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Class B</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28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jc w:val="center"/>
              <w:ind w:right="71"/>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240" w:type="dxa"/>
            <w:vAlign w:val="bottom"/>
          </w:tcPr>
          <w:p>
            <w:pPr>
              <w:spacing w:after="0"/>
              <w:rPr>
                <w:sz w:val="11"/>
                <w:szCs w:val="11"/>
                <w:color w:val="auto"/>
              </w:rPr>
            </w:pPr>
          </w:p>
        </w:tc>
        <w:tc>
          <w:tcPr>
            <w:tcW w:w="580" w:type="dxa"/>
            <w:vAlign w:val="bottom"/>
            <w:tcBorders>
              <w:top w:val="single" w:sz="8" w:color="auto"/>
            </w:tcBorders>
            <w:gridSpan w:val="2"/>
          </w:tcPr>
          <w:p>
            <w:pPr>
              <w:ind w:left="8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48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8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2"/>
                <w:szCs w:val="12"/>
                <w:color w:val="auto"/>
              </w:rPr>
              <w:t>income (loss)</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33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2022</w:t>
            </w: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128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w w:val="85"/>
              </w:rPr>
              <w:t>128</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right w:val="single" w:sz="8" w:color="auto"/>
            </w:tcBorders>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128</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98"/>
              </w:rPr>
              <w:t>16,723</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$ 16,285</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717</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400"/>
              <w:spacing w:after="0" w:line="141" w:lineRule="exact"/>
              <w:rPr>
                <w:sz w:val="20"/>
                <w:szCs w:val="20"/>
                <w:color w:val="auto"/>
              </w:rPr>
            </w:pPr>
            <w:r>
              <w:rPr>
                <w:rFonts w:ascii="Times New Roman" w:cs="Times New Roman" w:eastAsia="Times New Roman" w:hAnsi="Times New Roman"/>
                <w:sz w:val="14"/>
                <w:szCs w:val="14"/>
                <w:color w:val="auto"/>
                <w:w w:val="76"/>
              </w:rPr>
              <w:t>(34)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$ 16,262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Adoption of new accounting standard (Topic 326)</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(25)</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600" w:type="dxa"/>
            <w:vAlign w:val="bottom"/>
          </w:tcPr>
          <w:p>
            <w:pPr>
              <w:ind w:left="380"/>
              <w:spacing w:after="0" w:line="147" w:lineRule="exact"/>
              <w:rPr>
                <w:sz w:val="20"/>
                <w:szCs w:val="20"/>
                <w:color w:val="auto"/>
              </w:rPr>
            </w:pPr>
            <w:r>
              <w:rPr>
                <w:rFonts w:ascii="Times New Roman" w:cs="Times New Roman" w:eastAsia="Times New Roman" w:hAnsi="Times New Roman"/>
                <w:sz w:val="14"/>
                <w:szCs w:val="14"/>
                <w:color w:val="auto"/>
                <w:w w:val="95"/>
              </w:rPr>
              <w:t>296</w:t>
            </w:r>
          </w:p>
        </w:tc>
        <w:tc>
          <w:tcPr>
            <w:tcW w:w="120" w:type="dxa"/>
            <w:vAlign w:val="bottom"/>
          </w:tcPr>
          <w:p>
            <w:pPr>
              <w:spacing w:after="0"/>
              <w:rPr>
                <w:sz w:val="12"/>
                <w:szCs w:val="12"/>
                <w:color w:val="auto"/>
              </w:rPr>
            </w:pP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Capital contribution</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48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45</w:t>
            </w:r>
          </w:p>
        </w:tc>
        <w:tc>
          <w:tcPr>
            <w:tcW w:w="4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4"/>
        </w:trPr>
        <w:tc>
          <w:tcPr>
            <w:tcW w:w="33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18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0"/>
                <w:szCs w:val="10"/>
                <w:color w:val="auto"/>
              </w:rPr>
            </w:pPr>
          </w:p>
        </w:tc>
        <w:tc>
          <w:tcPr>
            <w:tcW w:w="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0"/>
        </w:trPr>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54"/>
        </w:trPr>
        <w:tc>
          <w:tcPr>
            <w:tcW w:w="33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Balance, December 31, 2022</w:t>
            </w:r>
          </w:p>
        </w:tc>
        <w:tc>
          <w:tcPr>
            <w:tcW w:w="28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128</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ind w:left="20"/>
              <w:spacing w:after="0" w:line="154" w:lineRule="exact"/>
              <w:rPr>
                <w:sz w:val="20"/>
                <w:szCs w:val="20"/>
                <w:color w:val="auto"/>
              </w:rPr>
            </w:pPr>
            <w:r>
              <w:rPr>
                <w:rFonts w:ascii="Times New Roman" w:cs="Times New Roman" w:eastAsia="Times New Roman" w:hAnsi="Times New Roman"/>
                <w:sz w:val="14"/>
                <w:szCs w:val="14"/>
                <w:color w:val="auto"/>
                <w:w w:val="85"/>
              </w:rPr>
              <w:t>138</w:t>
            </w:r>
          </w:p>
        </w:tc>
        <w:tc>
          <w:tcPr>
            <w:tcW w:w="1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120"/>
              <w:spacing w:after="0" w:line="154" w:lineRule="exact"/>
              <w:rPr>
                <w:sz w:val="20"/>
                <w:szCs w:val="20"/>
                <w:color w:val="auto"/>
              </w:rPr>
            </w:pPr>
            <w:r>
              <w:rPr>
                <w:rFonts w:ascii="Times New Roman" w:cs="Times New Roman" w:eastAsia="Times New Roman" w:hAnsi="Times New Roman"/>
                <w:sz w:val="14"/>
                <w:szCs w:val="14"/>
                <w:color w:val="auto"/>
                <w:w w:val="85"/>
              </w:rPr>
              <w:t>18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right w:val="single" w:sz="8" w:color="auto"/>
            </w:tcBorders>
          </w:tcPr>
          <w:p>
            <w:pPr>
              <w:ind w:left="260"/>
              <w:spacing w:after="0" w:line="154" w:lineRule="exact"/>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40"/>
              <w:spacing w:after="0" w:line="154" w:lineRule="exact"/>
              <w:rPr>
                <w:sz w:val="20"/>
                <w:szCs w:val="20"/>
                <w:color w:val="auto"/>
              </w:rPr>
            </w:pPr>
            <w:r>
              <w:rPr>
                <w:rFonts w:ascii="Times New Roman" w:cs="Times New Roman" w:eastAsia="Times New Roman" w:hAnsi="Times New Roman"/>
                <w:sz w:val="14"/>
                <w:szCs w:val="14"/>
                <w:color w:val="auto"/>
                <w:w w:val="98"/>
              </w:rPr>
              <w:t>16,723</w:t>
            </w:r>
          </w:p>
        </w:tc>
        <w:tc>
          <w:tcPr>
            <w:tcW w:w="1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16,290</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w w:val="85"/>
              </w:rPr>
              <w:t>680</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ind w:left="380"/>
              <w:spacing w:after="0" w:line="154" w:lineRule="exact"/>
              <w:rPr>
                <w:sz w:val="20"/>
                <w:szCs w:val="20"/>
                <w:color w:val="auto"/>
              </w:rPr>
            </w:pPr>
            <w:r>
              <w:rPr>
                <w:rFonts w:ascii="Times New Roman" w:cs="Times New Roman" w:eastAsia="Times New Roman" w:hAnsi="Times New Roman"/>
                <w:sz w:val="14"/>
                <w:szCs w:val="14"/>
                <w:color w:val="auto"/>
                <w:w w:val="95"/>
              </w:rPr>
              <w:t>262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16,621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2"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4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activities:</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taxes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Credit losses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Unrealized foreign exchange (gain) loss,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inventory step-up</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 cash lease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proceeds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payments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asset acquisitions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15,932</w:t>
            </w: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for long-term borrowings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(15,995)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under lines of credit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for debt issuance cost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towards Class B unit repurchases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partners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(1,518)</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(1,335)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2" w:right="4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4"/>
                <w:szCs w:val="14"/>
                <w:color w:val="auto"/>
                <w:w w:val="99"/>
              </w:rPr>
              <w:t>Year ended</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8"/>
        </w:trPr>
        <w:tc>
          <w:tcPr>
            <w:tcW w:w="720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420" w:type="dxa"/>
            <w:vAlign w:val="bottom"/>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r>
      <w:tr>
        <w:trPr>
          <w:trHeight w:val="170"/>
        </w:trPr>
        <w:tc>
          <w:tcPr>
            <w:tcW w:w="7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tcPr>
          <w:p>
            <w:pPr>
              <w:spacing w:after="0"/>
              <w:rPr>
                <w:sz w:val="14"/>
                <w:szCs w:val="14"/>
                <w:color w:val="auto"/>
              </w:rPr>
            </w:pPr>
          </w:p>
        </w:tc>
      </w:tr>
      <w:tr>
        <w:trPr>
          <w:trHeight w:val="194"/>
        </w:trPr>
        <w:tc>
          <w:tcPr>
            <w:tcW w:w="7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interest on borrowings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6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received from interest rate hedging activities</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170</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income taxes, net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operating lease assets obtained in exchange for lease obligations</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143</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capital contribution</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The following table provides reconciliation of cash, cash equivalent and restricted cash shown above to the amounts reported within the consolidated balance sheets as of December 31, 2024 and December 31, 2023:</w:t>
      </w: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Year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1"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118"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Mozart Holdings, LP (“Mozart Holdings”), the indirect parent of Medline Industries, LP (formally known as Medline Industries, Inc.) (“Medline”), and its subsidiaries (together, the “Company”) are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84"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On June 5, 2021, the owners of Medline agreed to sell a majority ownership in the Company to a private equity consortium led by Blackstone Inc., The Carlyle Group Inc. and Hellman &amp; Friedman LLC (the private equity consortium described herein is referred to as the “Sponsors” and the transaction described herein is referred to as the “Transaction” or the “Acquisition”).</w:t>
      </w:r>
    </w:p>
    <w:p>
      <w:pPr>
        <w:spacing w:after="0" w:line="175" w:lineRule="exact"/>
        <w:rPr>
          <w:sz w:val="20"/>
          <w:szCs w:val="20"/>
          <w:color w:val="auto"/>
        </w:rPr>
      </w:pPr>
    </w:p>
    <w:p>
      <w:pPr>
        <w:ind w:left="160" w:right="340"/>
        <w:spacing w:after="0" w:line="263" w:lineRule="auto"/>
        <w:rPr>
          <w:sz w:val="20"/>
          <w:szCs w:val="20"/>
          <w:color w:val="auto"/>
        </w:rPr>
      </w:pPr>
      <w:r>
        <w:rPr>
          <w:rFonts w:ascii="Times New Roman" w:cs="Times New Roman" w:eastAsia="Times New Roman" w:hAnsi="Times New Roman"/>
          <w:sz w:val="18"/>
          <w:szCs w:val="18"/>
          <w:color w:val="auto"/>
        </w:rPr>
        <w:t>In December 2024, the Company changed the name of Mozart Holdings, LP to Medline Holdings, LP (“Medline Holdings”). The Company will not distinguish between the prior and current name of Medline Holdings and will refer to the current name of Medline Holdings throughout these consolidated financial statements.</w:t>
      </w:r>
    </w:p>
    <w:p>
      <w:pPr>
        <w:spacing w:after="0" w:line="175"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The consolidated financial statements include the accounts of Medline Holdings and its wholly owned subsidiaries. All intercompany transactions and balances have been eliminated in consolidation.</w:t>
      </w:r>
    </w:p>
    <w:p>
      <w:pPr>
        <w:spacing w:after="0" w:line="162" w:lineRule="exact"/>
        <w:rPr>
          <w:sz w:val="20"/>
          <w:szCs w:val="20"/>
          <w:color w:val="auto"/>
        </w:rPr>
      </w:pPr>
    </w:p>
    <w:p>
      <w:pPr>
        <w:jc w:val="both"/>
        <w:ind w:left="160"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 The consolidated financial statements and accompanying notes are prepared in accordance with United States (“U.S.”)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180"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18 — Segment Information” for additional details.</w:t>
      </w:r>
    </w:p>
    <w:p>
      <w:pPr>
        <w:spacing w:after="0" w:line="180" w:lineRule="exact"/>
        <w:rPr>
          <w:sz w:val="20"/>
          <w:szCs w:val="20"/>
          <w:color w:val="auto"/>
        </w:rPr>
      </w:pPr>
    </w:p>
    <w:p>
      <w:pPr>
        <w:ind w:left="160" w:right="120"/>
        <w:spacing w:after="0" w:line="278" w:lineRule="auto"/>
        <w:rPr>
          <w:sz w:val="20"/>
          <w:szCs w:val="20"/>
          <w:color w:val="auto"/>
        </w:rPr>
      </w:pPr>
      <w:r>
        <w:rPr>
          <w:rFonts w:ascii="Times New Roman" w:cs="Times New Roman" w:eastAsia="Times New Roman" w:hAnsi="Times New Roman"/>
          <w:sz w:val="18"/>
          <w:szCs w:val="18"/>
          <w:color w:val="auto"/>
        </w:rPr>
        <w:t>The Company reclassified certain prior period amounts to make them comparable to the current period. The changes relate to presenting operating cash flows for leases gross rather than net with supplemental disclosures</w:t>
      </w:r>
    </w:p>
    <w:p>
      <w:pPr>
        <w:spacing w:after="0" w:line="162" w:lineRule="exact"/>
        <w:rPr>
          <w:sz w:val="20"/>
          <w:szCs w:val="20"/>
          <w:color w:val="auto"/>
        </w:rPr>
      </w:pPr>
    </w:p>
    <w:p>
      <w:pPr>
        <w:ind w:left="160" w:right="340"/>
        <w:spacing w:after="0" w:line="263" w:lineRule="auto"/>
        <w:rPr>
          <w:sz w:val="20"/>
          <w:szCs w:val="20"/>
          <w:color w:val="auto"/>
        </w:rPr>
      </w:pPr>
      <w:r>
        <w:rPr>
          <w:rFonts w:ascii="Times New Roman" w:cs="Times New Roman" w:eastAsia="Times New Roman" w:hAnsi="Times New Roman"/>
          <w:sz w:val="18"/>
          <w:szCs w:val="18"/>
          <w:u w:val="single" w:color="auto"/>
          <w:color w:val="auto"/>
        </w:rPr>
        <w:t>Fiscal Periods</w:t>
      </w:r>
      <w:r>
        <w:rPr>
          <w:rFonts w:ascii="Times New Roman" w:cs="Times New Roman" w:eastAsia="Times New Roman" w:hAnsi="Times New Roman"/>
          <w:sz w:val="18"/>
          <w:szCs w:val="18"/>
          <w:color w:val="auto"/>
        </w:rPr>
        <w:t>: The Company’s fiscal year begins on January 1 and ends on December 31. The fiscal quarters are based on a four-four-five-week calendar with periods ending on the Saturday of the last week in the quarter, with the exception of December 31, which is always the fiscal year-end date.</w:t>
      </w:r>
    </w:p>
    <w:p>
      <w:pPr>
        <w:spacing w:after="0" w:line="175" w:lineRule="exact"/>
        <w:rPr>
          <w:sz w:val="20"/>
          <w:szCs w:val="20"/>
          <w:color w:val="auto"/>
        </w:rPr>
      </w:pPr>
    </w:p>
    <w:p>
      <w:pPr>
        <w:ind w:left="160" w:right="140"/>
        <w:spacing w:after="0" w:line="254"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2"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The Company had $115 and $222 of cash held in foreign bank accounts as of December 31, 2024 and December 31, 2023, respectively. Restricted cash represents cash balances restricted as to withdrawal or use and are included in other current assets on the consolidated balance sheets. As of December 31, 2024, restricted cash includes $47 held in an escrow account related to settlement for ethylene oxide sterilization (“EtO”) litigation. See “Note 12 — Commitments and Contingencies” for additional information on EtO related claims and litigation.</w:t>
      </w:r>
    </w:p>
    <w:p>
      <w:pPr>
        <w:spacing w:after="0" w:line="189"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Equity Method Investments</w:t>
      </w:r>
      <w:r>
        <w:rPr>
          <w:rFonts w:ascii="Times New Roman" w:cs="Times New Roman" w:eastAsia="Times New Roman" w:hAnsi="Times New Roman"/>
          <w:sz w:val="18"/>
          <w:szCs w:val="18"/>
          <w:color w:val="auto"/>
        </w:rPr>
        <w:t>: Investments in business entities in which the Company does not have control, but instead has the ability to exercise significant influence over operating and financial policies, are accounted for using the equity method. The Company records these investments initially at cost and adjusts the carrying amount to reflect its proportional share of the earnings or losses of the investee. The Company evaluates its equity method investments for impairment whenever an event or change in circumstances occurs that could have a significant adverse impact on the carrying value of the investment. If a loss in value has occurred that is deemed to be other-than-temporary, an impairment loss is recorded. The Company records its share of the earnings and losses from the equity method investments in other (expense) income, net in the consolidated statements of comprehensive income.</w:t>
      </w:r>
    </w:p>
    <w:p>
      <w:pPr>
        <w:spacing w:after="0" w:line="184"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Inventories are stated at the lower of cost or net realizable value. Cost is determined primarily by the last-in,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LIFO charges of $53, $61, and $154 in the years ended December 31, 2024, December 31, 2023, and December 31, 2022, respectively, all within Cost of goods sold in the consolidated statements of comprehensive income. For certain foreign subsidiaries, cost is determined using the first-in, first-out (“FIFO”) method. The LIFO method was used to value approximately 89% and 91% of the Company’s inventories at December 31, 2024 and December 31, 2023, respectively. Estimated provisions are established for slow-moving and obsolete inventory. Rebates received from vendors relating to the purchase or distribution of inventory are considered product discounts and are accounted for as a reduction in the cost of inventory and are recognized when the inventory is sold.</w:t>
      </w:r>
    </w:p>
    <w:p>
      <w:pPr>
        <w:spacing w:after="0" w:line="189" w:lineRule="exact"/>
        <w:rPr>
          <w:sz w:val="20"/>
          <w:szCs w:val="20"/>
          <w:color w:val="auto"/>
        </w:rPr>
      </w:pPr>
    </w:p>
    <w:p>
      <w:pPr>
        <w:ind w:left="160"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Accounts Receivable, Net of Allowance for Credit Losses</w:t>
      </w:r>
      <w:r>
        <w:rPr>
          <w:rFonts w:ascii="Times New Roman" w:cs="Times New Roman" w:eastAsia="Times New Roman" w:hAnsi="Times New Roman"/>
          <w:sz w:val="18"/>
          <w:szCs w:val="18"/>
          <w:color w:val="auto"/>
        </w:rPr>
        <w:t>: Accounts receivable are carried at amortized cost less an allowance for credit losses. The determination of the allowance for credit losses is discussed in Recently Adopted Accounting Standards: ASU 2016-13. The Company charges interest on overdue receivables and evaluates the collection of this interest. Net interest on overdue receivables was not material as of December 31, 2024, December 31, 2023, and December 31, 2022. Accounts receivable are written off when deemed uncollectible. Recoveries of accounts receivable previously written off are recorded when received. The Company does not reduce customer rebates from accounts receivable as right of set-off does not exist, we classify it separately under Accrued expenses and Other Current Liabilities (for more details please refer to “Note 6 — Accrued expenses and Other Current Liabilities”).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60"/>
          </w:cols>
          <w:pgMar w:left="320" w:top="452" w:right="51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diversifies the concentration of its cash by maintaining deposits with a number of major banks and investing in money market funds. The Company’s customers are primarily in the healthcare industry. Economic factors may affect the healthcare industry as a whole and result in wide-spread delays in collection of receivables and credit losses. Generally, the Company does not require collateral from its customers. The Company performs regular credit evaluations of our customers’ financial conditions and maintains reserves for expected losses through the established allowance for credit losses. Refer to the “Accounts Receivable” section within this Note for additional information on the accounting treatment of reserves for allowance for credit losses.</w:t>
      </w:r>
    </w:p>
    <w:p>
      <w:pPr>
        <w:spacing w:after="0" w:line="184"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Research and development expenses are charged to earnings as incurred. Research and development costs for the years ended December 31, 2024, December 31, 2023, and December 31, 2022 were $67, $60, and $58, respectively.</w:t>
      </w:r>
    </w:p>
    <w:p>
      <w:pPr>
        <w:spacing w:after="0" w:line="162"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18"/>
          <w:szCs w:val="18"/>
          <w:color w:val="auto"/>
        </w:rPr>
        <w:t>: Property, plant, and equipment are stated at cost less accumulated depreciation and amortization. Depreciation and amortization are provided over the estimated useful lives, using straight-line method. Fully depreciated assets are retained in property, plant, and equipment and accumulated depreciation accounts until disposal. Upon sale, retirement, or disposal of property, plant, and equipment, the costs and related accumulated depreciation are removed from the applicable accounts. The resulting gains or losses, if any, between the net asset value and the proceeds from disposal are recognized in the consolidated statements of comprehensive income. The cost of maintenance and repairs is charged to income as incurred; significant renewals and betterment are capitalized. Amortization of leasehold improvements is based on the estimated useful life or the term of the lease, whichever is shorter.</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5140" w:type="dxa"/>
            <w:vAlign w:val="bottom"/>
            <w:gridSpan w:val="2"/>
          </w:tcPr>
          <w:p>
            <w:pPr>
              <w:jc w:val="right"/>
              <w:ind w:right="224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9"/>
        </w:trPr>
        <w:tc>
          <w:tcPr>
            <w:tcW w:w="20" w:type="dxa"/>
            <w:vAlign w:val="bottom"/>
          </w:tcPr>
          <w:p>
            <w:pPr>
              <w:spacing w:after="0"/>
              <w:rPr>
                <w:sz w:val="16"/>
                <w:szCs w:val="16"/>
                <w:color w:val="auto"/>
              </w:rPr>
            </w:pPr>
          </w:p>
        </w:tc>
        <w:tc>
          <w:tcPr>
            <w:tcW w:w="5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Buildings and Improvements - Owned</w:t>
            </w:r>
          </w:p>
        </w:tc>
        <w:tc>
          <w:tcPr>
            <w:tcW w:w="220" w:type="dxa"/>
            <w:vAlign w:val="bottom"/>
          </w:tcPr>
          <w:p>
            <w:pPr>
              <w:spacing w:after="0"/>
              <w:rPr>
                <w:sz w:val="16"/>
                <w:szCs w:val="16"/>
                <w:color w:val="auto"/>
              </w:rPr>
            </w:pPr>
          </w:p>
        </w:tc>
        <w:tc>
          <w:tcPr>
            <w:tcW w:w="5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15-40 years</w:t>
            </w:r>
          </w:p>
        </w:tc>
        <w:tc>
          <w:tcPr>
            <w:tcW w:w="20" w:type="dxa"/>
            <w:vAlign w:val="bottom"/>
          </w:tcPr>
          <w:p>
            <w:pPr>
              <w:spacing w:after="0"/>
              <w:rPr>
                <w:sz w:val="16"/>
                <w:szCs w:val="16"/>
                <w:color w:val="auto"/>
              </w:rPr>
            </w:pP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 Improvements - Leased</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Shorter of 10 years/Remaining lease term</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years</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 years</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years</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years</w:t>
            </w:r>
          </w:p>
        </w:tc>
      </w:tr>
      <w:tr>
        <w:trPr>
          <w:trHeight w:val="233"/>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Auto and Trucks</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years</w:t>
            </w:r>
          </w:p>
        </w:tc>
      </w:tr>
    </w:tbl>
    <w:p>
      <w:pPr>
        <w:spacing w:after="0" w:line="195"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The Company reviews long-lived assets, including property, plant, and equipment, definite-lived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the years ended December 31, 2024, December 31, 2023, and December 31, 2022.</w:t>
      </w:r>
    </w:p>
    <w:p>
      <w:pPr>
        <w:spacing w:after="0" w:line="184" w:lineRule="exact"/>
        <w:rPr>
          <w:sz w:val="20"/>
          <w:szCs w:val="20"/>
          <w:color w:val="auto"/>
        </w:rPr>
      </w:pPr>
    </w:p>
    <w:p>
      <w:pPr>
        <w:ind w:left="160" w:right="580"/>
        <w:spacing w:after="0" w:line="278"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Goodwill represents the excess of the purchase price over the fair value of the identifiable assets acquired and liabilities assumed for a business combination.</w:t>
      </w:r>
    </w:p>
    <w:p>
      <w:pPr>
        <w:spacing w:after="0" w:line="162" w:lineRule="exact"/>
        <w:rPr>
          <w:sz w:val="20"/>
          <w:szCs w:val="20"/>
          <w:color w:val="auto"/>
        </w:rPr>
      </w:pPr>
    </w:p>
    <w:p>
      <w:pPr>
        <w:ind w:left="160" w:right="20"/>
        <w:spacing w:after="0" w:line="285" w:lineRule="auto"/>
        <w:rPr>
          <w:sz w:val="20"/>
          <w:szCs w:val="20"/>
          <w:color w:val="auto"/>
        </w:rPr>
      </w:pPr>
      <w:r>
        <w:rPr>
          <w:rFonts w:ascii="Times New Roman" w:cs="Times New Roman" w:eastAsia="Times New Roman" w:hAnsi="Times New Roman"/>
          <w:sz w:val="17"/>
          <w:szCs w:val="17"/>
          <w:color w:val="auto"/>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1"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320"/>
        <w:spacing w:after="0" w:line="278" w:lineRule="auto"/>
        <w:rPr>
          <w:sz w:val="20"/>
          <w:szCs w:val="20"/>
          <w:color w:val="auto"/>
        </w:rPr>
      </w:pPr>
      <w:r>
        <w:rPr>
          <w:rFonts w:ascii="Times New Roman" w:cs="Times New Roman" w:eastAsia="Times New Roman" w:hAnsi="Times New Roman"/>
          <w:sz w:val="18"/>
          <w:szCs w:val="18"/>
          <w:color w:val="auto"/>
        </w:rPr>
        <w:t>including goodwill. If management concludes that it is more likely than not that the fair value of a reporting unit is less than its carrying amount, the Company conducts a quantitative goodwill impairment test; otherwise, no further analysis is required.</w:t>
      </w:r>
    </w:p>
    <w:p>
      <w:pPr>
        <w:spacing w:after="0" w:line="162" w:lineRule="exact"/>
        <w:rPr>
          <w:sz w:val="20"/>
          <w:szCs w:val="20"/>
          <w:color w:val="auto"/>
        </w:rPr>
      </w:pPr>
    </w:p>
    <w:p>
      <w:pPr>
        <w:jc w:val="both"/>
        <w:ind w:left="160" w:right="520"/>
        <w:spacing w:after="0" w:line="263" w:lineRule="auto"/>
        <w:rPr>
          <w:sz w:val="20"/>
          <w:szCs w:val="20"/>
          <w:color w:val="auto"/>
        </w:rPr>
      </w:pPr>
      <w:r>
        <w:rPr>
          <w:rFonts w:ascii="Times New Roman" w:cs="Times New Roman" w:eastAsia="Times New Roman" w:hAnsi="Times New Roman"/>
          <w:sz w:val="18"/>
          <w:szCs w:val="18"/>
          <w:color w:val="auto"/>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w:t>
      </w:r>
    </w:p>
    <w:p>
      <w:pPr>
        <w:spacing w:after="0" w:line="175"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spacing w:after="0" w:line="180"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Operating lease right-of-use assets and corresponding operating lease liabilities are recognized in the Company’s consolidated balance sheets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w:t>
      </w:r>
    </w:p>
    <w:p>
      <w:pPr>
        <w:spacing w:after="0" w:line="184" w:lineRule="exact"/>
        <w:rPr>
          <w:sz w:val="20"/>
          <w:szCs w:val="20"/>
          <w:color w:val="auto"/>
        </w:rPr>
      </w:pPr>
    </w:p>
    <w:p>
      <w:pPr>
        <w:ind w:left="160" w:right="140"/>
        <w:spacing w:after="0" w:line="255" w:lineRule="auto"/>
        <w:rPr>
          <w:sz w:val="20"/>
          <w:szCs w:val="20"/>
          <w:color w:val="auto"/>
        </w:rPr>
      </w:pPr>
      <w:r>
        <w:rPr>
          <w:rFonts w:ascii="Times New Roman" w:cs="Times New Roman" w:eastAsia="Times New Roman" w:hAnsi="Times New Roman"/>
          <w:sz w:val="18"/>
          <w:szCs w:val="18"/>
          <w:color w:val="auto"/>
        </w:rPr>
        <w:t>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w:t>
      </w:r>
    </w:p>
    <w:p>
      <w:pPr>
        <w:spacing w:after="0" w:line="184"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The Company’s leases have remaining lease terms ranging from less than 12 months to approximately 15 years. The lease terms may include options to extend or terminate the lease when it is reasonably certain and there is a significant economic incentive to exercise that option.</w:t>
      </w:r>
    </w:p>
    <w:p>
      <w:pPr>
        <w:spacing w:after="0" w:line="162" w:lineRule="exact"/>
        <w:rPr>
          <w:sz w:val="20"/>
          <w:szCs w:val="20"/>
          <w:color w:val="auto"/>
        </w:rPr>
      </w:pPr>
    </w:p>
    <w:p>
      <w:pPr>
        <w:ind w:left="160" w:right="160"/>
        <w:spacing w:after="0" w:line="255" w:lineRule="auto"/>
        <w:rPr>
          <w:sz w:val="20"/>
          <w:szCs w:val="20"/>
          <w:color w:val="auto"/>
        </w:rPr>
      </w:pPr>
      <w:r>
        <w:rPr>
          <w:rFonts w:ascii="Times New Roman" w:cs="Times New Roman" w:eastAsia="Times New Roman" w:hAnsi="Times New Roman"/>
          <w:sz w:val="18"/>
          <w:szCs w:val="18"/>
          <w:color w:val="auto"/>
        </w:rPr>
        <w:t>As a lessor, the Company enters into operating leases primarily for corporate offices and distribution facilities. The terms of the related contracts, including options to shorten or extend the lease term or to purchase the underlying assets,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Topic 842 Leases.</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9 — Leases” for additional information on the Company’s leases.</w:t>
      </w:r>
    </w:p>
    <w:p>
      <w:pPr>
        <w:spacing w:after="0" w:line="221" w:lineRule="exact"/>
        <w:rPr>
          <w:sz w:val="20"/>
          <w:szCs w:val="20"/>
          <w:color w:val="auto"/>
        </w:rPr>
      </w:pPr>
    </w:p>
    <w:p>
      <w:pPr>
        <w:ind w:left="160" w:right="280"/>
        <w:spacing w:after="0" w:line="308" w:lineRule="auto"/>
        <w:rPr>
          <w:sz w:val="20"/>
          <w:szCs w:val="20"/>
          <w:color w:val="auto"/>
        </w:rPr>
      </w:pPr>
      <w:r>
        <w:rPr>
          <w:rFonts w:ascii="Times New Roman" w:cs="Times New Roman" w:eastAsia="Times New Roman" w:hAnsi="Times New Roman"/>
          <w:sz w:val="17"/>
          <w:szCs w:val="17"/>
          <w:u w:val="single" w:color="auto"/>
          <w:color w:val="auto"/>
        </w:rPr>
        <w:t>Intangible Assets</w:t>
      </w:r>
      <w:r>
        <w:rPr>
          <w:rFonts w:ascii="Times New Roman" w:cs="Times New Roman" w:eastAsia="Times New Roman" w:hAnsi="Times New Roman"/>
          <w:sz w:val="17"/>
          <w:szCs w:val="17"/>
          <w:color w:val="auto"/>
        </w:rPr>
        <w:t>: Intangible assets are initially measured at fair value and consist of trade names, customer relationships and developed technology from acquisitions by the Company. The definite-lived intangible assets are amortized using the straight-line method over their estimated useful lives.</w:t>
      </w:r>
    </w:p>
    <w:p>
      <w:pPr>
        <w:spacing w:after="0" w:line="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1" w:right="5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 and significant judgements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w:t>
      </w:r>
    </w:p>
    <w:p>
      <w:pPr>
        <w:spacing w:after="0" w:line="192"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The Company’s revenues are generated principally from the sale of products. The majority of the sales transactions are supported by an underlying agreement or a formal purchase order. Revenue is 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judgement is generally not required to determine the timing of satisfying the performance obligation. Revenue is measured as the amount of consideration the Company expects to receive in exchange for those products. Shipping and handling costs are treated as fulfillment costs and are included in selling, general and administrative expenses. Since the Company typically invoices customers when performance obligations are satisfied, the Company does not have material contract assets or contract liabilities. The Company’s credit terms typically range from net 30 to 60 days from the invoice date and do not contain significant financing components that extend beyond one year of fulfillment of performance obligations. Sales taxes collected from customers and remitted to governmental authorities are excluded from revenues.</w:t>
      </w:r>
    </w:p>
    <w:p>
      <w:pPr>
        <w:spacing w:after="0" w:line="189"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spacing w:after="0" w:line="180" w:lineRule="exact"/>
        <w:rPr>
          <w:sz w:val="20"/>
          <w:szCs w:val="20"/>
          <w:color w:val="auto"/>
        </w:rPr>
      </w:pPr>
    </w:p>
    <w:p>
      <w:pPr>
        <w:ind w:left="160" w:right="60"/>
        <w:spacing w:after="0" w:line="270" w:lineRule="auto"/>
        <w:rPr>
          <w:sz w:val="20"/>
          <w:szCs w:val="20"/>
          <w:color w:val="auto"/>
        </w:rPr>
      </w:pPr>
      <w:r>
        <w:rPr>
          <w:rFonts w:ascii="Times New Roman" w:cs="Times New Roman" w:eastAsia="Times New Roman" w:hAnsi="Times New Roman"/>
          <w:sz w:val="17"/>
          <w:szCs w:val="17"/>
          <w:color w:val="auto"/>
        </w:rPr>
        <w:t>Although products are generally sold at fixed prices, certain customers receive cash discounts, customer rebates, distributor chargebacks, return allowances, scrap allowances, and other rights, which are accounted for as variable consideration and may require significant judgement in determining the amounts by which to reduce revenue.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w:t>
      </w:r>
    </w:p>
    <w:p>
      <w:pPr>
        <w:spacing w:after="0" w:line="172"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See “Note 18 — Segment Information” for disaggregation of net sales by product line, geography, and sales office as the Company believes that it best depicts how the nature, amount, timing and uncertainty of net sales and cash flows are affected by economic factors.</w:t>
      </w:r>
    </w:p>
    <w:p>
      <w:pPr>
        <w:spacing w:after="0" w:line="162" w:lineRule="exact"/>
        <w:rPr>
          <w:sz w:val="20"/>
          <w:szCs w:val="20"/>
          <w:color w:val="auto"/>
        </w:rPr>
      </w:pPr>
    </w:p>
    <w:p>
      <w:pPr>
        <w:ind w:left="160" w:right="160"/>
        <w:spacing w:after="0" w:line="278" w:lineRule="auto"/>
        <w:rPr>
          <w:sz w:val="20"/>
          <w:szCs w:val="20"/>
          <w:color w:val="auto"/>
        </w:rPr>
      </w:pPr>
      <w:r>
        <w:rPr>
          <w:rFonts w:ascii="Times New Roman" w:cs="Times New Roman" w:eastAsia="Times New Roman" w:hAnsi="Times New Roman"/>
          <w:sz w:val="18"/>
          <w:szCs w:val="18"/>
          <w:u w:val="single" w:color="auto"/>
          <w:color w:val="auto"/>
        </w:rPr>
        <w:t>Cost of Goods Sold:</w:t>
      </w:r>
      <w:r>
        <w:rPr>
          <w:rFonts w:ascii="Times New Roman" w:cs="Times New Roman" w:eastAsia="Times New Roman" w:hAnsi="Times New Roman"/>
          <w:sz w:val="18"/>
          <w:szCs w:val="18"/>
          <w:color w:val="auto"/>
        </w:rPr>
        <w:t xml:space="preserve"> The primary components of cost of goods sold include the cost of the product (net of purchase discounts, supplier rebates), direct and certain indirect labor, overhead cost, including depreciation and</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40"/>
          </w:cols>
          <w:pgMar w:left="320" w:top="451" w:right="5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200"/>
        <w:spacing w:after="0" w:line="278" w:lineRule="auto"/>
        <w:rPr>
          <w:sz w:val="20"/>
          <w:szCs w:val="20"/>
          <w:color w:val="auto"/>
        </w:rPr>
      </w:pPr>
      <w:r>
        <w:rPr>
          <w:rFonts w:ascii="Times New Roman" w:cs="Times New Roman" w:eastAsia="Times New Roman" w:hAnsi="Times New Roman"/>
          <w:sz w:val="18"/>
          <w:szCs w:val="18"/>
          <w:color w:val="auto"/>
        </w:rPr>
        <w:t>freight incurred to transport inventories from a supplier location or in between Company locations. Costs related to purchasing, receiving, inspections, warehousing, and other costs of our distribution network are included in selling, general and administrative (“SG&amp;A”) expenses.</w:t>
      </w:r>
    </w:p>
    <w:p>
      <w:pPr>
        <w:spacing w:after="0" w:line="162"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u w:val="single" w:color="auto"/>
          <w:color w:val="auto"/>
        </w:rPr>
        <w:t>Shipping and Handling:</w:t>
      </w:r>
      <w:r>
        <w:rPr>
          <w:rFonts w:ascii="Times New Roman" w:cs="Times New Roman" w:eastAsia="Times New Roman" w:hAnsi="Times New Roman"/>
          <w:sz w:val="18"/>
          <w:szCs w:val="18"/>
          <w:color w:val="auto"/>
        </w:rPr>
        <w:t xml:space="preserve"> Shipping and handling costs are primarily included in SG&amp;A expenses in our consolidated statements of comprehensive income and include all delivery expenses as well as all costs to prepare the product for shipment to the customer.</w:t>
      </w:r>
    </w:p>
    <w:p>
      <w:pPr>
        <w:spacing w:after="0" w:line="162"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The Company measures the cost of employee services received in exchange for an award of equity instruments based on the grant-date fair value of the award. The Company records liability awards at fair value each reporting period, and the change in fair value is reflected as stock-based compensation expense. These costs are recognized in the consolidated statements of comprehensive income over the period during which an employee is required to provide service in exchange for the award. Equity-based compensation awards which ultimately settle in cash are accounted for as liabilities, and awards which are contingently settled in cash or units of the Company are accounted for as mezzanine equity. For the periods that management determined it was probable that the units would become redeemable, the Company had elected to carry the shares at the maximum redemption value, or fair value, in mezzanine equity on the consolidated balance sheets. The mezzanine equity is initially measured based on the intrinsic value as determined on grant date and subsequently updated as of each reporting date, so long as the redemption is concluded to be probable. During the fourth quarter of 2024, management determined it was not probable that the mezzanine equity would become redeemable, and therefore no changes in redemption value were recorded prospectively.</w:t>
      </w:r>
    </w:p>
    <w:p>
      <w:pPr>
        <w:spacing w:after="0" w:line="189" w:lineRule="exact"/>
        <w:rPr>
          <w:sz w:val="20"/>
          <w:szCs w:val="20"/>
          <w:color w:val="auto"/>
        </w:rPr>
      </w:pPr>
    </w:p>
    <w:p>
      <w:pPr>
        <w:jc w:val="both"/>
        <w:ind w:left="16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Medline Holdings, with the consent of its partners, is taxed under sections of the U.S. federal and state income tax laws, which provide that the partners separately account for their pro rata shares of the Company’s items of income, deductions, losses and credits. Income taxes under this election generally relate to certain state income, franchise and minimum taxes where the Company is required to pay taxes at an entity level under state statutes.</w:t>
      </w:r>
    </w:p>
    <w:p>
      <w:pPr>
        <w:spacing w:after="0" w:line="180"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Certain of the Company’s wholly owned domestic subsidiaries are taxed as a C Corporation under state and federal laws. Certain of the Company’s wholly owned foreign subsidiaries provide for local and deferred income taxes. These domestic and foreign subsidiaries record income tax expense based on the amount of taxes due on their tax return, plus deferred taxes computed based on expected future tax consequences of temporary differences between the carrying amounts and the tax bases of assets and liabilities, using enacted tax rates. Deferred tax assets are reduced by a valuation allowance if it is deemed more likely than not that some or all of the deferred tax assets will not be realized. The net deferred income tax asset and liability consists primarily of intangibles, property, plant &amp; equipment, other accruals and expenses, and the impact of temporary differences related to accrued pension obligations. The Company also pays certain foreign branch taxes for subsidiaries located in foreign jurisdictions.</w:t>
      </w:r>
    </w:p>
    <w:p>
      <w:pPr>
        <w:spacing w:after="0" w:line="184"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The Company recognizes Global Intangible Low Taxed Income (“GILTI”) charge as a period cost when incurred for wholly owned subsidiaries which are taxed as C Corporation under state and federal laws.</w:t>
      </w:r>
    </w:p>
    <w:p>
      <w:pPr>
        <w:spacing w:after="0" w:line="162" w:lineRule="exact"/>
        <w:rPr>
          <w:sz w:val="20"/>
          <w:szCs w:val="20"/>
          <w:color w:val="auto"/>
        </w:rPr>
      </w:pPr>
    </w:p>
    <w:p>
      <w:pPr>
        <w:ind w:left="160" w:right="120"/>
        <w:spacing w:after="0" w:line="258"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upon examination. For tax positions not meeting the more likely than not test, no tax benefit is recorded. As of December 31, 2024 and December 31, 2023, the Company did not have any material uncertain tax positions.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1"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jc w:val="both"/>
        <w:ind w:left="160" w:right="60"/>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interest and income tax expense, respectively. The Company had no amounts accrued for interest or penalties related to unrecognized tax benefits as of December 31, 2024 and December 31, 2023. The Company does not expect the total amount of unrecognized tax benefits to substantially change in the next 12 months. As of December 31, 2024, the tax years of 2014-2023 remain subject to examination by major tax jurisdictions.</w:t>
      </w:r>
    </w:p>
    <w:p>
      <w:pPr>
        <w:spacing w:after="0" w:line="180"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u w:val="single" w:color="auto"/>
          <w:color w:val="auto"/>
        </w:rPr>
        <w:t>Loss contingencies:</w:t>
      </w:r>
      <w:r>
        <w:rPr>
          <w:rFonts w:ascii="Times New Roman" w:cs="Times New Roman" w:eastAsia="Times New Roman" w:hAnsi="Times New Roman"/>
          <w:sz w:val="18"/>
          <w:szCs w:val="18"/>
          <w:color w:val="auto"/>
        </w:rPr>
        <w:t xml:space="preserve"> 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 adjusts the recorded contingent liability from time to time based upon periodic assessment of the potential outcomes of the pending matters. Refer to “Note 12 — Commitments and Contingencies,” for additional information.</w:t>
      </w:r>
    </w:p>
    <w:p>
      <w:pPr>
        <w:spacing w:after="0" w:line="192" w:lineRule="exact"/>
        <w:rPr>
          <w:sz w:val="20"/>
          <w:szCs w:val="20"/>
          <w:color w:val="auto"/>
        </w:rPr>
      </w:pPr>
    </w:p>
    <w:p>
      <w:pPr>
        <w:jc w:val="both"/>
        <w:ind w:left="160" w:right="240"/>
        <w:spacing w:after="0" w:line="263" w:lineRule="auto"/>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color w:val="auto"/>
        </w:rPr>
        <w:t xml:space="preserve"> 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spacing w:after="0" w:line="175" w:lineRule="exact"/>
        <w:rPr>
          <w:sz w:val="20"/>
          <w:szCs w:val="20"/>
          <w:color w:val="auto"/>
        </w:rPr>
      </w:pPr>
    </w:p>
    <w:p>
      <w:pPr>
        <w:ind w:left="160" w:right="60"/>
        <w:spacing w:after="0" w:line="251" w:lineRule="auto"/>
        <w:rPr>
          <w:sz w:val="20"/>
          <w:szCs w:val="20"/>
          <w:color w:val="auto"/>
        </w:rPr>
      </w:pPr>
      <w:r>
        <w:rPr>
          <w:rFonts w:ascii="Times New Roman" w:cs="Times New Roman" w:eastAsia="Times New Roman" w:hAnsi="Times New Roman"/>
          <w:sz w:val="18"/>
          <w:szCs w:val="18"/>
          <w:u w:val="single" w:color="auto"/>
          <w:color w:val="auto"/>
        </w:rPr>
        <w:t>Defined Benefit Pension Plans</w:t>
      </w:r>
      <w:r>
        <w:rPr>
          <w:rFonts w:ascii="Times New Roman" w:cs="Times New Roman" w:eastAsia="Times New Roman" w:hAnsi="Times New Roman"/>
          <w:sz w:val="18"/>
          <w:szCs w:val="18"/>
          <w:color w:val="auto"/>
        </w:rPr>
        <w:t>: 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spacing w:after="0" w:line="192" w:lineRule="exact"/>
        <w:rPr>
          <w:sz w:val="20"/>
          <w:szCs w:val="20"/>
          <w:color w:val="auto"/>
        </w:rPr>
      </w:pPr>
    </w:p>
    <w:p>
      <w:pPr>
        <w:ind w:left="160" w:right="200"/>
        <w:spacing w:after="0" w:line="258" w:lineRule="auto"/>
        <w:rPr>
          <w:sz w:val="20"/>
          <w:szCs w:val="20"/>
          <w:color w:val="auto"/>
        </w:rPr>
      </w:pPr>
      <w:r>
        <w:rPr>
          <w:rFonts w:ascii="Times New Roman" w:cs="Times New Roman" w:eastAsia="Times New Roman" w:hAnsi="Times New Roman"/>
          <w:sz w:val="18"/>
          <w:szCs w:val="18"/>
          <w:color w:val="auto"/>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income (loss), net of tax and to recognize changes in that funded status in the year in which changes occur through comprehensive (loss) income.</w:t>
      </w:r>
    </w:p>
    <w:p>
      <w:pPr>
        <w:spacing w:after="0" w:line="180" w:lineRule="exact"/>
        <w:rPr>
          <w:sz w:val="20"/>
          <w:szCs w:val="20"/>
          <w:color w:val="auto"/>
        </w:rPr>
      </w:pPr>
    </w:p>
    <w:p>
      <w:pPr>
        <w:jc w:val="both"/>
        <w:ind w:left="160"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Translation of Financial Statements of Foreign Subsidiaries</w:t>
      </w:r>
      <w:r>
        <w:rPr>
          <w:rFonts w:ascii="Times New Roman" w:cs="Times New Roman" w:eastAsia="Times New Roman" w:hAnsi="Times New Roman"/>
          <w:sz w:val="18"/>
          <w:szCs w:val="18"/>
          <w:color w:val="auto"/>
        </w:rPr>
        <w:t>: 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1"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u w:val="single" w:color="auto"/>
          <w:color w:val="auto"/>
        </w:rPr>
        <w:t>Derivative Financial Instruments:</w:t>
      </w:r>
      <w:r>
        <w:rPr>
          <w:rFonts w:ascii="Times New Roman" w:cs="Times New Roman" w:eastAsia="Times New Roman" w:hAnsi="Times New Roman"/>
          <w:sz w:val="18"/>
          <w:szCs w:val="18"/>
          <w:color w:val="auto"/>
        </w:rPr>
        <w:t xml:space="preserve"> Derivative financial instruments are used primarily to manage interest rate and foreign currency exchange exposures, and are recorded at fair value in the Company’s consolidated balance sheets.</w:t>
      </w:r>
    </w:p>
    <w:p>
      <w:pPr>
        <w:spacing w:after="0" w:line="162"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The Company uses interest rate derivatives such as interest rate swaps and caps to add stability to interest expense and to manage its exposure to interest rate movements. The Company designates certain of its interest 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Topic 815. For derivatives designated and qualified as cash flow hedges of interest rate risk, the gain or loss from the fair value change of the derivative is recorded in accumulated other comprehensive income (loss) and subsequently reclassified into interest expense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 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marked-to-market at the end of each reporting period with the fair value change included in earnings. Refer to “Note 14 — Derivatives and Hedging Activities Risk Management,” for additional information.</w:t>
      </w:r>
    </w:p>
    <w:p>
      <w:pPr>
        <w:spacing w:after="0" w:line="187"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The Company uses foreign currency derivatives such as forward contracts to lock in a fixed foreign currency exchange rate for the expected cash payment on an acquisition closed in the subsequent period and to manage exposure to foreign currency exchange rate movements. The foreign currency derivatives are not designated for hedge accounting under Topic 815 and is marked-to-market at the end of each reporting period with the fair value changes recorded in other (expense) income, net of the Company’s consolidated statements of comprehensive income.</w:t>
      </w:r>
    </w:p>
    <w:p>
      <w:pPr>
        <w:spacing w:after="0" w:line="180" w:lineRule="exact"/>
        <w:rPr>
          <w:sz w:val="20"/>
          <w:szCs w:val="20"/>
          <w:color w:val="auto"/>
        </w:rPr>
      </w:pPr>
    </w:p>
    <w:p>
      <w:pPr>
        <w:jc w:val="both"/>
        <w:ind w:left="160" w:right="180"/>
        <w:spacing w:after="0" w:line="263" w:lineRule="auto"/>
        <w:rPr>
          <w:sz w:val="20"/>
          <w:szCs w:val="20"/>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spacing w:after="0" w:line="68" w:lineRule="exact"/>
        <w:rPr>
          <w:sz w:val="20"/>
          <w:szCs w:val="20"/>
          <w:color w:val="auto"/>
        </w:rPr>
      </w:pPr>
    </w:p>
    <w:p>
      <w:pPr>
        <w:ind w:left="600" w:right="660"/>
        <w:spacing w:after="0" w:line="278" w:lineRule="auto"/>
        <w:rPr>
          <w:sz w:val="20"/>
          <w:szCs w:val="20"/>
          <w:color w:val="auto"/>
        </w:rPr>
      </w:pPr>
      <w:r>
        <w:rPr>
          <w:rFonts w:ascii="Times New Roman" w:cs="Times New Roman" w:eastAsia="Times New Roman" w:hAnsi="Times New Roman"/>
          <w:sz w:val="18"/>
          <w:szCs w:val="18"/>
          <w:color w:val="auto"/>
        </w:rPr>
        <w:t>Level 1: Quoted prices (unadjusted) for identical assets or liabilities in active markets that the Company has the ability to access as of the measurement date.</w:t>
      </w:r>
    </w:p>
    <w:p>
      <w:pPr>
        <w:spacing w:after="0" w:line="55" w:lineRule="exact"/>
        <w:rPr>
          <w:sz w:val="20"/>
          <w:szCs w:val="20"/>
          <w:color w:val="auto"/>
        </w:rPr>
      </w:pPr>
    </w:p>
    <w:p>
      <w:pPr>
        <w:ind w:left="600" w:right="500"/>
        <w:spacing w:after="0" w:line="278"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55" w:lineRule="exact"/>
        <w:rPr>
          <w:sz w:val="20"/>
          <w:szCs w:val="20"/>
          <w:color w:val="auto"/>
        </w:rPr>
      </w:pPr>
    </w:p>
    <w:p>
      <w:pPr>
        <w:ind w:left="600" w:right="20"/>
        <w:spacing w:after="0" w:line="278" w:lineRule="auto"/>
        <w:rPr>
          <w:sz w:val="20"/>
          <w:szCs w:val="20"/>
          <w:color w:val="auto"/>
        </w:rPr>
      </w:pPr>
      <w:r>
        <w:rPr>
          <w:rFonts w:ascii="Times New Roman" w:cs="Times New Roman" w:eastAsia="Times New Roman" w:hAnsi="Times New Roman"/>
          <w:sz w:val="18"/>
          <w:szCs w:val="18"/>
          <w:color w:val="auto"/>
        </w:rPr>
        <w:t>Level 3: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color w:val="auto"/>
        </w:rPr>
        <w:t>In many cases, a valuation technique used to measure fair value includes inputs from multiple levels of the fair value hierarchy. The lowest level of significant input determines the placement of the entire fair value measurement in the hierarchy.</w:t>
      </w:r>
    </w:p>
    <w:p>
      <w:pPr>
        <w:spacing w:after="0" w:line="162" w:lineRule="exact"/>
        <w:rPr>
          <w:sz w:val="20"/>
          <w:szCs w:val="20"/>
          <w:color w:val="auto"/>
        </w:rPr>
      </w:pPr>
    </w:p>
    <w:p>
      <w:pPr>
        <w:ind w:left="160" w:right="660"/>
        <w:spacing w:after="0" w:line="278" w:lineRule="auto"/>
        <w:rPr>
          <w:sz w:val="20"/>
          <w:szCs w:val="20"/>
          <w:color w:val="auto"/>
        </w:rPr>
      </w:pPr>
      <w:r>
        <w:rPr>
          <w:rFonts w:ascii="Times New Roman" w:cs="Times New Roman" w:eastAsia="Times New Roman" w:hAnsi="Times New Roman"/>
          <w:sz w:val="18"/>
          <w:szCs w:val="18"/>
          <w:color w:val="auto"/>
        </w:rPr>
        <w:t>The carrying amount of financial instruments, including cash and cash equivalents, accounts receivable, notes receivable and accounts payable, approximates fair value due to the short maturities of these instruments.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40"/>
          </w:cols>
          <w:pgMar w:left="320" w:top="452" w:right="5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u w:val="single" w:color="auto"/>
          <w:color w:val="auto"/>
        </w:rPr>
        <w:t>Recently Adopted Accounting Standards</w:t>
      </w:r>
      <w:r>
        <w:rPr>
          <w:rFonts w:ascii="Times New Roman" w:cs="Times New Roman" w:eastAsia="Times New Roman" w:hAnsi="Times New Roman"/>
          <w:sz w:val="18"/>
          <w:szCs w:val="18"/>
          <w:color w:val="auto"/>
        </w:rPr>
        <w:t>: In November 2023, the Financial Accounting Standards Board (“FASB”) issued ASU 2023-07, Segment Reporting (Topic 280): Improvements to Segment Reporting. ASU 2023-07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to allocate resources. The Company adopted this standard retrospectively to all prior periods presented in the financial statements. For further information regarding the Company’s Business Segments, see “Note 18 — Segment Information.”</w:t>
      </w:r>
    </w:p>
    <w:p>
      <w:pPr>
        <w:spacing w:after="0" w:line="184"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7"/>
          <w:szCs w:val="17"/>
          <w:color w:val="auto"/>
        </w:rPr>
        <w:t>In June 2022, the FASB issued ASU No. 2022-03, Fair Value Measurement (Topic 820): Fair Value Measurement of Equity Securities Subject to Contractual Sales Restrictions, which (1) clarifies the guidance in Topic 820 on the fair value measurement of an equity security that is subject to contractual restrictions that prohibit the sale of an equity security and (2) requires specific disclosures related to such an equity security. The Company adopted this standard on a prospective basis in 2024. The adoption did not have a material impact on the Company’s consolidated financial statements.</w:t>
      </w:r>
    </w:p>
    <w:p>
      <w:pPr>
        <w:spacing w:after="0" w:line="164"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requires an acquirer, at the acquisition date, to recognize and measure contract assets and contract liabilities acquired in a business combination in accordance with Topic 606 as if it had originated the contracts rather than at fair value that would otherwise be required under Topic 805.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Company adopted this standard on a prospective basis in 2023. The adoption did not have an impact on the Company’s consolidated financial statements.</w:t>
      </w:r>
    </w:p>
    <w:p>
      <w:pPr>
        <w:spacing w:after="0" w:line="184" w:lineRule="exact"/>
        <w:rPr>
          <w:sz w:val="20"/>
          <w:szCs w:val="20"/>
          <w:color w:val="auto"/>
        </w:rPr>
      </w:pPr>
    </w:p>
    <w:p>
      <w:pPr>
        <w:ind w:left="160" w:right="16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The standard, later modified by ASU Nos. 2018-19 and 2019-04 — Codification Improvements to Topic 326, ASU No. 2019-05 — Topic 326 Targeted Transition Relief, and ASU No. 2019-10 — Topic 326 Effective Dates (collectively “ASC 326”), changes how credit losses are measured for most financial assets and certain other instruments. For trade and other receivables, held-to-maturity debt securities, loans and other financial instruments, the standard requires the use of a new forward-looking “expected credit loss” model that generally will result in the earlier recognition of allowances for losses. The Company adopted the standard in the first quarter of 2022. The adoption resulted in an increase of allowance for doubtful accounts by $10, which the Company recorded to the partners’ capital directly as of January 1, 2022.</w:t>
      </w:r>
    </w:p>
    <w:p>
      <w:pPr>
        <w:spacing w:after="0" w:line="184"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Upon adoption of the standard, 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The allowance for credit losses was $54 as of December 31, 2022. There were no significant changes in credit loss risk factors that impacted the Company’s recorded allowance during the years ended December 31, 2024 and December 31, 2023.</w:t>
      </w:r>
    </w:p>
    <w:p>
      <w:pPr>
        <w:spacing w:after="0" w:line="184"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The Company charges interest on certain past-due trade receivable balances; for the accrued interest that is included in the amortized cost basis of trade receivables, the Company elects not to measure an allowance for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2" w:right="5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color w:val="auto"/>
        </w:rPr>
        <w:t>credit losses and to timely write off the interest deemed uncollectible by reversing interest income. The amounts of interest written off for the years ended December 31, 2024, December 31, 2023, and December 31, 2022 were immaterial.</w:t>
      </w:r>
    </w:p>
    <w:p>
      <w:pPr>
        <w:spacing w:after="0" w:line="162"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Recently Issued Accounting Standards Not Yet Adopted:</w:t>
      </w:r>
      <w:r>
        <w:rPr>
          <w:rFonts w:ascii="Times New Roman" w:cs="Times New Roman" w:eastAsia="Times New Roman" w:hAnsi="Times New Roman"/>
          <w:sz w:val="18"/>
          <w:szCs w:val="18"/>
          <w:color w:val="auto"/>
        </w:rPr>
        <w:t xml:space="preserve"> 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2025 and should be applied on a prospective basis, with retrospective application permitted. Early adoption is permitted. The Company is currently evaluating the impact of this ASU on the related disclosures.</w:t>
      </w:r>
    </w:p>
    <w:p>
      <w:pPr>
        <w:spacing w:after="0" w:line="184" w:lineRule="exact"/>
        <w:rPr>
          <w:sz w:val="20"/>
          <w:szCs w:val="20"/>
          <w:color w:val="auto"/>
        </w:rPr>
      </w:pPr>
    </w:p>
    <w:p>
      <w:pPr>
        <w:ind w:left="160" w:right="140"/>
        <w:spacing w:after="0" w:line="268"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standard, later clarified by ASU 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w:t>
      </w:r>
    </w:p>
    <w:p>
      <w:pPr>
        <w:spacing w:after="0" w:line="2" w:lineRule="exact"/>
        <w:rPr>
          <w:sz w:val="20"/>
          <w:szCs w:val="20"/>
          <w:color w:val="auto"/>
        </w:rPr>
      </w:pPr>
    </w:p>
    <w:p>
      <w:pPr>
        <w:ind w:left="160" w:firstLine="7"/>
        <w:spacing w:after="0" w:line="268" w:lineRule="auto"/>
        <w:tabs>
          <w:tab w:leader="none" w:pos="35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 AND EQUITY INVESTMENT</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Microtek</w:t>
      </w:r>
    </w:p>
    <w:p>
      <w:pPr>
        <w:spacing w:after="0" w:line="118" w:lineRule="exact"/>
        <w:rPr>
          <w:sz w:val="20"/>
          <w:szCs w:val="20"/>
          <w:color w:val="auto"/>
        </w:rPr>
      </w:pPr>
    </w:p>
    <w:p>
      <w:pPr>
        <w:ind w:left="160" w:right="260"/>
        <w:spacing w:after="0" w:line="270" w:lineRule="auto"/>
        <w:rPr>
          <w:sz w:val="20"/>
          <w:szCs w:val="20"/>
          <w:color w:val="auto"/>
        </w:rPr>
      </w:pPr>
      <w:r>
        <w:rPr>
          <w:rFonts w:ascii="Times New Roman" w:cs="Times New Roman" w:eastAsia="Times New Roman" w:hAnsi="Times New Roman"/>
          <w:sz w:val="17"/>
          <w:szCs w:val="17"/>
          <w:color w:val="auto"/>
        </w:rPr>
        <w:t>On August 1, 2024, the Company acquired all of the outstanding shares of the global surgical solutions business of Ecolab (the “Microtek” business) pursuant to a share purchase agreement for $911 cash consideration. The primary purpose of the business combination to expand Medline Brand business (defined in “Note 18 — Segment Information”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72" w:lineRule="exact"/>
        <w:rPr>
          <w:sz w:val="20"/>
          <w:szCs w:val="20"/>
          <w:color w:val="auto"/>
        </w:rPr>
      </w:pPr>
    </w:p>
    <w:p>
      <w:pPr>
        <w:ind w:left="160" w:right="180"/>
        <w:spacing w:after="0" w:line="254"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Accounting Standards Codification 805 Business Combinations (“ASC 805”) and was accounted for using the acquisition method of accounting. The assets acquired and liabilities assumed, affected for preliminary adjustments to reflect fair market values assigned to assets acquired and liabilities assumed, and results of operations, are included in the Company’s consolidated financial statements from the acquisition date. The Microtek acquisition contributed $127 of net sales for the year ended December 31, 2024. The net income from the Microtek acquisition was immaterial for the year ended December 31, 2024. The Company has preliminarily allocated the purchase price</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40"/>
          </w:cols>
          <w:pgMar w:left="320" w:top="452" w:right="5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40"/>
        <w:spacing w:after="0" w:line="263" w:lineRule="auto"/>
        <w:rPr>
          <w:sz w:val="20"/>
          <w:szCs w:val="20"/>
          <w:color w:val="auto"/>
        </w:rPr>
      </w:pPr>
      <w:r>
        <w:rPr>
          <w:rFonts w:ascii="Times New Roman" w:cs="Times New Roman" w:eastAsia="Times New Roman" w:hAnsi="Times New Roman"/>
          <w:sz w:val="18"/>
          <w:szCs w:val="18"/>
          <w:color w:val="auto"/>
        </w:rPr>
        <w:t>to the tangible and identifiable intangible assets acquired and liabilities assumed based on their estimated fair market values at the acquisition date as required under ASC 805. The fair value determinations of other assets, other liabilities, income taxes payable and deferred taxes are ongoing and will be finalized within the one-year measurement period.</w:t>
      </w:r>
    </w:p>
    <w:p>
      <w:pPr>
        <w:spacing w:after="0" w:line="17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has allocated the preliminary purchase price to the assets acquired and the liabilities assumed based on their estimated fair values as of the date of acquisition as below:</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72"/>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7"/>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8"/>
                <w:szCs w:val="18"/>
                <w:color w:val="auto"/>
              </w:rPr>
            </w:pPr>
          </w:p>
        </w:tc>
      </w:tr>
      <w:tr>
        <w:trPr>
          <w:trHeight w:val="221"/>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40"/>
        <w:spacing w:after="0" w:line="263"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For 2024, $424 of the goodwill is estimated to be tax deductible over the amortizable period. Goodwill is comprised of expected synergies related to the combined operations, trade name, and customer relationships acquired in the business combination.</w:t>
      </w:r>
    </w:p>
    <w:p>
      <w:pPr>
        <w:spacing w:after="0" w:line="175" w:lineRule="exact"/>
        <w:rPr>
          <w:sz w:val="20"/>
          <w:szCs w:val="20"/>
          <w:color w:val="auto"/>
        </w:rPr>
      </w:pPr>
    </w:p>
    <w:p>
      <w:pPr>
        <w:ind w:left="160" w:right="16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and developed technology were determined using the relief from royalty method and the fair values of customer relationship was determined using the distributor method. The Company considers the fair value of the intangible assets to be Level 3 measurements due to the significant estimates and assumptions used by management in establishing the estimated fair value which includes discount rates, revenue growth and royalty rates. The identifiable intangible assets acquired subject to amortization have a weighted average useful life of 11 years. Below is a summary of the intangible assets acquired in the acquisition:</w: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years</w:t>
            </w:r>
          </w:p>
        </w:tc>
      </w:tr>
      <w:tr>
        <w:trPr>
          <w:trHeight w:val="21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years</w:t>
            </w:r>
          </w:p>
        </w:tc>
      </w:tr>
      <w:tr>
        <w:trPr>
          <w:trHeight w:val="221"/>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60"/>
        <w:spacing w:after="0" w:line="278" w:lineRule="auto"/>
        <w:rPr>
          <w:sz w:val="20"/>
          <w:szCs w:val="20"/>
          <w:color w:val="auto"/>
        </w:rPr>
      </w:pPr>
      <w:r>
        <w:rPr>
          <w:rFonts w:ascii="Times New Roman" w:cs="Times New Roman" w:eastAsia="Times New Roman" w:hAnsi="Times New Roman"/>
          <w:sz w:val="18"/>
          <w:szCs w:val="18"/>
          <w:color w:val="auto"/>
        </w:rPr>
        <w:t>Acquisition-related costs for Microtek are included in selling, general and administrative expenses in our consolidated statements of comprehensive income as incurred and are not material.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1"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20"/>
        <w:spacing w:after="0" w:line="270" w:lineRule="auto"/>
        <w:rPr>
          <w:sz w:val="20"/>
          <w:szCs w:val="20"/>
          <w:color w:val="auto"/>
        </w:rPr>
      </w:pPr>
      <w:r>
        <w:rPr>
          <w:rFonts w:ascii="Times New Roman" w:cs="Times New Roman" w:eastAsia="Times New Roman" w:hAnsi="Times New Roman"/>
          <w:sz w:val="17"/>
          <w:szCs w:val="17"/>
          <w:color w:val="auto"/>
        </w:rPr>
        <w:t>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current preliminary fair value of the intangible assets acquired, incremental cost of sales related to the fair value adjustments on acquisition-date inventory, and the reclassification of acquisition-related costs incurred during the year-ended December 31, 2024 to the year-ended December 31, 2023. The pro forma results below are not 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8"/>
        </w:trPr>
        <w:tc>
          <w:tcPr>
            <w:tcW w:w="3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74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40" w:type="dxa"/>
            <w:vAlign w:val="bottom"/>
          </w:tcPr>
          <w:p>
            <w:pPr>
              <w:spacing w:after="0"/>
              <w:rPr>
                <w:sz w:val="10"/>
                <w:szCs w:val="10"/>
                <w:color w:val="auto"/>
              </w:rPr>
            </w:pPr>
          </w:p>
        </w:tc>
      </w:tr>
      <w:tr>
        <w:trPr>
          <w:trHeight w:val="170"/>
        </w:trPr>
        <w:tc>
          <w:tcPr>
            <w:tcW w:w="33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40" w:type="dxa"/>
            <w:vAlign w:val="bottom"/>
            <w:shd w:val="clear" w:color="auto" w:fill="CCEEFF"/>
          </w:tcPr>
          <w:p>
            <w:pPr>
              <w:spacing w:after="0"/>
              <w:rPr>
                <w:sz w:val="18"/>
                <w:szCs w:val="18"/>
                <w:color w:val="auto"/>
              </w:rPr>
            </w:pPr>
          </w:p>
        </w:tc>
      </w:tr>
      <w:tr>
        <w:trPr>
          <w:trHeight w:val="2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8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w:t>
            </w: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r>
    </w:tbl>
    <w:p>
      <w:pPr>
        <w:spacing w:after="0" w:line="177"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For the period ended December 31, 2024, the Company incurred $25 of incremental cost of sales from the fair value step-ups on acquired Microtek inventory that was sold in 2024. The Company also incurred $11 of additional amortization expense from the current fair values of identifiable intangible assets acquired. The unaudited proforma combined financial information includes adjustments to reflect incremental amortization expense based on the current preliminary fair values of the identifiable intangible assets acquired and some immaterial nonrecurring transaction expenses directly attributable to the acquisition.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Sinclair Dental</w:t>
      </w:r>
    </w:p>
    <w:p>
      <w:pPr>
        <w:spacing w:after="0" w:line="118"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18 - 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84" w:lineRule="exact"/>
        <w:rPr>
          <w:sz w:val="20"/>
          <w:szCs w:val="20"/>
          <w:color w:val="auto"/>
        </w:rPr>
      </w:pPr>
    </w:p>
    <w:p>
      <w:pPr>
        <w:ind w:left="160" w:right="240"/>
        <w:spacing w:after="0" w:line="255"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Sinclair Dental acquisition contributed $226 of net sales for the year ended December 31, 2024. The net income from the Sinclair Dental acquisition was immaterial for the year ended December 31, 2024.</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2"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has allocated the final purchase price to the assets acquired and the liabilities assumed based on their fair values as of February 1, 2024 as below:</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8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7"/>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1"/>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r>
      <w:tr>
        <w:trPr>
          <w:trHeight w:val="221"/>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75"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was determined using the relief from royalty method and the fair values of customer relationship was determined using the excess earnings method. The Company considers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540" w:type="dxa"/>
            <w:vAlign w:val="bottom"/>
          </w:tcPr>
          <w:p>
            <w:pPr>
              <w:spacing w:after="0"/>
              <w:rPr>
                <w:sz w:val="14"/>
                <w:szCs w:val="14"/>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years</w:t>
            </w:r>
          </w:p>
        </w:tc>
      </w:tr>
      <w:tr>
        <w:trPr>
          <w:trHeight w:val="27"/>
        </w:trPr>
        <w:tc>
          <w:tcPr>
            <w:tcW w:w="6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040"/>
        <w:spacing w:after="0" w:line="278" w:lineRule="auto"/>
        <w:rPr>
          <w:sz w:val="20"/>
          <w:szCs w:val="20"/>
          <w:color w:val="auto"/>
        </w:rPr>
      </w:pPr>
      <w:r>
        <w:rPr>
          <w:rFonts w:ascii="Times New Roman" w:cs="Times New Roman" w:eastAsia="Times New Roman" w:hAnsi="Times New Roman"/>
          <w:sz w:val="18"/>
          <w:szCs w:val="18"/>
          <w:color w:val="auto"/>
        </w:rPr>
        <w:t>Acquisition-related costs for Sinclair Dental are included in selling, general and administrative expenses in our consolidated statements of comprehensive income as incurred and are not material.</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United Medco</w:t>
      </w:r>
    </w:p>
    <w:p>
      <w:pPr>
        <w:spacing w:after="0" w:line="118"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$33 cash consideration and a contingent liability at a fair value of $20 at closing. United Medco, LLC brought growth to the Company’s health plans business by augmenting the Company’s best-in-class distribution capabilities and expanding the Company’s supplemental benefits offerings. The Company gained access to United Medco, LLC’s valued customer base and further grew in the managed care space.</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40"/>
          </w:cols>
          <w:pgMar w:left="320" w:top="452" w:right="5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 The United Medco acquisition contributed $89 of net sales for the year ended December 31, 2024. The net income from the United Medco acquisition was immaterial for the year ended December 31, 2024.</w:t>
      </w:r>
    </w:p>
    <w:p>
      <w:pPr>
        <w:spacing w:after="0" w:line="184"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The maximum payout under the contingent liability is $35 and will be paid over two years based on the defined metrics in 2024 and 2025. The Company recorded the contingent liability of $20 on the acquisition date. $8 was considered current and recorded as other current liabilities, and the remaining $12 was considered non-current and recorded as Other Long-Term Liabilities in the Company’s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consolidated statements of comprehensive income.</w:t>
      </w:r>
    </w:p>
    <w:p>
      <w:pPr>
        <w:spacing w:after="0" w:line="184"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The Company has allocated the final purchase price to the assets acquired and the liabilities assumed based on their fair values as of January 4, 2024 as below:</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8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7"/>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6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162"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was determined using the relief from royalty method and the fair values of customer relationship was determined using the excess earnings method. The Company consider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3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years</w:t>
            </w:r>
          </w:p>
        </w:tc>
      </w:tr>
      <w:tr>
        <w:trPr>
          <w:trHeight w:val="27"/>
        </w:trPr>
        <w:tc>
          <w:tcPr>
            <w:tcW w:w="2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gridSpan w:val="2"/>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5"/>
        </w:trPr>
        <w:tc>
          <w:tcPr>
            <w:tcW w:w="2820" w:type="dxa"/>
            <w:vAlign w:val="bottom"/>
          </w:tcPr>
          <w:p>
            <w:pPr>
              <w:spacing w:after="0"/>
              <w:rPr>
                <w:sz w:val="24"/>
                <w:szCs w:val="24"/>
                <w:color w:val="auto"/>
              </w:rPr>
            </w:pPr>
          </w:p>
        </w:tc>
        <w:tc>
          <w:tcPr>
            <w:tcW w:w="39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F-24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2" w:right="5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1100"/>
        <w:spacing w:after="0" w:line="278" w:lineRule="auto"/>
        <w:rPr>
          <w:sz w:val="20"/>
          <w:szCs w:val="20"/>
          <w:color w:val="auto"/>
        </w:rPr>
      </w:pPr>
      <w:r>
        <w:rPr>
          <w:rFonts w:ascii="Times New Roman" w:cs="Times New Roman" w:eastAsia="Times New Roman" w:hAnsi="Times New Roman"/>
          <w:sz w:val="18"/>
          <w:szCs w:val="18"/>
          <w:color w:val="auto"/>
        </w:rPr>
        <w:t>Acquisition-related costs for United Medco are included in selling, general and administrative expenses in our consolidated statements of comprehensive income as incurred and are not material.</w:t>
      </w:r>
    </w:p>
    <w:p>
      <w:pPr>
        <w:spacing w:after="0" w:line="162" w:lineRule="exact"/>
        <w:rPr>
          <w:sz w:val="20"/>
          <w:szCs w:val="20"/>
          <w:color w:val="auto"/>
        </w:rPr>
      </w:pPr>
    </w:p>
    <w:p>
      <w:pPr>
        <w:ind w:left="160" w:right="240"/>
        <w:spacing w:after="0" w:line="278" w:lineRule="auto"/>
        <w:rPr>
          <w:sz w:val="20"/>
          <w:szCs w:val="20"/>
          <w:color w:val="auto"/>
        </w:rPr>
      </w:pPr>
      <w:r>
        <w:rPr>
          <w:rFonts w:ascii="Times New Roman" w:cs="Times New Roman" w:eastAsia="Times New Roman" w:hAnsi="Times New Roman"/>
          <w:sz w:val="18"/>
          <w:szCs w:val="18"/>
          <w:color w:val="auto"/>
        </w:rPr>
        <w:t>Other than the Microtek acquisition, the pro forma impacts of the acquisitions during fiscal years 2024 were not material, either individually or in the aggregate, to the consolidated results of the Company.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18" w:lineRule="exact"/>
        <w:rPr>
          <w:sz w:val="20"/>
          <w:szCs w:val="20"/>
          <w:color w:val="auto"/>
        </w:rPr>
      </w:pPr>
    </w:p>
    <w:p>
      <w:pPr>
        <w:ind w:left="160" w:right="40"/>
        <w:spacing w:after="0"/>
        <w:rPr>
          <w:sz w:val="20"/>
          <w:szCs w:val="20"/>
          <w:color w:val="auto"/>
        </w:rPr>
      </w:pPr>
      <w:r>
        <w:rPr>
          <w:rFonts w:ascii="Times New Roman" w:cs="Times New Roman" w:eastAsia="Times New Roman" w:hAnsi="Times New Roman"/>
          <w:sz w:val="17"/>
          <w:szCs w:val="17"/>
          <w:color w:val="auto"/>
        </w:rPr>
        <w:t>On December 4, 2023, the Company completed the second step of the acquisition of the Hudson RCI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business, for consideration of $24. The Hudson RCI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business adds its brand of oxygen and aerosol therapy, active humidification and pulmonary hygiene products to the Company’s existing portfolio of respiratory products. The fair value allocated to assets acquired and liabilities assumed was $24, which includes $6 of goodwill. The costs associated with the acquisition were not material. The Company accounted for the transaction as a business combination in accordance with ASC 805.</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18"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On May 11, 2022, the Company completed the acquisition to purchase all shares in Asid Bonz GmbH, a German-based distributor of healthcare supplies, from Medi-Globe Technologies GmbH, for a purchase price of $18. The acquisition expanded the Company’s footprint by increasing its access to the urological and anesthesia areas of hospitals and clinics in Europe. Additionally, it has strengthened the Company’s offering in critical care and other areas, such as respiratory. The assets acquired and liabilities assumed, and the acquisition-related costs were not material to the consolidated financial statements. The Company accounted for the transaction as a business combination.</w:t>
      </w:r>
    </w:p>
    <w:p>
      <w:pPr>
        <w:spacing w:after="0" w:line="184"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The results of operations of acquired businesses and the pro forma impact of the acquisitions during fiscal years 2023 and 2022 were not material, either individually or in the aggregate, to the consolidated results of the Company.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118"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On October 11, 2023, the Company acquired a 20% equity interest in HCD Equity, LLC (“HCD”) by paying a total cash consideration of $10 and agreeing to transfer and assign to HCD certain customer contracts related to the Company’s managed care business. The underlying contracts were valued at $22 as of October 11, 2023 and were transferred in batches throughout 2024. As of December 31, 2023, the Company recorded an initial acquisition cost of $32 for the investment in HCD in other non-current assets of the Company’s consolidated balance sheets and a liability of $22 for the underlying contracts to be transferred in accrued expenses and other current liabilities in the Company’s consolidated balance sheets. As of December 31, 2024, the investment balance in HCD is $20. The Company’s maximum loss exposure is its investment in HCD.</w:t>
      </w:r>
    </w:p>
    <w:p>
      <w:pPr>
        <w:spacing w:after="0" w:line="184" w:lineRule="exact"/>
        <w:rPr>
          <w:sz w:val="20"/>
          <w:szCs w:val="20"/>
          <w:color w:val="auto"/>
        </w:rPr>
      </w:pPr>
    </w:p>
    <w:p>
      <w:pPr>
        <w:ind w:left="160" w:right="200"/>
        <w:spacing w:after="0" w:line="254" w:lineRule="auto"/>
        <w:rPr>
          <w:sz w:val="20"/>
          <w:szCs w:val="20"/>
          <w:color w:val="auto"/>
        </w:rPr>
      </w:pPr>
      <w:r>
        <w:rPr>
          <w:rFonts w:ascii="Times New Roman" w:cs="Times New Roman" w:eastAsia="Times New Roman" w:hAnsi="Times New Roman"/>
          <w:sz w:val="18"/>
          <w:szCs w:val="18"/>
          <w:color w:val="auto"/>
        </w:rPr>
        <w:t>The investment in HCD enables the Company to influence HCD’s operating and financial decisions, but not to control HCD. As such, the Company accounts for the investment in HCD using the equity method of accounting and records its share of losses in other (expense) income, net in the consolidated statements of comprehensive income. The results of operations since the date of acquisition were not material to the Company’s consolidated financial statements. The Company periodically assesses the equity investment in HCD for impairment by considering economic performance and current economic market conditions. No impairment charge was recorded for the years ended December 31, 2024 and December 31, 2023.</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51" w:right="5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Inventories consisted of the following as of:</w:t>
      </w:r>
    </w:p>
    <w:p>
      <w:pPr>
        <w:spacing w:after="0" w:line="22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5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 in process,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0" w:type="dxa"/>
            <w:vAlign w:val="bottom"/>
            <w:shd w:val="clear" w:color="auto" w:fill="CCEEFF"/>
          </w:tcPr>
          <w:p>
            <w:pPr>
              <w:spacing w:after="0"/>
              <w:rPr>
                <w:sz w:val="18"/>
                <w:szCs w:val="18"/>
                <w:color w:val="auto"/>
              </w:rPr>
            </w:pP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net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40" w:type="dxa"/>
            <w:vAlign w:val="bottom"/>
          </w:tcPr>
          <w:p>
            <w:pPr>
              <w:spacing w:after="0"/>
              <w:rPr>
                <w:sz w:val="19"/>
                <w:szCs w:val="19"/>
                <w:color w:val="auto"/>
              </w:rPr>
            </w:pPr>
          </w:p>
        </w:tc>
      </w:tr>
      <w:tr>
        <w:trPr>
          <w:trHeight w:val="214"/>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4,456</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3,813</w:t>
            </w: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60"/>
        <w:spacing w:after="0" w:line="263" w:lineRule="auto"/>
        <w:rPr>
          <w:sz w:val="20"/>
          <w:szCs w:val="20"/>
          <w:color w:val="auto"/>
        </w:rPr>
      </w:pPr>
      <w:r>
        <w:rPr>
          <w:rFonts w:ascii="Times New Roman" w:cs="Times New Roman" w:eastAsia="Times New Roman" w:hAnsi="Times New Roman"/>
          <w:sz w:val="18"/>
          <w:szCs w:val="18"/>
          <w:color w:val="auto"/>
        </w:rPr>
        <w:t>If LIFO inventories had been valued on a current cost or FIFO basis, they would have been greater by $276 and $223 as of December 31, 2024 and December 31, 2023, respectively. The inventory reserve for obsolescence was $35 and $26 as of December 31, 2024 and December 31, 2023, respectively.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as of:</w:t>
      </w:r>
    </w:p>
    <w:p>
      <w:pPr>
        <w:spacing w:after="0" w:line="22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8"/>
                <w:szCs w:val="18"/>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2,989</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Auto and trucks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1"/>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19"/>
                <w:szCs w:val="19"/>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221"/>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140"/>
        <w:spacing w:after="0" w:line="278"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for the years ended December 31, 2024, December 31, 2023, and December 31, 2022 was $292, $289, and $273,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5 — GOODWILL AND INTANGIBLE ASSETS</w:t>
      </w:r>
    </w:p>
    <w:p>
      <w:pPr>
        <w:spacing w:after="0" w:line="118" w:lineRule="exact"/>
        <w:rPr>
          <w:sz w:val="20"/>
          <w:szCs w:val="20"/>
          <w:color w:val="auto"/>
        </w:rPr>
      </w:pPr>
    </w:p>
    <w:p>
      <w:pPr>
        <w:jc w:val="both"/>
        <w:ind w:left="160" w:right="160"/>
        <w:spacing w:after="0" w:line="263" w:lineRule="auto"/>
        <w:rPr>
          <w:sz w:val="20"/>
          <w:szCs w:val="20"/>
          <w:color w:val="auto"/>
        </w:rPr>
      </w:pPr>
      <w:r>
        <w:rPr>
          <w:rFonts w:ascii="Times New Roman" w:cs="Times New Roman" w:eastAsia="Times New Roman" w:hAnsi="Times New Roman"/>
          <w:sz w:val="18"/>
          <w:szCs w:val="18"/>
          <w:color w:val="auto"/>
        </w:rPr>
        <w:t>During 2024, the Company reorganized operations to align around its two primary reportable segments, Medline Brand and Supply Chain Solutions. Subsequent to the reorganization, each of the reportable segments also represents a single reporting unit. See “Note 18 — Segment Information” for additional details.</w:t>
      </w:r>
    </w:p>
    <w:p>
      <w:pPr>
        <w:spacing w:after="0" w:line="175"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In 2024, total goodwill of $8,070 was allocated to the new reporting units based on their relative fair value with $6,716 assigned to Medline Brand and $1,354 assigned to Supply Chain Solutions. In conjunction with the change in reportable segments, the Company evaluated goodwill for impairment, both before and after the segment change and determined that the goodwill was not impaired.</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0920"/>
          </w:cols>
          <w:pgMar w:left="320" w:top="451" w:right="6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color w:val="auto"/>
              </w:rPr>
              <w:t>Medline Brand</w:t>
            </w:r>
          </w:p>
        </w:tc>
        <w:tc>
          <w:tcPr>
            <w:tcW w:w="1580" w:type="dxa"/>
            <w:vAlign w:val="bottom"/>
            <w:gridSpan w:val="8"/>
          </w:tcPr>
          <w:p>
            <w:pPr>
              <w:ind w:left="400"/>
              <w:spacing w:after="0"/>
              <w:rPr>
                <w:sz w:val="20"/>
                <w:szCs w:val="20"/>
                <w:color w:val="auto"/>
              </w:rPr>
            </w:pPr>
            <w:r>
              <w:rPr>
                <w:rFonts w:ascii="Times New Roman" w:cs="Times New Roman" w:eastAsia="Times New Roman" w:hAnsi="Times New Roman"/>
                <w:sz w:val="14"/>
                <w:szCs w:val="14"/>
                <w:color w:val="auto"/>
              </w:rPr>
              <w:t>Supply Chain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$ 7,526</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$ 7,532</w:t>
            </w: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to reporting segments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$ 8,070</w:t>
            </w: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$ 8,065</w:t>
            </w: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Identifiable intangible assets consist of the following as of:</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860" w:type="dxa"/>
            <w:vAlign w:val="bottom"/>
            <w:gridSpan w:val="5"/>
            <w:vMerge w:val="continue"/>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color w:val="auto"/>
              </w:rPr>
              <w:t>Weighted</w:t>
            </w: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7"/>
              </w:rPr>
              <w:t>Gross</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8"/>
              </w:rPr>
              <w:t>Net</w:t>
            </w:r>
          </w:p>
        </w:tc>
        <w:tc>
          <w:tcPr>
            <w:tcW w:w="7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Net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w w:val="96"/>
              </w:rPr>
              <w:t>Average</w:t>
            </w:r>
          </w:p>
        </w:tc>
        <w:tc>
          <w:tcPr>
            <w:tcW w:w="8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8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1040" w:type="dxa"/>
            <w:vAlign w:val="bottom"/>
            <w:gridSpan w:val="3"/>
            <w:vMerge w:val="continue"/>
          </w:tcPr>
          <w:p>
            <w:pPr>
              <w:spacing w:after="0"/>
              <w:rPr>
                <w:sz w:val="12"/>
                <w:szCs w:val="12"/>
                <w:color w:val="auto"/>
              </w:rPr>
            </w:pPr>
          </w:p>
        </w:tc>
        <w:tc>
          <w:tcPr>
            <w:tcW w:w="820" w:type="dxa"/>
            <w:vAlign w:val="bottom"/>
            <w:gridSpan w:val="3"/>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72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160" w:type="dxa"/>
            <w:vAlign w:val="bottom"/>
          </w:tcPr>
          <w:p>
            <w:pPr>
              <w:spacing w:after="0"/>
              <w:rPr>
                <w:sz w:val="12"/>
                <w:szCs w:val="12"/>
                <w:color w:val="auto"/>
              </w:rPr>
            </w:pPr>
          </w:p>
        </w:tc>
        <w:tc>
          <w:tcPr>
            <w:tcW w:w="700" w:type="dxa"/>
            <w:vAlign w:val="bottom"/>
            <w:gridSpan w:val="4"/>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Useful Life</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Useful Life</w:t>
            </w:r>
          </w:p>
        </w:tc>
        <w:tc>
          <w:tcPr>
            <w:tcW w:w="16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6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Finite-lived intangible assets:</w:t>
            </w: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$10,679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8,892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2"/>
              </w:rPr>
              <w:t>10,499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12,845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10,729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12,450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$ 3,830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16,675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14,559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16,220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14,788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80"/>
        <w:spacing w:after="0" w:line="263" w:lineRule="auto"/>
        <w:rPr>
          <w:sz w:val="20"/>
          <w:szCs w:val="20"/>
          <w:color w:val="auto"/>
        </w:rPr>
      </w:pPr>
      <w:r>
        <w:rPr>
          <w:rFonts w:ascii="Times New Roman" w:cs="Times New Roman" w:eastAsia="Times New Roman" w:hAnsi="Times New Roman"/>
          <w:sz w:val="18"/>
          <w:szCs w:val="18"/>
          <w:color w:val="auto"/>
        </w:rPr>
        <w:t>The net carrying amount of intangible assets, net as of December 31, 2024 includes the preliminary fair values for customer relationships, trade names and developed technology assets based on management’s preliminary estimate of fair value. See “Note 2 — Acquisitions and Equity Investment” for further details.</w:t>
      </w:r>
    </w:p>
    <w:p>
      <w:pPr>
        <w:spacing w:after="0" w:line="175"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The annual impairment testing performed did not indicate any impairment of intangible assets for the years ended December 31, 2024, December 31, 2023, and December 31, 2022.</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weighted-average amortization periods for definite lived intangible assets acquired during the year ended December 31, 2024 are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 (Years)</w:t>
            </w:r>
          </w:p>
        </w:tc>
      </w:tr>
      <w:tr>
        <w:trPr>
          <w:trHeight w:val="207"/>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r>
      <w:tr>
        <w:trPr>
          <w:trHeight w:val="21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4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(Total)</w:t>
            </w:r>
          </w:p>
        </w:tc>
        <w:tc>
          <w:tcPr>
            <w:tcW w:w="4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343"/>
        </w:trPr>
        <w:tc>
          <w:tcPr>
            <w:tcW w:w="3400" w:type="dxa"/>
            <w:vAlign w:val="bottom"/>
          </w:tcPr>
          <w:p>
            <w:pPr>
              <w:spacing w:after="0"/>
              <w:rPr>
                <w:sz w:val="24"/>
                <w:szCs w:val="24"/>
                <w:color w:val="auto"/>
              </w:rPr>
            </w:pPr>
          </w:p>
        </w:tc>
        <w:tc>
          <w:tcPr>
            <w:tcW w:w="4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F-27</w:t>
            </w:r>
          </w:p>
        </w:tc>
      </w:tr>
    </w:tbl>
    <w:p>
      <w:pPr>
        <w:sectPr>
          <w:pgSz w:w="11900" w:h="16838" w:orient="portrait"/>
          <w:cols w:equalWidth="0" w:num="1">
            <w:col w:w="11080"/>
          </w:cols>
          <w:pgMar w:left="320" w:top="451"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Estimated amortization expense over the next five years and thereafter is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Total</w:t>
            </w:r>
          </w:p>
        </w:tc>
      </w:tr>
      <w:tr>
        <w:trPr>
          <w:trHeight w:val="207"/>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w:t>
            </w:r>
          </w:p>
        </w:tc>
      </w:tr>
      <w:tr>
        <w:trPr>
          <w:trHeight w:val="21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w:t>
            </w:r>
          </w:p>
        </w:tc>
      </w:tr>
      <w:tr>
        <w:trPr>
          <w:trHeight w:val="21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7,225</w:t>
            </w:r>
          </w:p>
        </w:tc>
      </w:tr>
      <w:tr>
        <w:trPr>
          <w:trHeight w:val="27"/>
        </w:trPr>
        <w:tc>
          <w:tcPr>
            <w:tcW w:w="37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37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10,729</w:t>
            </w:r>
          </w:p>
        </w:tc>
      </w:tr>
      <w:tr>
        <w:trPr>
          <w:trHeight w:val="20"/>
        </w:trPr>
        <w:tc>
          <w:tcPr>
            <w:tcW w:w="3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right="4100"/>
        <w:spacing w:after="0" w:line="444" w:lineRule="auto"/>
        <w:rPr>
          <w:sz w:val="20"/>
          <w:szCs w:val="20"/>
          <w:color w:val="auto"/>
        </w:rPr>
      </w:pPr>
      <w:r>
        <w:rPr>
          <w:rFonts w:ascii="Times New Roman" w:cs="Times New Roman" w:eastAsia="Times New Roman" w:hAnsi="Times New Roman"/>
          <w:sz w:val="17"/>
          <w:szCs w:val="17"/>
          <w:b w:val="1"/>
          <w:bCs w:val="1"/>
          <w:color w:val="auto"/>
        </w:rPr>
        <w:t xml:space="preserve">NOTE 6 — ACCRUED EXPENSES AND OTHER CURRENT LIABILITIES </w:t>
      </w:r>
      <w:r>
        <w:rPr>
          <w:rFonts w:ascii="Times New Roman" w:cs="Times New Roman" w:eastAsia="Times New Roman" w:hAnsi="Times New Roman"/>
          <w:sz w:val="17"/>
          <w:szCs w:val="17"/>
          <w:color w:val="auto"/>
        </w:rPr>
        <w:t>The elements of accrued expenses and other current liabilities are as follows as of:</w:t>
      </w:r>
    </w:p>
    <w:p>
      <w:pPr>
        <w:spacing w:after="0" w:line="3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7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 and distributor chargebacks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Indirect tax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 (EtO)</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 CREDIT AGREEMENTS AND BORROWINGS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Company’s current portion of long-term borrowings and other short-term borrowings consists of the following:</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31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8"/>
                <w:szCs w:val="18"/>
                <w:color w:val="auto"/>
              </w:rPr>
            </w:pPr>
          </w:p>
        </w:tc>
      </w:tr>
      <w:tr>
        <w:trPr>
          <w:trHeight w:val="22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2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21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5"/>
        </w:trPr>
        <w:tc>
          <w:tcPr>
            <w:tcW w:w="3180" w:type="dxa"/>
            <w:vAlign w:val="bottom"/>
          </w:tcPr>
          <w:p>
            <w:pPr>
              <w:spacing w:after="0"/>
              <w:rPr>
                <w:sz w:val="24"/>
                <w:szCs w:val="24"/>
                <w:color w:val="auto"/>
              </w:rPr>
            </w:pPr>
          </w:p>
        </w:tc>
        <w:tc>
          <w:tcPr>
            <w:tcW w:w="25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F-28</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20"/>
          </w:cols>
          <w:pgMar w:left="320" w:top="451" w:right="13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long-term borrowings and the effective interest rates as of December 31, 2024 and December 31, 2023 are summarized as follows:</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Average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Average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Maturity dates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color w:val="auto"/>
                <w:w w:val="97"/>
              </w:rPr>
              <w:t>effective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color w:val="auto"/>
              </w:rPr>
              <w:t>effective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color w:val="auto"/>
              </w:rPr>
              <w:t>interest</w:t>
            </w:r>
          </w:p>
        </w:tc>
        <w:tc>
          <w:tcPr>
            <w:tcW w:w="160" w:type="dxa"/>
            <w:vAlign w:val="bottom"/>
          </w:tcPr>
          <w:p>
            <w:pPr>
              <w:spacing w:after="0"/>
              <w:rPr>
                <w:sz w:val="12"/>
                <w:szCs w:val="12"/>
                <w:color w:val="auto"/>
              </w:rPr>
            </w:pPr>
          </w:p>
        </w:tc>
        <w:tc>
          <w:tcPr>
            <w:tcW w:w="10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by fiscal year</w:t>
            </w:r>
          </w:p>
        </w:tc>
        <w:tc>
          <w:tcPr>
            <w:tcW w:w="4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5"/>
              </w:rPr>
              <w:t>rate</w:t>
            </w: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borrowings</w:t>
            </w:r>
          </w:p>
        </w:tc>
        <w:tc>
          <w:tcPr>
            <w:tcW w:w="9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unsecured debt</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Secured debt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Variable (euro-denominated)</w:t>
            </w:r>
            <w:r>
              <w:rPr>
                <w:rFonts w:ascii="Times New Roman" w:cs="Times New Roman" w:eastAsia="Times New Roman" w:hAnsi="Times New Roman"/>
                <w:sz w:val="24"/>
                <w:szCs w:val="24"/>
                <w:color w:val="auto"/>
                <w:vertAlign w:val="superscript"/>
              </w:rPr>
              <w:t>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Variable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2025 - 2028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7,612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9,362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secured debt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14,257</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2"/>
              </w:rPr>
              <w:t>14,342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16,757</w:t>
            </w:r>
          </w:p>
        </w:tc>
        <w:tc>
          <w:tcPr>
            <w:tcW w:w="4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16,842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Total other</w:t>
            </w:r>
            <w:r>
              <w:rPr>
                <w:rFonts w:ascii="Times New Roman" w:cs="Times New Roman" w:eastAsia="Times New Roman" w:hAnsi="Times New Roman"/>
                <w:sz w:val="24"/>
                <w:szCs w:val="24"/>
                <w:color w:val="auto"/>
                <w:vertAlign w:val="superscript"/>
              </w:rPr>
              <w:t>2</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9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16,416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2"/>
              </w:rPr>
              <w:t>16,442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color w:val="auto"/>
        </w:rPr>
        <w:t>includes exchange rate adjustments.</w:t>
      </w:r>
    </w:p>
    <w:p>
      <w:pPr>
        <w:spacing w:after="0" w:line="2"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4"/>
          <w:szCs w:val="14"/>
          <w:color w:val="auto"/>
        </w:rPr>
        <w:t>includes deferred financing costs.</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18" w:lineRule="exact"/>
        <w:rPr>
          <w:sz w:val="20"/>
          <w:szCs w:val="20"/>
          <w:color w:val="auto"/>
        </w:rPr>
      </w:pPr>
    </w:p>
    <w:p>
      <w:pPr>
        <w:ind w:left="160"/>
        <w:spacing w:after="0" w:line="266" w:lineRule="auto"/>
        <w:rPr>
          <w:sz w:val="20"/>
          <w:szCs w:val="20"/>
          <w:color w:val="auto"/>
        </w:rPr>
      </w:pPr>
      <w:r>
        <w:rPr>
          <w:rFonts w:ascii="Times New Roman" w:cs="Times New Roman" w:eastAsia="Times New Roman" w:hAnsi="Times New Roman"/>
          <w:sz w:val="17"/>
          <w:szCs w:val="17"/>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Amortization payments equal to 0.25% of initial aggregate principal amount of the New Dollar Term Loans (as defined below) are due quarterly, commencing with the three months ending June 25, 2022 and remaining principal is set to mature on October 21, 2028. The Company made payments of $46 and $73 towards principal of the New Dollar Term Loans, Additional Dollar Term Loans (as defined below), Refinanced Dollar Term Loans (as defined below) and Initial Dollar Term Loans, as applicable, during the years ended December 31, 2024 and December 31, 2023, respectively. The Euro Term Loans do not have any mandatory amortization.</w:t>
      </w:r>
    </w:p>
    <w:p>
      <w:pPr>
        <w:spacing w:after="0" w:line="179" w:lineRule="exact"/>
        <w:rPr>
          <w:sz w:val="20"/>
          <w:szCs w:val="20"/>
          <w:color w:val="auto"/>
        </w:rPr>
      </w:pPr>
    </w:p>
    <w:p>
      <w:pPr>
        <w:ind w:left="160" w:right="260"/>
        <w:spacing w:after="0" w:line="278" w:lineRule="auto"/>
        <w:rPr>
          <w:sz w:val="20"/>
          <w:szCs w:val="20"/>
          <w:color w:val="auto"/>
        </w:rPr>
      </w:pPr>
      <w:r>
        <w:rPr>
          <w:rFonts w:ascii="Times New Roman" w:cs="Times New Roman" w:eastAsia="Times New Roman" w:hAnsi="Times New Roman"/>
          <w:sz w:val="18"/>
          <w:szCs w:val="18"/>
          <w:color w:val="auto"/>
        </w:rPr>
        <w:t>On October 21, 2021, the Company received net proceeds of $4,421 for a 3.875% fixed rate note issued with a maturity date of April 2029. Principal amount of the senior secured notes issued was $4,500.</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60"/>
          </w:cols>
          <w:pgMar w:left="320" w:top="451" w:right="51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On October 21, 2021, the Company received net proceeds of $2,442 for a 5.250% fixed rate note issued with a maturity date of October 2029. Principal amount of the senior unsecured notes issued was $2,500.</w:t>
      </w:r>
    </w:p>
    <w:p>
      <w:pPr>
        <w:spacing w:after="0" w:line="162"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On October 21, 2021, the Company received net proceeds from a mortgage loan (“CMBS Loan”) in the amount of $2,177 for variable rate mortgage-backed debt. Before it matured in November 2023, the Company exercised the first of the three “one-year” extension options and extended the loan to November 2024. Furthermore, the Company intended to exercise the second one-year extension option and extend the loan to November 2025. The CMBS Loan debt consists of several components with each component having its respective principal balance and rate. The principal balances of the components total to $2,219 as of December 31, 2023. The Company made repayments of $4 and $7 during the years ended December 31, 2023 and December 31, 2022, respectively. Until June 27, 2023, the variable interest rates of each component were USD LIBOR plus the spreads ranging from 1.09% to 5.39%. Pursuant to the amendment to the Credit Agreement effective June 28, 2023, SOFR plus the spreads ranging from 1.21% to 5.51% became the variable interest rates to CMBS Loan. The Company has fully repaid the CMBS Loan on July 9, 2024 for $2,219 by using the proceeds from senior secured notes raised on June 24, 2024, the Incremental Term Loans raised on July 8, 2024, and the Company’s excess cash.</w:t>
      </w:r>
    </w:p>
    <w:p>
      <w:pPr>
        <w:spacing w:after="0" w:line="192" w:lineRule="exact"/>
        <w:rPr>
          <w:sz w:val="20"/>
          <w:szCs w:val="20"/>
          <w:color w:val="auto"/>
        </w:rPr>
      </w:pPr>
    </w:p>
    <w:p>
      <w:pPr>
        <w:ind w:left="160" w:right="20"/>
        <w:spacing w:after="0" w:line="266" w:lineRule="auto"/>
        <w:rPr>
          <w:sz w:val="20"/>
          <w:szCs w:val="20"/>
          <w:color w:val="auto"/>
        </w:rPr>
      </w:pPr>
      <w:r>
        <w:rPr>
          <w:rFonts w:ascii="Times New Roman" w:cs="Times New Roman" w:eastAsia="Times New Roman" w:hAnsi="Times New Roman"/>
          <w:sz w:val="17"/>
          <w:szCs w:val="17"/>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w:t>
      </w:r>
    </w:p>
    <w:p>
      <w:pPr>
        <w:ind w:left="160" w:right="140"/>
        <w:spacing w:after="0" w:line="250" w:lineRule="auto"/>
        <w:rPr>
          <w:sz w:val="20"/>
          <w:szCs w:val="20"/>
          <w:color w:val="auto"/>
        </w:rPr>
      </w:pPr>
      <w:r>
        <w:rPr>
          <w:rFonts w:ascii="Times New Roman" w:cs="Times New Roman" w:eastAsia="Times New Roman" w:hAnsi="Times New Roman"/>
          <w:sz w:val="18"/>
          <w:szCs w:val="18"/>
          <w:color w:val="auto"/>
        </w:rPr>
        <w:t>0.36%, resulting in a margin spread of SOFR plus 2.75% per annum. Amortization payments equal to 0.25% of revised aggregate principal amount of $6,143 of the Refinanced Dollar Term Loans are still due quarterly. The maturity date of the Refinanced Dollar Term Loans remains October 21, 2028. For the financing transaction on March 27, 2024, the Company recorded $29 of debt extinguishment costs, which were included in other (expense) income, net on the consolidated statements of comprehensive income.</w:t>
      </w:r>
    </w:p>
    <w:p>
      <w:pPr>
        <w:spacing w:after="0" w:line="189" w:lineRule="exact"/>
        <w:rPr>
          <w:sz w:val="20"/>
          <w:szCs w:val="20"/>
          <w:color w:val="auto"/>
        </w:rPr>
      </w:pPr>
    </w:p>
    <w:p>
      <w:pPr>
        <w:ind w:left="160" w:right="60"/>
        <w:spacing w:after="0" w:line="250" w:lineRule="auto"/>
        <w:rPr>
          <w:sz w:val="20"/>
          <w:szCs w:val="20"/>
          <w:color w:val="auto"/>
        </w:rPr>
      </w:pPr>
      <w:r>
        <w:rPr>
          <w:rFonts w:ascii="Times New Roman" w:cs="Times New Roman" w:eastAsia="Times New Roman" w:hAnsi="Times New Roman"/>
          <w:sz w:val="18"/>
          <w:szCs w:val="18"/>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 the Credit Agreement and received net proceeds of $1,503 of additional dollar-denominated term loans of a different class than the Initial Dollar Term Loans (the “Additional Dollar Term Loan Facility” and the loans thereunder, the “Additional Dollar Term Loans”) and net proceeds of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$495 proceeds received on June 24, 2024 to repay the CMBS Loan on July 9, 2024, as noted above.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 the “New Euro Term Loan Facility” and the loans thereunder, the “New Euro Term Loans”). Similar to the Refinanced Dollar Term Loans</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52" w:right="5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under the same Credit Agreement, the Additional Dollar Term Loans require amortization payments equal to 0.25% of aggregate principal amount of the Additional Dollar Term Loans quarterly, commencing with the three months ending December 31, 2024 while the remaining principal is set to mature on October 21, 2028. For the year ended December 31, 2024, the Company made the amortization payment of $4 towards the Additional Dollar Term Loans. Like the Refinanced Euro Term Loans, the Additional Euro Term Loans do not have any mandatory amortization and mature on October 21, 2028. For the financing transaction in July 2024, the Company recorded $2 debt extinguishment costs, which were included in other (expense) income, net on the consolidated statements of comprehensive income.</w:t>
      </w:r>
    </w:p>
    <w:p>
      <w:pPr>
        <w:spacing w:after="0" w:line="184"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On November 19, 2024, we entered into the fourth amendment to the credit agreement that governs the Senior Secured Credit Facilities to (i) 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For the financing transaction in November 2024, the Company recorded $1 debt extinguishment costs, which were included in other (expense) income, net on the consolidated statements of comprehensive income.</w:t>
      </w:r>
    </w:p>
    <w:p>
      <w:pPr>
        <w:spacing w:after="0" w:line="184" w:lineRule="exact"/>
        <w:rPr>
          <w:sz w:val="20"/>
          <w:szCs w:val="20"/>
          <w:color w:val="auto"/>
        </w:rPr>
      </w:pPr>
    </w:p>
    <w:p>
      <w:pPr>
        <w:ind w:left="160" w:right="80"/>
        <w:spacing w:after="0" w:line="254" w:lineRule="auto"/>
        <w:rPr>
          <w:sz w:val="20"/>
          <w:szCs w:val="20"/>
          <w:color w:val="auto"/>
        </w:rPr>
      </w:pPr>
      <w:r>
        <w:rPr>
          <w:rFonts w:ascii="Times New Roman" w:cs="Times New Roman" w:eastAsia="Times New Roman" w:hAnsi="Times New Roman"/>
          <w:sz w:val="18"/>
          <w:szCs w:val="18"/>
          <w:color w:val="auto"/>
        </w:rPr>
        <w:t>The fair value of the New Dollar Term Loans and New Euro Term Loans as of December 31, 2024 was $7,660 and $647, respectively. The fair value of the Initial Dollar Term Loans and Initial Euro Term Loans as of December 31, 2023 was $7,170 and $481, respectively. The fair value of the 3.875% fixed rate note, the 5.250% fixed rate note, and the 6.250% fixed rate note as of December 31, 2024 was $4,166, $2,411 and $1,517, respectively. The fair value of the 3.875% fixed rate note and the 5.250% fixed rate note as of December 31, 2023 was $4,056 and $2,359, respectively. The fair value of the CMBS Loan as of December 31, 2023 was $2,141. The estimated fair value of these loans was based on recent trades as reported by a third-party bond pricing service. Due to the infrequency of trades, these inputs are considered to be Level 2 inputs.</w:t>
      </w:r>
    </w:p>
    <w:p>
      <w:pPr>
        <w:spacing w:after="0" w:line="184" w:lineRule="exact"/>
        <w:rPr>
          <w:sz w:val="20"/>
          <w:szCs w:val="20"/>
          <w:color w:val="auto"/>
        </w:rPr>
      </w:pPr>
    </w:p>
    <w:p>
      <w:pPr>
        <w:ind w:left="160" w:right="300"/>
        <w:spacing w:after="0" w:line="278" w:lineRule="auto"/>
        <w:rPr>
          <w:sz w:val="20"/>
          <w:szCs w:val="20"/>
          <w:color w:val="auto"/>
        </w:rPr>
      </w:pPr>
      <w:r>
        <w:rPr>
          <w:rFonts w:ascii="Times New Roman" w:cs="Times New Roman" w:eastAsia="Times New Roman" w:hAnsi="Times New Roman"/>
          <w:sz w:val="18"/>
          <w:szCs w:val="18"/>
          <w:color w:val="auto"/>
        </w:rPr>
        <w:t>Compliance with the covenants does not significantly impact the Company’s operations. As of December 31, 2024, the Company was in compliance with all the covenants under the Credit Agreement.</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Future aggregate principal amounts over the next five years and thereafter are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Annual Maturities</w:t>
            </w:r>
          </w:p>
        </w:tc>
      </w:tr>
      <w:tr>
        <w:trPr>
          <w:trHeight w:val="207"/>
        </w:trPr>
        <w:tc>
          <w:tcPr>
            <w:tcW w:w="6220" w:type="dxa"/>
            <w:vAlign w:val="bottom"/>
            <w:tcBorders>
              <w:top w:val="single" w:sz="8" w:color="CCEEFF"/>
            </w:tcBorders>
            <w:shd w:val="clear" w:color="auto" w:fill="CCEEFF"/>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7"/>
        </w:trPr>
        <w:tc>
          <w:tcPr>
            <w:tcW w:w="6220" w:type="dxa"/>
            <w:vAlign w:val="bottom"/>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6220" w:type="dxa"/>
            <w:vAlign w:val="bottom"/>
            <w:shd w:val="clear" w:color="auto" w:fill="CCEEFF"/>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7"/>
        </w:trPr>
        <w:tc>
          <w:tcPr>
            <w:tcW w:w="6220" w:type="dxa"/>
            <w:vAlign w:val="bottom"/>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8,029</w:t>
            </w:r>
          </w:p>
        </w:tc>
        <w:tc>
          <w:tcPr>
            <w:tcW w:w="20" w:type="dxa"/>
            <w:vAlign w:val="bottom"/>
          </w:tcPr>
          <w:p>
            <w:pPr>
              <w:spacing w:after="0"/>
              <w:rPr>
                <w:sz w:val="19"/>
                <w:szCs w:val="19"/>
                <w:color w:val="auto"/>
              </w:rPr>
            </w:pPr>
          </w:p>
        </w:tc>
      </w:tr>
      <w:tr>
        <w:trPr>
          <w:trHeight w:val="227"/>
        </w:trPr>
        <w:tc>
          <w:tcPr>
            <w:tcW w:w="6220" w:type="dxa"/>
            <w:vAlign w:val="bottom"/>
            <w:shd w:val="clear" w:color="auto" w:fill="CCEEFF"/>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8,500</w:t>
            </w:r>
          </w:p>
        </w:tc>
        <w:tc>
          <w:tcPr>
            <w:tcW w:w="20" w:type="dxa"/>
            <w:vAlign w:val="bottom"/>
            <w:shd w:val="clear" w:color="auto" w:fill="CCEEFF"/>
          </w:tcPr>
          <w:p>
            <w:pPr>
              <w:spacing w:after="0"/>
              <w:rPr>
                <w:sz w:val="19"/>
                <w:szCs w:val="19"/>
                <w:color w:val="auto"/>
              </w:rPr>
            </w:pPr>
          </w:p>
        </w:tc>
      </w:tr>
      <w:tr>
        <w:trPr>
          <w:trHeight w:val="221"/>
        </w:trPr>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Revolving Credit Facilities</w:t>
      </w:r>
    </w:p>
    <w:p>
      <w:pPr>
        <w:spacing w:after="0" w:line="118" w:lineRule="exact"/>
        <w:rPr>
          <w:sz w:val="20"/>
          <w:szCs w:val="20"/>
          <w:color w:val="auto"/>
        </w:rPr>
      </w:pPr>
    </w:p>
    <w:p>
      <w:pPr>
        <w:ind w:left="160" w:right="100"/>
        <w:spacing w:after="0" w:line="277" w:lineRule="auto"/>
        <w:rPr>
          <w:sz w:val="20"/>
          <w:szCs w:val="20"/>
          <w:color w:val="auto"/>
        </w:rPr>
      </w:pPr>
      <w:r>
        <w:rPr>
          <w:rFonts w:ascii="Times New Roman" w:cs="Times New Roman" w:eastAsia="Times New Roman" w:hAnsi="Times New Roman"/>
          <w:sz w:val="17"/>
          <w:szCs w:val="17"/>
          <w:color w:val="auto"/>
        </w:rPr>
        <w:t>As part of the Transaction, on October 21, 2021, certain lenders have provided the Company with commitments under a senior secured revolving credit facility (the “Revolving Credit Facility,” together with the New Dollar Term Loan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60"/>
          </w:cols>
          <w:pgMar w:left="320" w:top="451" w:right="5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As of December 31, 2024 and December 31, 2023, the Revolving Credit Facility had several financial institutions as lenders for a maximum borrowing capacity of $1,000. As of December 31, 2024 and December 31, 2023, availability under the Revolving Credit Facility was $951 and $975, respectively, after taking into account outstanding letters of credit of $49 and $25, respectively. The Company borrowed and repaid $166 under the Revolving Credit Facility during the year ended December 31, 2024 while there were no borrowings during the year ended December 31, 2023. No amounts were outstanding as of December 31, 2024 or December 31, 2023.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 For the financing activities in July 2024, the Company recorded immaterial debt extinguishment costs, which are included in other (expense) income, net on the consolidated statements of comprehensive income.</w:t>
      </w:r>
    </w:p>
    <w:p>
      <w:pPr>
        <w:spacing w:after="0" w:line="192" w:lineRule="exact"/>
        <w:rPr>
          <w:sz w:val="20"/>
          <w:szCs w:val="20"/>
          <w:color w:val="auto"/>
        </w:rPr>
      </w:pPr>
    </w:p>
    <w:p>
      <w:pPr>
        <w:ind w:left="160" w:right="340"/>
        <w:spacing w:after="0" w:line="278" w:lineRule="auto"/>
        <w:rPr>
          <w:sz w:val="20"/>
          <w:szCs w:val="20"/>
          <w:color w:val="auto"/>
        </w:rPr>
      </w:pPr>
      <w:r>
        <w:rPr>
          <w:rFonts w:ascii="Times New Roman" w:cs="Times New Roman" w:eastAsia="Times New Roman" w:hAnsi="Times New Roman"/>
          <w:sz w:val="18"/>
          <w:szCs w:val="18"/>
          <w:color w:val="auto"/>
        </w:rPr>
        <w:t>Borrowings under Revolving Credit Facility may be repaid and borrowed again, partially or wholly at any time, from time to time, as elected by the Company and interest is typically paid on a monthly or quarterly basis, depending on the interest period elected.</w:t>
      </w:r>
    </w:p>
    <w:p>
      <w:pPr>
        <w:spacing w:after="0" w:line="162" w:lineRule="exact"/>
        <w:rPr>
          <w:sz w:val="20"/>
          <w:szCs w:val="20"/>
          <w:color w:val="auto"/>
        </w:rPr>
      </w:pPr>
    </w:p>
    <w:p>
      <w:pPr>
        <w:ind w:left="160" w:right="440"/>
        <w:spacing w:after="0" w:line="278" w:lineRule="auto"/>
        <w:rPr>
          <w:sz w:val="20"/>
          <w:szCs w:val="20"/>
          <w:color w:val="auto"/>
        </w:rPr>
      </w:pPr>
      <w:r>
        <w:rPr>
          <w:rFonts w:ascii="Times New Roman" w:cs="Times New Roman" w:eastAsia="Times New Roman" w:hAnsi="Times New Roman"/>
          <w:sz w:val="18"/>
          <w:szCs w:val="18"/>
          <w:color w:val="auto"/>
        </w:rPr>
        <w:t>The indentures contain certain affirmative and negative covenants, which require, among other provisions, delivery of these consolidated financial statements to the relevant note holders. As of December 31, 2024, the Company was in compliance with all covenants.</w:t>
      </w:r>
    </w:p>
    <w:p>
      <w:pPr>
        <w:spacing w:after="0" w:line="162" w:lineRule="exact"/>
        <w:rPr>
          <w:sz w:val="20"/>
          <w:szCs w:val="20"/>
          <w:color w:val="auto"/>
        </w:rPr>
      </w:pPr>
    </w:p>
    <w:p>
      <w:pPr>
        <w:ind w:left="160" w:right="120"/>
        <w:spacing w:after="0" w:line="274" w:lineRule="auto"/>
        <w:rPr>
          <w:sz w:val="20"/>
          <w:szCs w:val="20"/>
          <w:color w:val="auto"/>
        </w:rPr>
      </w:pPr>
      <w:r>
        <w:rPr>
          <w:rFonts w:ascii="Times New Roman" w:cs="Times New Roman" w:eastAsia="Times New Roman" w:hAnsi="Times New Roman"/>
          <w:sz w:val="17"/>
          <w:szCs w:val="17"/>
          <w:u w:val="single" w:color="auto"/>
          <w:color w:val="auto"/>
        </w:rPr>
        <w:t>Reference Rate Reform and the Discontinuation of LIBOR:</w:t>
      </w:r>
      <w:r>
        <w:rPr>
          <w:rFonts w:ascii="Times New Roman" w:cs="Times New Roman" w:eastAsia="Times New Roman" w:hAnsi="Times New Roman"/>
          <w:sz w:val="17"/>
          <w:szCs w:val="17"/>
          <w:color w:val="auto"/>
        </w:rPr>
        <w:t xml:space="preserve">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the reference rate reform initiative, certain widely used reference rates such as LIBOR were discontinued. In the third quarter of 2023, the Company’s U.S. Dollar Term Loan, CMBS Loan, and Revolving Credit Facility agreements were amended to reference SOFR-based rates. The transition did not have a material impact on the Company’s consolidated financial statements.</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8 — INTEREST EXPENSE, NET</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expense, net consists of the following for the years ended December 31, 2024, December 31, 2023, and December 31, 2022:</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4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27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w w:val="92"/>
              </w:rPr>
              <w:t>2024</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r>
      <w:tr>
        <w:trPr>
          <w:trHeight w:val="20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(976)</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r>
      <w:tr>
        <w:trPr>
          <w:trHeight w:val="20"/>
        </w:trPr>
        <w:tc>
          <w:tcPr>
            <w:tcW w:w="2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2720" w:type="dxa"/>
            <w:vAlign w:val="bottom"/>
          </w:tcPr>
          <w:p>
            <w:pPr>
              <w:spacing w:after="0"/>
              <w:rPr>
                <w:sz w:val="24"/>
                <w:szCs w:val="24"/>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3"/>
              </w:rPr>
              <w:t>F-32</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51" w:right="5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Lessee Activities: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summarizes the components of lease cost for the years ended December 31, 2024, December 31, 2023, and December 31, 2022:</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4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4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3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r>
      <w:tr>
        <w:trPr>
          <w:trHeight w:val="20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1"/>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r>
      <w:tr>
        <w:trPr>
          <w:trHeight w:val="21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1"/>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Variable lease cost primarily includes payments for operating expenses, maintenance, electricity and property taxes.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consolidated balance sheets: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80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color w:val="auto"/>
              </w:rPr>
              <w:t>Consolidated balance sheet captions: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2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w:t>
            </w:r>
          </w:p>
        </w:tc>
        <w:tc>
          <w:tcPr>
            <w:tcW w:w="4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 portion of operating lease</w:t>
            </w:r>
          </w:p>
        </w:tc>
        <w:tc>
          <w:tcPr>
            <w:tcW w:w="4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Company’s operating leases have a weighted-average remaining lease term of 7 years for both December 31, 2024 and December 31, 2023. The weighted-average discount rate of the Company’s operating leases is 8% for both December 31, 2024 and December 31, 2023.</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Future lease annual operating lease payments under non-cancelable leases over the next five years and thereafter is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Total</w:t>
            </w:r>
          </w:p>
        </w:tc>
      </w:tr>
      <w:tr>
        <w:trPr>
          <w:trHeight w:val="207"/>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2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33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$ 517</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33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3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$ 405</w:t>
            </w:r>
          </w:p>
        </w:tc>
      </w:tr>
      <w:tr>
        <w:trPr>
          <w:trHeight w:val="20"/>
        </w:trPr>
        <w:tc>
          <w:tcPr>
            <w:tcW w:w="3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3320" w:type="dxa"/>
            <w:vAlign w:val="bottom"/>
          </w:tcPr>
          <w:p>
            <w:pPr>
              <w:spacing w:after="0"/>
              <w:rPr>
                <w:sz w:val="24"/>
                <w:szCs w:val="24"/>
                <w:color w:val="auto"/>
              </w:rPr>
            </w:pPr>
          </w:p>
        </w:tc>
        <w:tc>
          <w:tcPr>
            <w:tcW w:w="4080" w:type="dxa"/>
            <w:vAlign w:val="bottom"/>
            <w:gridSpan w:val="3"/>
          </w:tcPr>
          <w:p>
            <w:pPr>
              <w:jc w:val="right"/>
              <w:ind w:right="3520"/>
              <w:spacing w:after="0"/>
              <w:rPr>
                <w:sz w:val="20"/>
                <w:szCs w:val="20"/>
                <w:color w:val="auto"/>
              </w:rPr>
            </w:pPr>
            <w:r>
              <w:rPr>
                <w:rFonts w:ascii="Times New Roman" w:cs="Times New Roman" w:eastAsia="Times New Roman" w:hAnsi="Times New Roman"/>
                <w:sz w:val="18"/>
                <w:szCs w:val="18"/>
                <w:color w:val="auto"/>
              </w:rPr>
              <w:t>F-33</w:t>
            </w:r>
          </w:p>
        </w:tc>
      </w:tr>
    </w:tbl>
    <w:p>
      <w:pPr>
        <w:sectPr>
          <w:pgSz w:w="11900" w:h="16838" w:orient="portrait"/>
          <w:cols w:equalWidth="0" w:num="1">
            <w:col w:w="10760"/>
          </w:cols>
          <w:pgMar w:left="320" w:top="452" w:right="8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380"/>
        <w:spacing w:after="0" w:line="263" w:lineRule="auto"/>
        <w:rPr>
          <w:sz w:val="20"/>
          <w:szCs w:val="20"/>
          <w:color w:val="auto"/>
        </w:rPr>
      </w:pPr>
      <w:r>
        <w:rPr>
          <w:rFonts w:ascii="Times New Roman" w:cs="Times New Roman" w:eastAsia="Times New Roman" w:hAnsi="Times New Roman"/>
          <w:sz w:val="18"/>
          <w:szCs w:val="18"/>
          <w:color w:val="auto"/>
        </w:rPr>
        <w:t>As of December 31, 2024, the Company has executed operating lease agreements for office spaces that have not yet commenced. As such the total expected future lease payments of $101 for these agreements are not reflected in the table above. These operating leases will commence after December 31, 2024 with lease terms ranging between 10 to 12 years.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Lessor Activities:</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components of lease income recorded in cost of goods sold and selling, general and administrative expenses for the years ended December 31, 2024, December 31, 2023, and December 31, 2022:</w:t>
      </w: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w w:val="99"/>
              </w:rPr>
              <w:t>December 31,</w:t>
            </w:r>
          </w:p>
        </w:tc>
        <w:tc>
          <w:tcPr>
            <w:tcW w:w="1780" w:type="dxa"/>
            <w:vAlign w:val="bottom"/>
            <w:gridSpan w:val="4"/>
          </w:tcPr>
          <w:p>
            <w:pPr>
              <w:ind w:left="920"/>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2024</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1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Total lease income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variable lease income includes reimbursements for tenant improvements, property tax, services, utilities, and maintenance.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Estimated maturities of operating lease receivables over the next five years and thereafter is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$ 15</w:t>
            </w:r>
          </w:p>
        </w:tc>
        <w:tc>
          <w:tcPr>
            <w:tcW w:w="40" w:type="dxa"/>
            <w:vAlign w:val="bottom"/>
            <w:tcBorders>
              <w:top w:val="single" w:sz="8" w:color="CCEEFF"/>
            </w:tcBorders>
            <w:shd w:val="clear" w:color="auto" w:fill="CCEEFF"/>
          </w:tcPr>
          <w:p>
            <w:pPr>
              <w:spacing w:after="0"/>
              <w:rPr>
                <w:sz w:val="18"/>
                <w:szCs w:val="18"/>
                <w:color w:val="auto"/>
              </w:rPr>
            </w:pPr>
          </w:p>
        </w:tc>
      </w:t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r>
      <w:tr>
        <w:trPr>
          <w:trHeight w:val="22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214"/>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receivables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w:t>
            </w:r>
          </w:p>
        </w:tc>
        <w:tc>
          <w:tcPr>
            <w:tcW w:w="4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40"/>
        <w:spacing w:after="0" w:line="278" w:lineRule="auto"/>
        <w:rPr>
          <w:sz w:val="20"/>
          <w:szCs w:val="20"/>
          <w:color w:val="auto"/>
        </w:rPr>
      </w:pPr>
      <w:r>
        <w:rPr>
          <w:rFonts w:ascii="Times New Roman" w:cs="Times New Roman" w:eastAsia="Times New Roman" w:hAnsi="Times New Roman"/>
          <w:sz w:val="18"/>
          <w:szCs w:val="18"/>
          <w:color w:val="auto"/>
        </w:rPr>
        <w:t>Assets under operating leases are included in property, plant, and equipment of the Company’s consolidated balance sheets and are consisted of the following as of:</w:t>
      </w:r>
    </w:p>
    <w:p>
      <w:pPr>
        <w:spacing w:after="0" w:line="16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42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Assets under operating leases, net</w:t>
            </w:r>
          </w:p>
        </w:tc>
        <w:tc>
          <w:tcPr>
            <w:tcW w:w="15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 RETIREMENT PLANS</w:t>
      </w:r>
    </w:p>
    <w:p>
      <w:pPr>
        <w:spacing w:after="0" w:line="118"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The Company has non-contributory defined benefit retirement plan obligations at several foreign subsidiaries. These plans cover certain employees, as defined, within those foreign jurisdictions. The Company uses December 31 as the measurement date of its defined benefit pension plans.</w:t>
      </w:r>
    </w:p>
    <w:p>
      <w:pPr>
        <w:spacing w:after="0" w:line="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00"/>
          </w:cols>
          <w:pgMar w:left="320" w:top="452" w:right="5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sets forth the various plans’ unfunded status and amounts recognized in the Company’s balance sheets: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plan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Unfunded status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 are as below:</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5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liability recognized</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information relating to unfunded status that have an accumulated benefit obligation in excess of plan assets: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520" w:type="dxa"/>
            <w:vAlign w:val="bottom"/>
          </w:tcPr>
          <w:p>
            <w:pPr>
              <w:spacing w:after="0"/>
              <w:rPr>
                <w:sz w:val="13"/>
                <w:szCs w:val="13"/>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70"/>
        </w:trPr>
        <w:tc>
          <w:tcPr>
            <w:tcW w:w="4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plan assets</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Unfunded status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Company funds the minimum contribution required under the various statutory requirements of each foreign jurisdiction. Employer’s contribution to obligation and benefits paid by the employer under the plan were not material during the years ended December 31, 2024, December 31, 2023, and December 31, 2022.</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weighted-average assumptions are as follows: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880" w:type="dxa"/>
            <w:vAlign w:val="bottom"/>
            <w:gridSpan w:val="4"/>
          </w:tcPr>
          <w:p>
            <w:pPr>
              <w:jc w:val="right"/>
              <w:ind w:right="1260"/>
              <w:spacing w:after="0"/>
              <w:rPr>
                <w:sz w:val="20"/>
                <w:szCs w:val="20"/>
                <w:color w:val="auto"/>
              </w:rPr>
            </w:pPr>
            <w:r>
              <w:rPr>
                <w:rFonts w:ascii="Times New Roman" w:cs="Times New Roman" w:eastAsia="Times New Roman" w:hAnsi="Times New Roman"/>
                <w:sz w:val="14"/>
                <w:szCs w:val="14"/>
                <w:color w:val="auto"/>
              </w:rPr>
              <w:t>December 31, 2024</w:t>
            </w:r>
          </w:p>
        </w:tc>
        <w:tc>
          <w:tcPr>
            <w:tcW w:w="232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80" w:type="dxa"/>
            <w:vAlign w:val="bottom"/>
            <w:tcBorders>
              <w:top w:val="single" w:sz="8" w:color="auto"/>
            </w:tcBorders>
            <w:gridSpan w:val="2"/>
          </w:tcPr>
          <w:p>
            <w:pPr>
              <w:jc w:val="right"/>
              <w:ind w:right="860"/>
              <w:spacing w:after="0" w:line="118" w:lineRule="exact"/>
              <w:rPr>
                <w:sz w:val="20"/>
                <w:szCs w:val="20"/>
                <w:color w:val="auto"/>
              </w:rPr>
            </w:pPr>
            <w:r>
              <w:rPr>
                <w:rFonts w:ascii="Times New Roman" w:cs="Times New Roman" w:eastAsia="Times New Roman" w:hAnsi="Times New Roman"/>
                <w:sz w:val="13"/>
                <w:szCs w:val="13"/>
                <w:color w:val="auto"/>
              </w:rPr>
              <w:t>Benefit</w:t>
            </w:r>
          </w:p>
        </w:tc>
        <w:tc>
          <w:tcPr>
            <w:tcW w:w="72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color w:val="auto"/>
              </w:rPr>
              <w:t>Net Periodic</w:t>
            </w:r>
          </w:p>
        </w:tc>
        <w:tc>
          <w:tcPr>
            <w:tcW w:w="780" w:type="dxa"/>
            <w:vAlign w:val="bottom"/>
          </w:tcPr>
          <w:p>
            <w:pPr>
              <w:spacing w:after="0"/>
              <w:rPr>
                <w:sz w:val="10"/>
                <w:szCs w:val="10"/>
                <w:color w:val="auto"/>
              </w:rPr>
            </w:pPr>
          </w:p>
        </w:tc>
        <w:tc>
          <w:tcPr>
            <w:tcW w:w="82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Benefit</w:t>
            </w: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color w:val="auto"/>
              </w:rPr>
              <w:t>Net Periodic</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Obligation</w:t>
            </w:r>
          </w:p>
        </w:tc>
        <w:tc>
          <w:tcPr>
            <w:tcW w:w="76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 Cost</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Obligation</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 Cost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 w:type="dxa"/>
            <w:vAlign w:val="bottom"/>
          </w:tcPr>
          <w:p>
            <w:pPr>
              <w:spacing w:after="0"/>
              <w:rPr>
                <w:sz w:val="18"/>
                <w:szCs w:val="18"/>
                <w:color w:val="auto"/>
              </w:rPr>
            </w:pPr>
          </w:p>
        </w:tc>
        <w:tc>
          <w:tcPr>
            <w:tcW w:w="4840" w:type="dxa"/>
            <w:vAlign w:val="bottom"/>
            <w:gridSpan w:val="2"/>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7.00%</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6.28%</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4.35%</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4.34%</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4.34%</w:t>
            </w:r>
          </w:p>
        </w:tc>
        <w:tc>
          <w:tcPr>
            <w:tcW w:w="15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Security increase rate</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3.07%</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3.04%</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3.64%</w:t>
            </w:r>
          </w:p>
        </w:tc>
        <w:tc>
          <w:tcPr>
            <w:tcW w:w="150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increase rate (in payment)</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0.47%</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0.58%</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2.25%</w:t>
            </w:r>
          </w:p>
        </w:tc>
        <w:tc>
          <w:tcPr>
            <w:tcW w:w="15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3.25%</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3.45%</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28"/>
        </w:trPr>
        <w:tc>
          <w:tcPr>
            <w:tcW w:w="66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w w:val="98"/>
              </w:rPr>
              <w:t>Estimated benefit payments over the next five years and thereafter are as follows: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gridSpan w:val="5"/>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jc w:val="right"/>
              <w:ind w:right="3071"/>
              <w:spacing w:after="0"/>
              <w:rPr>
                <w:sz w:val="20"/>
                <w:szCs w:val="20"/>
                <w:color w:val="auto"/>
              </w:rPr>
            </w:pPr>
            <w:r>
              <w:rPr>
                <w:rFonts w:ascii="Times New Roman" w:cs="Times New Roman" w:eastAsia="Times New Roman" w:hAnsi="Times New Roman"/>
                <w:sz w:val="18"/>
                <w:szCs w:val="18"/>
                <w:color w:val="auto"/>
                <w:w w:val="94"/>
              </w:rPr>
              <w:t>2025</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3520" w:type="dxa"/>
            <w:vAlign w:val="bottom"/>
          </w:tcPr>
          <w:p>
            <w:pPr>
              <w:jc w:val="right"/>
              <w:ind w:right="3071"/>
              <w:spacing w:after="0"/>
              <w:rPr>
                <w:sz w:val="20"/>
                <w:szCs w:val="20"/>
                <w:color w:val="auto"/>
              </w:rPr>
            </w:pPr>
            <w:r>
              <w:rPr>
                <w:rFonts w:ascii="Times New Roman" w:cs="Times New Roman" w:eastAsia="Times New Roman" w:hAnsi="Times New Roman"/>
                <w:sz w:val="18"/>
                <w:szCs w:val="18"/>
                <w:color w:val="auto"/>
                <w:w w:val="94"/>
              </w:rPr>
              <w:t>2026</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3520" w:type="dxa"/>
            <w:vAlign w:val="bottom"/>
            <w:shd w:val="clear" w:color="auto" w:fill="CCEEFF"/>
          </w:tcPr>
          <w:p>
            <w:pPr>
              <w:jc w:val="right"/>
              <w:ind w:right="3071"/>
              <w:spacing w:after="0"/>
              <w:rPr>
                <w:sz w:val="20"/>
                <w:szCs w:val="20"/>
                <w:color w:val="auto"/>
              </w:rPr>
            </w:pPr>
            <w:r>
              <w:rPr>
                <w:rFonts w:ascii="Times New Roman" w:cs="Times New Roman" w:eastAsia="Times New Roman" w:hAnsi="Times New Roman"/>
                <w:sz w:val="18"/>
                <w:szCs w:val="18"/>
                <w:color w:val="auto"/>
                <w:w w:val="94"/>
              </w:rPr>
              <w:t>2027</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99"/>
              </w:rPr>
              <w:t>F-35</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2" w:right="6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80" w:type="dxa"/>
            <w:vAlign w:val="bottom"/>
            <w:gridSpan w:val="4"/>
          </w:tcPr>
          <w:p>
            <w:pPr>
              <w:jc w:val="center"/>
              <w:ind w:right="3020"/>
              <w:spacing w:after="0"/>
              <w:rPr>
                <w:sz w:val="20"/>
                <w:szCs w:val="20"/>
                <w:color w:val="auto"/>
              </w:rPr>
            </w:pPr>
            <w:r>
              <w:rPr>
                <w:rFonts w:ascii="Times New Roman" w:cs="Times New Roman" w:eastAsia="Times New Roman" w:hAnsi="Times New Roman"/>
                <w:sz w:val="18"/>
                <w:szCs w:val="18"/>
                <w:color w:val="auto"/>
                <w:w w:val="99"/>
              </w:rPr>
              <w:t>MEDLINE HOLDINGS, LP AND SUBSIDIARIES</w:t>
            </w:r>
          </w:p>
        </w:tc>
      </w:tr>
      <w:tr>
        <w:trPr>
          <w:trHeight w:val="233"/>
        </w:trPr>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8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color w:val="auto"/>
                <w:w w:val="98"/>
              </w:rPr>
              <w:t>(Dollars/units in millions)</w:t>
            </w:r>
          </w:p>
        </w:tc>
      </w:tr>
      <w:tr>
        <w:trPr>
          <w:trHeight w:val="133"/>
        </w:trPr>
        <w:tc>
          <w:tcPr>
            <w:tcW w:w="17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5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r>
      <w:tr>
        <w:trPr>
          <w:trHeight w:val="421"/>
        </w:trPr>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1760" w:type="dxa"/>
            <w:vAlign w:val="bottom"/>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78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6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6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760" w:type="dxa"/>
            <w:vAlign w:val="bottom"/>
          </w:tcPr>
          <w:p>
            <w:pPr>
              <w:spacing w:after="0"/>
              <w:rPr>
                <w:sz w:val="18"/>
                <w:szCs w:val="18"/>
                <w:color w:val="auto"/>
              </w:rPr>
            </w:pPr>
          </w:p>
        </w:tc>
      </w:tr>
      <w:tr>
        <w:trPr>
          <w:trHeight w:val="221"/>
        </w:trPr>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$ 58</w:t>
            </w:r>
          </w:p>
        </w:tc>
        <w:tc>
          <w:tcPr>
            <w:tcW w:w="176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360"/>
        <w:spacing w:after="0" w:line="263" w:lineRule="auto"/>
        <w:rPr>
          <w:sz w:val="20"/>
          <w:szCs w:val="20"/>
          <w:color w:val="auto"/>
        </w:rPr>
      </w:pPr>
      <w:r>
        <w:rPr>
          <w:rFonts w:ascii="Times New Roman" w:cs="Times New Roman" w:eastAsia="Times New Roman" w:hAnsi="Times New Roman"/>
          <w:sz w:val="18"/>
          <w:szCs w:val="18"/>
          <w:color w:val="auto"/>
        </w:rPr>
        <w:t>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w:t>
      </w:r>
    </w:p>
    <w:p>
      <w:pPr>
        <w:spacing w:after="0" w:line="175" w:lineRule="exact"/>
        <w:rPr>
          <w:sz w:val="20"/>
          <w:szCs w:val="20"/>
          <w:color w:val="auto"/>
        </w:rPr>
      </w:pPr>
    </w:p>
    <w:p>
      <w:pPr>
        <w:jc w:val="both"/>
        <w:ind w:left="160" w:right="200"/>
        <w:spacing w:after="0" w:line="263" w:lineRule="auto"/>
        <w:rPr>
          <w:sz w:val="20"/>
          <w:szCs w:val="20"/>
          <w:color w:val="auto"/>
        </w:rPr>
      </w:pPr>
      <w:r>
        <w:rPr>
          <w:rFonts w:ascii="Times New Roman" w:cs="Times New Roman" w:eastAsia="Times New Roman" w:hAnsi="Times New Roman"/>
          <w:sz w:val="18"/>
          <w:szCs w:val="18"/>
          <w:color w:val="auto"/>
        </w:rPr>
        <w:t>The total expense for the employee retirement savings plan for the years ended December 31, 2024, December 31, 2023, and December 31, 2022 was $43, $37, and $32, respectively, which were included in selling, general and administrative expenses on the consolidated statements of comprehensive income.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Income Before Income Tax Expense by Category</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before taxes and equity in earnings of affiliates from continuing operations was as follows: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Year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660" w:type="dxa"/>
            <w:vAlign w:val="bottom"/>
          </w:tcPr>
          <w:p>
            <w:pPr>
              <w:spacing w:after="0"/>
              <w:rPr>
                <w:sz w:val="10"/>
                <w:szCs w:val="10"/>
                <w:color w:val="auto"/>
              </w:rPr>
            </w:pPr>
          </w:p>
        </w:tc>
        <w:tc>
          <w:tcPr>
            <w:tcW w:w="96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620" w:type="dxa"/>
            <w:vAlign w:val="bottom"/>
            <w:gridSpan w:val="3"/>
          </w:tcPr>
          <w:p>
            <w:pPr>
              <w:ind w:left="82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9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for each reporting period consists of the following:</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December 31,</w:t>
            </w:r>
          </w:p>
        </w:tc>
        <w:tc>
          <w:tcPr>
            <w:tcW w:w="162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December 31,</w:t>
            </w:r>
          </w:p>
        </w:tc>
        <w:tc>
          <w:tcPr>
            <w:tcW w:w="1740" w:type="dxa"/>
            <w:vAlign w:val="bottom"/>
            <w:gridSpan w:val="4"/>
          </w:tcPr>
          <w:p>
            <w:pPr>
              <w:ind w:left="8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40" w:type="dxa"/>
            <w:vAlign w:val="bottom"/>
            <w:gridSpan w:val="4"/>
          </w:tcPr>
          <w:p>
            <w:pPr>
              <w:jc w:val="right"/>
              <w:ind w:right="177"/>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w w:val="92"/>
              </w:rPr>
              <w:t>2023</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44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U.S. federal and state income tax expense</w:t>
            </w:r>
            <w:r>
              <w:rPr>
                <w:rFonts w:ascii="Times New Roman" w:cs="Times New Roman" w:eastAsia="Times New Roman" w:hAnsi="Times New Roman"/>
                <w:sz w:val="24"/>
                <w:szCs w:val="24"/>
                <w:color w:val="auto"/>
                <w:vertAlign w:val="superscript"/>
              </w:rPr>
              <w:t>(1)</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8"/>
                <w:szCs w:val="18"/>
                <w:color w:val="auto"/>
              </w:rPr>
            </w:pP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 income tax expense in various foreign tax</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jurisdictions</w:t>
            </w:r>
          </w:p>
        </w:tc>
        <w:tc>
          <w:tcPr>
            <w:tcW w:w="2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U.S. federal and state income tax expense</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44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Foreign income tax expense in various foreign tax</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jurisdictions</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0" w:right="20" w:hanging="433"/>
        <w:spacing w:after="0" w:line="255" w:lineRule="auto"/>
        <w:tabs>
          <w:tab w:leader="none" w:pos="6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recognizes a GILTI charge at the C-Corporation level as a current period expense, and no charge is recognized at Medline Holdings, as the inclusion is passed through to its partners.</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80"/>
          </w:cols>
          <w:pgMar w:left="320" w:top="452" w:right="4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components of deferred tax assets and liabilities: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4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45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r>
      <w:tr>
        <w:trPr>
          <w:trHeight w:val="194"/>
        </w:trPr>
        <w:tc>
          <w:tcPr>
            <w:tcW w:w="4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Deferred tax asset</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Pensions and other post-retirement benefits</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0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r>
      <w:tr>
        <w:trPr>
          <w:trHeight w:val="21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0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r>
      <w:tr>
        <w:trPr>
          <w:trHeight w:val="21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12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(195)</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line="274" w:lineRule="auto"/>
        <w:rPr>
          <w:sz w:val="20"/>
          <w:szCs w:val="20"/>
          <w:color w:val="auto"/>
        </w:rPr>
      </w:pPr>
      <w:r>
        <w:rPr>
          <w:rFonts w:ascii="Times New Roman" w:cs="Times New Roman" w:eastAsia="Times New Roman" w:hAnsi="Times New Roman"/>
          <w:sz w:val="17"/>
          <w:szCs w:val="17"/>
          <w:color w:val="auto"/>
        </w:rPr>
        <w:t>As of December 31, 2024, the Company had foreign net operating loss (“NOL”) carryforwards of $9. Out of this $4 of the foreign NOL carryforwards will expire between 2027 and 2034, and $5 of the foreign NOL carryforwards have no expiration date. Realization of the foreign net operating loss carryforwards depends on generating sufficient future earnings. As of December 31, 2023, the Company had immaterial deferred tax assets on foreign NOL carryforward. The Company recognized an immaterial valuation allowance as of December 31, 2024 to reduce the deferred tax assets associated with net operating loss because the Company does not believe it is more likely than not that these assets will be fully realized prior to expiration.</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did not have any unrecognized tax benefits recorded on its balance sheet as of December 31, 2024 and December 31, 2023.</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Income Tax Expense Reconciliation:</w:t>
      </w:r>
    </w:p>
    <w:p>
      <w:pPr>
        <w:spacing w:after="0" w:line="24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07"/>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statutory rate</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Tax rate differential</w:t>
            </w:r>
          </w:p>
        </w:tc>
        <w:tc>
          <w:tcPr>
            <w:tcW w:w="280" w:type="dxa"/>
            <w:vAlign w:val="bottom"/>
          </w:tcPr>
          <w:p>
            <w:pPr>
              <w:spacing w:after="0"/>
              <w:rPr>
                <w:sz w:val="18"/>
                <w:szCs w:val="18"/>
                <w:color w:val="auto"/>
              </w:rPr>
            </w:pP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18"/>
                <w:szCs w:val="18"/>
                <w:color w:val="auto"/>
              </w:rPr>
            </w:pPr>
          </w:p>
        </w:tc>
        <w:tc>
          <w:tcPr>
            <w:tcW w:w="17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holidays</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GILTI and Subpart F</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State tax effect</w:t>
            </w:r>
          </w:p>
        </w:tc>
        <w:tc>
          <w:tcPr>
            <w:tcW w:w="280" w:type="dxa"/>
            <w:vAlign w:val="bottom"/>
          </w:tcPr>
          <w:p>
            <w:pPr>
              <w:spacing w:after="0"/>
              <w:rPr>
                <w:sz w:val="18"/>
                <w:szCs w:val="18"/>
                <w:color w:val="auto"/>
              </w:rPr>
            </w:pPr>
          </w:p>
        </w:tc>
        <w:tc>
          <w:tcPr>
            <w:tcW w:w="19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NOL</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tcPr>
          <w:p>
            <w:pPr>
              <w:spacing w:after="0"/>
              <w:rPr>
                <w:sz w:val="18"/>
                <w:szCs w:val="18"/>
                <w:color w:val="auto"/>
              </w:rPr>
            </w:pP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tcPr>
          <w:p>
            <w:pPr>
              <w:jc w:val="right"/>
              <w:ind w:right="1380"/>
              <w:spacing w:after="0"/>
              <w:rPr>
                <w:sz w:val="20"/>
                <w:szCs w:val="20"/>
                <w:color w:val="auto"/>
              </w:rPr>
            </w:pPr>
            <w:r>
              <w:rPr>
                <w:rFonts w:ascii="Times New Roman" w:cs="Times New Roman" w:eastAsia="Times New Roman" w:hAnsi="Times New Roman"/>
                <w:sz w:val="18"/>
                <w:szCs w:val="18"/>
                <w:color w:val="auto"/>
              </w:rPr>
              <w:t>F-37</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00"/>
          </w:cols>
          <w:pgMar w:left="320" w:top="452" w:right="6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640"/>
        <w:spacing w:after="0" w:line="278" w:lineRule="auto"/>
        <w:rPr>
          <w:sz w:val="20"/>
          <w:szCs w:val="20"/>
          <w:color w:val="auto"/>
        </w:rPr>
      </w:pPr>
      <w:r>
        <w:rPr>
          <w:rFonts w:ascii="Times New Roman" w:cs="Times New Roman" w:eastAsia="Times New Roman" w:hAnsi="Times New Roman"/>
          <w:sz w:val="18"/>
          <w:szCs w:val="18"/>
          <w:color w:val="auto"/>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Holidays</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receives tax holidays as a result of Free Trade Zones in United Arab Emirates, Panama, and Dominican Republic. The financial impact of the reductions as compared to the statutory tax rate is indicated in the income tax expense (benefit) reconciliation table above.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Examinations of Tax Returns</w:t>
      </w:r>
    </w:p>
    <w:p>
      <w:pPr>
        <w:spacing w:after="0" w:line="118" w:lineRule="exact"/>
        <w:rPr>
          <w:sz w:val="20"/>
          <w:szCs w:val="20"/>
          <w:color w:val="auto"/>
        </w:rPr>
      </w:pPr>
    </w:p>
    <w:p>
      <w:pPr>
        <w:ind w:left="160" w:right="18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ongoing audits in the United States, Germany, Spain, and other jurisdictions. While the final outcome of these matters is inherently uncertain, the Company does not believe that any of these pose a material risk to the financial statements. During 2024, the Company closed audits in Spain and Germany, with no material adjustments to the financial statements. During 2023, the Company closed several United States state audits, as well as audits in Switzerland and Germany, with no material adjustments to the financial statements.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6" w:lineRule="exact"/>
        <w:rPr>
          <w:sz w:val="20"/>
          <w:szCs w:val="20"/>
          <w:color w:val="auto"/>
        </w:rPr>
      </w:pPr>
    </w:p>
    <w:p>
      <w:pPr>
        <w:ind w:left="160" w:right="400"/>
        <w:spacing w:after="0" w:line="277" w:lineRule="auto"/>
        <w:rPr>
          <w:sz w:val="20"/>
          <w:szCs w:val="20"/>
          <w:color w:val="auto"/>
        </w:rPr>
      </w:pPr>
      <w:r>
        <w:rPr>
          <w:rFonts w:ascii="Times New Roman" w:cs="Times New Roman" w:eastAsia="Times New Roman" w:hAnsi="Times New Roman"/>
          <w:sz w:val="17"/>
          <w:szCs w:val="17"/>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 assessment of the potential outcomes of pending matters.</w:t>
      </w:r>
    </w:p>
    <w:p>
      <w:pPr>
        <w:spacing w:after="0" w:line="167"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In January 2019 and thereafter, the Company has been named as a defendant in mass tort litigation in Cook County, Illinois involving claims by approximately 380 plaintiffs that allege personal injuries associated with the Company’s EtO activities in Lake County, Illinois. Through settlement discussions with mediators, the Company has reached binding settlements with 7 plaintiffs, as well as a contingent settlement encompassing substantially all the remaining claimants. This contingent group settlement requires a neutral third party to allocate settlement funds among participating plaintiffs and, in turn, entitles individual claimants to appeal their allocation to such third party and, if they so choose, opt-out of the group settlement after such appeal. Likewise, the Company may opt-out of the contingent group settlement if a significant number of plaintiffs opt-out or do not qualify to participate in the settlement.</w:t>
      </w:r>
    </w:p>
    <w:p>
      <w:pPr>
        <w:spacing w:after="0" w:line="184" w:lineRule="exact"/>
        <w:rPr>
          <w:sz w:val="20"/>
          <w:szCs w:val="20"/>
          <w:color w:val="auto"/>
        </w:rPr>
      </w:pPr>
    </w:p>
    <w:p>
      <w:pPr>
        <w:ind w:left="160" w:right="140"/>
        <w:spacing w:after="0" w:line="253" w:lineRule="auto"/>
        <w:rPr>
          <w:sz w:val="20"/>
          <w:szCs w:val="20"/>
          <w:color w:val="auto"/>
        </w:rPr>
      </w:pPr>
      <w:r>
        <w:rPr>
          <w:rFonts w:ascii="Times New Roman" w:cs="Times New Roman" w:eastAsia="Times New Roman" w:hAnsi="Times New Roman"/>
          <w:sz w:val="18"/>
          <w:szCs w:val="18"/>
          <w:color w:val="auto"/>
        </w:rPr>
        <w:t>The Company accrued $176 in other operating expenses on the consolidated statements of comprehensive income, the gross amount among all settlements, for this litigation without discount in 2023. As of December 31, 2024, the outstanding liability decreased to $174. During the year ended December 31, 2023, the Company also reached agreements with the primary insurance carriers to recover $13, which is 100% of their limits and recorded in other operating expenses on the consolidated statements of comprehensive income. As of December 31, 2024, the Company carried a receivable of $10 related to these insurance recoveries and the company also deposited $47 in escrow account in accordance with the contingent group settlement. The Company is actively pursuing litigation with its excess insurance carriers related to their obligations to reimburse the Company for substantially all remaining settlement payments in connection with the lawsuit described above.</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40"/>
          </w:cols>
          <w:pgMar w:left="320" w:top="452" w:right="5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160"/>
        <w:spacing w:after="0" w:line="278" w:lineRule="auto"/>
        <w:rPr>
          <w:sz w:val="20"/>
          <w:szCs w:val="20"/>
          <w:color w:val="auto"/>
        </w:rPr>
      </w:pPr>
      <w:r>
        <w:rPr>
          <w:rFonts w:ascii="Times New Roman" w:cs="Times New Roman" w:eastAsia="Times New Roman" w:hAnsi="Times New Roman"/>
          <w:sz w:val="18"/>
          <w:szCs w:val="18"/>
          <w:color w:val="auto"/>
        </w:rPr>
        <w:t>The Company is confident in its position on this matter and will aggressively litigate to enforce its contractual rights. The Company has not recorded a receivable for expected recoveries of the remaining settlement payments as of December 31, 2024.</w:t>
      </w:r>
    </w:p>
    <w:p>
      <w:pPr>
        <w:spacing w:after="0" w:line="162" w:lineRule="exact"/>
        <w:rPr>
          <w:sz w:val="20"/>
          <w:szCs w:val="20"/>
          <w:color w:val="auto"/>
        </w:rPr>
      </w:pPr>
    </w:p>
    <w:p>
      <w:pPr>
        <w:ind w:left="160" w:right="120"/>
        <w:spacing w:after="0" w:line="255" w:lineRule="auto"/>
        <w:rPr>
          <w:sz w:val="20"/>
          <w:szCs w:val="20"/>
          <w:color w:val="auto"/>
        </w:rPr>
      </w:pPr>
      <w:r>
        <w:rPr>
          <w:rFonts w:ascii="Times New Roman" w:cs="Times New Roman" w:eastAsia="Times New Roman" w:hAnsi="Times New Roman"/>
          <w:sz w:val="18"/>
          <w:szCs w:val="18"/>
          <w:color w:val="auto"/>
        </w:rPr>
        <w:t>Based on current knowledge and the advice of legal counsel, management believes that the accrual as of December 31, 2024 for other pending matters considered probable of loss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6"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$274, $212, and $227 for the years ended December 31, 2024, December 31, 2023, and December 31, 2022, respectively.</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8760" w:type="dxa"/>
            <w:vAlign w:val="bottom"/>
            <w:gridSpan w:val="2"/>
          </w:tcPr>
          <w:p>
            <w:pPr>
              <w:jc w:val="right"/>
              <w:ind w:right="2771"/>
              <w:spacing w:after="0"/>
              <w:rPr>
                <w:sz w:val="20"/>
                <w:szCs w:val="20"/>
                <w:color w:val="auto"/>
              </w:rPr>
            </w:pPr>
            <w:r>
              <w:rPr>
                <w:rFonts w:ascii="Times New Roman" w:cs="Times New Roman" w:eastAsia="Times New Roman" w:hAnsi="Times New Roman"/>
                <w:sz w:val="18"/>
                <w:szCs w:val="18"/>
                <w:color w:val="auto"/>
                <w:w w:val="98"/>
              </w:rPr>
              <w:t>As of December 31, 2024, future payments related to commitments are as follows: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760" w:type="dxa"/>
            <w:vAlign w:val="bottom"/>
            <w:vMerge w:val="restart"/>
          </w:tcPr>
          <w:p>
            <w:pPr>
              <w:spacing w:after="0"/>
              <w:rPr>
                <w:sz w:val="20"/>
                <w:szCs w:val="20"/>
                <w:color w:val="auto"/>
              </w:rPr>
            </w:pPr>
          </w:p>
        </w:tc>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760" w:type="dxa"/>
            <w:vAlign w:val="bottom"/>
            <w:vMerge w:val="continue"/>
          </w:tcPr>
          <w:p>
            <w:pPr>
              <w:spacing w:after="0"/>
              <w:rPr>
                <w:sz w:val="18"/>
                <w:szCs w:val="18"/>
                <w:color w:val="auto"/>
              </w:rPr>
            </w:pPr>
          </w:p>
        </w:tc>
        <w:tc>
          <w:tcPr>
            <w:tcW w:w="7000" w:type="dxa"/>
            <w:vAlign w:val="bottom"/>
            <w:shd w:val="clear" w:color="auto" w:fill="CCEEFF"/>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2025</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shd w:val="clear" w:color="auto" w:fill="CCEEFF"/>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shd w:val="clear" w:color="auto" w:fill="CCEEFF"/>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521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118" w:lineRule="exact"/>
        <w:rPr>
          <w:sz w:val="20"/>
          <w:szCs w:val="20"/>
          <w:color w:val="auto"/>
        </w:rPr>
      </w:pPr>
    </w:p>
    <w:p>
      <w:pPr>
        <w:ind w:left="160" w:right="540"/>
        <w:spacing w:after="0" w:line="278" w:lineRule="auto"/>
        <w:rPr>
          <w:sz w:val="20"/>
          <w:szCs w:val="20"/>
          <w:color w:val="auto"/>
        </w:rPr>
      </w:pPr>
      <w:r>
        <w:rPr>
          <w:rFonts w:ascii="Times New Roman" w:cs="Times New Roman" w:eastAsia="Times New Roman" w:hAnsi="Times New Roman"/>
          <w:sz w:val="18"/>
          <w:szCs w:val="18"/>
          <w:color w:val="auto"/>
        </w:rPr>
        <w:t>The following descriptions of the valuation methods and assumptions used by the Company to estimate the fair values of investments apply to all investments held directly by the Company:</w:t>
      </w:r>
    </w:p>
    <w:p>
      <w:pPr>
        <w:spacing w:after="0" w:line="162"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Rate Contracts</w:t>
      </w:r>
      <w:r>
        <w:rPr>
          <w:rFonts w:ascii="Times New Roman" w:cs="Times New Roman" w:eastAsia="Times New Roman" w:hAnsi="Times New Roman"/>
          <w:sz w:val="18"/>
          <w:szCs w:val="18"/>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80" w:lineRule="exact"/>
        <w:rPr>
          <w:sz w:val="20"/>
          <w:szCs w:val="20"/>
          <w:color w:val="auto"/>
        </w:rPr>
      </w:pPr>
    </w:p>
    <w:p>
      <w:pPr>
        <w:jc w:val="both"/>
        <w:ind w:left="160" w:right="20"/>
        <w:spacing w:after="0" w:line="285" w:lineRule="auto"/>
        <w:rPr>
          <w:sz w:val="20"/>
          <w:szCs w:val="20"/>
          <w:color w:val="auto"/>
        </w:rPr>
      </w:pPr>
      <w:r>
        <w:rPr>
          <w:rFonts w:ascii="Times New Roman" w:cs="Times New Roman" w:eastAsia="Times New Roman" w:hAnsi="Times New Roman"/>
          <w:sz w:val="17"/>
          <w:szCs w:val="17"/>
          <w:u w:val="single" w:color="auto"/>
          <w:color w:val="auto"/>
        </w:rPr>
        <w:t>Foreign Currency Forward Contract:</w:t>
      </w:r>
      <w:r>
        <w:rPr>
          <w:rFonts w:ascii="Times New Roman" w:cs="Times New Roman" w:eastAsia="Times New Roman" w:hAnsi="Times New Roman"/>
          <w:sz w:val="17"/>
          <w:szCs w:val="17"/>
          <w:color w:val="auto"/>
        </w:rPr>
        <w:t xml:space="preserve"> The Company uses a foreign currency derivative to lock in a fixed foreign currency exchange rate for the expected cash payment on an acquisition closed in the subsequent period and to manage its exposure to foreign currency exchange rate movements. The fair value of this contract is determined based on the present value of expected future cash flows using a discount rate appropriate for the respective maturity.</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52" w:right="4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100"/>
        <w:spacing w:after="0" w:line="253"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December 31, 2024 and December 31, 2023 were classified as Level 2 of the fair value hierarchy.</w:t>
      </w:r>
    </w:p>
    <w:p>
      <w:pPr>
        <w:spacing w:after="0" w:line="18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See “Note 14 — Derivatives and Hedging Activities Risk Management” for additional information regarding interest rate contracts and foreign currency forward contract.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Acquisition-Related Contingent Consideration:</w:t>
      </w:r>
    </w:p>
    <w:p>
      <w:pPr>
        <w:spacing w:after="0" w:line="118" w:lineRule="exact"/>
        <w:rPr>
          <w:sz w:val="20"/>
          <w:szCs w:val="20"/>
          <w:color w:val="auto"/>
        </w:rPr>
      </w:pPr>
    </w:p>
    <w:p>
      <w:pPr>
        <w:ind w:left="160" w:right="100"/>
        <w:spacing w:after="0" w:line="271" w:lineRule="auto"/>
        <w:rPr>
          <w:sz w:val="20"/>
          <w:szCs w:val="20"/>
          <w:color w:val="auto"/>
        </w:rPr>
      </w:pPr>
      <w:r>
        <w:rPr>
          <w:rFonts w:ascii="Times New Roman" w:cs="Times New Roman" w:eastAsia="Times New Roman" w:hAnsi="Times New Roman"/>
          <w:sz w:val="17"/>
          <w:szCs w:val="17"/>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and Equity Investment” for additional information regarding the acquisition.</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gridSpan w:val="8"/>
          </w:tcPr>
          <w:p>
            <w:pPr>
              <w:jc w:val="right"/>
              <w:ind w:right="1100"/>
              <w:spacing w:after="0" w:line="141" w:lineRule="exact"/>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9"/>
              <w:spacing w:after="0" w:line="116"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0"/>
                <w:szCs w:val="10"/>
                <w:color w:val="auto"/>
              </w:rPr>
            </w:pPr>
          </w:p>
        </w:tc>
        <w:tc>
          <w:tcPr>
            <w:tcW w:w="160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9"/>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00" w:type="dxa"/>
            <w:vAlign w:val="bottom"/>
          </w:tcPr>
          <w:p>
            <w:pPr>
              <w:spacing w:after="0"/>
              <w:rPr>
                <w:sz w:val="12"/>
                <w:szCs w:val="12"/>
                <w:color w:val="auto"/>
              </w:rPr>
            </w:pPr>
          </w:p>
        </w:tc>
        <w:tc>
          <w:tcPr>
            <w:tcW w:w="104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94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9"/>
              <w:spacing w:after="0" w:line="147"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tcBorders>
              <w:top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Financial assets</w:t>
            </w: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1"/>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6"/>
              </w:rPr>
              <w:t>127</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w w:val="96"/>
              </w:rPr>
              <w:t>Financial liabilities</w:t>
            </w:r>
          </w:p>
        </w:tc>
        <w:tc>
          <w:tcPr>
            <w:tcW w:w="3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F-40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1"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0"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6"/>
          </w:tcPr>
          <w:p>
            <w:pPr>
              <w:jc w:val="cente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8"/>
              <w:spacing w:after="0" w:line="116"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00" w:type="dxa"/>
            <w:vAlign w:val="bottom"/>
          </w:tcPr>
          <w:p>
            <w:pPr>
              <w:spacing w:after="0"/>
              <w:rPr>
                <w:sz w:val="12"/>
                <w:szCs w:val="12"/>
                <w:color w:val="auto"/>
              </w:rPr>
            </w:pPr>
          </w:p>
        </w:tc>
        <w:tc>
          <w:tcPr>
            <w:tcW w:w="14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w w:val="97"/>
              </w:rPr>
              <w:t>unobservable</w:t>
            </w:r>
          </w:p>
        </w:tc>
        <w:tc>
          <w:tcPr>
            <w:tcW w:w="72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7"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7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Pr>
          <w:p>
            <w:pPr>
              <w:spacing w:after="0"/>
              <w:rPr>
                <w:sz w:val="14"/>
                <w:szCs w:val="14"/>
                <w:color w:val="auto"/>
              </w:rPr>
            </w:pPr>
          </w:p>
        </w:tc>
        <w:tc>
          <w:tcPr>
            <w:tcW w:w="144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20" w:type="dxa"/>
            <w:vAlign w:val="bottom"/>
            <w:tcBorders>
              <w:top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Financial assets</w:t>
            </w: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contracts (undesignated)</w:t>
            </w:r>
          </w:p>
        </w:tc>
        <w:tc>
          <w:tcPr>
            <w:tcW w:w="1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 (undesignated)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4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w w:val="96"/>
              </w:rPr>
              <w:t>Financial liabilities</w:t>
            </w:r>
          </w:p>
        </w:tc>
        <w:tc>
          <w:tcPr>
            <w:tcW w:w="3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contracts (undesignated)</w:t>
            </w:r>
          </w:p>
        </w:tc>
        <w:tc>
          <w:tcPr>
            <w:tcW w:w="1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sheets and are immaterial.</w:t>
      </w:r>
    </w:p>
    <w:p>
      <w:pPr>
        <w:spacing w:after="0" w:line="283" w:lineRule="exact"/>
        <w:rPr>
          <w:sz w:val="20"/>
          <w:szCs w:val="20"/>
          <w:color w:val="auto"/>
        </w:rPr>
      </w:pPr>
    </w:p>
    <w:p>
      <w:pPr>
        <w:ind w:left="160" w:right="4420"/>
        <w:spacing w:after="0" w:line="374" w:lineRule="auto"/>
        <w:rPr>
          <w:sz w:val="20"/>
          <w:szCs w:val="20"/>
          <w:color w:val="auto"/>
        </w:rPr>
      </w:pPr>
      <w:r>
        <w:rPr>
          <w:rFonts w:ascii="Times New Roman" w:cs="Times New Roman" w:eastAsia="Times New Roman" w:hAnsi="Times New Roman"/>
          <w:sz w:val="18"/>
          <w:szCs w:val="18"/>
          <w:b w:val="1"/>
          <w:bCs w:val="1"/>
          <w:color w:val="auto"/>
        </w:rPr>
        <w:t>NOTE 14 — DERIVATIVES AND HEDGING ACTIVITIES RISK MANAGEMENT Risk Management Objective of Using Derivatives</w:t>
      </w:r>
    </w:p>
    <w:p>
      <w:pPr>
        <w:spacing w:after="0" w:line="1"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 The Company’s derivative financial instruments are used to manage differences in the amount, timing, and duration of the Company’s known or expected cash receipts and its known or expected cash payments principally related to the Company’s borrowings and acquisition.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18"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Interest rate swaps designated as cash flow hedges involve the receipt of variable amounts from a counterparty in exchange for the Company making fixed-rate payments over the life of the agreements without exchange of the underlying notional amount. Interest rate caps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80"/>
          </w:cols>
          <w:pgMar w:left="320" w:top="452"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color w:val="auto"/>
        </w:rPr>
        <w:t>designated as cash flow hedges involve the receipt of variable amounts from a counterparty if interest rates rise above the strike rate on the contract in exchange for a premium. During fiscal years 2024, 2023 and 2022, such derivatives were used to hedge the variable cash flows associated with existing variable-rate debt.</w:t>
      </w:r>
    </w:p>
    <w:p>
      <w:pPr>
        <w:spacing w:after="0" w:line="175" w:lineRule="exact"/>
        <w:rPr>
          <w:sz w:val="20"/>
          <w:szCs w:val="20"/>
          <w:color w:val="auto"/>
        </w:rPr>
      </w:pPr>
    </w:p>
    <w:p>
      <w:pPr>
        <w:jc w:val="both"/>
        <w:ind w:left="160" w:right="160"/>
        <w:spacing w:after="0" w:line="263"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derivatives will be reclassified to interest expense as interest payments are made on the Company’s variable-rate debt. The Company estimates that $77 will be reclassified as a decrease to interest expense in one year after December 31, 2024.</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Foreign Currency Derivative</w:t>
      </w:r>
    </w:p>
    <w:p>
      <w:pPr>
        <w:spacing w:after="0" w:line="118"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foreign currency derivatives are to lock in a fixed foreign currency exchange rate for the cash payment related to the acquisition of Sinclair Dental and the cash proceeds of long term borrowings denominated in foreign currency and, therefore, limit its exposure to foreign currency exchange rate risks. To accomplish these objectives, the Company primarily uses foreign exchange forward contracts to carry out its exchange rate risk management strategy.</w:t>
      </w:r>
    </w:p>
    <w:p>
      <w:pPr>
        <w:spacing w:after="0" w:line="180" w:lineRule="exact"/>
        <w:rPr>
          <w:sz w:val="20"/>
          <w:szCs w:val="20"/>
          <w:color w:val="auto"/>
        </w:rPr>
      </w:pPr>
    </w:p>
    <w:p>
      <w:pPr>
        <w:ind w:left="160" w:right="40"/>
        <w:spacing w:after="0" w:line="274" w:lineRule="auto"/>
        <w:rPr>
          <w:sz w:val="20"/>
          <w:szCs w:val="20"/>
          <w:color w:val="auto"/>
        </w:rPr>
      </w:pPr>
      <w:r>
        <w:rPr>
          <w:rFonts w:ascii="Times New Roman" w:cs="Times New Roman" w:eastAsia="Times New Roman" w:hAnsi="Times New Roman"/>
          <w:sz w:val="17"/>
          <w:szCs w:val="17"/>
          <w:color w:val="auto"/>
        </w:rPr>
        <w:t>The Company acquired Sinclair Dental in February 2024. See “Note 2 — Acquisitions and Equity Investment” for details. In order to lock in the foreign currency exchange rate for the cash payment for the acquisition of Sinclair Dental, the Company entered into a foreign exchange forward contract in December 2023, which entitled the Company to receive a fixed amount of Canadian dollars from a counterparty in exchange for a fixed amount of US dollars upon settlement in January 2024. The forward contract was not designated as hedge and was adjusted to current market value at the end of each reporting period before maturity with gains and losses recorded in other (expense) income, net. The contract matured and was settled in January 2024.</w:t>
      </w:r>
    </w:p>
    <w:p>
      <w:pPr>
        <w:spacing w:after="0" w:line="168" w:lineRule="exact"/>
        <w:rPr>
          <w:sz w:val="20"/>
          <w:szCs w:val="20"/>
          <w:color w:val="auto"/>
        </w:rPr>
      </w:pPr>
    </w:p>
    <w:p>
      <w:pPr>
        <w:ind w:left="160" w:right="120"/>
        <w:spacing w:after="0" w:line="274" w:lineRule="auto"/>
        <w:rPr>
          <w:sz w:val="20"/>
          <w:szCs w:val="20"/>
          <w:color w:val="auto"/>
        </w:rPr>
      </w:pPr>
      <w:r>
        <w:rPr>
          <w:rFonts w:ascii="Times New Roman" w:cs="Times New Roman" w:eastAsia="Times New Roman" w:hAnsi="Times New Roman"/>
          <w:sz w:val="17"/>
          <w:szCs w:val="17"/>
          <w:color w:val="auto"/>
        </w:rPr>
        <w:t>The Company raised additional borrowings from the Euro Incremental Term Loans in July 2024. See “Note 7 — Credit Agreements and Borrowings” for details. In order to lock in the foreign currency exchange rate for the cash receipt from the Euro Incremental Term Loans, the Company entered into a foreign exchange forward contract in June 2024, which entitled the Company to receive a fixed amount of US dollars in exchange for a fixed amount of euros upon settlement in July 2024. The forward contract was not designated as hedge and was adjusted to current market value at the end of each reporting period before maturity with gains and losses recorded in other (expense) income, net. The contract matured and was settled in July 2024.</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notional amounts of outstanding interest rate derivatives and foreign currency derivative are summarized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2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Currency</w:t>
            </w:r>
          </w:p>
        </w:tc>
        <w:tc>
          <w:tcPr>
            <w:tcW w:w="980" w:type="dxa"/>
            <w:vAlign w:val="bottom"/>
          </w:tcPr>
          <w:p>
            <w:pPr>
              <w:spacing w:after="0"/>
              <w:rPr>
                <w:sz w:val="14"/>
                <w:szCs w:val="14"/>
                <w:color w:val="auto"/>
              </w:rPr>
            </w:pPr>
          </w:p>
        </w:tc>
        <w:tc>
          <w:tcPr>
            <w:tcW w:w="250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9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Notional amount</w:t>
            </w:r>
          </w:p>
        </w:tc>
        <w:tc>
          <w:tcPr>
            <w:tcW w:w="2120" w:type="dxa"/>
            <w:vAlign w:val="bottom"/>
            <w:tcBorders>
              <w:top w:val="single" w:sz="8" w:color="auto"/>
            </w:tcBorders>
          </w:tcPr>
          <w:p>
            <w:pPr>
              <w:jc w:val="right"/>
              <w:ind w:right="396"/>
              <w:spacing w:after="0" w:line="141" w:lineRule="exact"/>
              <w:rPr>
                <w:sz w:val="20"/>
                <w:szCs w:val="20"/>
                <w:color w:val="auto"/>
              </w:rPr>
            </w:pPr>
            <w:r>
              <w:rPr>
                <w:rFonts w:ascii="Times New Roman" w:cs="Times New Roman" w:eastAsia="Times New Roman" w:hAnsi="Times New Roman"/>
                <w:sz w:val="14"/>
                <w:szCs w:val="14"/>
                <w:color w:val="auto"/>
              </w:rPr>
              <w:t>Maturity date</w:t>
            </w:r>
          </w:p>
        </w:tc>
        <w:tc>
          <w:tcPr>
            <w:tcW w:w="380" w:type="dxa"/>
            <w:vAlign w:val="bottom"/>
          </w:tcPr>
          <w:p>
            <w:pPr>
              <w:spacing w:after="0"/>
              <w:rPr>
                <w:sz w:val="12"/>
                <w:szCs w:val="12"/>
                <w:color w:val="auto"/>
              </w:rPr>
            </w:pPr>
          </w:p>
        </w:tc>
        <w:tc>
          <w:tcPr>
            <w:tcW w:w="98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Notional amount</w:t>
            </w:r>
          </w:p>
        </w:tc>
        <w:tc>
          <w:tcPr>
            <w:tcW w:w="2120" w:type="dxa"/>
            <w:vAlign w:val="bottom"/>
            <w:tcBorders>
              <w:top w:val="single" w:sz="8" w:color="auto"/>
            </w:tcBorders>
          </w:tcPr>
          <w:p>
            <w:pPr>
              <w:ind w:left="860"/>
              <w:spacing w:after="0" w:line="141" w:lineRule="exact"/>
              <w:rPr>
                <w:sz w:val="20"/>
                <w:szCs w:val="20"/>
                <w:color w:val="auto"/>
              </w:rPr>
            </w:pPr>
            <w:r>
              <w:rPr>
                <w:rFonts w:ascii="Times New Roman" w:cs="Times New Roman" w:eastAsia="Times New Roman" w:hAnsi="Times New Roman"/>
                <w:sz w:val="14"/>
                <w:szCs w:val="14"/>
                <w:color w:val="auto"/>
              </w:rPr>
              <w:t>Maturity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Nov. 2025 to Dec. 2026</w:t>
            </w:r>
          </w:p>
        </w:tc>
        <w:tc>
          <w:tcPr>
            <w:tcW w:w="9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3,450</w:t>
            </w:r>
          </w:p>
        </w:tc>
        <w:tc>
          <w:tcPr>
            <w:tcW w:w="218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98"/>
              </w:rPr>
              <w:t>Nov. 2025 to Dec. 2026</w:t>
            </w: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Dec. 2025 to Dec. 2026</w:t>
            </w:r>
          </w:p>
        </w:tc>
        <w:tc>
          <w:tcPr>
            <w:tcW w:w="9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3,741</w:t>
            </w:r>
          </w:p>
        </w:tc>
        <w:tc>
          <w:tcPr>
            <w:tcW w:w="218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8"/>
              </w:rPr>
              <w:t>Nov. 2025 to Dec. 2026</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Undesignated derivative instruments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2,965</w:t>
            </w:r>
          </w:p>
        </w:tc>
        <w:tc>
          <w:tcPr>
            <w:tcW w:w="218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7"/>
              </w:rPr>
              <w:t>Nov. 2025</w:t>
            </w:r>
          </w:p>
        </w:tc>
        <w:tc>
          <w:tcPr>
            <w:tcW w:w="0" w:type="dxa"/>
            <w:vAlign w:val="bottom"/>
          </w:tcPr>
          <w:p>
            <w:pPr>
              <w:spacing w:after="0"/>
              <w:rPr>
                <w:sz w:val="1"/>
                <w:szCs w:val="1"/>
                <w:color w:val="auto"/>
              </w:rPr>
            </w:pPr>
          </w:p>
        </w:tc>
      </w:tr>
      <w:tr>
        <w:trPr>
          <w:trHeight w:val="23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215</w:t>
            </w:r>
          </w:p>
        </w:tc>
        <w:tc>
          <w:tcPr>
            <w:tcW w:w="218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rPr>
              <w:t>Jan. 2024</w:t>
            </w:r>
          </w:p>
        </w:tc>
        <w:tc>
          <w:tcPr>
            <w:tcW w:w="0" w:type="dxa"/>
            <w:vAlign w:val="bottom"/>
          </w:tcPr>
          <w:p>
            <w:pPr>
              <w:spacing w:after="0"/>
              <w:rPr>
                <w:sz w:val="1"/>
                <w:szCs w:val="1"/>
                <w:color w:val="auto"/>
              </w:rPr>
            </w:pPr>
          </w:p>
        </w:tc>
      </w:tr>
      <w:tr>
        <w:trPr>
          <w:trHeight w:val="343"/>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F-42</w:t>
            </w:r>
          </w:p>
        </w:tc>
        <w:tc>
          <w:tcPr>
            <w:tcW w:w="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The interest rate cap with notional value of $2,230 to hedge the interest rate risk for the CMBS Loan matured in November 2023. To continue hedging the same risk, the Company entered into new interest rate caps with notional value of $741 and new interest rate swaps with notional value of $1,450 in 2023. These new interest risk contracts took effective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84" w:lineRule="exact"/>
        <w:rPr>
          <w:sz w:val="20"/>
          <w:szCs w:val="20"/>
          <w:color w:val="auto"/>
        </w:rPr>
      </w:pPr>
    </w:p>
    <w:p>
      <w:pPr>
        <w:ind w:left="160" w:right="160"/>
        <w:spacing w:after="0" w:line="263" w:lineRule="auto"/>
        <w:rPr>
          <w:sz w:val="20"/>
          <w:szCs w:val="20"/>
          <w:color w:val="auto"/>
        </w:rPr>
      </w:pPr>
      <w:r>
        <w:rPr>
          <w:rFonts w:ascii="Times New Roman" w:cs="Times New Roman" w:eastAsia="Times New Roman" w:hAnsi="Times New Roman"/>
          <w:sz w:val="18"/>
          <w:szCs w:val="18"/>
          <w:color w:val="auto"/>
        </w:rPr>
        <w:t>The Company also entered into new interest rate caps with notional value of $2,965 in 2023. These contracts took effect in November 2023 and are set to mature in November 2025, and they are not designated as hedges and do not receive hedge accounting treatment. These contracts have been terminated in July 2024.</w:t>
      </w:r>
    </w:p>
    <w:p>
      <w:pPr>
        <w:spacing w:after="0" w:line="175" w:lineRule="exact"/>
        <w:rPr>
          <w:sz w:val="20"/>
          <w:szCs w:val="20"/>
          <w:color w:val="auto"/>
        </w:rPr>
      </w:pPr>
    </w:p>
    <w:p>
      <w:pPr>
        <w:ind w:left="160" w:right="80"/>
        <w:spacing w:after="0" w:line="263" w:lineRule="auto"/>
        <w:rPr>
          <w:sz w:val="20"/>
          <w:szCs w:val="20"/>
          <w:color w:val="auto"/>
        </w:rPr>
      </w:pPr>
      <w:r>
        <w:rPr>
          <w:rFonts w:ascii="Times New Roman" w:cs="Times New Roman" w:eastAsia="Times New Roman" w:hAnsi="Times New Roman"/>
          <w:sz w:val="18"/>
          <w:szCs w:val="18"/>
          <w:color w:val="auto"/>
        </w:rPr>
        <w:t>Upon the financing activities in July 2024, certain interest caps associated with the CMBS Loan were terminated. Some of the interest swaps were modified to effectively hedge the refinanced debts. As a result, all the modified interest rate swaps were designated as cash flow hedges and effective as of December 31, 2024. See “Note 7 — Credit Agreements And Borrowings” for details of financing activities in July 2024.</w:t>
      </w:r>
    </w:p>
    <w:p>
      <w:pPr>
        <w:spacing w:after="0" w:line="175"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Gains and Losses on Hedging Instruments and Undesignated Derivative Instruments</w:t>
      </w:r>
    </w:p>
    <w:p>
      <w:pPr>
        <w:spacing w:after="0" w:line="118" w:lineRule="exact"/>
        <w:rPr>
          <w:sz w:val="20"/>
          <w:szCs w:val="20"/>
          <w:color w:val="auto"/>
        </w:rPr>
      </w:pPr>
    </w:p>
    <w:p>
      <w:pPr>
        <w:ind w:left="160" w:right="420"/>
        <w:spacing w:after="0" w:line="278"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accumulated other comprehensive income (loss) (“AOCI”) for each reporting period:</w:t>
      </w:r>
    </w:p>
    <w:p>
      <w:pPr>
        <w:spacing w:after="0" w:line="185"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color w:val="auto"/>
        </w:rPr>
        <w:t>The effect of cash flow hedge accounting on</w:t>
      </w:r>
    </w:p>
    <w:p>
      <w:pPr>
        <w:jc w:val="center"/>
        <w:ind w:left="7800"/>
        <w:spacing w:after="0" w:line="232" w:lineRule="auto"/>
        <w:rPr>
          <w:sz w:val="20"/>
          <w:szCs w:val="20"/>
          <w:color w:val="auto"/>
        </w:rPr>
      </w:pPr>
      <w:r>
        <w:rPr>
          <w:rFonts w:ascii="Times New Roman" w:cs="Times New Roman" w:eastAsia="Times New Roman" w:hAnsi="Times New Roman"/>
          <w:sz w:val="14"/>
          <w:szCs w:val="14"/>
          <w:color w:val="auto"/>
        </w:rPr>
        <w:t>AOCI for the Year ended</w:t>
      </w:r>
    </w:p>
    <w:tbl>
      <w:tblPr>
        <w:tblLayout w:type="fixed"/>
        <w:tblInd w:w="160" w:type="dxa"/>
        <w:tblCellMar>
          <w:top w:w="0" w:type="dxa"/>
          <w:left w:w="0" w:type="dxa"/>
          <w:bottom w:w="0" w:type="dxa"/>
          <w:right w:w="0" w:type="dxa"/>
        </w:tblCellMar>
      </w:tblPr>
      <w:tr>
        <w:trPr>
          <w:trHeight w:val="140"/>
        </w:trPr>
        <w:tc>
          <w:tcPr>
            <w:tcW w:w="2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recognized in</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38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effectiveness testing</w:t>
            </w:r>
          </w:p>
        </w:tc>
        <w:tc>
          <w:tcPr>
            <w:tcW w:w="260" w:type="dxa"/>
            <w:vAlign w:val="bottom"/>
            <w:shd w:val="clear" w:color="auto" w:fill="CCEEFF"/>
          </w:tcPr>
          <w:p>
            <w:pPr>
              <w:spacing w:after="0"/>
              <w:rPr>
                <w:sz w:val="7"/>
                <w:szCs w:val="7"/>
                <w:color w:val="auto"/>
              </w:rPr>
            </w:pPr>
          </w:p>
        </w:tc>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25"/>
        </w:trPr>
        <w:tc>
          <w:tcPr>
            <w:tcW w:w="2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AOCI</w:t>
            </w:r>
          </w:p>
        </w:tc>
        <w:tc>
          <w:tcPr>
            <w:tcW w:w="240" w:type="dxa"/>
            <w:vAlign w:val="bottom"/>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8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Excluded from effectiveness testing</w:t>
            </w:r>
          </w:p>
        </w:tc>
        <w:tc>
          <w:tcPr>
            <w:tcW w:w="260" w:type="dxa"/>
            <w:vAlign w:val="bottom"/>
            <w:shd w:val="clear" w:color="auto" w:fill="CCEEFF"/>
          </w:tcPr>
          <w:p>
            <w:pPr>
              <w:spacing w:after="0"/>
              <w:rPr>
                <w:sz w:val="9"/>
                <w:szCs w:val="9"/>
                <w:color w:val="auto"/>
              </w:rPr>
            </w:pPr>
          </w:p>
        </w:tc>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0"/>
        </w:trPr>
        <w:tc>
          <w:tcPr>
            <w:tcW w:w="2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60" w:type="dxa"/>
            <w:vAlign w:val="bottom"/>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2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7"/>
                <w:szCs w:val="17"/>
                <w:color w:val="auto"/>
              </w:rPr>
            </w:pPr>
          </w:p>
        </w:tc>
        <w:tc>
          <w:tcPr>
            <w:tcW w:w="88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Included in effectiveness testing</w:t>
            </w:r>
          </w:p>
        </w:tc>
        <w:tc>
          <w:tcPr>
            <w:tcW w:w="260" w:type="dxa"/>
            <w:vAlign w:val="bottom"/>
          </w:tcPr>
          <w:p>
            <w:pPr>
              <w:spacing w:after="0"/>
              <w:rPr>
                <w:sz w:val="10"/>
                <w:szCs w:val="10"/>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94"/>
        </w:trPr>
        <w:tc>
          <w:tcPr>
            <w:tcW w:w="2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AOCI into earnings</w:t>
            </w:r>
          </w:p>
        </w:tc>
        <w:tc>
          <w:tcPr>
            <w:tcW w:w="24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Excluded from effectiveness testing</w:t>
            </w:r>
          </w:p>
        </w:tc>
        <w:tc>
          <w:tcPr>
            <w:tcW w:w="260" w:type="dxa"/>
            <w:vAlign w:val="bottom"/>
          </w:tcPr>
          <w:p>
            <w:pPr>
              <w:spacing w:after="0"/>
              <w:rPr>
                <w:sz w:val="12"/>
                <w:szCs w:val="12"/>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AOCI</w:t>
            </w: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gain (loss) reclassed from AOCI into earnings is recorded to interest expense, net in consolidated statements of comprehensive income.</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2"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table below presents gain (loss) of the undesignated derivatives for years ended December 31, 2024, December 31, 2023, and December 31, 2022:</w:t>
      </w:r>
    </w:p>
    <w:p>
      <w:pPr>
        <w:spacing w:after="0" w:line="24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3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$ 12</w:t>
            </w:r>
          </w:p>
        </w:tc>
        <w:tc>
          <w:tcPr>
            <w:tcW w:w="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 (3)</w:t>
            </w:r>
          </w:p>
        </w:tc>
        <w:tc>
          <w:tcPr>
            <w:tcW w:w="11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$ 12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gains and losses are recorded to other (expense) income, net in consolidated statements of comprehensive income.</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recorded both the designated interest rate derivatives and the undesignated derivatives at fair value in the consolidated balance sheets.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respective assets and liabilities are generally classified as short-term or long-term based on the maturity dates of the derivatives.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table below summarizes the classification and fair value of the derivatives for each reporting period: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Designated cash flow hedges</w:t>
            </w:r>
          </w:p>
        </w:tc>
        <w:tc>
          <w:tcPr>
            <w:tcW w:w="45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Location</w:t>
            </w:r>
          </w:p>
        </w:tc>
        <w:tc>
          <w:tcPr>
            <w:tcW w:w="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7"/>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54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3260" w:type="dxa"/>
            <w:vAlign w:val="bottom"/>
          </w:tcPr>
          <w:p>
            <w:pPr>
              <w:spacing w:after="0"/>
              <w:rPr>
                <w:sz w:val="18"/>
                <w:szCs w:val="18"/>
                <w:color w:val="auto"/>
              </w:rPr>
            </w:pPr>
          </w:p>
        </w:tc>
        <w:tc>
          <w:tcPr>
            <w:tcW w:w="45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4"/>
        </w:trPr>
        <w:tc>
          <w:tcPr>
            <w:tcW w:w="3260" w:type="dxa"/>
            <w:vAlign w:val="bottom"/>
            <w:shd w:val="clear" w:color="auto" w:fill="CCEEFF"/>
          </w:tcPr>
          <w:p>
            <w:pPr>
              <w:spacing w:after="0"/>
              <w:rPr>
                <w:sz w:val="18"/>
                <w:szCs w:val="18"/>
                <w:color w:val="auto"/>
              </w:rPr>
            </w:pPr>
          </w:p>
        </w:tc>
        <w:tc>
          <w:tcPr>
            <w:tcW w:w="45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45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4"/>
        </w:trPr>
        <w:tc>
          <w:tcPr>
            <w:tcW w:w="3260" w:type="dxa"/>
            <w:vAlign w:val="bottom"/>
            <w:shd w:val="clear" w:color="auto" w:fill="CCEEFF"/>
          </w:tcPr>
          <w:p>
            <w:pPr>
              <w:spacing w:after="0"/>
              <w:rPr>
                <w:sz w:val="18"/>
                <w:szCs w:val="18"/>
                <w:color w:val="auto"/>
              </w:rPr>
            </w:pPr>
          </w:p>
        </w:tc>
        <w:tc>
          <w:tcPr>
            <w:tcW w:w="45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Designated cash flow hedges</w:t>
            </w:r>
          </w:p>
        </w:tc>
        <w:tc>
          <w:tcPr>
            <w:tcW w:w="4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r>
    </w:tbl>
    <w:p>
      <w:pPr>
        <w:spacing w:after="0" w:line="20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Company did not have any undesignated derivatives as of December 31, 2024. As of December 31, 2023, fair value of undesignated derivatives was immaterial and recorded to other current assets, other long-term assets and other long-term liabilities.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118" w:lineRule="exact"/>
        <w:rPr>
          <w:sz w:val="20"/>
          <w:szCs w:val="20"/>
          <w:color w:val="auto"/>
        </w:rPr>
      </w:pPr>
    </w:p>
    <w:p>
      <w:pPr>
        <w:ind w:left="160" w:right="60"/>
        <w:spacing w:after="0" w:line="267" w:lineRule="auto"/>
        <w:rPr>
          <w:sz w:val="20"/>
          <w:szCs w:val="20"/>
          <w:color w:val="auto"/>
        </w:rPr>
      </w:pPr>
      <w:r>
        <w:rPr>
          <w:rFonts w:ascii="Times New Roman" w:cs="Times New Roman" w:eastAsia="Times New Roman" w:hAnsi="Times New Roman"/>
          <w:sz w:val="17"/>
          <w:szCs w:val="17"/>
          <w:color w:val="auto"/>
        </w:rPr>
        <w:t>Upon the closing of the Acquisition, the Company issued one class of ownership units, Class A units, and two classes of incentive units, Class B units and Class B catch-up profits interests (“CUPIs”; Class B, together with 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“Equity-based compensation mezz units”) that give the holders certain rights that may allow them to cause the Company to repurchase 20% of the Class B and 50% of the Class B CUPI mezzanine units at the current intrinsic value of the option five years from the completion of the Acquisition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51"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the 20% of vested Class B and 50% of vested Class B CUPI mezzanine units would be redeemable, and, therefore, no changes in redemption value were recorded prospectively. See Note 16 — Partners’ Capital and Mezzanine Equity for additional discussion of the Company’s treatment of equity-based compensation within mezzanine equity.</w:t>
      </w:r>
    </w:p>
    <w:p>
      <w:pPr>
        <w:spacing w:after="0" w:line="187"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 control (e.g., a merger or consolidation into a new entity).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December 31, 2024, the Company has authorized and issued 46 units of CUPIs with a grant date fair value of $0.57 per unit. CUPIs vest over a two-year service period from the grant date. All CUPIs have fully vested as of December 31, 2024.</w:t>
      </w:r>
    </w:p>
    <w:p>
      <w:pPr>
        <w:spacing w:after="0" w:line="192" w:lineRule="exact"/>
        <w:rPr>
          <w:sz w:val="20"/>
          <w:szCs w:val="20"/>
          <w:color w:val="auto"/>
        </w:rPr>
      </w:pPr>
    </w:p>
    <w:p>
      <w:pPr>
        <w:ind w:left="160" w:right="160"/>
        <w:spacing w:after="0" w:line="263" w:lineRule="auto"/>
        <w:rPr>
          <w:sz w:val="20"/>
          <w:szCs w:val="20"/>
          <w:color w:val="auto"/>
        </w:rPr>
      </w:pPr>
      <w:r>
        <w:rPr>
          <w:rFonts w:ascii="Times New Roman" w:cs="Times New Roman" w:eastAsia="Times New Roman" w:hAnsi="Times New Roman"/>
          <w:sz w:val="18"/>
          <w:szCs w:val="18"/>
          <w:color w:val="auto"/>
        </w:rPr>
        <w:t>As of December 31, 2024, the Company has authorized and issued 803 Class B Units with a weighted average grant date fair value of $0.35 per unit to certain employees of the Company. The Class B Units are subject to a five-year vesting period, with 20% of units vesting on each of the five anniversaries of the grant date. The Class B Units have no expiration date.</w:t>
      </w:r>
    </w:p>
    <w:p>
      <w:pPr>
        <w:spacing w:after="0" w:line="175" w:lineRule="exact"/>
        <w:rPr>
          <w:sz w:val="20"/>
          <w:szCs w:val="20"/>
          <w:color w:val="auto"/>
        </w:rPr>
      </w:pPr>
    </w:p>
    <w:p>
      <w:pPr>
        <w:ind w:left="160" w:right="40"/>
        <w:spacing w:after="0" w:line="278" w:lineRule="auto"/>
        <w:rPr>
          <w:sz w:val="20"/>
          <w:szCs w:val="20"/>
          <w:color w:val="auto"/>
        </w:rPr>
      </w:pPr>
      <w:r>
        <w:rPr>
          <w:rFonts w:ascii="Times New Roman" w:cs="Times New Roman" w:eastAsia="Times New Roman" w:hAnsi="Times New Roman"/>
          <w:sz w:val="18"/>
          <w:szCs w:val="18"/>
          <w:color w:val="auto"/>
        </w:rPr>
        <w:t>In accordance with ASC 718 Compensation — Stock Compensation, all Incentive Units officially granted represent ownership interests of the Company and are classified as equity.</w:t>
      </w:r>
    </w:p>
    <w:p>
      <w:pPr>
        <w:spacing w:after="0" w:line="162"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Fair Value of Equity-Based Awards</w:t>
      </w:r>
      <w:r>
        <w:rPr>
          <w:rFonts w:ascii="Times New Roman" w:cs="Times New Roman" w:eastAsia="Times New Roman" w:hAnsi="Times New Roman"/>
          <w:sz w:val="18"/>
          <w:szCs w:val="18"/>
          <w:color w:val="auto"/>
        </w:rPr>
        <w:t>: The weighted average per unit fair value of the equity-based units is calculated using the Monte Carlo simulation in an option pricing framework, where the total equity value of the 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86" w:lineRule="exact"/>
        <w:rPr>
          <w:sz w:val="20"/>
          <w:szCs w:val="20"/>
          <w:color w:val="auto"/>
        </w:rPr>
      </w:pPr>
    </w:p>
    <w:p>
      <w:pPr>
        <w:ind w:left="1140" w:hanging="438"/>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precedent transactions involving equity units;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and financial performance;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51" w:right="4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assumptions were made in the Monte Carlo simulation.</w:t>
      </w:r>
    </w:p>
    <w:p>
      <w:pPr>
        <w:spacing w:after="0" w:line="221"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75" w:lineRule="exact"/>
        <w:rPr>
          <w:sz w:val="20"/>
          <w:szCs w:val="20"/>
          <w:color w:val="auto"/>
        </w:rPr>
      </w:pPr>
    </w:p>
    <w:p>
      <w:pPr>
        <w:ind w:left="160" w:right="520"/>
        <w:spacing w:after="0" w:line="278"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62"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The risk-free interest rate is estimated based on U.S. Treasury zero-coupon notes with terms consistent with the expected term of the awards.</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u w:val="single" w:color="auto"/>
          <w:color w:val="auto"/>
        </w:rPr>
        <w:t>Dividend Yield:</w:t>
      </w:r>
      <w:r>
        <w:rPr>
          <w:rFonts w:ascii="Times New Roman" w:cs="Times New Roman" w:eastAsia="Times New Roman" w:hAnsi="Times New Roman"/>
          <w:sz w:val="17"/>
          <w:szCs w:val="17"/>
          <w:color w:val="auto"/>
        </w:rPr>
        <w:t xml:space="preserve"> The Company has never declared or paid any cash dividends and does not presently plan to pay cash dividends in the foreseeable future.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Consequently, the Company used an expected dividend yield of zero.</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provides the weighted-average inputs for expected term, volatility, risk-free interest rate, and dividend yield that were utilized by the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Company in its Monte Carlo simulation for awards granted between fiscal years 2022 and 2024:</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8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shd w:val="clear" w:color="auto" w:fill="CCEEFF"/>
          </w:tcPr>
          <w:p>
            <w:pPr>
              <w:spacing w:after="0"/>
              <w:rPr>
                <w:sz w:val="18"/>
                <w:szCs w:val="18"/>
                <w:color w:val="auto"/>
              </w:rPr>
            </w:pPr>
          </w:p>
        </w:tc>
      </w:tr>
      <w:tr>
        <w:trPr>
          <w:trHeight w:val="2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58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97"/>
              </w:rPr>
              <w:t>3.6</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8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97"/>
              </w:rPr>
              <w:t>1.2</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r>
      <w:tr>
        <w:trPr>
          <w:trHeight w:val="23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40 - 48%</w:t>
            </w:r>
          </w:p>
        </w:tc>
      </w:tr>
    </w:tbl>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recorded $217 and $272 of member unit-based compensation expense related to Liquidity MPU Payouts for the years ended</w:t>
      </w:r>
    </w:p>
    <w:p>
      <w:pPr>
        <w:spacing w:after="0" w:line="26" w:lineRule="exact"/>
        <w:rPr>
          <w:sz w:val="20"/>
          <w:szCs w:val="20"/>
          <w:color w:val="auto"/>
        </w:rPr>
      </w:pPr>
    </w:p>
    <w:p>
      <w:pPr>
        <w:ind w:left="160" w:right="100"/>
        <w:spacing w:after="0" w:line="250" w:lineRule="auto"/>
        <w:rPr>
          <w:sz w:val="20"/>
          <w:szCs w:val="20"/>
          <w:color w:val="auto"/>
        </w:rPr>
      </w:pPr>
      <w:r>
        <w:rPr>
          <w:rFonts w:ascii="Times New Roman" w:cs="Times New Roman" w:eastAsia="Times New Roman" w:hAnsi="Times New Roman"/>
          <w:sz w:val="18"/>
          <w:szCs w:val="18"/>
          <w:color w:val="auto"/>
        </w:rPr>
        <w:t>December 31, 2023 and December 31, 2022, respectively, as a component of selling, general and administrative expenses. The Company did not record any expense related to Liquidity MPU Payouts or Class B CUPIs for the year ended December 31, 2024. On October 21, 2022, a portion of the promissory note was paid off with the Liquidity MPU Payout and consequently, a total of $85 was added to the Class A unit as capital contribution. On October 19, 2023, a portion of the promissory note was paid off with the Liquidity MPU Payout and consequently, a total of $84 was added to the Class A units as capital contribution.</w:t>
      </w:r>
    </w:p>
    <w:p>
      <w:pPr>
        <w:spacing w:after="0" w:line="187"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The Company recorded $53, $65, and $58 of compensation expense related to Class B and Class B CUPIs units for the years ended December 31, 2024, December 31, 2023, and December 31, 2022, respectively, as a component of selling, general and administrative expenses. As of December 31, 2024, the Company had $110 of unrecognized unit-based compensation expense related to unvested Class B, which is expected to be recognized on a straight-line basis or a graded basis over a weighted average period of 2.8 years. As of December 31, 2024, the Company had another $12 of unrecognized unit-based compensation expense related to several tranches of unvested Class B units with additional performance condition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 2024, the Company has no material obligations to repurchase any Class B Units or CUPIs on a specified date.</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1" w:right="4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Incentive Units activity during the year ended December 31, 2024:</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Class B</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Units</w:t>
            </w:r>
          </w:p>
        </w:tc>
        <w:tc>
          <w:tcPr>
            <w:tcW w:w="40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Wtd. Avg. Grant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Forfeited/repurchased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unvested outstanding Incentive Units are expected to vest between 2025 and 2029.</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Liability-classified units</w:t>
      </w:r>
    </w:p>
    <w:p>
      <w:pPr>
        <w:spacing w:after="0" w:line="118"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color w:val="auto"/>
        </w:rPr>
        <w:t>On February 13, 2024, the Company authorized additional Class B Units to be granted to certain employees on April 1, 2025 upon fulfillment of certain performance conditions. With each grant, the number of Class B units to 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mezzanine equity. The award is presented in other long-term liabilities on the consolidated balance sheets. The unit fair value of these awards is determined using the same technique and assumptions as the Equity-Based Awards, and the Company reevaluates the fair value of these liability-classified units periodically until they are reclassified as mezzanine equity when granted, with the fair value change recorded ratably in the current-period compensation expense. As of December 31, 2024, the number of units probable to be issued is 58, with total fair value of $33. The Company had recognized compensation expense of $8 and $8 for the years ended December 31, 2024 and December 31, 2023, respectively. As of December 31, 2024, the Company had $25 of unrecognized compensation expense, which is expected to be recognized on a graded basis over a weighted average period of 5.3 years.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16 — PARTNERS’ CAPITAL AND MEZZANINE EQUITY</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Partners’ Capital</w:t>
      </w:r>
    </w:p>
    <w:p>
      <w:pPr>
        <w:spacing w:after="0" w:line="118"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80"/>
          </w:cols>
          <w:pgMar w:left="320" w:top="451"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such units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A — Mezzanine Equity</w:t>
      </w:r>
    </w:p>
    <w:p>
      <w:pPr>
        <w:spacing w:after="0" w:line="118"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Class A units held by members of management (the “Class A Mezzanine Units”) include a put right that gives the holders certain rights that may allow them to cause the Company to repurchase 50% of the Class A units. For the periods that management determined it was probable that the Class A Mezzanine Units would become redeemable, the Company had elected to carry the shares at the maximum redemption value, or fair value, in mezzanine equity on the consolidated balance sheets. For all the reporting periods through the third quarter of 2024, all Class A Mezzanine Units were recognized at their maximum redemption value. During the fourth quarter of 2024, management determined it was no longer probable that the Class A Mezzanine Units would become redeemable, and, therefore, no changes in redemption value were recorded prospectively. During the years ended December 31, 2024, December 31, 2023, and December 31, 2022, the Company recognized $58, $40, and $10, respectively, in accretion of the Class A Mezzanine Units to redemption value within mezzanine equity on the consolidated balance sheets.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 — Mezzanine Equity</w:t>
      </w:r>
    </w:p>
    <w:p>
      <w:pPr>
        <w:spacing w:after="0" w:line="118"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As discussed in “Note 15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fourth quarter of 2024, management determined it was no longer probable that the Put Units would become redeemable, and therefore no changes in redemption value were recorded prospectively. During the years ended December 31, 2024, December 31, 2023, and December 31, 2022, the Company recognized an adjustment to the pro-rata portion of the Put Units which have vested in the amounts of $57, $37, and $18, respectively. The maturities related to the redemption feature are in accordance with the vesting terms discussed in “Note 15 — Stock-Based Compensation,” taking into account the five-year vesting period.</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 in the balance of accumulated other comprehensive income (loss) by component and in total:</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460" w:type="dxa"/>
            <w:vAlign w:val="bottom"/>
          </w:tcPr>
          <w:p>
            <w:pPr>
              <w:spacing w:after="0"/>
              <w:rPr>
                <w:sz w:val="10"/>
                <w:szCs w:val="10"/>
                <w:color w:val="auto"/>
              </w:rPr>
            </w:pPr>
          </w:p>
        </w:tc>
        <w:tc>
          <w:tcPr>
            <w:tcW w:w="202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4"/>
                <w:szCs w:val="14"/>
                <w:color w:val="auto"/>
                <w:w w:val="99"/>
              </w:rPr>
              <w:t>Currency translation</w:t>
            </w: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Retirement plans, net</w:t>
            </w:r>
          </w:p>
        </w:tc>
        <w:tc>
          <w:tcPr>
            <w:tcW w:w="120" w:type="dxa"/>
            <w:vAlign w:val="bottom"/>
          </w:tcPr>
          <w:p>
            <w:pPr>
              <w:spacing w:after="0"/>
              <w:rPr>
                <w:sz w:val="10"/>
                <w:szCs w:val="10"/>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Accumulated other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46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instruments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of tax</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0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(89)</w:t>
            </w:r>
          </w:p>
        </w:tc>
        <w:tc>
          <w:tcPr>
            <w:tcW w:w="8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other comprehensive (loss)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(89)</w:t>
            </w:r>
          </w:p>
        </w:tc>
        <w:tc>
          <w:tcPr>
            <w:tcW w:w="8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F-48</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2"/>
          </w:tcPr>
          <w:p>
            <w:pPr>
              <w:jc w:val="center"/>
              <w:ind w:right="94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Retirement plans, net</w:t>
            </w:r>
          </w:p>
        </w:tc>
        <w:tc>
          <w:tcPr>
            <w:tcW w:w="120" w:type="dxa"/>
            <w:vAlign w:val="bottom"/>
          </w:tcPr>
          <w:p>
            <w:pPr>
              <w:spacing w:after="0"/>
              <w:rPr>
                <w:sz w:val="10"/>
                <w:szCs w:val="10"/>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 other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gridSpan w:val="3"/>
          </w:tcPr>
          <w:p>
            <w:pPr>
              <w:jc w:val="center"/>
              <w:ind w:right="860"/>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2040" w:type="dxa"/>
            <w:vAlign w:val="bottom"/>
            <w:gridSpan w:val="3"/>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instruments</w:t>
            </w:r>
          </w:p>
        </w:tc>
        <w:tc>
          <w:tcPr>
            <w:tcW w:w="160" w:type="dxa"/>
            <w:vAlign w:val="bottom"/>
          </w:tcPr>
          <w:p>
            <w:pPr>
              <w:spacing w:after="0"/>
              <w:rPr>
                <w:sz w:val="14"/>
                <w:szCs w:val="14"/>
                <w:color w:val="auto"/>
              </w:rPr>
            </w:pP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of tax</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8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reclassifications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other comprehensive (loss)</w:t>
            </w: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gridSpan w:val="3"/>
          </w:tcPr>
          <w:p>
            <w:pPr>
              <w:jc w:val="center"/>
              <w:ind w:right="90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204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Retirement plans, net</w:t>
            </w:r>
          </w:p>
        </w:tc>
        <w:tc>
          <w:tcPr>
            <w:tcW w:w="120" w:type="dxa"/>
            <w:vAlign w:val="bottom"/>
          </w:tcPr>
          <w:p>
            <w:pPr>
              <w:spacing w:after="0"/>
              <w:rPr>
                <w:sz w:val="10"/>
                <w:szCs w:val="10"/>
                <w:color w:val="auto"/>
              </w:rPr>
            </w:pPr>
          </w:p>
        </w:tc>
        <w:tc>
          <w:tcPr>
            <w:tcW w:w="122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color w:val="auto"/>
              </w:rPr>
              <w:t>Accumulated 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2040" w:type="dxa"/>
            <w:vAlign w:val="bottom"/>
            <w:gridSpan w:val="3"/>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44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instruments</w:t>
            </w: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of tax</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w w:val="96"/>
              </w:rPr>
              <w:t>(loss)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reclassifications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0"/>
                <w:szCs w:val="20"/>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other comprehensive income</w:t>
            </w: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0"/>
                <w:szCs w:val="20"/>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17 — RELATED PARTY</w:t>
      </w:r>
    </w:p>
    <w:p>
      <w:pPr>
        <w:spacing w:after="0" w:line="118" w:lineRule="exact"/>
        <w:rPr>
          <w:sz w:val="20"/>
          <w:szCs w:val="20"/>
          <w:color w:val="auto"/>
        </w:rPr>
      </w:pPr>
    </w:p>
    <w:p>
      <w:pPr>
        <w:ind w:left="160" w:right="420"/>
        <w:spacing w:after="0" w:line="255" w:lineRule="auto"/>
        <w:rPr>
          <w:sz w:val="20"/>
          <w:szCs w:val="20"/>
          <w:color w:val="auto"/>
        </w:rPr>
      </w:pPr>
      <w:r>
        <w:rPr>
          <w:rFonts w:ascii="Times New Roman" w:cs="Times New Roman" w:eastAsia="Times New Roman" w:hAnsi="Times New Roman"/>
          <w:sz w:val="18"/>
          <w:szCs w:val="18"/>
          <w:color w:val="auto"/>
        </w:rPr>
        <w:t>As of December 31, 2024, certain affiliates of the Sponsors held a portion of the Company’s long-term debt including $3 and $450 reported in the current portion of long-term borrowings and other short-term borrowings and long-term borrowings, less current portion, respectively. As of December 31, 2023, certain related parties held a portion of the Company’s long-term debt including $6 and $643 reported in the current portion of long-term borrowings and other short-term borrowings and long-term borrowings, less current portion, respectively. The terms of these loans are identical to all other term loans issued and notes issued.</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 7 — Credit Agreements and Borrowings” for additional information on the long-term debt.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have been no other significant transactions with related parties during the periods presented.</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18"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 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80"/>
          </w:cols>
          <w:pgMar w:left="320" w:top="452" w:right="4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jc w:val="both"/>
        <w:ind w:left="160" w:right="140"/>
        <w:spacing w:after="0" w:line="308" w:lineRule="auto"/>
        <w:rPr>
          <w:sz w:val="20"/>
          <w:szCs w:val="20"/>
          <w:color w:val="auto"/>
        </w:rPr>
      </w:pPr>
      <w:r>
        <w:rPr>
          <w:rFonts w:ascii="Times New Roman" w:cs="Times New Roman" w:eastAsia="Times New Roman" w:hAnsi="Times New Roman"/>
          <w:sz w:val="17"/>
          <w:szCs w:val="17"/>
          <w:color w:val="auto"/>
        </w:rPr>
        <w:t>capabilities. As a distributor of products from over 1,250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140"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is the difference between each operating segment’s revenue and Segment Adjusted EBITDA. During 2024, the Company has been transitioning its operations to align around its two primary product lines, Medline Brand and Supply Chain Solutions. This change became effective in 2024. As a result, all segment information in these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present financial information by segment:</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30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2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Net sales to external customers:</w:t>
            </w:r>
          </w:p>
        </w:tc>
        <w:tc>
          <w:tcPr>
            <w:tcW w:w="20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Front Line Care</w:t>
            </w:r>
          </w:p>
        </w:tc>
        <w:tc>
          <w:tcPr>
            <w:tcW w:w="1940" w:type="dxa"/>
            <w:vAlign w:val="bottom"/>
            <w:gridSpan w:val="2"/>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5,845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27"/>
        </w:trPr>
        <w:tc>
          <w:tcPr>
            <w:tcW w:w="44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Surgical Solutions</w:t>
            </w:r>
          </w:p>
        </w:tc>
        <w:tc>
          <w:tcPr>
            <w:tcW w:w="1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4,931</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21"/>
        </w:trPr>
        <w:tc>
          <w:tcPr>
            <w:tcW w:w="4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Laboratory and Diagnostics</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Medline Brand</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10,999</w:t>
            </w:r>
          </w:p>
        </w:tc>
        <w:tc>
          <w:tcPr>
            <w:tcW w:w="0" w:type="dxa"/>
            <w:vAlign w:val="bottom"/>
          </w:tcPr>
          <w:p>
            <w:pPr>
              <w:spacing w:after="0"/>
              <w:rPr>
                <w:sz w:val="1"/>
                <w:szCs w:val="1"/>
                <w:color w:val="auto"/>
              </w:rPr>
            </w:pPr>
          </w:p>
        </w:tc>
      </w:tr>
      <w:tr>
        <w:trPr>
          <w:trHeight w:val="221"/>
        </w:trPr>
        <w:tc>
          <w:tcPr>
            <w:tcW w:w="4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net sales to external customers</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23,231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460" w:type="dxa"/>
            <w:vAlign w:val="bottom"/>
            <w:gridSpan w:val="3"/>
            <w:vMerge w:val="continue"/>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Medline Brand</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21"/>
        </w:trPr>
        <w:tc>
          <w:tcPr>
            <w:tcW w:w="4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&amp; Other</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4"/>
        </w:trPr>
        <w:tc>
          <w:tcPr>
            <w:tcW w:w="4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4"/>
        </w:trPr>
        <w:tc>
          <w:tcPr>
            <w:tcW w:w="4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Inventory-related adjustments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3"/>
        </w:trPr>
        <w:tc>
          <w:tcPr>
            <w:tcW w:w="4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43"/>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F-50</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2" w:right="5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7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5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r>
      <w:tr>
        <w:trPr>
          <w:trHeight w:val="207"/>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of control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r>
      <w:tr>
        <w:trPr>
          <w:trHeight w:val="214"/>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 charges, net</w:t>
            </w:r>
          </w:p>
        </w:tc>
        <w:tc>
          <w:tcPr>
            <w:tcW w:w="16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5860" w:type="dxa"/>
            <w:vAlign w:val="bottom"/>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4"/>
                <w:szCs w:val="24"/>
                <w:color w:val="auto"/>
                <w:vertAlign w:val="superscript"/>
              </w:rPr>
              <w:t>(a)</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1"/>
        </w:trPr>
        <w:tc>
          <w:tcPr>
            <w:tcW w:w="58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left="600" w:hanging="433"/>
        <w:spacing w:after="0" w:line="255" w:lineRule="auto"/>
        <w:tabs>
          <w:tab w:leader="none" w:pos="60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gain due to a change in valuation estimate related to an acquisition, loss on debt extinguishment and other refinancing costs and fees, credit loss expense related to customer bankruptcies, acquisition and integration related costs, loss on disposals of assets and exits, realized and unrealized foreign currency and investment losses and costs and other items.</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present information by sales office and geographic area:</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20" w:type="dxa"/>
            <w:vAlign w:val="bottom"/>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2023</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300" w:type="dxa"/>
            <w:vAlign w:val="bottom"/>
            <w:gridSpan w:val="2"/>
            <w:shd w:val="clear" w:color="auto" w:fill="CCEEFF"/>
          </w:tcPr>
          <w:p>
            <w:pPr>
              <w:jc w:val="center"/>
              <w:ind w:right="2920"/>
              <w:spacing w:after="0" w:line="154" w:lineRule="exact"/>
              <w:rPr>
                <w:sz w:val="20"/>
                <w:szCs w:val="20"/>
                <w:color w:val="auto"/>
              </w:rPr>
            </w:pPr>
            <w:r>
              <w:rPr>
                <w:rFonts w:ascii="Times New Roman" w:cs="Times New Roman" w:eastAsia="Times New Roman" w:hAnsi="Times New Roman"/>
                <w:sz w:val="17"/>
                <w:szCs w:val="17"/>
                <w:b w:val="1"/>
                <w:bCs w:val="1"/>
                <w:color w:val="auto"/>
              </w:rPr>
              <w:t>Net sales to external customers: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ind w:left="340"/>
              <w:spacing w:after="0" w:line="214" w:lineRule="exact"/>
              <w:rPr>
                <w:sz w:val="20"/>
                <w:szCs w:val="20"/>
                <w:color w:val="auto"/>
              </w:rPr>
            </w:pPr>
            <w:r>
              <w:rPr>
                <w:rFonts w:ascii="Times New Roman" w:cs="Times New Roman" w:eastAsia="Times New Roman" w:hAnsi="Times New Roman"/>
                <w:sz w:val="17"/>
                <w:szCs w:val="17"/>
                <w:color w:val="auto"/>
              </w:rPr>
              <w:t>Acute care</w:t>
            </w:r>
            <w:r>
              <w:rPr>
                <w:rFonts w:ascii="Times New Roman" w:cs="Times New Roman" w:eastAsia="Times New Roman" w:hAnsi="Times New Roman"/>
                <w:sz w:val="24"/>
                <w:szCs w:val="24"/>
                <w:color w:val="auto"/>
                <w:vertAlign w:val="superscript"/>
              </w:rPr>
              <w:t>(a)</w:t>
            </w:r>
          </w:p>
        </w:tc>
        <w:tc>
          <w:tcPr>
            <w:tcW w:w="2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17,491</w:t>
            </w:r>
          </w:p>
        </w:tc>
        <w:tc>
          <w:tcPr>
            <w:tcW w:w="8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8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6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Non-Acute care</w:t>
            </w:r>
            <w:r>
              <w:rPr>
                <w:rFonts w:ascii="Times New Roman" w:cs="Times New Roman" w:eastAsia="Times New Roman" w:hAnsi="Times New Roman"/>
                <w:sz w:val="24"/>
                <w:szCs w:val="24"/>
                <w:color w:val="auto"/>
                <w:vertAlign w:val="superscript"/>
              </w:rPr>
              <w:t>(b)</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00" w:type="dxa"/>
            <w:vAlign w:val="bottom"/>
            <w:gridSpan w:val="2"/>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Consolidated net sales to external customers</w:t>
            </w: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600" w:hanging="433"/>
        <w:spacing w:after="0"/>
        <w:tabs>
          <w:tab w:leader="none" w:pos="6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Acute care represents hospital health systems.</w:t>
      </w:r>
    </w:p>
    <w:p>
      <w:pPr>
        <w:spacing w:after="0" w:line="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Non-acute care represents other sites of care including outpatient, post acute, physician’s office, surgery centers, and all other.</w:t>
      </w:r>
    </w:p>
    <w:p>
      <w:pPr>
        <w:spacing w:after="0" w:line="19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29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940" w:type="dxa"/>
            <w:vAlign w:val="bottom"/>
            <w:tcBorders>
              <w:bottom w:val="single" w:sz="8" w:color="CCEEFF"/>
            </w:tcBorders>
            <w:vMerge w:val="restart"/>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Long-lived assets by geographical area</w:t>
            </w:r>
          </w:p>
        </w:tc>
        <w:tc>
          <w:tcPr>
            <w:tcW w:w="160" w:type="dxa"/>
            <w:vAlign w:val="bottom"/>
            <w:tcBorders>
              <w:bottom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(a)</w:t>
            </w:r>
          </w:p>
        </w:tc>
        <w:tc>
          <w:tcPr>
            <w:tcW w:w="2680" w:type="dxa"/>
            <w:vAlign w:val="bottom"/>
            <w:tcBorders>
              <w:bottom w:val="single" w:sz="8" w:color="CCEEFF"/>
            </w:tcBorders>
            <w:vMerge w:val="restart"/>
            <w:shd w:val="clear" w:color="auto" w:fill="CCEEFF"/>
          </w:tcPr>
          <w:p>
            <w:pPr>
              <w:jc w:val="right"/>
              <w:ind w:right="2542"/>
              <w:spacing w:after="0" w:line="154"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940" w:type="dxa"/>
            <w:vAlign w:val="bottom"/>
            <w:tcBorders>
              <w:bottom w:val="single" w:sz="8" w:color="auto"/>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6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6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84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64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78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14"/>
        </w:trPr>
        <w:tc>
          <w:tcPr>
            <w:tcW w:w="5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1"/>
        </w:trPr>
        <w:tc>
          <w:tcPr>
            <w:tcW w:w="578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long-lived assets,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600" w:hanging="433"/>
        <w:spacing w:after="0"/>
        <w:tabs>
          <w:tab w:leader="none" w:pos="60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plant, and equipment, net, and operating lease ROU assets.</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18" w:lineRule="exact"/>
        <w:rPr>
          <w:sz w:val="20"/>
          <w:szCs w:val="20"/>
          <w:color w:val="auto"/>
        </w:rPr>
      </w:pPr>
    </w:p>
    <w:p>
      <w:pPr>
        <w:ind w:left="160" w:right="200"/>
        <w:spacing w:after="0" w:line="278" w:lineRule="auto"/>
        <w:rPr>
          <w:sz w:val="20"/>
          <w:szCs w:val="20"/>
          <w:color w:val="auto"/>
        </w:rPr>
      </w:pPr>
      <w:r>
        <w:rPr>
          <w:rFonts w:ascii="Times New Roman" w:cs="Times New Roman" w:eastAsia="Times New Roman" w:hAnsi="Times New Roman"/>
          <w:sz w:val="18"/>
          <w:szCs w:val="18"/>
          <w:color w:val="auto"/>
        </w:rPr>
        <w:t>The Company has evaluated its consolidated financial statements for subsequent events through February 28, 2025, the date the consolidated financial statements were available to be issued.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80"/>
          </w:cols>
          <w:pgMar w:left="320" w:top="452"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2975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173990</wp:posOffset>
            </wp:positionV>
            <wp:extent cx="69297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         Shares</w:t>
      </w: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1983105</wp:posOffset>
            </wp:positionV>
            <wp:extent cx="14605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3239770</wp:posOffset>
            </wp:positionH>
            <wp:positionV relativeFrom="paragraph">
              <wp:posOffset>335915</wp:posOffset>
            </wp:positionV>
            <wp:extent cx="662305" cy="6711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62305" cy="67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PRELIMINARY PROSPECTUS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239395</wp:posOffset>
            </wp:positionV>
            <wp:extent cx="1460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Global coordinators and joint bookrunning managers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alphabetical order)</w:t>
      </w:r>
    </w:p>
    <w:p>
      <w:pPr>
        <w:sectPr>
          <w:pgSz w:w="11900" w:h="16838" w:orient="portrait"/>
          <w:cols w:equalWidth="0" w:num="1">
            <w:col w:w="11080"/>
          </w:cols>
          <w:pgMar w:left="320" w:top="452" w:right="499" w:bottom="1440" w:gutter="0" w:footer="0" w:header="0"/>
        </w:sectPr>
      </w:pP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119" w:lineRule="exact"/>
        <w:rPr>
          <w:sz w:val="20"/>
          <w:szCs w:val="20"/>
          <w:color w:val="auto"/>
        </w:rPr>
      </w:pPr>
    </w:p>
    <w:p>
      <w:pPr>
        <w:sectPr>
          <w:pgSz w:w="11900" w:h="16838" w:orient="portrait"/>
          <w:cols w:equalWidth="0" w:num="2">
            <w:col w:w="8260" w:space="720"/>
            <w:col w:w="2100"/>
          </w:cols>
          <w:pgMar w:left="320" w:top="452"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6"/>
          <w:szCs w:val="26"/>
          <w:b w:val="1"/>
          <w:bCs w:val="1"/>
          <w:color w:val="auto"/>
        </w:rPr>
        <w:t>J.P. Morgan</w:t>
      </w:r>
    </w:p>
    <w:p>
      <w:pPr>
        <w:spacing w:after="0" w:line="222" w:lineRule="exact"/>
        <w:rPr>
          <w:sz w:val="20"/>
          <w:szCs w:val="20"/>
          <w:color w:val="auto"/>
        </w:rPr>
      </w:pPr>
    </w:p>
    <w:p>
      <w:pPr>
        <w:sectPr>
          <w:pgSz w:w="11900" w:h="16838" w:orient="portrait"/>
          <w:cols w:equalWidth="0" w:num="2">
            <w:col w:w="8880" w:space="720"/>
            <w:col w:w="1480"/>
          </w:cols>
          <w:pgMar w:left="320" w:top="452" w:right="499" w:bottom="1440" w:gutter="0" w:footer="0" w:header="0"/>
          <w:type w:val="continuous"/>
        </w:sectPr>
      </w:pPr>
    </w:p>
    <w:p>
      <w:pPr>
        <w:spacing w:after="0" w:line="256" w:lineRule="exact"/>
        <w:rPr>
          <w:sz w:val="20"/>
          <w:szCs w:val="20"/>
          <w:color w:val="auto"/>
        </w:rPr>
      </w:pPr>
    </w:p>
    <w:p>
      <w:pPr>
        <w:ind w:left="160" w:right="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Through and including        ,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623570</wp:posOffset>
            </wp:positionV>
            <wp:extent cx="69297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691515</wp:posOffset>
            </wp:positionV>
            <wp:extent cx="692975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52" w:right="499" w:bottom="1440" w:gutter="0" w:footer="0" w:header="0"/>
          <w:type w:val="continuous"/>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8" w:lineRule="exact"/>
        <w:rPr>
          <w:sz w:val="20"/>
          <w:szCs w:val="20"/>
          <w:color w:val="auto"/>
        </w:rPr>
      </w:pPr>
    </w:p>
    <w:p>
      <w:pPr>
        <w:ind w:left="160" w:firstLine="436"/>
        <w:spacing w:after="0" w:line="285" w:lineRule="auto"/>
        <w:rPr>
          <w:sz w:val="20"/>
          <w:szCs w:val="20"/>
          <w:color w:val="auto"/>
        </w:rPr>
      </w:pPr>
      <w:r>
        <w:rPr>
          <w:rFonts w:ascii="Times New Roman" w:cs="Times New Roman" w:eastAsia="Times New Roman" w:hAnsi="Times New Roman"/>
          <w:sz w:val="17"/>
          <w:szCs w:val="17"/>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the Financial Industry Regulatory Authority, Inc., and Nasdaq.</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Fee—Securities and Exchange Commission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Fee—Financial Industry Regulatory Authority, Inc.</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Fee—Nasdaq</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Fees of Transfer Agent</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Expenses of Counsel</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Fees and Expenses of Accountants</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12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48"/>
        </w:trPr>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 be provided by amendment.</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9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40"/>
          </w:cols>
          <w:pgMar w:left="320" w:top="452" w:right="5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55" w:lineRule="auto"/>
        <w:rPr>
          <w:sz w:val="20"/>
          <w:szCs w:val="20"/>
          <w:color w:val="auto"/>
        </w:rPr>
      </w:pPr>
      <w:r>
        <w:rPr>
          <w:rFonts w:ascii="Times New Roman" w:cs="Times New Roman" w:eastAsia="Times New Roman" w:hAnsi="Times New Roman"/>
          <w:sz w:val="18"/>
          <w:szCs w:val="18"/>
          <w:color w:val="auto"/>
        </w:rPr>
        <w:t>person in connection with the defense or settlement of such action or suit, provided such person acted in good faith and in a manner they reasonably believed to be in or not opposed to the corporation’s best interests, provided further that no indemnification is permitted without judicial approval if the officer, director, employee, 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84"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84"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80" w:lineRule="exact"/>
        <w:rPr>
          <w:sz w:val="20"/>
          <w:szCs w:val="20"/>
          <w:color w:val="auto"/>
        </w:rPr>
      </w:pPr>
    </w:p>
    <w:p>
      <w:pPr>
        <w:ind w:left="160" w:right="30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80"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75"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75"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directors and executive officers. These agreements will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84" w:lineRule="exact"/>
        <w:rPr>
          <w:sz w:val="20"/>
          <w:szCs w:val="20"/>
          <w:color w:val="auto"/>
        </w:rPr>
      </w:pPr>
    </w:p>
    <w:p>
      <w:pPr>
        <w:ind w:left="160" w:right="580" w:firstLine="436"/>
        <w:spacing w:after="0" w:line="278" w:lineRule="auto"/>
        <w:rPr>
          <w:sz w:val="20"/>
          <w:szCs w:val="20"/>
          <w:color w:val="auto"/>
        </w:rPr>
      </w:pPr>
      <w:r>
        <w:rPr>
          <w:rFonts w:ascii="Times New Roman" w:cs="Times New Roman" w:eastAsia="Times New Roman" w:hAnsi="Times New Roman"/>
          <w:sz w:val="18"/>
          <w:szCs w:val="18"/>
          <w:color w:val="auto"/>
        </w:rPr>
        <w:t>The proposed form of Underwriting Agreement to be filed as Exhibit 1.1 to this Registration Statement provides for indemnification to our directors and officers by the underwriters against certain liabilities.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2"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color w:val="auto"/>
        </w:rPr>
        <w:t>was not registered under the Securities Act, because the shares were offered and sold in a transaction by the issuer not involving any public offering exempt from registration under Section 4(a)(2) of the Securities Act.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4" w:lineRule="exact"/>
        <w:rPr>
          <w:sz w:val="20"/>
          <w:szCs w:val="20"/>
          <w:color w:val="auto"/>
        </w:rPr>
      </w:pPr>
    </w:p>
    <w:p>
      <w:pPr>
        <w:ind w:left="860" w:hanging="256"/>
        <w:spacing w:after="0"/>
        <w:tabs>
          <w:tab w:leader="none" w:pos="860" w:val="left"/>
        </w:tabs>
        <w:numPr>
          <w:ilvl w:val="0"/>
          <w:numId w:val="1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w:t>
      </w:r>
    </w:p>
    <w:p>
      <w:pPr>
        <w:spacing w:after="0" w:line="29" w:lineRule="exact"/>
        <w:rPr>
          <w:rFonts w:ascii="Times New Roman" w:cs="Times New Roman" w:eastAsia="Times New Roman" w:hAnsi="Times New Roman"/>
          <w:sz w:val="18"/>
          <w:szCs w:val="18"/>
          <w:b w:val="1"/>
          <w:bCs w:val="1"/>
          <w:i w:val="1"/>
          <w:iCs w:val="1"/>
          <w:color w:val="auto"/>
        </w:rPr>
      </w:pPr>
    </w:p>
    <w:p>
      <w:pPr>
        <w:ind w:left="1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herein.</w:t>
      </w:r>
    </w:p>
    <w:p>
      <w:pPr>
        <w:spacing w:after="0" w:line="198" w:lineRule="exact"/>
        <w:rPr>
          <w:rFonts w:ascii="Times New Roman" w:cs="Times New Roman" w:eastAsia="Times New Roman" w:hAnsi="Times New Roman"/>
          <w:sz w:val="18"/>
          <w:szCs w:val="18"/>
          <w:b w:val="1"/>
          <w:bCs w:val="1"/>
          <w:i w:val="1"/>
          <w:iCs w:val="1"/>
          <w:color w:val="auto"/>
        </w:rPr>
      </w:pPr>
    </w:p>
    <w:p>
      <w:pPr>
        <w:ind w:left="160" w:right="80" w:firstLine="444"/>
        <w:spacing w:after="0" w:line="282" w:lineRule="auto"/>
        <w:tabs>
          <w:tab w:leader="none" w:pos="849" w:val="left"/>
        </w:tabs>
        <w:numPr>
          <w:ilvl w:val="0"/>
          <w:numId w:val="1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Financial statement schedules have been omitted because they are not required, not applicable, or not 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amounts sufficient to require submission of the schedule.</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1" w:lineRule="exact"/>
        <w:rPr>
          <w:sz w:val="20"/>
          <w:szCs w:val="20"/>
          <w:color w:val="auto"/>
        </w:rPr>
      </w:pPr>
    </w:p>
    <w:p>
      <w:pPr>
        <w:ind w:left="600" w:right="180" w:hanging="433"/>
        <w:spacing w:after="0" w:line="278" w:lineRule="auto"/>
        <w:tabs>
          <w:tab w:leader="none" w:pos="6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89" w:lineRule="exact"/>
        <w:rPr>
          <w:rFonts w:ascii="Times New Roman" w:cs="Times New Roman" w:eastAsia="Times New Roman" w:hAnsi="Times New Roman"/>
          <w:sz w:val="18"/>
          <w:szCs w:val="18"/>
          <w:color w:val="auto"/>
        </w:rPr>
      </w:pPr>
    </w:p>
    <w:p>
      <w:pPr>
        <w:ind w:left="600" w:hanging="433"/>
        <w:spacing w:after="0" w:line="252" w:lineRule="auto"/>
        <w:tabs>
          <w:tab w:leader="none" w:pos="6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13"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27" w:lineRule="exact"/>
        <w:rPr>
          <w:rFonts w:ascii="Times New Roman" w:cs="Times New Roman" w:eastAsia="Times New Roman" w:hAnsi="Times New Roman"/>
          <w:sz w:val="18"/>
          <w:szCs w:val="18"/>
          <w:color w:val="auto"/>
        </w:rPr>
      </w:pPr>
    </w:p>
    <w:p>
      <w:pPr>
        <w:ind w:left="1140" w:right="40" w:hanging="545"/>
        <w:spacing w:after="0" w:line="258" w:lineRule="auto"/>
        <w:tabs>
          <w:tab w:leader="none" w:pos="11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6" w:lineRule="exact"/>
        <w:rPr>
          <w:rFonts w:ascii="Times New Roman" w:cs="Times New Roman" w:eastAsia="Times New Roman" w:hAnsi="Times New Roman"/>
          <w:sz w:val="18"/>
          <w:szCs w:val="18"/>
          <w:color w:val="auto"/>
        </w:rPr>
      </w:pPr>
    </w:p>
    <w:p>
      <w:pPr>
        <w:ind w:left="1140" w:right="20" w:hanging="545"/>
        <w:spacing w:after="0" w:line="263" w:lineRule="auto"/>
        <w:tabs>
          <w:tab w:leader="none" w:pos="11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140" w:right="40" w:hanging="545"/>
        <w:spacing w:after="0" w:line="252" w:lineRule="auto"/>
        <w:tabs>
          <w:tab w:leader="none" w:pos="11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1" w:right="4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545"/>
        <w:spacing w:after="0" w:line="255" w:lineRule="auto"/>
        <w:tabs>
          <w:tab w:leader="none" w:pos="11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0" w:lineRule="exact"/>
        <w:rPr>
          <w:rFonts w:ascii="Times New Roman" w:cs="Times New Roman" w:eastAsia="Times New Roman" w:hAnsi="Times New Roman"/>
          <w:sz w:val="18"/>
          <w:szCs w:val="18"/>
          <w:color w:val="auto"/>
        </w:rPr>
      </w:pPr>
    </w:p>
    <w:p>
      <w:pPr>
        <w:ind w:left="1580" w:right="140" w:hanging="436"/>
        <w:spacing w:after="0" w:line="278" w:lineRule="auto"/>
        <w:tabs>
          <w:tab w:leader="none" w:pos="1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8" w:lineRule="exact"/>
        <w:rPr>
          <w:rFonts w:ascii="Times New Roman" w:cs="Times New Roman" w:eastAsia="Times New Roman" w:hAnsi="Times New Roman"/>
          <w:sz w:val="18"/>
          <w:szCs w:val="18"/>
          <w:color w:val="auto"/>
        </w:rPr>
      </w:pPr>
    </w:p>
    <w:p>
      <w:pPr>
        <w:ind w:left="1580" w:right="180" w:hanging="436"/>
        <w:spacing w:after="0" w:line="278" w:lineRule="auto"/>
        <w:tabs>
          <w:tab w:leader="none" w:pos="1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8" w:lineRule="exact"/>
        <w:rPr>
          <w:rFonts w:ascii="Times New Roman" w:cs="Times New Roman" w:eastAsia="Times New Roman" w:hAnsi="Times New Roman"/>
          <w:sz w:val="18"/>
          <w:szCs w:val="18"/>
          <w:color w:val="auto"/>
        </w:rPr>
      </w:pPr>
    </w:p>
    <w:p>
      <w:pPr>
        <w:ind w:left="1580" w:right="480" w:hanging="436"/>
        <w:spacing w:after="0" w:line="278" w:lineRule="auto"/>
        <w:tabs>
          <w:tab w:leader="none" w:pos="1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8"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60"/>
          </w:cols>
          <w:pgMar w:left="320" w:top="451" w:right="5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3568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56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-652145</wp:posOffset>
            </wp:positionV>
            <wp:extent cx="7176135"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p>
      <w:pPr>
        <w:spacing w:after="0" w:line="21"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15240</wp:posOffset>
            </wp:positionV>
            <wp:extent cx="63011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301105" cy="825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1340" w:space="700"/>
            <w:col w:w="8980"/>
          </w:cols>
          <w:pgMar w:left="320" w:top="451" w:right="559" w:bottom="1440" w:gutter="0" w:footer="0" w:header="0"/>
        </w:sectPr>
      </w:pPr>
    </w:p>
    <w:tbl>
      <w:tblPr>
        <w:tblLayout w:type="fixed"/>
        <w:tblInd w:w="160" w:type="dxa"/>
        <w:tblCellMar>
          <w:top w:w="0" w:type="dxa"/>
          <w:left w:w="0" w:type="dxa"/>
          <w:bottom w:w="0" w:type="dxa"/>
          <w:right w:w="0" w:type="dxa"/>
        </w:tblCellMar>
      </w:tblP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Amended and Restated Bylaws of the Registrant*</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Indenture, dated as of October 15, 2021, by and between Mozart Debt Merger Sub Inc. and Wilmington Trust, National Association as</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paying agent, transfer agent and registrar**</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as of October 21, 2021,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Supplemental Indenture, dated as of July 19, 2024,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Third Supplemental Indenture, dated as of December 20, 2024,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Indenture, dated as of October 15, 2021, among Mozart Debt Merger Sub Inc. and Wilmington Trust, National Association as trustee,</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paying agent, transfer agent, registrar and notes collateral agent**</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as of October 21, 2021,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Supplemental Indenture, dated as of July 19, 2024,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Third Supplemental Indenture, dated as of December 20, 2024,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Indenture, dated as of March 27, 2024, among Medline Borrower, LP, Medline Co-Issuer, Inc., Medline Intermediate, LP, the Subsidiary</w:t>
            </w:r>
          </w:p>
        </w:tc>
      </w:tr>
      <w:tr>
        <w:trPr>
          <w:trHeight w:val="214"/>
        </w:trPr>
        <w:tc>
          <w:tcPr>
            <w:tcW w:w="700" w:type="dxa"/>
            <w:vAlign w:val="bottom"/>
          </w:tcPr>
          <w:p>
            <w:pPr>
              <w:spacing w:after="0"/>
              <w:rPr>
                <w:sz w:val="18"/>
                <w:szCs w:val="18"/>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Guarantors named therein and Wilmington Trust, National Association as trustee, paying agent, transfer agent, registrar and notes</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collateral agent**</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as of June 24, 2024,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 and collateral agent**</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Supplemental Indenture, dated as of July 19, 2024,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 and collateral agent**</w:t>
            </w:r>
          </w:p>
        </w:tc>
      </w:tr>
      <w:tr>
        <w:trPr>
          <w:trHeight w:val="3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4.12</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Third Supplemental Indenture, dated as of December 20, 2024, among each of the subsidiaries of Medline Borrower, LP listed thereto and</w:t>
            </w:r>
          </w:p>
        </w:tc>
      </w:tr>
      <w:tr>
        <w:trPr>
          <w:trHeight w:val="233"/>
        </w:trPr>
        <w:tc>
          <w:tcPr>
            <w:tcW w:w="700" w:type="dxa"/>
            <w:vAlign w:val="bottom"/>
          </w:tcPr>
          <w:p>
            <w:pPr>
              <w:spacing w:after="0"/>
              <w:rPr>
                <w:sz w:val="20"/>
                <w:szCs w:val="20"/>
                <w:color w:val="auto"/>
              </w:rPr>
            </w:pP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 and collateral agent**</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Second Amended and Restated Limited Partnership Agreement of Medline Holdings, LP*</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Tax Receivable Agreement*</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Exchange Agreement*</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32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Director Nomination Agreement*</w:t>
            </w:r>
          </w:p>
        </w:tc>
      </w:tr>
      <w:tr>
        <w:trPr>
          <w:trHeight w:val="361"/>
        </w:trPr>
        <w:tc>
          <w:tcPr>
            <w:tcW w:w="70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020"/>
          </w:cols>
          <w:pgMar w:left="320" w:top="451" w:right="559" w:bottom="1440" w:gutter="0" w:footer="0" w:header="0"/>
          <w:type w:val="continuous"/>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tc>
        <w:tc>
          <w:tcPr>
            <w:tcW w:w="0" w:type="dxa"/>
            <w:vAlign w:val="bottom"/>
          </w:tcPr>
          <w:p>
            <w:pPr>
              <w:spacing w:after="0"/>
              <w:rPr>
                <w:sz w:val="1"/>
                <w:szCs w:val="1"/>
                <w:color w:val="auto"/>
              </w:rPr>
            </w:pPr>
          </w:p>
        </w:tc>
      </w:tr>
      <w:tr>
        <w:trPr>
          <w:trHeight w:val="269"/>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Support and Services Agreement, dated as of October 21, 2021, among Medline Holdings, LP (f/k/a Mozart Holdings, LP), Medline</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Industries, LP, Blackstone Capital Partners VIII L.P. and Blackstone Management Partners L.L.C.**</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Consulting Services Agreement, dated as of October 21, 2021, between Medline Holdings, LP (f/k/a Mozart Holdings, LP) and Carlyle</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 L.L.C.**</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Service Agreement, dated as of October 21, 2021, between Medline Holdings, LP (f/k/a Mozart Holdings, LP) and Hellman &amp; Friedman</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LP**</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Service Agreement, dated as of October 21, 2021, between Medline Holdings, LP (f/k/a Mozart Holdings, LP) and Mozart Holdco, Inc.**</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Medline Inc. 2025 Omnibus Incentive Plan*†</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Medline Industries, LP and James M. Boyle, dated October 1, 2023**†</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Medline Industries, LP and James M. Pigott, dated October 1, 2023**†</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Transition and Release Agreement by and among James M. Pigott, Medline Industries, LP, Mozart Management Aggregator LLC and</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Medline Holdings, LP (f/k/a Mozart Holdings, LP), dated October 14, 2024**†</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of October 21, 2021, among Medline Borrower, LP, as successor in interest to Mozart Debt Merger Sub Inc.,</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8"/>
              </w:rPr>
              <w:t>Medline Intermediate, LP, the guarantors from time to time party thereto, the lending institutions from time to time party thereto, and Bank</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of America, N.A., as administrative agent and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Credit Agreement, dated as of June 28, 2023, among Medline Borrower, LP, as successor in interest to Mozart</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Amendment No. 2 to the Credit Agreement, dated as of March 27, 2024, among Medline Borrower, LP, as successor in interest to Mozart</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3 to the Credit Agreement, dated as of July 8, 2024, among Medline Borrower, LP, as successor in interest to Mozart</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4 to the Credit Agreement, dated as of November 19, 2024, among Medline Borrower, LP, as successor in interest to</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Mozart Debt Merger Sub Inc., Medline Intermediate, LP, the guarantors from time to time party thereto, the lending institutions from time</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to time party thereto, and Bank of America, N.A., as administrative agent and collateral agent**</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dated as of October 21, 2021, among the grantors party thereto and Bank of America, N.A., as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1, dated as of July 19, 2024, to the Security Agreement, dated as of October 21, 2021, among the grantors party thereto</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and Bank of America, N.A., as collateral agent**</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80"/>
          </w:cols>
          <w:pgMar w:left="320" w:top="451" w:right="4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9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tc>
        <w:tc>
          <w:tcPr>
            <w:tcW w:w="0" w:type="dxa"/>
            <w:vAlign w:val="bottom"/>
          </w:tcPr>
          <w:p>
            <w:pPr>
              <w:spacing w:after="0"/>
              <w:rPr>
                <w:sz w:val="1"/>
                <w:szCs w:val="1"/>
                <w:color w:val="auto"/>
              </w:rPr>
            </w:pPr>
          </w:p>
        </w:tc>
      </w:tr>
      <w:tr>
        <w:trPr>
          <w:trHeight w:val="269"/>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Supplement No. 2 to the Security Agreement, dated as of December 20, 2024, among the grantors party thereto and Bank of America,</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N.A., as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Security Agreement, dated as of October 21, 2021, among the grantors party thereto and Wilmington Trust, National Association as notes</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Supplement No. 1 to the Security Agreement, dated as of July 19, 2024, among the grantors party thereto and Wilmington Trust, National</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notes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2 to the Security Agreement, dated as of December 20, 2024, among the grantors party thereto and Wilmington Trust,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National Association as notes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dated as of March 27, 2024, among the grantors party thereto and Wilmington Trust, National Association as notes</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Supplement No. 1 to the Security Agreement, dated as of July 19, 2024, among the grantors party thereto and Wilmington Trust, National</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notes collateral agent**</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2 to the Security Agreement, dated as of December 20, 2024, among the grantors party thereto and Wilmington Trust,</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National Association as notes collateral agent**</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Medline Inc. 2025 Employee Stock Purchase Plan*†</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Medline Inc. Executive Severance Plan*†</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LLP as to Medline Holdings, LP*</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Richard A. Galanti to be named as a director nominee**</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in signature pages of this Registration Statement)*</w:t>
            </w:r>
          </w:p>
        </w:tc>
        <w:tc>
          <w:tcPr>
            <w:tcW w:w="0" w:type="dxa"/>
            <w:vAlign w:val="bottom"/>
          </w:tcPr>
          <w:p>
            <w:pPr>
              <w:spacing w:after="0"/>
              <w:rPr>
                <w:sz w:val="1"/>
                <w:szCs w:val="1"/>
                <w:color w:val="auto"/>
              </w:rPr>
            </w:pPr>
          </w:p>
        </w:tc>
      </w:tr>
      <w:tr>
        <w:trPr>
          <w:trHeight w:val="3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160" w:right="8580" w:firstLine="7"/>
        <w:spacing w:after="0" w:line="274" w:lineRule="auto"/>
        <w:tabs>
          <w:tab w:leader="none" w:pos="58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Previously filed.</w:t>
      </w:r>
    </w:p>
    <w:p>
      <w:pPr>
        <w:ind w:left="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80"/>
          </w:cols>
          <w:pgMar w:left="320" w:top="451" w:right="4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Northfield, State of Illinois, on the        day of        , 2025.</w:t>
      </w:r>
    </w:p>
    <w:p>
      <w:pPr>
        <w:spacing w:after="0" w:line="18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15875</wp:posOffset>
            </wp:positionV>
            <wp:extent cx="25730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James M. Boyle</w:t>
      </w:r>
    </w:p>
    <w:p>
      <w:pPr>
        <w:spacing w:after="0" w:line="2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40"/>
          </w:cols>
          <w:pgMar w:left="320" w:top="451" w:right="5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92"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have been signed by the following persons in the capacities indicated on the        day of         , 2025.</w:t>
      </w:r>
    </w:p>
    <w:p>
      <w:pPr>
        <w:sectPr>
          <w:pgSz w:w="11900" w:h="16838" w:orient="portrait"/>
          <w:cols w:equalWidth="0" w:num="1">
            <w:col w:w="11000"/>
          </w:cols>
          <w:pgMar w:left="320" w:top="451" w:right="579" w:bottom="1440" w:gutter="0" w:footer="0" w:header="0"/>
        </w:sectPr>
      </w:pPr>
    </w:p>
    <w:p>
      <w:pPr>
        <w:spacing w:after="0" w:line="18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185420</wp:posOffset>
            </wp:positionV>
            <wp:extent cx="31762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17627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15240</wp:posOffset>
            </wp:positionV>
            <wp:extent cx="31762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29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271145</wp:posOffset>
            </wp:positionV>
            <wp:extent cx="31762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Charles 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Joseph P. Baratta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Jacob D.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Andrew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Robert 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color w:val="auto"/>
        </w:rPr>
        <w:t>Anushka M. Sunder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210185</wp:posOffset>
            </wp:positionV>
            <wp:extent cx="31762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Allen R. 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Stephen H.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31762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271145</wp:posOffset>
            </wp:positionV>
            <wp:extent cx="31762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Brenna E. Albert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61759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VP Global Controller</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II-9</w:t>
      </w:r>
    </w:p>
    <w:sectPr>
      <w:pgSz w:w="11900" w:h="16838" w:orient="portrait"/>
      <w:cols w:equalWidth="0" w:num="2">
        <w:col w:w="4780" w:space="720"/>
        <w:col w:w="5500"/>
      </w:cols>
      <w:pgMar w:left="320" w:top="45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1)"/>
      <w:numFmt w:val="decimal"/>
      <w:start w:val="1"/>
    </w:lvl>
  </w:abstractNum>
  <w:abstractNum w:abstractNumId="16">
    <w:nsid w:val="43F18422"/>
    <w:multiLevelType w:val="hybridMultilevel"/>
    <w:lvl w:ilvl="0">
      <w:lvlJc w:val="left"/>
      <w:lvlText w:val="(%1)"/>
      <w:numFmt w:val="decimal"/>
      <w:start w:val="2"/>
    </w:lvl>
    <w:lvl w:ilvl="1">
      <w:lvlJc w:val="left"/>
      <w:lvlText w:val="•"/>
      <w:numFmt w:val="bullet"/>
      <w:start w:val="1"/>
    </w:lvl>
  </w:abstractNum>
  <w:abstractNum w:abstractNumId="17">
    <w:nsid w:val="60EF0119"/>
    <w:multiLevelType w:val="hybridMultilevel"/>
    <w:lvl w:ilvl="0">
      <w:lvlJc w:val="left"/>
      <w:lvlText w:val="(%1)"/>
      <w:numFmt w:val="lowerRoman"/>
      <w:start w:val="3"/>
    </w:lvl>
  </w:abstractNum>
  <w:abstractNum w:abstractNumId="18">
    <w:nsid w:val="26F324BA"/>
    <w:multiLevelType w:val="hybridMultilevel"/>
    <w:lvl w:ilvl="0">
      <w:lvlJc w:val="left"/>
      <w:lvlText w:val="(%1)"/>
      <w:numFmt w:val="decimal"/>
      <w:start w:val="1"/>
    </w:lvl>
  </w:abstractNum>
  <w:abstractNum w:abstractNumId="19">
    <w:nsid w:val="7F01579B"/>
    <w:multiLevelType w:val="hybridMultilevel"/>
    <w:lvl w:ilvl="0">
      <w:lvlJc w:val="left"/>
      <w:lvlText w:val="(%1)"/>
      <w:numFmt w:val="decimal"/>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1)"/>
      <w:numFmt w:val="decimal"/>
      <w:start w:val="1"/>
    </w:lvl>
  </w:abstractNum>
  <w:abstractNum w:abstractNumId="24">
    <w:nsid w:val="488AC1A"/>
    <w:multiLevelType w:val="hybridMultilevel"/>
    <w:lvl w:ilvl="0">
      <w:lvlJc w:val="left"/>
      <w:lvlText w:val="(%1)"/>
      <w:numFmt w:val="decimal"/>
      <w:start w:val="1"/>
    </w:lvl>
  </w:abstractNum>
  <w:abstractNum w:abstractNumId="25">
    <w:nsid w:val="5FB8011C"/>
    <w:multiLevelType w:val="hybridMultilevel"/>
    <w:lvl w:ilvl="0">
      <w:lvlJc w:val="left"/>
      <w:lvlText w:val="(%1)"/>
      <w:numFmt w:val="decimal"/>
      <w:start w:val="4"/>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1)"/>
      <w:numFmt w:val="lowerRoman"/>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1)"/>
      <w:numFmt w:val="decimal"/>
      <w:start w:val="1"/>
    </w:lvl>
    <w:lvl w:ilvl="1">
      <w:lvlJc w:val="left"/>
      <w:lvlText w:val="•"/>
      <w:numFmt w:val="bullet"/>
      <w:start w:val="1"/>
    </w:lvl>
  </w:abstractNum>
  <w:abstractNum w:abstractNumId="38">
    <w:nsid w:val="71C91298"/>
    <w:multiLevelType w:val="hybridMultilevel"/>
    <w:lvl w:ilvl="0">
      <w:lvlJc w:val="left"/>
      <w:lvlText w:val="(%1)"/>
      <w:numFmt w:val="decimal"/>
      <w:start w:val="2"/>
    </w:lvl>
    <w:lvl w:ilvl="1">
      <w:lvlJc w:val="left"/>
      <w:lvlText w:val="•"/>
      <w:numFmt w:val="bullet"/>
      <w:start w:val="1"/>
    </w:lvl>
  </w:abstractNum>
  <w:abstractNum w:abstractNumId="39">
    <w:nsid w:val="9DAF632"/>
    <w:multiLevelType w:val="hybridMultilevel"/>
    <w:lvl w:ilvl="0">
      <w:lvlJc w:val="left"/>
      <w:lvlText w:val="(%1)"/>
      <w:numFmt w:val="decimal"/>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1)"/>
      <w:numFmt w:val="decimal"/>
      <w:start w:val="1"/>
    </w:lvl>
  </w:abstractNum>
  <w:abstractNum w:abstractNumId="43">
    <w:nsid w:val="1D545C4D"/>
    <w:multiLevelType w:val="hybridMultilevel"/>
    <w:lvl w:ilvl="0">
      <w:lvlJc w:val="left"/>
      <w:lvlText w:val="(%1)"/>
      <w:numFmt w:val="decimal"/>
      <w:start w:val="2"/>
    </w:lvl>
  </w:abstractNum>
  <w:abstractNum w:abstractNumId="44">
    <w:nsid w:val="59ADEA3D"/>
    <w:multiLevelType w:val="hybridMultilevel"/>
    <w:lvl w:ilvl="0">
      <w:lvlJc w:val="left"/>
      <w:lvlText w:val="(%1)"/>
      <w:numFmt w:val="decimal"/>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
      <w:numFmt w:val="bullet"/>
      <w:start w:val="1"/>
    </w:lvl>
  </w:abstractNum>
  <w:abstractNum w:abstractNumId="47">
    <w:nsid w:val="1D9F6E5F"/>
    <w:multiLevelType w:val="hybridMultilevel"/>
    <w:lvl w:ilvl="0">
      <w:lvlJc w:val="left"/>
      <w:lvlText w:val="(%1)"/>
      <w:numFmt w:val="decimal"/>
      <w:start w:val="1"/>
    </w:lvl>
  </w:abstractNum>
  <w:abstractNum w:abstractNumId="48">
    <w:nsid w:val="97E1B4E"/>
    <w:multiLevelType w:val="hybridMultilevel"/>
    <w:lvl w:ilvl="0">
      <w:lvlJc w:val="left"/>
      <w:lvlText w:val="%1."/>
      <w:numFmt w:val="decimal"/>
      <w:start w:val="1"/>
    </w:lvl>
  </w:abstractNum>
  <w:abstractNum w:abstractNumId="49">
    <w:nsid w:val="51088277"/>
    <w:multiLevelType w:val="hybridMultilevel"/>
    <w:lvl w:ilvl="0">
      <w:lvlJc w:val="left"/>
      <w:lvlText w:val="%1)"/>
      <w:numFmt w:val="lowerLetter"/>
      <w:start w:val="1"/>
    </w:lvl>
    <w:lvl w:ilvl="1">
      <w:lvlJc w:val="left"/>
      <w:lvlText w:val="%2)"/>
      <w:numFmt w:val="lowerRoman"/>
      <w:start w:val="1"/>
    </w:lvl>
  </w:abstractNum>
  <w:abstractNum w:abstractNumId="50">
    <w:nsid w:val="1CA0C5FA"/>
    <w:multiLevelType w:val="hybridMultilevel"/>
    <w:lvl w:ilvl="0">
      <w:lvlJc w:val="left"/>
      <w:lvlText w:val="(%1)"/>
      <w:numFmt w:val="lowerRoman"/>
      <w:start w:val="3"/>
    </w:lvl>
  </w:abstractNum>
  <w:abstractNum w:abstractNumId="51">
    <w:nsid w:val="53584BCB"/>
    <w:multiLevelType w:val="hybridMultilevel"/>
    <w:lvl w:ilvl="0">
      <w:lvlJc w:val="left"/>
      <w:lvlText w:val="%1)"/>
      <w:numFmt w:val="lowerLetter"/>
      <w:start w:val="2"/>
    </w:lvl>
  </w:abstractNum>
  <w:abstractNum w:abstractNumId="52">
    <w:nsid w:val="415E286C"/>
    <w:multiLevelType w:val="hybridMultilevel"/>
    <w:lvl w:ilvl="0">
      <w:lvlJc w:val="left"/>
      <w:lvlText w:val="%1)"/>
      <w:numFmt w:val="lowerLetter"/>
      <w:start w:val="3"/>
    </w:lvl>
  </w:abstractNum>
  <w:abstractNum w:abstractNumId="53">
    <w:nsid w:val="7C58FD05"/>
    <w:multiLevelType w:val="hybridMultilevel"/>
    <w:lvl w:ilvl="0">
      <w:lvlJc w:val="left"/>
      <w:lvlText w:val="%1)"/>
      <w:numFmt w:val="lowerLetter"/>
      <w:start w:val="5"/>
    </w:lvl>
  </w:abstractNum>
  <w:abstractNum w:abstractNumId="54">
    <w:nsid w:val="23D86AAC"/>
    <w:multiLevelType w:val="hybridMultilevel"/>
    <w:lvl w:ilvl="0">
      <w:lvlJc w:val="left"/>
      <w:lvlText w:val="%1)"/>
      <w:numFmt w:val="lowerLetter"/>
      <w:start w:val="6"/>
    </w:lvl>
  </w:abstractNum>
  <w:abstractNum w:abstractNumId="55">
    <w:nsid w:val="45E6D486"/>
    <w:multiLevelType w:val="hybridMultilevel"/>
    <w:lvl w:ilvl="0">
      <w:lvlJc w:val="left"/>
      <w:lvlText w:val="%1."/>
      <w:numFmt w:val="decimal"/>
      <w:start w:val="2"/>
    </w:lvl>
  </w:abstractNum>
  <w:abstractNum w:abstractNumId="56">
    <w:nsid w:val="5C10FE21"/>
    <w:multiLevelType w:val="hybridMultilevel"/>
    <w:lvl w:ilvl="0">
      <w:lvlJc w:val="left"/>
      <w:lvlText w:val="%1)"/>
      <w:numFmt w:val="lowerLetter"/>
      <w:start w:val="7"/>
    </w:lvl>
  </w:abstractNum>
  <w:abstractNum w:abstractNumId="57">
    <w:nsid w:val="E7FFA2B"/>
    <w:multiLevelType w:val="hybridMultilevel"/>
    <w:lvl w:ilvl="0">
      <w:lvlJc w:val="left"/>
      <w:lvlText w:val="%1)"/>
      <w:numFmt w:val="lowerLetter"/>
      <w:start w:val="10"/>
    </w:lvl>
  </w:abstractNum>
  <w:abstractNum w:abstractNumId="58">
    <w:nsid w:val="3C5991AA"/>
    <w:multiLevelType w:val="hybridMultilevel"/>
    <w:lvl w:ilvl="0">
      <w:lvlJc w:val="left"/>
      <w:lvlText w:val="%1)"/>
      <w:numFmt w:val="lowerLetter"/>
      <w:start w:val="1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1)"/>
      <w:numFmt w:val="lowerLetter"/>
      <w:start w:val="12"/>
    </w:lvl>
  </w:abstractNum>
  <w:abstractNum w:abstractNumId="61">
    <w:nsid w:val="39B7AAA2"/>
    <w:multiLevelType w:val="hybridMultilevel"/>
    <w:lvl w:ilvl="0">
      <w:lvlJc w:val="left"/>
      <w:lvlText w:val="(%1)"/>
      <w:numFmt w:val="decimal"/>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1"/>
      <w:numFmt w:val="bullet"/>
      <w:start w:val="1"/>
    </w:lvl>
  </w:abstractNum>
  <w:abstractNum w:abstractNumId="67">
    <w:nsid w:val="4C9B0904"/>
    <w:multiLevelType w:val="hybridMultilevel"/>
    <w:lvl w:ilvl="0">
      <w:lvlJc w:val="left"/>
      <w:lvlText w:val="1"/>
      <w:numFmt w:val="bullet"/>
      <w:start w:val="1"/>
    </w:lvl>
  </w:abstractNum>
  <w:abstractNum w:abstractNumId="68">
    <w:nsid w:val="6AA7B75C"/>
    <w:multiLevelType w:val="hybridMultilevel"/>
    <w:lvl w:ilvl="0">
      <w:lvlJc w:val="left"/>
      <w:lvlText w:val="(%1)"/>
      <w:numFmt w:val="decimal"/>
      <w:start w:val="1"/>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1)"/>
      <w:numFmt w:val="decimal"/>
      <w:start w:val="1"/>
    </w:lvl>
  </w:abstractNum>
  <w:abstractNum w:abstractNumId="71">
    <w:nsid w:val="3DD15094"/>
    <w:multiLevelType w:val="hybridMultilevel"/>
    <w:lvl w:ilvl="0">
      <w:lvlJc w:val="left"/>
      <w:lvlText w:val="(%1)"/>
      <w:numFmt w:val="decimal"/>
      <w:start w:val="4"/>
    </w:lvl>
  </w:abstractNum>
  <w:abstractNum w:abstractNumId="72">
    <w:nsid w:val="3DB012B3"/>
    <w:multiLevelType w:val="hybridMultilevel"/>
    <w:lvl w:ilvl="0">
      <w:lvlJc w:val="left"/>
      <w:lvlText w:val="(%1)"/>
      <w:numFmt w:val="decimal"/>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1)"/>
      <w:numFmt w:val="decimal"/>
      <w:start w:val="1"/>
    </w:lvl>
  </w:abstractNum>
  <w:abstractNum w:abstractNumId="75">
    <w:nsid w:val="175DFCF0"/>
    <w:multiLevelType w:val="hybridMultilevel"/>
    <w:lvl w:ilvl="0">
      <w:lvlJc w:val="left"/>
      <w:lvlText w:val="(%1)"/>
      <w:numFmt w:val="decimal"/>
      <w:start w:val="2"/>
    </w:lvl>
  </w:abstractNum>
  <w:abstractNum w:abstractNumId="76">
    <w:nsid w:val="4F97E3E4"/>
    <w:multiLevelType w:val="hybridMultilevel"/>
    <w:lvl w:ilvl="0">
      <w:lvlJc w:val="left"/>
      <w:lvlText w:val="(%1)"/>
      <w:numFmt w:val="lowerRoman"/>
      <w:start w:val="2"/>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
      <w:numFmt w:val="bullet"/>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
      <w:numFmt w:val="bullet"/>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
      <w:numFmt w:val="bullet"/>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
      <w:numFmt w:val="bullet"/>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1)"/>
      <w:numFmt w:val="decimal"/>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
      <w:numFmt w:val="bullet"/>
      <w:start w:val="1"/>
    </w:lvl>
  </w:abstractNum>
  <w:abstractNum w:abstractNumId="103">
    <w:nsid w:val="4BEE5A5B"/>
    <w:multiLevelType w:val="hybridMultilevel"/>
    <w:lvl w:ilvl="0">
      <w:lvlJc w:val="left"/>
      <w:lvlText w:val="•"/>
      <w:numFmt w:val="bullet"/>
      <w:start w:val="1"/>
    </w:lvl>
  </w:abstractNum>
  <w:abstractNum w:abstractNumId="104">
    <w:nsid w:val="5551B9F3"/>
    <w:multiLevelType w:val="hybridMultilevel"/>
    <w:lvl w:ilvl="0">
      <w:lvlJc w:val="left"/>
      <w:lvlText w:val="(%1)"/>
      <w:numFmt w:val="decimal"/>
      <w:start w:val="1"/>
    </w:lvl>
  </w:abstractNum>
  <w:abstractNum w:abstractNumId="105">
    <w:nsid w:val="24F6AB8E"/>
    <w:multiLevelType w:val="hybridMultilevel"/>
    <w:lvl w:ilvl="0">
      <w:lvlJc w:val="left"/>
      <w:lvlText w:val="(%1)"/>
      <w:numFmt w:val="decimal"/>
      <w:start w:val="1"/>
    </w:lvl>
  </w:abstractNum>
  <w:abstractNum w:abstractNumId="106">
    <w:nsid w:val="634C574C"/>
    <w:multiLevelType w:val="hybridMultilevel"/>
    <w:lvl w:ilvl="0">
      <w:lvlJc w:val="left"/>
      <w:lvlText w:val="(%1)"/>
      <w:numFmt w:val="decimal"/>
      <w:start w:val="1"/>
    </w:lvl>
  </w:abstractNum>
  <w:abstractNum w:abstractNumId="107">
    <w:nsid w:val="24E99DD7"/>
    <w:multiLevelType w:val="hybridMultilevel"/>
    <w:lvl w:ilvl="0">
      <w:lvlJc w:val="left"/>
      <w:lvlText w:val="(%1)"/>
      <w:numFmt w:val="decimal"/>
      <w:start w:val="1"/>
    </w:lvl>
  </w:abstractNum>
  <w:abstractNum w:abstractNumId="108">
    <w:nsid w:val="2A31B62D"/>
    <w:multiLevelType w:val="hybridMultilevel"/>
    <w:lvl w:ilvl="0">
      <w:lvlJc w:val="left"/>
      <w:lvlText w:val="(%1)"/>
      <w:numFmt w:val="decimal"/>
      <w:start w:val="1"/>
    </w:lvl>
  </w:abstractNum>
  <w:abstractNum w:abstractNumId="109">
    <w:nsid w:val="1849C29B"/>
    <w:multiLevelType w:val="hybridMultilevel"/>
    <w:lvl w:ilvl="0">
      <w:lvlJc w:val="left"/>
      <w:lvlText w:val="(%1)"/>
      <w:numFmt w:val="decimal"/>
      <w:start w:val="1"/>
    </w:lvl>
  </w:abstractNum>
  <w:abstractNum w:abstractNumId="110">
    <w:nsid w:val="7DFF9D09"/>
    <w:multiLevelType w:val="hybridMultilevel"/>
    <w:lvl w:ilvl="0">
      <w:lvlJc w:val="left"/>
      <w:lvlText w:val="(%1)"/>
      <w:numFmt w:val="decimal"/>
      <w:start w:val="1"/>
    </w:lvl>
  </w:abstractNum>
  <w:abstractNum w:abstractNumId="111">
    <w:nsid w:val="754342"/>
    <w:multiLevelType w:val="hybridMultilevel"/>
    <w:lvl w:ilvl="0">
      <w:lvlJc w:val="left"/>
      <w:lvlText w:val="(%1)"/>
      <w:numFmt w:val="decimal"/>
      <w:start w:val="1"/>
    </w:lvl>
  </w:abstractNum>
  <w:abstractNum w:abstractNumId="112">
    <w:nsid w:val="69E7F3E5"/>
    <w:multiLevelType w:val="hybridMultilevel"/>
    <w:lvl w:ilvl="0">
      <w:lvlJc w:val="left"/>
      <w:lvlText w:val="(%1)"/>
      <w:numFmt w:val="lowerRoman"/>
      <w:start w:val="1"/>
    </w:lvl>
  </w:abstractNum>
  <w:abstractNum w:abstractNumId="113">
    <w:nsid w:val="2A6DE806"/>
    <w:multiLevelType w:val="hybridMultilevel"/>
    <w:lvl w:ilvl="0">
      <w:lvlJc w:val="left"/>
      <w:lvlText w:val="(%1)"/>
      <w:numFmt w:val="decimal"/>
      <w:start w:val="1"/>
    </w:lvl>
  </w:abstractNum>
  <w:abstractNum w:abstractNumId="114">
    <w:nsid w:val="1816F8C4"/>
    <w:multiLevelType w:val="hybridMultilevel"/>
    <w:lvl w:ilvl="0">
      <w:lvlJc w:val="left"/>
      <w:lvlText w:val="(%1)"/>
      <w:numFmt w:val="decimal"/>
      <w:start w:val="2"/>
    </w:lvl>
  </w:abstractNum>
  <w:abstractNum w:abstractNumId="115">
    <w:nsid w:val="37DF2233"/>
    <w:multiLevelType w:val="hybridMultilevel"/>
    <w:lvl w:ilvl="0">
      <w:lvlJc w:val="left"/>
      <w:lvlText w:val="(%1)"/>
      <w:numFmt w:val="decimal"/>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1)"/>
      <w:numFmt w:val="decimal"/>
      <w:start w:val="1"/>
    </w:lvl>
  </w:abstractNum>
  <w:abstractNum w:abstractNumId="119">
    <w:nsid w:val="597B4D84"/>
    <w:multiLevelType w:val="hybridMultilevel"/>
    <w:lvl w:ilvl="0">
      <w:lvlJc w:val="left"/>
      <w:lvlText w:val="(%1)"/>
      <w:numFmt w:val="decimal"/>
      <w:start w:val="2"/>
    </w:lvl>
  </w:abstractNum>
  <w:abstractNum w:abstractNumId="120">
    <w:nsid w:val="F819E7F"/>
    <w:multiLevelType w:val="hybridMultilevel"/>
    <w:lvl w:ilvl="0">
      <w:lvlJc w:val="left"/>
      <w:lvlText w:val="(%1)"/>
      <w:numFmt w:val="decimal"/>
      <w:start w:val="1"/>
    </w:lvl>
  </w:abstractNum>
  <w:abstractNum w:abstractNumId="121">
    <w:nsid w:val="57C7D42D"/>
    <w:multiLevelType w:val="hybridMultilevel"/>
    <w:lvl w:ilvl="0">
      <w:lvlJc w:val="left"/>
      <w:lvlText w:val="(%1)"/>
      <w:numFmt w:val="lowerRoman"/>
      <w:start w:val="3"/>
    </w:lvl>
  </w:abstractNum>
  <w:abstractNum w:abstractNumId="122">
    <w:nsid w:val="312167AD"/>
    <w:multiLevelType w:val="hybridMultilevel"/>
    <w:lvl w:ilvl="0">
      <w:lvlJc w:val="left"/>
      <w:lvlText w:val="(%1)"/>
      <w:numFmt w:val="decimal"/>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1)"/>
      <w:numFmt w:val="decimal"/>
      <w:start w:val="1"/>
    </w:lvl>
  </w:abstractNum>
  <w:abstractNum w:abstractNumId="125">
    <w:nsid w:val="75486E47"/>
    <w:multiLevelType w:val="hybridMultilevel"/>
    <w:lvl w:ilvl="0">
      <w:lvlJc w:val="left"/>
      <w:lvlText w:val="(%1)"/>
      <w:numFmt w:val="lowerRoman"/>
      <w:start w:val="3"/>
    </w:lvl>
  </w:abstractNum>
  <w:abstractNum w:abstractNumId="126">
    <w:nsid w:val="6E534CDE"/>
    <w:multiLevelType w:val="hybridMultilevel"/>
    <w:lvl w:ilvl="0">
      <w:lvlJc w:val="left"/>
      <w:lvlText w:val="(%1)"/>
      <w:numFmt w:val="lowerRoman"/>
      <w:start w:val="6"/>
    </w:lvl>
  </w:abstractNum>
  <w:abstractNum w:abstractNumId="127">
    <w:nsid w:val="1A0DDE32"/>
    <w:multiLevelType w:val="hybridMultilevel"/>
    <w:lvl w:ilvl="0">
      <w:lvlJc w:val="left"/>
      <w:lvlText w:val="(%1)"/>
      <w:numFmt w:val="lowerRoman"/>
      <w:start w:val="9"/>
    </w:lvl>
  </w:abstractNum>
  <w:abstractNum w:abstractNumId="128">
    <w:nsid w:val="65968C1C"/>
    <w:multiLevelType w:val="hybridMultilevel"/>
    <w:lvl w:ilvl="0">
      <w:lvlJc w:val="left"/>
      <w:lvlText w:val="(%1)"/>
      <w:numFmt w:val="lowerRoman"/>
      <w:start w:val="10"/>
    </w:lvl>
  </w:abstractNum>
  <w:abstractNum w:abstractNumId="129">
    <w:nsid w:val="46263DEC"/>
    <w:multiLevelType w:val="hybridMultilevel"/>
    <w:lvl w:ilvl="0">
      <w:lvlJc w:val="left"/>
      <w:lvlText w:val="(%1)"/>
      <w:numFmt w:val="lowerRoman"/>
      <w:start w:val="15"/>
    </w:lvl>
  </w:abstractNum>
  <w:abstractNum w:abstractNumId="130">
    <w:nsid w:val="260D8C4A"/>
    <w:multiLevelType w:val="hybridMultilevel"/>
    <w:lvl w:ilvl="0">
      <w:lvlJc w:val="left"/>
      <w:lvlText w:val="(%1)"/>
      <w:numFmt w:val="lowerRoman"/>
      <w:start w:val="19"/>
    </w:lvl>
  </w:abstractNum>
  <w:abstractNum w:abstractNumId="131">
    <w:nsid w:val="73D4D3C4"/>
    <w:multiLevelType w:val="hybridMultilevel"/>
    <w:lvl w:ilvl="0">
      <w:lvlJc w:val="left"/>
      <w:lvlText w:val="(%1)"/>
      <w:numFmt w:val="lowerRoman"/>
      <w:start w:val="2"/>
    </w:lvl>
  </w:abstractNum>
  <w:abstractNum w:abstractNumId="132">
    <w:nsid w:val="746F2E30"/>
    <w:multiLevelType w:val="hybridMultilevel"/>
    <w:lvl w:ilvl="0">
      <w:lvlJc w:val="left"/>
      <w:lvlText w:val="•"/>
      <w:numFmt w:val="bullet"/>
      <w:start w:val="1"/>
    </w:lvl>
  </w:abstractNum>
  <w:abstractNum w:abstractNumId="133">
    <w:nsid w:val="6FDE8AF6"/>
    <w:multiLevelType w:val="hybridMultilevel"/>
    <w:lvl w:ilvl="0">
      <w:lvlJc w:val="left"/>
      <w:lvlText w:val="•"/>
      <w:numFmt w:val="bullet"/>
      <w:start w:val="1"/>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
      <w:numFmt w:val="bullet"/>
      <w:start w:val="1"/>
    </w:lvl>
  </w:abstractNum>
  <w:abstractNum w:abstractNumId="136">
    <w:nsid w:val="14D53685"/>
    <w:multiLevelType w:val="hybridMultilevel"/>
    <w:lvl w:ilvl="0">
      <w:lvlJc w:val="left"/>
      <w:lvlText w:val="•"/>
      <w:numFmt w:val="bullet"/>
      <w:start w:val="1"/>
    </w:lvl>
  </w:abstractNum>
  <w:abstractNum w:abstractNumId="137">
    <w:nsid w:val="230F856C"/>
    <w:multiLevelType w:val="hybridMultilevel"/>
    <w:lvl w:ilvl="0">
      <w:lvlJc w:val="left"/>
      <w:lvlText w:val="*"/>
      <w:numFmt w:val="bullet"/>
      <w:start w:val="1"/>
    </w:lvl>
  </w:abstractNum>
  <w:abstractNum w:abstractNumId="138">
    <w:nsid w:val="6EAA85FB"/>
    <w:multiLevelType w:val="hybridMultilevel"/>
    <w:lvl w:ilvl="0">
      <w:lvlJc w:val="left"/>
      <w:lvlText w:val="(%1)"/>
      <w:numFmt w:val="decimal"/>
      <w:start w:val="1"/>
    </w:lvl>
  </w:abstractNum>
  <w:abstractNum w:abstractNumId="139">
    <w:nsid w:val="3F06ECB2"/>
    <w:multiLevelType w:val="hybridMultilevel"/>
    <w:lvl w:ilvl="0">
      <w:lvlJc w:val="left"/>
      <w:lvlText w:val="(%1)"/>
      <w:numFmt w:val="decimal"/>
      <w:start w:val="4"/>
    </w:lvl>
  </w:abstractNum>
  <w:abstractNum w:abstractNumId="140">
    <w:nsid w:val="3B594807"/>
    <w:multiLevelType w:val="hybridMultilevel"/>
    <w:lvl w:ilvl="0">
      <w:lvlJc w:val="left"/>
      <w:lvlText w:val="(%1)"/>
      <w:numFmt w:val="decimal"/>
      <w:start w:val="6"/>
    </w:lvl>
  </w:abstractNum>
  <w:abstractNum w:abstractNumId="141">
    <w:nsid w:val="6CAA2304"/>
    <w:multiLevelType w:val="hybridMultilevel"/>
    <w:lvl w:ilvl="0">
      <w:lvlJc w:val="left"/>
      <w:lvlText w:val="(%1)"/>
      <w:numFmt w:val="lowerLetter"/>
      <w:start w:val="3"/>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
      <w:numFmt w:val="bullet"/>
      <w:start w:val="1"/>
    </w:lvl>
  </w:abstractNum>
  <w:abstractNum w:abstractNumId="144">
    <w:nsid w:val="17180B0B"/>
    <w:multiLevelType w:val="hybridMultilevel"/>
    <w:lvl w:ilvl="0">
      <w:lvlJc w:val="left"/>
      <w:lvlText w:val="•"/>
      <w:numFmt w:val="bullet"/>
      <w:start w:val="1"/>
    </w:lvl>
  </w:abstractNum>
  <w:abstractNum w:abstractNumId="145">
    <w:nsid w:val="579328B9"/>
    <w:multiLevelType w:val="hybridMultilevel"/>
    <w:lvl w:ilvl="0">
      <w:lvlJc w:val="left"/>
      <w:lvlText w:val="•"/>
      <w:numFmt w:val="bullet"/>
      <w:start w:val="1"/>
    </w:lvl>
  </w:abstractNum>
  <w:abstractNum w:abstractNumId="146">
    <w:nsid w:val="5D205E20"/>
    <w:multiLevelType w:val="hybridMultilevel"/>
    <w:lvl w:ilvl="0">
      <w:lvlJc w:val="left"/>
      <w:lvlText w:val="•"/>
      <w:numFmt w:val="bullet"/>
      <w:start w:val="1"/>
    </w:lvl>
  </w:abstractNum>
  <w:abstractNum w:abstractNumId="147">
    <w:nsid w:val="11CCA8BA"/>
    <w:multiLevelType w:val="hybridMultilevel"/>
    <w:lvl w:ilvl="0">
      <w:lvlJc w:val="left"/>
      <w:lvlText w:val="•"/>
      <w:numFmt w:val="bullet"/>
      <w:start w:val="1"/>
    </w:lvl>
  </w:abstractNum>
  <w:abstractNum w:abstractNumId="148">
    <w:nsid w:val="4D32AB86"/>
    <w:multiLevelType w:val="hybridMultilevel"/>
    <w:lvl w:ilvl="0">
      <w:lvlJc w:val="left"/>
      <w:lvlText w:val="•"/>
      <w:numFmt w:val="bullet"/>
      <w:start w:val="1"/>
    </w:lvl>
  </w:abstractNum>
  <w:abstractNum w:abstractNumId="149">
    <w:nsid w:val="3F07ACC3"/>
    <w:multiLevelType w:val="hybridMultilevel"/>
    <w:lvl w:ilvl="0">
      <w:lvlJc w:val="left"/>
      <w:lvlText w:val="•"/>
      <w:numFmt w:val="bullet"/>
      <w:start w:val="1"/>
    </w:lvl>
  </w:abstractNum>
  <w:abstractNum w:abstractNumId="150">
    <w:nsid w:val="6B47F63E"/>
    <w:multiLevelType w:val="hybridMultilevel"/>
    <w:lvl w:ilvl="0">
      <w:lvlJc w:val="left"/>
      <w:lvlText w:val="•"/>
      <w:numFmt w:val="bullet"/>
      <w:start w:val="1"/>
    </w:lvl>
  </w:abstractNum>
  <w:abstractNum w:abstractNumId="151">
    <w:nsid w:val="5CB44A05"/>
    <w:multiLevelType w:val="hybridMultilevel"/>
    <w:lvl w:ilvl="0">
      <w:lvlJc w:val="left"/>
      <w:lvlText w:val="(%1)"/>
      <w:numFmt w:val="lowerRoman"/>
      <w:start w:val="1"/>
    </w:lvl>
  </w:abstractNum>
  <w:abstractNum w:abstractNumId="152">
    <w:nsid w:val="16CF80F1"/>
    <w:multiLevelType w:val="hybridMultilevel"/>
    <w:lvl w:ilvl="0">
      <w:lvlJc w:val="left"/>
      <w:lvlText w:val="•"/>
      <w:numFmt w:val="bullet"/>
      <w:start w:val="1"/>
    </w:lvl>
  </w:abstractNum>
  <w:abstractNum w:abstractNumId="153">
    <w:nsid w:val="1C695DEC"/>
    <w:multiLevelType w:val="hybridMultilevel"/>
    <w:lvl w:ilvl="0">
      <w:lvlJc w:val="left"/>
      <w:lvlText w:val="•"/>
      <w:numFmt w:val="bullet"/>
      <w:start w:val="1"/>
    </w:lvl>
  </w:abstractNum>
  <w:abstractNum w:abstractNumId="154">
    <w:nsid w:val="3FCFAED9"/>
    <w:multiLevelType w:val="hybridMultilevel"/>
    <w:lvl w:ilvl="0">
      <w:lvlJc w:val="left"/>
      <w:lvlText w:val="(%1)"/>
      <w:numFmt w:val="lowerLetter"/>
      <w:start w:val="1"/>
    </w:lvl>
  </w:abstractNum>
  <w:abstractNum w:abstractNumId="155">
    <w:nsid w:val="F856867"/>
    <w:multiLevelType w:val="hybridMultilevel"/>
    <w:lvl w:ilvl="0">
      <w:lvlJc w:val="left"/>
      <w:lvlText w:val="(%1)"/>
      <w:numFmt w:val="lowerLetter"/>
      <w:start w:val="1"/>
    </w:lvl>
  </w:abstractNum>
  <w:abstractNum w:abstractNumId="156">
    <w:nsid w:val="11B1CC33"/>
    <w:multiLevelType w:val="hybridMultilevel"/>
    <w:lvl w:ilvl="0">
      <w:lvlJc w:val="left"/>
      <w:lvlText w:val="(%1)"/>
      <w:numFmt w:val="lowerRoman"/>
      <w:start w:val="3"/>
    </w:lvl>
  </w:abstractNum>
  <w:abstractNum w:abstractNumId="157">
    <w:nsid w:val="2E22FBB7"/>
    <w:multiLevelType w:val="hybridMultilevel"/>
    <w:lvl w:ilvl="0">
      <w:lvlJc w:val="left"/>
      <w:lvlText w:val="(%1)"/>
      <w:numFmt w:val="lowerLetter"/>
      <w:start w:val="1"/>
    </w:lvl>
  </w:abstractNum>
  <w:abstractNum w:abstractNumId="158">
    <w:nsid w:val="29934699"/>
    <w:multiLevelType w:val="hybridMultilevel"/>
    <w:lvl w:ilvl="0">
      <w:lvlJc w:val="left"/>
      <w:lvlText w:val="(%1)"/>
      <w:numFmt w:val="lowerLetter"/>
      <w:start w:val="1"/>
    </w:lvl>
  </w:abstractNum>
  <w:abstractNum w:abstractNumId="159">
    <w:nsid w:val="77485850"/>
    <w:multiLevelType w:val="hybridMultilevel"/>
    <w:lvl w:ilvl="0">
      <w:lvlJc w:val="left"/>
      <w:lvlText w:val="(%1)"/>
      <w:numFmt w:val="decimal"/>
      <w:start w:val="2"/>
    </w:lvl>
  </w:abstractNum>
  <w:abstractNum w:abstractNumId="160">
    <w:nsid w:val="744939A3"/>
    <w:multiLevelType w:val="hybridMultilevel"/>
    <w:lvl w:ilvl="0">
      <w:lvlJc w:val="left"/>
      <w:lvlText w:val="%1)"/>
      <w:numFmt w:val="decimal"/>
      <w:start w:val="2"/>
    </w:lvl>
  </w:abstractNum>
  <w:abstractNum w:abstractNumId="161">
    <w:nsid w:val="4FA0D2E3"/>
    <w:multiLevelType w:val="hybridMultilevel"/>
    <w:lvl w:ilvl="0">
      <w:lvlJc w:val="left"/>
      <w:lvlText w:val="(%1)"/>
      <w:numFmt w:val="decimal"/>
      <w:start w:val="1"/>
    </w:lvl>
  </w:abstractNum>
  <w:abstractNum w:abstractNumId="162">
    <w:nsid w:val="6B1D2C14"/>
    <w:multiLevelType w:val="hybridMultilevel"/>
    <w:lvl w:ilvl="0">
      <w:lvlJc w:val="left"/>
      <w:lvlText w:val="•"/>
      <w:numFmt w:val="bullet"/>
      <w:start w:val="1"/>
    </w:lvl>
  </w:abstractNum>
  <w:abstractNum w:abstractNumId="163">
    <w:nsid w:val="68B867D3"/>
    <w:multiLevelType w:val="hybridMultilevel"/>
    <w:lvl w:ilvl="0">
      <w:lvlJc w:val="left"/>
      <w:lvlText w:val="(%1)"/>
      <w:numFmt w:val="lowerLetter"/>
      <w:start w:val="1"/>
    </w:lvl>
  </w:abstractNum>
  <w:abstractNum w:abstractNumId="164">
    <w:nsid w:val="3F7F5DD9"/>
    <w:multiLevelType w:val="hybridMultilevel"/>
    <w:lvl w:ilvl="0">
      <w:lvlJc w:val="left"/>
      <w:lvlText w:val="(%1)"/>
      <w:numFmt w:val="lowerLetter"/>
      <w:start w:val="1"/>
    </w:lvl>
  </w:abstractNum>
  <w:abstractNum w:abstractNumId="165">
    <w:nsid w:val="2AE05A34"/>
    <w:multiLevelType w:val="hybridMultilevel"/>
    <w:lvl w:ilvl="0">
      <w:lvlJc w:val="left"/>
      <w:lvlText w:val="(%1)"/>
      <w:numFmt w:val="lowerLetter"/>
      <w:start w:val="1"/>
    </w:lvl>
  </w:abstractNum>
  <w:abstractNum w:abstractNumId="166">
    <w:nsid w:val="32794FF7"/>
    <w:multiLevelType w:val="hybridMultilevel"/>
    <w:lvl w:ilvl="0">
      <w:lvlJc w:val="left"/>
      <w:lvlText w:val="(%1)"/>
      <w:numFmt w:val="lowerLetter"/>
      <w:start w:val="1"/>
    </w:lvl>
  </w:abstractNum>
  <w:abstractNum w:abstractNumId="167">
    <w:nsid w:val="5454945E"/>
    <w:multiLevelType w:val="hybridMultilevel"/>
    <w:lvl w:ilvl="0">
      <w:lvlJc w:val="left"/>
      <w:lvlText w:val="(%1)"/>
      <w:numFmt w:val="decimal"/>
      <w:start w:val="1"/>
    </w:lvl>
    <w:lvl w:ilvl="1">
      <w:lvlJc w:val="left"/>
      <w:lvlText w:val="(%2)"/>
      <w:numFmt w:val="upperLetter"/>
      <w:start w:val="1"/>
    </w:lvl>
  </w:abstractNum>
  <w:abstractNum w:abstractNumId="168">
    <w:nsid w:val="4DEFDFA0"/>
    <w:multiLevelType w:val="hybridMultilevel"/>
    <w:lvl w:ilvl="0">
      <w:lvlJc w:val="left"/>
      <w:lvlText w:val="(%1)"/>
      <w:numFmt w:val="upperLetter"/>
      <w:start w:val="4"/>
    </w:lvl>
    <w:lvl w:ilvl="1">
      <w:lvlJc w:val="left"/>
      <w:lvlText w:val="(%2)"/>
      <w:numFmt w:val="lowerRoman"/>
      <w:start w:val="1"/>
    </w:lvl>
  </w:abstractNum>
  <w:abstractNum w:abstractNumId="169">
    <w:nsid w:val="2123D5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2025-11-01T12:00:04Z</dcterms:created>
  <dcterms:modified xsi:type="dcterms:W3CDTF">2025-11-01T12:00:04Z</dcterms:modified>
</cp:coreProperties>
</file>