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64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HEALY PATRICK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HELLMAN &amp; FRIEDMAN LLC 415 MISSION STREET, SUITE 5700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SAN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CA 94105 FRANCISCO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Medline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MDLN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507,844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1,208,159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69,666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39,189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distribution in kind of shares of the Class A common stock of Medline Inc. ("Class A Common Stock") previously held directly by Hellman &amp; Friedman Capital Partners X (Parallel), L.P., HFCP X (Parallel - A), L.P., and Mend Investment Holdings I, L.P. in relation to the Reporting Person's and a family trust's respective indirect interests in such distributing entities.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beneficially owned indirectly by the Reporting Person through a trust for the benefit of certain of the Reporting Person's family members. The Reporting Person disclaims beneficial ownership of the shares of Class A Common Stock held by the trust, except to the extent of his pecuniary interest therein.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beneficially owned indirectly by the Reporting Person through a trust for the benefit of certain of the Reporting Person's family members. The Reporting Person disclaims beneficial ownership of the shares of Class A Common Stock held by the trust, except to the extent of his pecuniary interest therein.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Patrick J. Healy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2911" TargetMode="External"/><Relationship Id="rId14" Type="http://schemas.openxmlformats.org/officeDocument/2006/relationships/hyperlink" Target="http://www.sec.gov/cgi-bin/browse-edgar?action=getcompany&amp;CIK=00020463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2026-03-12T19:05:21Z</dcterms:created>
  <dcterms:modified xsi:type="dcterms:W3CDTF">2026-03-12T19:05:21Z</dcterms:modified>
</cp:coreProperties>
</file>