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Carlyle Group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Medline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03/10/2026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2"/>
            <w:vMerge w:val="continue"/>
          </w:tcPr>
          <w:p>
            <w:pPr>
              <w:spacing w:after="0"/>
              <w:rPr>
                <w:sz w:val="9"/>
                <w:szCs w:val="9"/>
                <w:color w:val="auto"/>
              </w:rPr>
            </w:pPr>
          </w:p>
        </w:tc>
        <w:tc>
          <w:tcPr>
            <w:tcW w:w="33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0000FF"/>
              </w:rPr>
              <w:t>WASHINGTON, DC</w:t>
            </w:r>
          </w:p>
        </w:tc>
        <w:tc>
          <w:tcPr>
            <w:tcW w:w="13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0000FF"/>
              </w:rPr>
              <w:t>20004-2505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1"/>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3"/>
          </w:tcPr>
          <w:p>
            <w:pPr>
              <w:ind w:left="30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w w:val="97"/>
              </w:rPr>
              <w:t>(Instr. 3 and 4)</w:t>
            </w:r>
          </w:p>
        </w:tc>
        <w:tc>
          <w:tcPr>
            <w:tcW w:w="6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03/10/2026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Pr>
          <w:p>
            <w:pPr>
              <w:spacing w:after="0"/>
              <w:rPr>
                <w:sz w:val="21"/>
                <w:szCs w:val="21"/>
                <w:color w:val="auto"/>
              </w:rPr>
            </w:pPr>
          </w:p>
        </w:tc>
        <w:tc>
          <w:tcPr>
            <w:tcW w:w="1080" w:type="dxa"/>
            <w:vAlign w:val="bottom"/>
            <w:vMerge w:val="restart"/>
          </w:tcPr>
          <w:p>
            <w:pPr>
              <w:jc w:val="center"/>
              <w:ind w:right="31"/>
              <w:spacing w:after="0"/>
              <w:rPr>
                <w:sz w:val="20"/>
                <w:szCs w:val="20"/>
                <w:color w:val="auto"/>
              </w:rPr>
            </w:pPr>
            <w:r>
              <w:rPr>
                <w:rFonts w:ascii="Times New Roman" w:cs="Times New Roman" w:eastAsia="Times New Roman" w:hAnsi="Times New Roman"/>
                <w:sz w:val="17"/>
                <w:szCs w:val="17"/>
                <w:color w:val="0000FF"/>
              </w:rPr>
              <w:t>26,105,840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w:t>
            </w:r>
          </w:p>
        </w:tc>
        <w:tc>
          <w:tcPr>
            <w:tcW w:w="80" w:type="dxa"/>
            <w:vAlign w:val="bottom"/>
          </w:tcPr>
          <w:p>
            <w:pPr>
              <w:spacing w:after="0"/>
              <w:rPr>
                <w:sz w:val="21"/>
                <w:szCs w:val="21"/>
                <w:color w:val="auto"/>
              </w:rPr>
            </w:pPr>
          </w:p>
        </w:tc>
        <w:tc>
          <w:tcPr>
            <w:tcW w:w="15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127,567,724</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ind w:left="400"/>
              <w:spacing w:after="0"/>
              <w:rPr>
                <w:sz w:val="20"/>
                <w:szCs w:val="20"/>
                <w:color w:val="auto"/>
              </w:rPr>
            </w:pPr>
            <w:r>
              <w:rPr>
                <w:rFonts w:ascii="Times New Roman" w:cs="Times New Roman" w:eastAsia="Times New Roman" w:hAnsi="Times New Roman"/>
                <w:sz w:val="17"/>
                <w:szCs w:val="17"/>
                <w:color w:val="0000FF"/>
              </w:rPr>
              <w:t>03/10/2026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78"/>
              </w:rPr>
              <w:t>J</w:t>
            </w:r>
          </w:p>
        </w:tc>
        <w:tc>
          <w:tcPr>
            <w:tcW w:w="38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vMerge w:val="restart"/>
          </w:tcPr>
          <w:p>
            <w:pPr>
              <w:jc w:val="center"/>
              <w:ind w:right="71"/>
              <w:spacing w:after="0"/>
              <w:rPr>
                <w:sz w:val="20"/>
                <w:szCs w:val="20"/>
                <w:color w:val="auto"/>
              </w:rPr>
            </w:pPr>
            <w:r>
              <w:rPr>
                <w:rFonts w:ascii="Times New Roman" w:cs="Times New Roman" w:eastAsia="Times New Roman" w:hAnsi="Times New Roman"/>
                <w:sz w:val="17"/>
                <w:szCs w:val="17"/>
                <w:color w:val="0000FF"/>
              </w:rPr>
              <w:t>2,113,483</w:t>
            </w:r>
            <w:r>
              <w:rPr>
                <w:rFonts w:ascii="Times New Roman" w:cs="Times New Roman" w:eastAsia="Times New Roman" w:hAnsi="Times New Roman"/>
                <w:sz w:val="22"/>
                <w:szCs w:val="22"/>
                <w:color w:val="008000"/>
                <w:vertAlign w:val="superscript"/>
              </w:rPr>
              <w:t>(5)</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Borders>
              <w:top w:val="single" w:sz="8" w:color="2C2C2C"/>
            </w:tcBorders>
            <w:vMerge w:val="restart"/>
          </w:tcPr>
          <w:p>
            <w:pPr>
              <w:jc w:val="right"/>
              <w:ind w:right="37"/>
              <w:spacing w:after="0"/>
              <w:rPr>
                <w:sz w:val="20"/>
                <w:szCs w:val="20"/>
                <w:color w:val="auto"/>
              </w:rPr>
            </w:pPr>
            <w:r>
              <w:rPr>
                <w:rFonts w:ascii="Times New Roman" w:cs="Times New Roman" w:eastAsia="Times New Roman" w:hAnsi="Times New Roman"/>
                <w:sz w:val="11"/>
                <w:szCs w:val="11"/>
                <w:color w:val="008000"/>
              </w:rPr>
              <w:t>(5)</w:t>
            </w:r>
          </w:p>
        </w:tc>
        <w:tc>
          <w:tcPr>
            <w:tcW w:w="80" w:type="dxa"/>
            <w:vAlign w:val="bottom"/>
            <w:tcBorders>
              <w:top w:val="single" w:sz="8" w:color="2C2C2C"/>
            </w:tcBorders>
          </w:tcPr>
          <w:p>
            <w:pPr>
              <w:spacing w:after="0"/>
              <w:rPr>
                <w:sz w:val="21"/>
                <w:szCs w:val="21"/>
                <w:color w:val="auto"/>
              </w:rPr>
            </w:pPr>
          </w:p>
        </w:tc>
        <w:tc>
          <w:tcPr>
            <w:tcW w:w="1560" w:type="dxa"/>
            <w:vAlign w:val="bottom"/>
            <w:tcBorders>
              <w:top w:val="single" w:sz="8" w:color="2C2C2C"/>
            </w:tcBorders>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125,454,241</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8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4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5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4"/>
                <w:szCs w:val="14"/>
                <w:color w:val="auto"/>
              </w:rPr>
            </w:pPr>
          </w:p>
        </w:tc>
        <w:tc>
          <w:tcPr>
            <w:tcW w:w="340" w:type="dxa"/>
            <w:vAlign w:val="bottom"/>
          </w:tcPr>
          <w:p>
            <w:pPr>
              <w:jc w:val="center"/>
              <w:ind w:right="16"/>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Carlyle Group Inc.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DC</w:t>
            </w: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20004-2505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Carlyle Holdings I GP Inc.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CARLYLE GROUP INC.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WASHINGTON,</w:t>
        <w:tab/>
        <w:t>DC</w:t>
      </w:r>
      <w:r>
        <w:rPr>
          <w:sz w:val="20"/>
          <w:szCs w:val="20"/>
          <w:color w:val="auto"/>
        </w:rPr>
        <w:tab/>
      </w:r>
      <w:r>
        <w:rPr>
          <w:rFonts w:ascii="Times New Roman" w:cs="Times New Roman" w:eastAsia="Times New Roman" w:hAnsi="Times New Roman"/>
          <w:sz w:val="17"/>
          <w:szCs w:val="17"/>
          <w:color w:val="0000FF"/>
        </w:rPr>
        <w:t>20004-2505</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Carlyle Holdings I GP Sub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DC</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Carlyle Holdings I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DC</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CG Subsidiary Holdings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DC</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TC Group, LLC</w:t>
              </w:r>
            </w:hyperlink>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CARLYLE GROUP INC.</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1001 PENNSYLVANIA AVE. NW SUITE 220 S</w:t>
            </w: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DC</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gridSpan w:val="4"/>
          </w:tcPr>
          <w:p>
            <w:pPr>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 Group Sub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gridSpan w:val="4"/>
          </w:tcPr>
          <w:p>
            <w:pPr>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CARLYLE GROUP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TC Group VII S1,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CARLYLE GROUP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ectPr>
          <w:pgSz w:w="11900" w:h="16838" w:orient="portrait"/>
          <w:cols w:equalWidth="0" w:num="1">
            <w:col w:w="9979"/>
          </w:cols>
          <w:pgMar w:left="480" w:top="300" w:right="1440" w:bottom="0" w:gutter="0" w:footer="0" w:header="0"/>
        </w:sect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300" w:right="1440" w:bottom="0" w:gutter="0" w:footer="0" w:header="0"/>
          <w:type w:val="continuous"/>
        </w:sectPr>
      </w:pPr>
    </w:p>
    <w:bookmarkStart w:id="2" w:name="page3"/>
    <w:bookmarkEnd w:id="2"/>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20004-2505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TC Group VII S1,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-1143000</wp:posOffset>
            </wp:positionV>
            <wp:extent cx="2809240" cy="2305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230568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THE CARLYLE GROUP INC.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1001 PENNSYLVANIA AVE. NW SUITE 220 S</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DC</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20004-2505</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following shares of the Issuer's Class A common stock ("Class A Common Stock") sold: (i) 2,020,349 shares of Class A Common Stock held by Carlyle Mozart Coinvestment UNLV Holdco, L.P., (ii) 2,014,853 shares of Class A Common Stock held by CP Circle UNLV Holdco, L.P., (iii) 109,901 shares of Class A Common Stock held by CPEP Circle Holdings L.P., (iv) 2,311,623 shares of Class A Common Stock held by CP Circle ML-7 Holdco, L.P., (v) 319,841 shares of Class A Common Stock held by CP Circle ML-6 Holdco, L.P., (vi) 867,032 shares of Class A Common Stock held by CP Circle ML-5 Holdco, L.P., (vii) 3,493,666 shares of Class A Common Stock held by CP Circle ML-4 Holdco, L.P., (viii) 7,650,365 shares of Class A Common Stock held by CP Circle ML-3 Holdco, L.P., (ix) 35,180 shares of Class A Common Stock held by CP Circle ML-2 Holdco, L.P. and (x) 7,283,030 shares of Class A Common Stock held by CP Circle ML-1 Holdco, L.P.</w:t>
      </w:r>
    </w:p>
    <w:p>
      <w:pPr>
        <w:spacing w:after="0" w:line="26"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CG Subsidiary Holdings L.L.C. is also the managing member of CPEP GP, LLC, which is the general partner of CPEP Circle Holdings L.P.</w:t>
      </w:r>
    </w:p>
    <w:p>
      <w:pPr>
        <w:spacing w:after="0" w:line="26" w:lineRule="exact"/>
        <w:rPr>
          <w:rFonts w:ascii="Times New Roman" w:cs="Times New Roman" w:eastAsia="Times New Roman" w:hAnsi="Times New Roman"/>
          <w:sz w:val="13"/>
          <w:szCs w:val="13"/>
          <w:color w:val="008000"/>
        </w:rPr>
      </w:pPr>
    </w:p>
    <w:p>
      <w:pPr>
        <w:ind w:left="20" w:right="16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p>
      <w:pPr>
        <w:spacing w:after="0" w:line="26"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sales reported herein, reflects (i) 16,125,094 shares of Class A Common Stock held by Carlyle Mozart Coinvestment Holdings, L.P., (ii) 13,394,165 shares of Class A Common Stock held by Carlyle Mozart Coinvestment UNLV Holdco, L.P., (iii) 2,615 shares of Class A Common Stock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held by CP Circle ML-1 Holdco, L.P.</w:t>
      </w:r>
    </w:p>
    <w:p>
      <w:pPr>
        <w:spacing w:after="0" w:line="28"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for no consideration by Carlyle Mozart Coinvestment Holdings, L.P. to its limited partner. Pursuant to the terms of a lock-up agreement, the limited partner is bound to certain restrictions on the shares distributed, as set forth therein.</w:t>
      </w:r>
    </w:p>
    <w:p>
      <w:pPr>
        <w:spacing w:after="0" w:line="7" w:lineRule="exact"/>
        <w:rPr>
          <w:rFonts w:ascii="Times New Roman" w:cs="Times New Roman" w:eastAsia="Times New Roman" w:hAnsi="Times New Roman"/>
          <w:sz w:val="13"/>
          <w:szCs w:val="13"/>
          <w:color w:val="008000"/>
        </w:rPr>
      </w:pPr>
    </w:p>
    <w:p>
      <w:pPr>
        <w:ind w:left="20" w:right="1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distribution reported herein, reflects (i) 14,011,611 shares of Class A Common Stock held by Carlyle Mozart Coinvestment Holdings, L.P., (ii) 13,394,165 shares of Class A Common Stock held by Carlyle Mozart Coinvestment UNLV Holdco, L.P., (iii) 2,615 shares of Class A Common Stock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held by CP Circle ML-1 Holdco, L.P.</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40"/>
        <w:spacing w:after="0" w:line="247" w:lineRule="auto"/>
        <w:rPr>
          <w:sz w:val="20"/>
          <w:szCs w:val="20"/>
          <w:color w:val="auto"/>
        </w:rPr>
      </w:pPr>
      <w:r>
        <w:rPr>
          <w:rFonts w:ascii="Times New Roman" w:cs="Times New Roman" w:eastAsia="Times New Roman" w:hAnsi="Times New Roman"/>
          <w:sz w:val="13"/>
          <w:szCs w:val="13"/>
          <w:color w:val="008000"/>
        </w:rPr>
        <w:t>Due to the limitations of the electronic filing system, Carlyle Mozart Coinvestment Holdings, L.P., Carlyle Mozart Coinvestment UNLV Holdco, L.P., CP Circle UNLV Holdco, L.P., CPEP GP, LLC, CPEP Circle Holdings L.P., Carlyle Holdings II GP L.L.C., Carlyle Holdings II L.L.C., TC Group Cayman Investment Holdings, L.P., TC Group Cayman Investment Holdings Sub L.P., TC Group VII, L.L.C., TC Group VII, L.P., CP Circle ML-1 Holdco GP, LLC, CP Circle ML-1 Holdco, L.P., CP Circle ML Holdco GP, LLC, CP Circle ML-2 Holdco, L.P., CP Circle ML-3 Holdco, L.P., CP Circle ML-4 Holdco, L.P., CP Circle ML-5 Holdco, L.P., CP Circle ML-6 Holdco, L.P. and CP Circle ML-7 Holdco, L.P. are filing a separate Form 4.</w:t>
      </w:r>
    </w:p>
    <w:p>
      <w:pPr>
        <w:sectPr>
          <w:pgSz w:w="11900" w:h="16907" w:orient="portrait"/>
          <w:cols w:equalWidth="0" w:num="1">
            <w:col w:w="10900"/>
          </w:cols>
          <w:pgMar w:left="480" w:top="125" w:right="51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Carlyle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0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Anne K.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0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826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Carlyle Holdings I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96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Anne K.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7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Carlyle Holdings I GP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5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Carlyle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Inc., its sole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7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Anne K.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0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Carlyle Holdings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Anne K.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0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14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Anne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56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6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TC Group,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98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Anne K.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2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TC Group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280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66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Anne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63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TC Group VII S1,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Jeremy Anderson,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0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TC Group VII S1,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12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TC Group VII S1,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69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 Jeremy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8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907" w:orient="portrait"/>
          <w:cols w:equalWidth="0" w:num="2">
            <w:col w:w="8700" w:space="60"/>
            <w:col w:w="2140"/>
          </w:cols>
          <w:pgMar w:left="480" w:top="125"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7" w:orient="portrait"/>
          <w:cols w:equalWidth="0" w:num="1">
            <w:col w:w="10900"/>
          </w:cols>
          <w:pgMar w:left="480" w:top="125" w:right="51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13" Type="http://schemas.openxmlformats.org/officeDocument/2006/relationships/hyperlink" Target="http://www.sec.gov/cgi-bin/browse-edgar?action=getcompany&amp;CIK=0001527166" TargetMode="External"/><Relationship Id="rId14" Type="http://schemas.openxmlformats.org/officeDocument/2006/relationships/hyperlink" Target="http://www.sec.gov/cgi-bin/browse-edgar?action=getcompany&amp;CIK=0002046386" TargetMode="External"/><Relationship Id="rId15" Type="http://schemas.openxmlformats.org/officeDocument/2006/relationships/hyperlink" Target="http://www.sec.gov/cgi-bin/browse-edgar?action=getcompany&amp;CIK=0001548626" TargetMode="External"/><Relationship Id="rId18" Type="http://schemas.openxmlformats.org/officeDocument/2006/relationships/hyperlink" Target="http://www.sec.gov/cgi-bin/browse-edgar?action=getcompany&amp;CIK=0001548627" TargetMode="External"/><Relationship Id="rId19" Type="http://schemas.openxmlformats.org/officeDocument/2006/relationships/hyperlink" Target="http://www.sec.gov/cgi-bin/browse-edgar?action=getcompany&amp;CIK=0001548628" TargetMode="External"/><Relationship Id="rId20" Type="http://schemas.openxmlformats.org/officeDocument/2006/relationships/hyperlink" Target="http://www.sec.gov/cgi-bin/browse-edgar?action=getcompany&amp;CIK=0001790577" TargetMode="External"/><Relationship Id="rId21" Type="http://schemas.openxmlformats.org/officeDocument/2006/relationships/hyperlink" Target="http://www.sec.gov/cgi-bin/browse-edgar?action=getcompany&amp;CIK=0000933790" TargetMode="External"/><Relationship Id="rId22" Type="http://schemas.openxmlformats.org/officeDocument/2006/relationships/hyperlink" Target="http://www.sec.gov/cgi-bin/browse-edgar?action=getcompany&amp;CIK=0001548639" TargetMode="External"/><Relationship Id="rId23" Type="http://schemas.openxmlformats.org/officeDocument/2006/relationships/hyperlink" Target="http://www.sec.gov/cgi-bin/browse-edgar?action=getcompany&amp;CIK=0001772672" TargetMode="External"/><Relationship Id="rId24" Type="http://schemas.openxmlformats.org/officeDocument/2006/relationships/hyperlink" Target="http://www.sec.gov/cgi-bin/browse-edgar?action=getcompany&amp;CIK=00017726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2026-03-12T15:44:16Z</dcterms:created>
  <dcterms:modified xsi:type="dcterms:W3CDTF">2026-03-12T15:44:16Z</dcterms:modified>
</cp:coreProperties>
</file>