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Mozart Aggregator II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0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BLACKSTONE INC.</w:t>
            </w:r>
          </w:p>
        </w:tc>
        <w:tc>
          <w:tcPr>
            <w:tcW w:w="0" w:type="dxa"/>
            <w:vAlign w:val="bottom"/>
          </w:tcPr>
          <w:p>
            <w:pPr>
              <w:spacing w:after="0"/>
              <w:rPr>
                <w:sz w:val="1"/>
                <w:szCs w:val="1"/>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345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10154</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5"/>
              </w:rPr>
              <w:t>156,649,816</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(1)(3)(6)(7)</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4"/>
              </w:rPr>
              <w:t>11,724</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(2)(3)(6)(7)</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4"/>
              </w:rPr>
              <w:t>79,327,072</w:t>
            </w:r>
            <w:r>
              <w:rPr>
                <w:rFonts w:ascii="Times New Roman" w:cs="Times New Roman" w:eastAsia="Times New Roman" w:hAnsi="Times New Roman"/>
                <w:sz w:val="25"/>
                <w:szCs w:val="25"/>
                <w:color w:val="008000"/>
                <w:w w:val="94"/>
                <w:vertAlign w:val="superscript"/>
              </w:rPr>
              <w:t>(4)</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(1)(3)(6)(7)</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600" w:type="dxa"/>
            <w:vAlign w:val="bottom"/>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6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5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6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7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520" w:type="dxa"/>
            <w:vAlign w:val="bottom"/>
          </w:tcPr>
          <w:p>
            <w:pPr>
              <w:ind w:left="5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20" w:type="dxa"/>
            <w:vAlign w:val="bottom"/>
            <w:vMerge w:val="continue"/>
          </w:tcPr>
          <w:p>
            <w:pPr>
              <w:spacing w:after="0"/>
              <w:rPr>
                <w:sz w:val="17"/>
                <w:szCs w:val="17"/>
                <w:color w:val="auto"/>
              </w:rPr>
            </w:pPr>
          </w:p>
        </w:tc>
        <w:tc>
          <w:tcPr>
            <w:tcW w:w="1520" w:type="dxa"/>
            <w:vAlign w:val="bottom"/>
          </w:tcPr>
          <w:p>
            <w:pPr>
              <w:ind w:left="5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0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(5)</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008000"/>
              </w:rPr>
              <w:t>(5)</w:t>
            </w:r>
          </w:p>
        </w:tc>
        <w:tc>
          <w:tcPr>
            <w:tcW w:w="1960" w:type="dxa"/>
            <w:vAlign w:val="bottom"/>
          </w:tcPr>
          <w:p>
            <w:pPr>
              <w:jc w:val="center"/>
              <w:ind w:left="2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vMerge w:val="restart"/>
          </w:tcPr>
          <w:p>
            <w:pPr>
              <w:jc w:val="right"/>
              <w:ind w:right="162"/>
              <w:spacing w:after="0"/>
              <w:rPr>
                <w:sz w:val="20"/>
                <w:szCs w:val="20"/>
                <w:color w:val="auto"/>
              </w:rPr>
            </w:pPr>
            <w:r>
              <w:rPr>
                <w:rFonts w:ascii="Times New Roman" w:cs="Times New Roman" w:eastAsia="Times New Roman" w:hAnsi="Times New Roman"/>
                <w:sz w:val="20"/>
                <w:szCs w:val="20"/>
                <w:color w:val="0000FF"/>
              </w:rPr>
              <w:t>79,327,072</w:t>
            </w: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3"/>
                <w:szCs w:val="13"/>
                <w:color w:val="008000"/>
              </w:rPr>
              <w:t>(5)</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800" w:type="dxa"/>
            <w:vAlign w:val="bottom"/>
          </w:tcPr>
          <w:p>
            <w:pPr>
              <w:ind w:left="260"/>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960" w:type="dxa"/>
            <w:vAlign w:val="bottom"/>
            <w:vMerge w:val="restart"/>
          </w:tcPr>
          <w:p>
            <w:pPr>
              <w:jc w:val="center"/>
              <w:ind w:left="2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8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8000"/>
              </w:rPr>
              <w:t>(6)(7)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6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76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9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Mozart Aggregator II LP</w:t>
              </w:r>
            </w:hyperlink>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180"/>
              <w:spacing w:after="0"/>
              <w:rPr>
                <w:sz w:val="20"/>
                <w:szCs w:val="20"/>
                <w:color w:val="auto"/>
              </w:rPr>
            </w:pPr>
            <w:r>
              <w:rPr>
                <w:rFonts w:ascii="Arial" w:cs="Arial" w:eastAsia="Arial" w:hAnsi="Arial"/>
                <w:sz w:val="15"/>
                <w:szCs w:val="15"/>
                <w:color w:val="auto"/>
              </w:rPr>
              <w:t>(Middle)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BLACKSTONE INC.</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345 PARK AVENUE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10154</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180"/>
              <w:spacing w:after="0"/>
              <w:rPr>
                <w:sz w:val="20"/>
                <w:szCs w:val="20"/>
                <w:color w:val="auto"/>
              </w:rPr>
            </w:pPr>
            <w:r>
              <w:rPr>
                <w:rFonts w:ascii="Arial" w:cs="Arial" w:eastAsia="Arial" w:hAnsi="Arial"/>
                <w:sz w:val="15"/>
                <w:szCs w:val="15"/>
                <w:color w:val="auto"/>
              </w:rPr>
              <w:t>(Zip)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2"/>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76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gridSpan w:val="5"/>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BCP Mozart Aggregator L.P.</w:t>
              </w:r>
            </w:hyperlink>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180"/>
              <w:spacing w:after="0"/>
              <w:rPr>
                <w:sz w:val="20"/>
                <w:szCs w:val="20"/>
                <w:color w:val="auto"/>
              </w:rPr>
            </w:pPr>
            <w:r>
              <w:rPr>
                <w:rFonts w:ascii="Arial" w:cs="Arial" w:eastAsia="Arial" w:hAnsi="Arial"/>
                <w:sz w:val="15"/>
                <w:szCs w:val="15"/>
                <w:color w:val="auto"/>
              </w:rPr>
              <w:t>(Middle)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BLACKSTONE INC.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345 PARK AVENUE</w:t>
      </w:r>
    </w:p>
    <w:p>
      <w:pPr>
        <w:sectPr>
          <w:pgSz w:w="11900" w:h="16838" w:orient="portrait"/>
          <w:cols w:equalWidth="0" w:num="1">
            <w:col w:w="10940"/>
          </w:cols>
          <w:pgMar w:left="480" w:top="230" w:right="479" w:bottom="0" w:gutter="0" w:footer="0" w:header="0"/>
          <w:type w:val="continuous"/>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54"/>
        </w:trPr>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10154</w:t>
            </w:r>
          </w:p>
        </w:tc>
      </w:tr>
      <w:tr>
        <w:trPr>
          <w:trHeight w:val="177"/>
        </w:trPr>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-496570</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Blackstone Management Associates VIII</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BCP 8 Holdings Mozart Manager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BLACKSTONE INC.</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345 PARK AVENUE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0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gridSpan w:val="4"/>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BMA VIII L.L.C.</w:t>
              </w:r>
            </w:hyperlink>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50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BLACKSTONE INC.</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345 PARK AVENUE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0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gridSpan w:val="4"/>
          </w:tcPr>
          <w:p>
            <w:pPr>
              <w:spacing w:after="0" w:line="255" w:lineRule="exact"/>
              <w:rPr>
                <w:rFonts w:ascii="Times New Roman" w:cs="Times New Roman" w:eastAsia="Times New Roman" w:hAnsi="Times New Roman"/>
                <w:sz w:val="24"/>
                <w:szCs w:val="24"/>
                <w:color w:val="0000EE"/>
                <w:w w:val="99"/>
              </w:rPr>
            </w:pPr>
            <w:hyperlink r:id="rId18">
              <w:r>
                <w:rPr>
                  <w:rFonts w:ascii="Times New Roman" w:cs="Times New Roman" w:eastAsia="Times New Roman" w:hAnsi="Times New Roman"/>
                  <w:sz w:val="24"/>
                  <w:szCs w:val="24"/>
                  <w:color w:val="0000EE"/>
                  <w:w w:val="99"/>
                </w:rPr>
                <w:t>Blackstone Holdings II L.P.</w:t>
              </w:r>
            </w:hyperlink>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50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BLACKSTONE INC.</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345 PARK AVENUE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0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Blackstone Holdings I/II GP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BLACKSTONE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345 PARK AVENUE</w:t>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9959"/>
          </w:cols>
          <w:pgMar w:left="500" w:top="124" w:right="1440" w:bottom="0" w:gutter="0" w:footer="0" w:header="0"/>
        </w:sectPr>
      </w:pPr>
    </w:p>
    <w:p>
      <w:pPr>
        <w:spacing w:after="0" w:line="37" w:lineRule="exact"/>
        <w:rPr>
          <w:sz w:val="20"/>
          <w:szCs w:val="20"/>
          <w:color w:val="auto"/>
        </w:rPr>
      </w:pPr>
    </w:p>
    <w:p>
      <w:pPr>
        <w:ind w:left="120"/>
        <w:spacing w:after="0"/>
        <w:tabs>
          <w:tab w:leader="none" w:pos="1480" w:val="left"/>
          <w:tab w:leader="none" w:pos="2860" w:val="left"/>
        </w:tabs>
        <w:rPr>
          <w:sz w:val="20"/>
          <w:szCs w:val="20"/>
          <w:color w:val="auto"/>
        </w:rPr>
      </w:pPr>
      <w:r>
        <w:rPr>
          <w:rFonts w:ascii="Times New Roman" w:cs="Times New Roman" w:eastAsia="Times New Roman" w:hAnsi="Times New Roman"/>
          <w:sz w:val="20"/>
          <w:szCs w:val="20"/>
          <w:color w:val="0000FF"/>
        </w:rPr>
        <w:t>NEW YORK</w:t>
      </w:r>
      <w:r>
        <w:rPr>
          <w:sz w:val="20"/>
          <w:szCs w:val="20"/>
          <w:color w:val="auto"/>
        </w:rPr>
        <w:tab/>
      </w:r>
      <w:r>
        <w:rPr>
          <w:rFonts w:ascii="Times New Roman" w:cs="Times New Roman" w:eastAsia="Times New Roman" w:hAnsi="Times New Roman"/>
          <w:sz w:val="20"/>
          <w:szCs w:val="20"/>
          <w:color w:val="0000FF"/>
        </w:rPr>
        <w:t>NY</w:t>
      </w:r>
      <w:r>
        <w:rPr>
          <w:sz w:val="20"/>
          <w:szCs w:val="20"/>
          <w:color w:val="auto"/>
        </w:rPr>
        <w:tab/>
      </w:r>
      <w:r>
        <w:rPr>
          <w:rFonts w:ascii="Times New Roman" w:cs="Times New Roman" w:eastAsia="Times New Roman" w:hAnsi="Times New Roman"/>
          <w:sz w:val="18"/>
          <w:szCs w:val="18"/>
          <w:color w:val="0000FF"/>
        </w:rPr>
        <w:t>10154</w:t>
      </w:r>
    </w:p>
    <w:p>
      <w:pPr>
        <w:sectPr>
          <w:pgSz w:w="11900" w:h="16838" w:orient="portrait"/>
          <w:cols w:equalWidth="0" w:num="1">
            <w:col w:w="9959"/>
          </w:cols>
          <w:pgMar w:left="500" w:top="124"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10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Blackstone Inc.</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345 PARK AVENUE</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10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111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2798445" cy="61112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Blackstone Group Management L.L.C.</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23">
        <w:r>
          <w:rPr>
            <w:rFonts w:ascii="Times New Roman" w:cs="Times New Roman" w:eastAsia="Times New Roman" w:hAnsi="Times New Roman"/>
            <w:sz w:val="24"/>
            <w:szCs w:val="24"/>
            <w:u w:val="single" w:color="auto"/>
            <w:color w:val="0000EE"/>
          </w:rPr>
          <w:t>SCHWARZMAN STEPHEN A</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10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securities of the Issuer held directly by Mozart Aggregator II LP. Blackstone Management Associates VIII L.P. is the general partner of Mozart Aggregator II LP. BMA VIII L.L.C. is the general partner of Blackstone Management Associates VIII L.P.</w:t>
      </w:r>
    </w:p>
    <w:p>
      <w:pPr>
        <w:spacing w:after="0" w:line="17" w:lineRule="exact"/>
        <w:rPr>
          <w:rFonts w:ascii="Times New Roman" w:cs="Times New Roman" w:eastAsia="Times New Roman" w:hAnsi="Times New Roman"/>
          <w:sz w:val="15"/>
          <w:szCs w:val="15"/>
          <w:color w:val="008000"/>
        </w:rPr>
      </w:pPr>
    </w:p>
    <w:p>
      <w:pPr>
        <w:ind w:left="20" w:right="46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securities of the Issuer held directly by BCP Mozart Aggregator L.P. (together with Mozart Aggregator II LP, the "Blackstone Holders"). BCP 8 Holdings Mozart Manager L.L.C. is the general partner of BCP Mozart Aggregator L.P. BMA VIII L.L.C. is the managing member of BCP 8 Holdings Mozart Manager L.L.C.</w:t>
      </w:r>
    </w:p>
    <w:p>
      <w:pPr>
        <w:spacing w:after="0" w:line="17" w:lineRule="exact"/>
        <w:rPr>
          <w:rFonts w:ascii="Times New Roman" w:cs="Times New Roman" w:eastAsia="Times New Roman" w:hAnsi="Times New Roman"/>
          <w:sz w:val="15"/>
          <w:szCs w:val="15"/>
          <w:color w:val="008000"/>
        </w:rPr>
      </w:pPr>
    </w:p>
    <w:p>
      <w:pPr>
        <w:ind w:left="20" w:right="18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29" w:lineRule="exact"/>
        <w:rPr>
          <w:rFonts w:ascii="Times New Roman" w:cs="Times New Roman" w:eastAsia="Times New Roman" w:hAnsi="Times New Roman"/>
          <w:sz w:val="15"/>
          <w:szCs w:val="15"/>
          <w:color w:val="008000"/>
        </w:rPr>
      </w:pPr>
    </w:p>
    <w:p>
      <w:pPr>
        <w:ind w:left="20" w:right="2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2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7" w:lineRule="exact"/>
        <w:rPr>
          <w:rFonts w:ascii="Times New Roman" w:cs="Times New Roman" w:eastAsia="Times New Roman" w:hAnsi="Times New Roman"/>
          <w:sz w:val="15"/>
          <w:szCs w:val="15"/>
          <w:color w:val="008000"/>
        </w:rPr>
      </w:pPr>
    </w:p>
    <w:p>
      <w:pPr>
        <w:ind w:left="20" w:right="20" w:firstLine="5"/>
        <w:spacing w:after="0" w:line="237"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such Reporting Person may be deemed to beneficially own the securities of the Issuer directly held by the Blackstone Holders directly or indirectly controlled by it or him, but each (other than Mozart Aggregator II LP and BCP Mozart Aggregator L.P. to the extent of their respective direct holdings) disclaims beneficial ownership of the securities reported herein, except to the extent of such Reporting Person's pecuniary interest therein, and this report shall not be deemed an admission that any of the Reporting Persons (other than Mozart Aggregator II LP and BCP Mozart Aggregator L.P. to the extent each directly holds securities of the Issuer) is the beneficial owner of such securities for purposes of Section 16 or any other purpose.</w:t>
      </w:r>
    </w:p>
    <w:p>
      <w:pPr>
        <w:spacing w:after="0" w:line="33" w:lineRule="exact"/>
        <w:rPr>
          <w:rFonts w:ascii="Times New Roman" w:cs="Times New Roman" w:eastAsia="Times New Roman" w:hAnsi="Times New Roman"/>
          <w:sz w:val="15"/>
          <w:szCs w:val="15"/>
          <w:color w:val="008000"/>
        </w:rPr>
      </w:pPr>
    </w:p>
    <w:p>
      <w:pPr>
        <w:ind w:left="20" w:right="6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4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MOZART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5156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51562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AGGREGATOR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436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14363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2679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2679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947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ASSOCIATES VIII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50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60"/>
        <w:spacing w:after="0" w:line="186" w:lineRule="auto"/>
        <w:tabs>
          <w:tab w:leader="none" w:pos="8720" w:val="left"/>
        </w:tabs>
        <w:rPr>
          <w:sz w:val="20"/>
          <w:szCs w:val="20"/>
          <w:color w:val="auto"/>
        </w:rPr>
      </w:pPr>
      <w:r>
        <w:rPr>
          <w:rFonts w:ascii="Times New Roman" w:cs="Times New Roman" w:eastAsia="Times New Roman" w:hAnsi="Times New Roman"/>
          <w:sz w:val="20"/>
          <w:szCs w:val="20"/>
          <w:color w:val="0000FF"/>
        </w:rPr>
        <w:t>its GP, By: BMA VIII</w:t>
      </w:r>
      <w:r>
        <w:rPr>
          <w:sz w:val="20"/>
          <w:szCs w:val="20"/>
          <w:color w:val="auto"/>
        </w:rPr>
        <w:tab/>
      </w:r>
      <w:r>
        <w:rPr>
          <w:rFonts w:ascii="Times New Roman" w:cs="Times New Roman" w:eastAsia="Times New Roman" w:hAnsi="Times New Roman"/>
          <w:sz w:val="29"/>
          <w:szCs w:val="29"/>
          <w:color w:val="0000FF"/>
          <w:vertAlign w:val="subscript"/>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-31750</wp:posOffset>
            </wp:positionV>
            <wp:extent cx="109093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L.L.C., its GP,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-25400</wp:posOffset>
            </wp:positionV>
            <wp:extent cx="10706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0610" cy="952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-101600</wp:posOffset>
            </wp:positionV>
            <wp:extent cx="5645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Christopher Striano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33477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Christopher Striano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687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6873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30048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and COO of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7345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9179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391795" cy="9525"/>
                    </a:xfrm>
                    <a:prstGeom prst="rect">
                      <a:avLst/>
                    </a:prstGeom>
                    <a:noFill/>
                  </pic:spPr>
                </pic:pic>
              </a:graphicData>
            </a:graphic>
          </wp:anchor>
        </w:drawing>
      </w:r>
    </w:p>
    <w:p>
      <w:pPr>
        <w:sectPr>
          <w:pgSz w:w="11900" w:h="16838" w:orient="portrait"/>
          <w:cols w:equalWidth="0" w:num="1">
            <w:col w:w="10860"/>
          </w:cols>
          <w:pgMar w:left="500" w:top="170" w:right="539" w:bottom="0" w:gutter="0" w:footer="0" w:header="0"/>
        </w:sectPr>
      </w:pPr>
    </w:p>
    <w:bookmarkStart w:id="3" w:name="page4"/>
    <w:bookmarkEnd w:id="3"/>
    <w:p>
      <w:pPr>
        <w:spacing w:after="0" w:line="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BCP MOZART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7804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8041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0000FF"/>
        </w:rPr>
        <w:t>AGGREGATOR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175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017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BCP 8 Holdings Mozart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0078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Manager L.L.C., its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8364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By: BMA VIII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7317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937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0000FF"/>
        </w:rPr>
        <w:t>Christopher Striano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477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Christopher Striano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873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68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048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and COO of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7345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39179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9179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BCP 8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99123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99123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MOZART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7284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728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L.L.C., By: BMA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522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2522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2552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2552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78994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899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Christopher Striano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477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Christopher Striano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873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68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048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and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155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Officer of Global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8079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8079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81661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947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ASSOCIATES VIII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3507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By: BMA VIII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7317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030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Christopher Striano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477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Christopher Striano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873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68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048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and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155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Officer of Global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8079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8079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BMA VIII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7317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0000FF"/>
        </w:rPr>
        <w:t>Christopher Striano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477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Christopher Striano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873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68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048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and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155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Officer of Global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8079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8079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81661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HOLDINGS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1094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249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093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partner, By: /s/ Victoria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395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639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Portnoy, Name: Victoria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0586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058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Portnoy,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4333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433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Director -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7028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46799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81661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HOLDINGS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155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L.L.C., By: /s/ Victoria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4490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4490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Portnoy, Name: Victoria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0586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058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Portnoy,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4333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433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Director -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7028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46799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0000FF"/>
        </w:rPr>
        <w:t>BLACKSTONE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2540</wp:posOffset>
            </wp:positionV>
            <wp:extent cx="133286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332865" cy="952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/s/ Victoria Portnoy,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9250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99250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Name: Victoria Portnoy,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0586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2058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Title: Managing Director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3180"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5313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BLACKSTONE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67460"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26746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83335"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By: /s/ Victoria Portnoy,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02690"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2026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Name: Victoria Portnoy,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0586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2058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Title: Managing Director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3180"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5313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/s/ Stephen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69850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9850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63944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3944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13" w:lineRule="exact"/>
        <w:rPr>
          <w:sz w:val="20"/>
          <w:szCs w:val="20"/>
          <w:color w:val="auto"/>
        </w:rPr>
      </w:pPr>
    </w:p>
    <w:p>
      <w:pPr>
        <w:sectPr>
          <w:pgSz w:w="11900" w:h="16885" w:orient="portrait"/>
          <w:cols w:equalWidth="0" w:num="2">
            <w:col w:w="7720" w:space="80"/>
            <w:col w:w="1219"/>
          </w:cols>
          <w:pgMar w:left="1440" w:top="124" w:right="1440" w:bottom="0" w:gutter="0" w:footer="0" w:header="0"/>
        </w:sectPr>
      </w:pPr>
    </w:p>
    <w:p>
      <w:pPr>
        <w:ind w:left="5620"/>
        <w:spacing w:after="0"/>
        <w:tabs>
          <w:tab w:leader="none" w:pos="778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85" w:orient="portrait"/>
          <w:cols w:equalWidth="0" w:num="1">
            <w:col w:w="9019"/>
          </w:cols>
          <w:pgMar w:left="1440" w:top="124" w:right="1440" w:bottom="0" w:gutter="0" w:footer="0" w:header="0"/>
          <w:type w:val="continuous"/>
        </w:sectPr>
      </w:pPr>
    </w:p>
    <w:bookmarkStart w:id="4" w:name="page5"/>
    <w:bookmarkEnd w:id="4"/>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21"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0" Type="http://schemas.openxmlformats.org/officeDocument/2006/relationships/hyperlink" Target="http://www.sec.gov/cgi-bin/browse-edgar?action=getcompany&amp;CIK=0002098582" TargetMode="External"/><Relationship Id="rId11" Type="http://schemas.openxmlformats.org/officeDocument/2006/relationships/hyperlink" Target="http://www.sec.gov/cgi-bin/browse-edgar?action=getcompany&amp;CIK=0002046386" TargetMode="External"/><Relationship Id="rId13" Type="http://schemas.openxmlformats.org/officeDocument/2006/relationships/hyperlink" Target="http://www.sec.gov/cgi-bin/browse-edgar?action=getcompany&amp;CIK=0002094487" TargetMode="External"/><Relationship Id="rId15" Type="http://schemas.openxmlformats.org/officeDocument/2006/relationships/hyperlink" Target="http://www.sec.gov/cgi-bin/browse-edgar?action=getcompany&amp;CIK=0002084378" TargetMode="External"/><Relationship Id="rId16" Type="http://schemas.openxmlformats.org/officeDocument/2006/relationships/hyperlink" Target="http://www.sec.gov/cgi-bin/browse-edgar?action=getcompany&amp;CIK=0002094484" TargetMode="External"/><Relationship Id="rId17" Type="http://schemas.openxmlformats.org/officeDocument/2006/relationships/hyperlink" Target="http://www.sec.gov/cgi-bin/browse-edgar?action=getcompany&amp;CIK=0002084966" TargetMode="External"/><Relationship Id="rId18" Type="http://schemas.openxmlformats.org/officeDocument/2006/relationships/hyperlink" Target="http://www.sec.gov/cgi-bin/browse-edgar?action=getcompany&amp;CIK=0001484870" TargetMode="External"/><Relationship Id="rId19" Type="http://schemas.openxmlformats.org/officeDocument/2006/relationships/hyperlink" Target="http://www.sec.gov/cgi-bin/browse-edgar?action=getcompany&amp;CIK=0001464695" TargetMode="External"/><Relationship Id="rId20" Type="http://schemas.openxmlformats.org/officeDocument/2006/relationships/hyperlink" Target="http://www.sec.gov/cgi-bin/browse-edgar?action=getcompany&amp;CIK=0001393818" TargetMode="External"/><Relationship Id="rId22" Type="http://schemas.openxmlformats.org/officeDocument/2006/relationships/hyperlink" Target="http://www.sec.gov/cgi-bin/browse-edgar?action=getcompany&amp;CIK=0001404071" TargetMode="External"/><Relationship Id="rId23" Type="http://schemas.openxmlformats.org/officeDocument/2006/relationships/hyperlink" Target="http://www.sec.gov/cgi-bin/browse-edgar?action=getcompany&amp;CIK=00010708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2025-12-17T18:03:17Z</dcterms:created>
  <dcterms:modified xsi:type="dcterms:W3CDTF">2025-12-17T18:03:17Z</dcterms:modified>
</cp:coreProperties>
</file>