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8" w:lineRule="exact"/>
        <w:rPr>
          <w:sz w:val="24"/>
          <w:szCs w:val="24"/>
          <w:color w:val="auto"/>
        </w:rPr>
      </w:pPr>
    </w:p>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Filed Pursuant to 424(b)(4)</w:t>
      </w:r>
    </w:p>
    <w:p>
      <w:pPr>
        <w:spacing w:after="0" w:line="27" w:lineRule="exact"/>
        <w:rPr>
          <w:sz w:val="24"/>
          <w:szCs w:val="24"/>
          <w:color w:val="auto"/>
        </w:rPr>
      </w:pPr>
    </w:p>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Registration No. 333-293954</w:t>
      </w:r>
    </w:p>
    <w:p>
      <w:pPr>
        <w:spacing w:after="0" w:line="11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6"/>
          <w:szCs w:val="26"/>
          <w:b w:val="1"/>
          <w:bCs w:val="1"/>
          <w:color w:val="auto"/>
        </w:rPr>
        <w:t>75,000,000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3385820</wp:posOffset>
            </wp:positionH>
            <wp:positionV relativeFrom="paragraph">
              <wp:posOffset>141605</wp:posOffset>
            </wp:positionV>
            <wp:extent cx="39624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240"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4"/>
          <w:szCs w:val="34"/>
          <w:b w:val="1"/>
          <w:bCs w:val="1"/>
          <w:color w:val="auto"/>
        </w:rPr>
        <w:t>Medline Inc.</w:t>
      </w:r>
    </w:p>
    <w:p>
      <w:pPr>
        <w:spacing w:after="0" w:line="11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134620</wp:posOffset>
            </wp:positionV>
            <wp:extent cx="11753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78" w:lineRule="exact"/>
        <w:rPr>
          <w:sz w:val="24"/>
          <w:szCs w:val="24"/>
          <w:color w:val="auto"/>
        </w:rPr>
      </w:pPr>
    </w:p>
    <w:p>
      <w:pPr>
        <w:ind w:left="1260" w:right="179" w:firstLine="351"/>
        <w:spacing w:after="0" w:line="287" w:lineRule="auto"/>
        <w:rPr>
          <w:sz w:val="20"/>
          <w:szCs w:val="20"/>
          <w:color w:val="auto"/>
        </w:rPr>
      </w:pPr>
      <w:r>
        <w:rPr>
          <w:rFonts w:ascii="Times New Roman" w:cs="Times New Roman" w:eastAsia="Times New Roman" w:hAnsi="Times New Roman"/>
          <w:sz w:val="13"/>
          <w:szCs w:val="13"/>
          <w:color w:val="auto"/>
        </w:rPr>
        <w:t>The selling stockholders named in this prospectus are offering 75,000,000 shares of our Class A common stock. Our shares of Class A common stock are listed on the Nasdaq Global Select Market (“Nasdaq”) under the trading symbol “MDLN.”</w:t>
      </w:r>
    </w:p>
    <w:p>
      <w:pPr>
        <w:spacing w:after="0" w:line="51" w:lineRule="exact"/>
        <w:rPr>
          <w:sz w:val="24"/>
          <w:szCs w:val="24"/>
          <w:color w:val="auto"/>
        </w:rPr>
      </w:pPr>
    </w:p>
    <w:p>
      <w:pPr>
        <w:ind w:left="1260" w:right="259" w:firstLine="351"/>
        <w:spacing w:after="0" w:line="268" w:lineRule="auto"/>
        <w:rPr>
          <w:sz w:val="20"/>
          <w:szCs w:val="20"/>
          <w:color w:val="auto"/>
        </w:rPr>
      </w:pPr>
      <w:r>
        <w:rPr>
          <w:rFonts w:ascii="Times New Roman" w:cs="Times New Roman" w:eastAsia="Times New Roman" w:hAnsi="Times New Roman"/>
          <w:sz w:val="13"/>
          <w:szCs w:val="13"/>
          <w:color w:val="auto"/>
        </w:rPr>
        <w:t>On March 4, 2026, the closing sales price of our shares of Class A common stock as reported on Nasdaq was $42.88 per share. We will not receive any proceeds from the sale of shares of our Class A common stock by the selling stockholders. Prior to the consummation of this offering, certain of the selling stockholders will exchange Common Units (as defined herein) for shares of our Class A common stock to be sold by them in the offering. See “Principal and Selling Stockholders,” “Certain Relationships and Related Person Transactions—Exchange Agreement” and “Organizational Structure.”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108585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36" w:lineRule="exact"/>
        <w:rPr>
          <w:sz w:val="24"/>
          <w:szCs w:val="24"/>
          <w:color w:val="auto"/>
        </w:rPr>
      </w:pPr>
    </w:p>
    <w:p>
      <w:pPr>
        <w:ind w:left="1260" w:right="499" w:firstLine="351"/>
        <w:spacing w:after="0" w:line="290" w:lineRule="auto"/>
        <w:rPr>
          <w:sz w:val="20"/>
          <w:szCs w:val="20"/>
          <w:color w:val="auto"/>
        </w:rPr>
      </w:pPr>
      <w:r>
        <w:rPr>
          <w:rFonts w:ascii="Times New Roman" w:cs="Times New Roman" w:eastAsia="Times New Roman" w:hAnsi="Times New Roman"/>
          <w:sz w:val="13"/>
          <w:szCs w:val="13"/>
          <w:b w:val="1"/>
          <w:bCs w:val="1"/>
          <w:color w:val="auto"/>
        </w:rPr>
        <w:t>Investing in shares of our Class A common stock involves risks. See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beginning on page 30 to read about factors you should consider before buying shares of the Class A common stock.</w:t>
      </w:r>
    </w:p>
    <w:p>
      <w:pPr>
        <w:spacing w:after="0" w:line="48" w:lineRule="exact"/>
        <w:rPr>
          <w:sz w:val="24"/>
          <w:szCs w:val="24"/>
          <w:color w:val="auto"/>
        </w:rPr>
      </w:pPr>
    </w:p>
    <w:p>
      <w:pPr>
        <w:ind w:left="1260" w:right="439" w:firstLine="351"/>
        <w:spacing w:after="0" w:line="290"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52" w:lineRule="exact"/>
        <w:rPr>
          <w:sz w:val="24"/>
          <w:szCs w:val="24"/>
          <w:color w:val="auto"/>
        </w:rPr>
      </w:pPr>
    </w:p>
    <w:tbl>
      <w:tblPr>
        <w:tblLayout w:type="fixed"/>
        <w:tblInd w:w="2300" w:type="dxa"/>
        <w:tblCellMar>
          <w:top w:w="0" w:type="dxa"/>
          <w:left w:w="0" w:type="dxa"/>
          <w:bottom w:w="0" w:type="dxa"/>
          <w:right w:w="0" w:type="dxa"/>
        </w:tblCellMar>
      </w:tblPr>
      <w:tr>
        <w:trPr>
          <w:trHeight w:val="138"/>
        </w:trPr>
        <w:tc>
          <w:tcPr>
            <w:tcW w:w="4940" w:type="dxa"/>
            <w:vAlign w:val="bottom"/>
          </w:tcPr>
          <w:p>
            <w:pPr>
              <w:spacing w:after="0"/>
              <w:rPr>
                <w:sz w:val="11"/>
                <w:szCs w:val="1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80" w:type="dxa"/>
            <w:vAlign w:val="bottom"/>
          </w:tcPr>
          <w:p>
            <w:pPr>
              <w:spacing w:after="0"/>
              <w:rPr>
                <w:sz w:val="11"/>
                <w:szCs w:val="11"/>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2"/>
        </w:trPr>
        <w:tc>
          <w:tcPr>
            <w:tcW w:w="49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Public offering price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3,075,000,000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1"/>
        </w:trPr>
        <w:tc>
          <w:tcPr>
            <w:tcW w:w="4940" w:type="dxa"/>
            <w:vAlign w:val="bottom"/>
          </w:tcPr>
          <w:p>
            <w:pPr>
              <w:spacing w:after="0" w:line="162" w:lineRule="exact"/>
              <w:rPr>
                <w:sz w:val="20"/>
                <w:szCs w:val="20"/>
                <w:color w:val="auto"/>
              </w:rPr>
            </w:pPr>
            <w:r>
              <w:rPr>
                <w:rFonts w:ascii="Times New Roman" w:cs="Times New Roman" w:eastAsia="Times New Roman" w:hAnsi="Times New Roman"/>
                <w:sz w:val="12"/>
                <w:szCs w:val="12"/>
                <w:color w:val="auto"/>
              </w:rPr>
              <w:t>Underwriting discounts and commissions</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0.492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36,900,000</w:t>
            </w:r>
          </w:p>
        </w:tc>
      </w:tr>
      <w:tr>
        <w:trPr>
          <w:trHeight w:val="161"/>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before expenses, to the selling stockholders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40.508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3,038,100,000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796290</wp:posOffset>
            </wp:positionH>
            <wp:positionV relativeFrom="paragraph">
              <wp:posOffset>74930</wp:posOffset>
            </wp:positionV>
            <wp:extent cx="614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24" w:lineRule="exact"/>
        <w:rPr>
          <w:sz w:val="24"/>
          <w:szCs w:val="24"/>
          <w:color w:val="auto"/>
        </w:rPr>
      </w:pPr>
    </w:p>
    <w:p>
      <w:pPr>
        <w:ind w:left="1600" w:hanging="346"/>
        <w:spacing w:after="0"/>
        <w:tabs>
          <w:tab w:leader="none" w:pos="1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Please see the section entitled “Underwriting (Conflicts of Interest)” for a description of compensation payable to the underwriters.</w:t>
      </w:r>
    </w:p>
    <w:p>
      <w:pPr>
        <w:spacing w:after="0" w:line="85" w:lineRule="exact"/>
        <w:rPr>
          <w:sz w:val="24"/>
          <w:szCs w:val="24"/>
          <w:color w:val="auto"/>
        </w:rPr>
      </w:pPr>
    </w:p>
    <w:p>
      <w:pPr>
        <w:ind w:left="1260" w:right="119" w:firstLine="351"/>
        <w:spacing w:after="0" w:line="273" w:lineRule="auto"/>
        <w:rPr>
          <w:sz w:val="20"/>
          <w:szCs w:val="20"/>
          <w:color w:val="auto"/>
        </w:rPr>
      </w:pPr>
      <w:r>
        <w:rPr>
          <w:rFonts w:ascii="Times New Roman" w:cs="Times New Roman" w:eastAsia="Times New Roman" w:hAnsi="Times New Roman"/>
          <w:sz w:val="13"/>
          <w:szCs w:val="13"/>
          <w:color w:val="auto"/>
        </w:rPr>
        <w:t>To the extent that the underwriters sell more than 75,000,000 shares of our Class A common stock, the underwriters have the option to purchase up to an additional 11,250,000 shares of our Class A common stock from the selling stockholders at the public offering price less the underwriting discounts and commissions within 30 days from the date of this prospectus.</w:t>
      </w:r>
    </w:p>
    <w:p>
      <w:pPr>
        <w:spacing w:after="0" w:line="6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3"/>
          <w:szCs w:val="13"/>
          <w:color w:val="auto"/>
        </w:rPr>
        <w:t>The underwriters expect to deliver the shares of our Class A common stock against payment in New York, New York on or about March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130810</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6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b w:val="1"/>
          <w:bCs w:val="1"/>
          <w:i w:val="1"/>
          <w:iCs w:val="1"/>
          <w:color w:val="auto"/>
        </w:rPr>
        <w:t>Global Coordinators and Joint Bookrunning Managers</w:t>
      </w:r>
    </w:p>
    <w:p>
      <w:pPr>
        <w:spacing w:after="0" w:line="101" w:lineRule="exact"/>
        <w:rPr>
          <w:sz w:val="24"/>
          <w:szCs w:val="24"/>
          <w:color w:val="auto"/>
        </w:rPr>
      </w:pPr>
    </w:p>
    <w:tbl>
      <w:tblPr>
        <w:tblLayout w:type="fixed"/>
        <w:tblInd w:w="1760" w:type="dxa"/>
        <w:tblCellMar>
          <w:top w:w="0" w:type="dxa"/>
          <w:left w:w="0" w:type="dxa"/>
          <w:bottom w:w="0" w:type="dxa"/>
          <w:right w:w="0" w:type="dxa"/>
        </w:tblCellMar>
      </w:tblPr>
      <w:tr>
        <w:trPr>
          <w:trHeight w:val="237"/>
        </w:trPr>
        <w:tc>
          <w:tcPr>
            <w:tcW w:w="5260" w:type="dxa"/>
            <w:vAlign w:val="bottom"/>
            <w:gridSpan w:val="2"/>
          </w:tcPr>
          <w:p>
            <w:pPr>
              <w:jc w:val="center"/>
              <w:ind w:right="1182"/>
              <w:spacing w:after="0"/>
              <w:rPr>
                <w:sz w:val="20"/>
                <w:szCs w:val="20"/>
                <w:color w:val="auto"/>
              </w:rPr>
            </w:pPr>
            <w:r>
              <w:rPr>
                <w:rFonts w:ascii="Times New Roman" w:cs="Times New Roman" w:eastAsia="Times New Roman" w:hAnsi="Times New Roman"/>
                <w:sz w:val="20"/>
                <w:szCs w:val="20"/>
                <w:b w:val="1"/>
                <w:bCs w:val="1"/>
                <w:color w:val="auto"/>
                <w:w w:val="99"/>
              </w:rPr>
              <w:t>Goldman Sachs &amp; Co. LLC</w:t>
            </w:r>
          </w:p>
        </w:tc>
        <w:tc>
          <w:tcPr>
            <w:tcW w:w="2540" w:type="dxa"/>
            <w:vAlign w:val="bottom"/>
          </w:tcPr>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Morgan Stanley</w:t>
            </w:r>
          </w:p>
        </w:tc>
        <w:tc>
          <w:tcPr>
            <w:tcW w:w="0" w:type="dxa"/>
            <w:vAlign w:val="bottom"/>
          </w:tcPr>
          <w:p>
            <w:pPr>
              <w:spacing w:after="0"/>
              <w:rPr>
                <w:sz w:val="1"/>
                <w:szCs w:val="1"/>
                <w:color w:val="auto"/>
              </w:rPr>
            </w:pPr>
          </w:p>
        </w:tc>
      </w:tr>
      <w:tr>
        <w:trPr>
          <w:trHeight w:val="265"/>
        </w:trPr>
        <w:tc>
          <w:tcPr>
            <w:tcW w:w="2880" w:type="dxa"/>
            <w:vAlign w:val="bottom"/>
          </w:tcPr>
          <w:p>
            <w:pPr>
              <w:jc w:val="center"/>
              <w:ind w:left="1039"/>
              <w:spacing w:after="0"/>
              <w:rPr>
                <w:sz w:val="20"/>
                <w:szCs w:val="20"/>
                <w:color w:val="auto"/>
              </w:rPr>
            </w:pPr>
            <w:r>
              <w:rPr>
                <w:rFonts w:ascii="Times New Roman" w:cs="Times New Roman" w:eastAsia="Times New Roman" w:hAnsi="Times New Roman"/>
                <w:sz w:val="20"/>
                <w:szCs w:val="20"/>
                <w:b w:val="1"/>
                <w:bCs w:val="1"/>
                <w:color w:val="auto"/>
                <w:w w:val="99"/>
              </w:rPr>
              <w:t>BofA Securities</w:t>
            </w:r>
          </w:p>
        </w:tc>
        <w:tc>
          <w:tcPr>
            <w:tcW w:w="2380" w:type="dxa"/>
            <w:vAlign w:val="bottom"/>
          </w:tcPr>
          <w:p>
            <w:pPr>
              <w:spacing w:after="0"/>
              <w:rPr>
                <w:sz w:val="23"/>
                <w:szCs w:val="23"/>
                <w:color w:val="auto"/>
              </w:rPr>
            </w:pPr>
          </w:p>
        </w:tc>
        <w:tc>
          <w:tcPr>
            <w:tcW w:w="2540" w:type="dxa"/>
            <w:vAlign w:val="bottom"/>
          </w:tcPr>
          <w:p>
            <w:pPr>
              <w:jc w:val="center"/>
              <w:ind w:right="99"/>
              <w:spacing w:after="0"/>
              <w:rPr>
                <w:sz w:val="20"/>
                <w:szCs w:val="20"/>
                <w:color w:val="auto"/>
              </w:rPr>
            </w:pPr>
            <w:r>
              <w:rPr>
                <w:rFonts w:ascii="Times New Roman" w:cs="Times New Roman" w:eastAsia="Times New Roman" w:hAnsi="Times New Roman"/>
                <w:sz w:val="20"/>
                <w:szCs w:val="20"/>
                <w:b w:val="1"/>
                <w:bCs w:val="1"/>
                <w:color w:val="auto"/>
                <w:w w:val="97"/>
              </w:rPr>
              <w:t>J.P. Morgan</w:t>
            </w:r>
          </w:p>
        </w:tc>
        <w:tc>
          <w:tcPr>
            <w:tcW w:w="0" w:type="dxa"/>
            <w:vAlign w:val="bottom"/>
          </w:tcPr>
          <w:p>
            <w:pPr>
              <w:spacing w:after="0"/>
              <w:rPr>
                <w:sz w:val="1"/>
                <w:szCs w:val="1"/>
                <w:color w:val="auto"/>
              </w:rPr>
            </w:pPr>
          </w:p>
        </w:tc>
      </w:tr>
      <w:tr>
        <w:trPr>
          <w:trHeight w:val="236"/>
        </w:trPr>
        <w:tc>
          <w:tcPr>
            <w:tcW w:w="2880" w:type="dxa"/>
            <w:vAlign w:val="bottom"/>
          </w:tcPr>
          <w:p>
            <w:pPr>
              <w:spacing w:after="0"/>
              <w:rPr>
                <w:sz w:val="20"/>
                <w:szCs w:val="20"/>
                <w:color w:val="auto"/>
              </w:rPr>
            </w:pPr>
          </w:p>
        </w:tc>
        <w:tc>
          <w:tcPr>
            <w:tcW w:w="2380" w:type="dxa"/>
            <w:vAlign w:val="bottom"/>
          </w:tcPr>
          <w:p>
            <w:pPr>
              <w:jc w:val="center"/>
              <w:ind w:right="302"/>
              <w:spacing w:after="0"/>
              <w:rPr>
                <w:sz w:val="20"/>
                <w:szCs w:val="20"/>
                <w:color w:val="auto"/>
              </w:rPr>
            </w:pPr>
            <w:r>
              <w:rPr>
                <w:rFonts w:ascii="Times New Roman" w:cs="Times New Roman" w:eastAsia="Times New Roman" w:hAnsi="Times New Roman"/>
                <w:sz w:val="13"/>
                <w:szCs w:val="13"/>
                <w:b w:val="1"/>
                <w:bCs w:val="1"/>
                <w:i w:val="1"/>
                <w:iCs w:val="1"/>
                <w:color w:val="auto"/>
                <w:w w:val="99"/>
              </w:rPr>
              <w:t>Joint Bookrunning Managers</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880" w:type="dxa"/>
            <w:vAlign w:val="bottom"/>
          </w:tcPr>
          <w:p>
            <w:pPr>
              <w:jc w:val="center"/>
              <w:ind w:right="919"/>
              <w:spacing w:after="0"/>
              <w:rPr>
                <w:sz w:val="20"/>
                <w:szCs w:val="20"/>
                <w:color w:val="auto"/>
              </w:rPr>
            </w:pPr>
            <w:r>
              <w:rPr>
                <w:rFonts w:ascii="Times New Roman" w:cs="Times New Roman" w:eastAsia="Times New Roman" w:hAnsi="Times New Roman"/>
                <w:sz w:val="17"/>
                <w:szCs w:val="17"/>
                <w:b w:val="1"/>
                <w:bCs w:val="1"/>
                <w:color w:val="auto"/>
              </w:rPr>
              <w:t>Barclays</w:t>
            </w:r>
          </w:p>
        </w:tc>
        <w:tc>
          <w:tcPr>
            <w:tcW w:w="2380" w:type="dxa"/>
            <w:vAlign w:val="bottom"/>
          </w:tcPr>
          <w:p>
            <w:pPr>
              <w:jc w:val="center"/>
              <w:ind w:right="202"/>
              <w:spacing w:after="0"/>
              <w:rPr>
                <w:sz w:val="20"/>
                <w:szCs w:val="20"/>
                <w:color w:val="auto"/>
              </w:rPr>
            </w:pPr>
            <w:r>
              <w:rPr>
                <w:rFonts w:ascii="Times New Roman" w:cs="Times New Roman" w:eastAsia="Times New Roman" w:hAnsi="Times New Roman"/>
                <w:sz w:val="17"/>
                <w:szCs w:val="17"/>
                <w:b w:val="1"/>
                <w:bCs w:val="1"/>
                <w:color w:val="auto"/>
                <w:w w:val="98"/>
              </w:rPr>
              <w:t>Citigroup</w:t>
            </w: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7"/>
                <w:szCs w:val="17"/>
                <w:b w:val="1"/>
                <w:bCs w:val="1"/>
                <w:color w:val="auto"/>
              </w:rPr>
              <w:t>Deutsche Bank Securities</w:t>
            </w:r>
          </w:p>
        </w:tc>
        <w:tc>
          <w:tcPr>
            <w:tcW w:w="0" w:type="dxa"/>
            <w:vAlign w:val="bottom"/>
          </w:tcPr>
          <w:p>
            <w:pPr>
              <w:spacing w:after="0"/>
              <w:rPr>
                <w:sz w:val="1"/>
                <w:szCs w:val="1"/>
                <w:color w:val="auto"/>
              </w:rPr>
            </w:pPr>
          </w:p>
        </w:tc>
      </w:tr>
      <w:tr>
        <w:trPr>
          <w:trHeight w:val="227"/>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7"/>
                <w:szCs w:val="17"/>
                <w:b w:val="1"/>
                <w:bCs w:val="1"/>
                <w:color w:val="auto"/>
              </w:rPr>
              <w:t>Jefferies</w:t>
            </w:r>
          </w:p>
        </w:tc>
        <w:tc>
          <w:tcPr>
            <w:tcW w:w="2380" w:type="dxa"/>
            <w:vAlign w:val="bottom"/>
            <w:vMerge w:val="restart"/>
          </w:tcPr>
          <w:p>
            <w:pPr>
              <w:jc w:val="center"/>
              <w:ind w:right="202"/>
              <w:spacing w:after="0"/>
              <w:rPr>
                <w:sz w:val="20"/>
                <w:szCs w:val="20"/>
                <w:color w:val="auto"/>
              </w:rPr>
            </w:pPr>
            <w:r>
              <w:rPr>
                <w:rFonts w:ascii="Times New Roman" w:cs="Times New Roman" w:eastAsia="Times New Roman" w:hAnsi="Times New Roman"/>
                <w:sz w:val="17"/>
                <w:szCs w:val="17"/>
                <w:b w:val="1"/>
                <w:bCs w:val="1"/>
                <w:color w:val="auto"/>
              </w:rPr>
              <w:t>Evercore ISI</w:t>
            </w: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7"/>
                <w:szCs w:val="17"/>
                <w:b w:val="1"/>
                <w:bCs w:val="1"/>
                <w:color w:val="auto"/>
              </w:rPr>
              <w:t>UBS Investment Bank</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80" w:type="dxa"/>
            <w:vAlign w:val="bottom"/>
          </w:tcPr>
          <w:p>
            <w:pPr>
              <w:jc w:val="center"/>
              <w:ind w:right="899"/>
              <w:spacing w:after="0" w:line="194" w:lineRule="exact"/>
              <w:rPr>
                <w:sz w:val="20"/>
                <w:szCs w:val="20"/>
                <w:color w:val="auto"/>
              </w:rPr>
            </w:pPr>
            <w:r>
              <w:rPr>
                <w:rFonts w:ascii="Times New Roman" w:cs="Times New Roman" w:eastAsia="Times New Roman" w:hAnsi="Times New Roman"/>
                <w:sz w:val="17"/>
                <w:szCs w:val="17"/>
                <w:b w:val="1"/>
                <w:bCs w:val="1"/>
                <w:color w:val="auto"/>
              </w:rPr>
              <w:t>BMO Capital Markets</w:t>
            </w:r>
          </w:p>
        </w:tc>
        <w:tc>
          <w:tcPr>
            <w:tcW w:w="2380" w:type="dxa"/>
            <w:vAlign w:val="bottom"/>
          </w:tcPr>
          <w:p>
            <w:pPr>
              <w:jc w:val="center"/>
              <w:ind w:right="202"/>
              <w:spacing w:after="0" w:line="194" w:lineRule="exact"/>
              <w:rPr>
                <w:sz w:val="20"/>
                <w:szCs w:val="20"/>
                <w:color w:val="auto"/>
              </w:rPr>
            </w:pPr>
            <w:r>
              <w:rPr>
                <w:rFonts w:ascii="Times New Roman" w:cs="Times New Roman" w:eastAsia="Times New Roman" w:hAnsi="Times New Roman"/>
                <w:sz w:val="17"/>
                <w:szCs w:val="17"/>
                <w:b w:val="1"/>
                <w:bCs w:val="1"/>
                <w:color w:val="auto"/>
              </w:rPr>
              <w:t>BNP PARIBAS</w:t>
            </w:r>
          </w:p>
        </w:tc>
        <w:tc>
          <w:tcPr>
            <w:tcW w:w="2540" w:type="dxa"/>
            <w:vAlign w:val="bottom"/>
          </w:tcPr>
          <w:p>
            <w:pPr>
              <w:jc w:val="center"/>
              <w:ind w:left="599"/>
              <w:spacing w:after="0" w:line="194" w:lineRule="exact"/>
              <w:rPr>
                <w:sz w:val="20"/>
                <w:szCs w:val="20"/>
                <w:color w:val="auto"/>
              </w:rPr>
            </w:pPr>
            <w:r>
              <w:rPr>
                <w:rFonts w:ascii="Times New Roman" w:cs="Times New Roman" w:eastAsia="Times New Roman" w:hAnsi="Times New Roman"/>
                <w:sz w:val="17"/>
                <w:szCs w:val="17"/>
                <w:b w:val="1"/>
                <w:bCs w:val="1"/>
                <w:color w:val="auto"/>
              </w:rPr>
              <w:t>MUFG</w:t>
            </w:r>
          </w:p>
        </w:tc>
        <w:tc>
          <w:tcPr>
            <w:tcW w:w="0" w:type="dxa"/>
            <w:vAlign w:val="bottom"/>
          </w:tcPr>
          <w:p>
            <w:pPr>
              <w:spacing w:after="0"/>
              <w:rPr>
                <w:sz w:val="1"/>
                <w:szCs w:val="1"/>
                <w:color w:val="auto"/>
              </w:rPr>
            </w:pPr>
          </w:p>
        </w:tc>
      </w:tr>
      <w:tr>
        <w:trPr>
          <w:trHeight w:val="194"/>
        </w:trPr>
        <w:tc>
          <w:tcPr>
            <w:tcW w:w="2880" w:type="dxa"/>
            <w:vAlign w:val="bottom"/>
          </w:tcPr>
          <w:p>
            <w:pPr>
              <w:jc w:val="center"/>
              <w:ind w:right="899"/>
              <w:spacing w:after="0" w:line="194" w:lineRule="exact"/>
              <w:rPr>
                <w:sz w:val="20"/>
                <w:szCs w:val="20"/>
                <w:color w:val="auto"/>
              </w:rPr>
            </w:pPr>
            <w:r>
              <w:rPr>
                <w:rFonts w:ascii="Times New Roman" w:cs="Times New Roman" w:eastAsia="Times New Roman" w:hAnsi="Times New Roman"/>
                <w:sz w:val="17"/>
                <w:szCs w:val="17"/>
                <w:b w:val="1"/>
                <w:bCs w:val="1"/>
                <w:color w:val="auto"/>
              </w:rPr>
              <w:t>RBC Capital Markets</w:t>
            </w:r>
          </w:p>
        </w:tc>
        <w:tc>
          <w:tcPr>
            <w:tcW w:w="2380" w:type="dxa"/>
            <w:vAlign w:val="bottom"/>
          </w:tcPr>
          <w:p>
            <w:pPr>
              <w:jc w:val="center"/>
              <w:ind w:right="202"/>
              <w:spacing w:after="0" w:line="194" w:lineRule="exact"/>
              <w:rPr>
                <w:sz w:val="20"/>
                <w:szCs w:val="20"/>
                <w:color w:val="auto"/>
              </w:rPr>
            </w:pPr>
            <w:r>
              <w:rPr>
                <w:rFonts w:ascii="Times New Roman" w:cs="Times New Roman" w:eastAsia="Times New Roman" w:hAnsi="Times New Roman"/>
                <w:sz w:val="17"/>
                <w:szCs w:val="17"/>
                <w:b w:val="1"/>
                <w:bCs w:val="1"/>
                <w:color w:val="auto"/>
              </w:rPr>
              <w:t>Santander</w:t>
            </w:r>
          </w:p>
        </w:tc>
        <w:tc>
          <w:tcPr>
            <w:tcW w:w="2540" w:type="dxa"/>
            <w:vAlign w:val="bottom"/>
          </w:tcPr>
          <w:p>
            <w:pPr>
              <w:jc w:val="center"/>
              <w:ind w:left="599"/>
              <w:spacing w:after="0" w:line="194" w:lineRule="exact"/>
              <w:rPr>
                <w:sz w:val="20"/>
                <w:szCs w:val="20"/>
                <w:color w:val="auto"/>
              </w:rPr>
            </w:pPr>
            <w:r>
              <w:rPr>
                <w:rFonts w:ascii="Times New Roman" w:cs="Times New Roman" w:eastAsia="Times New Roman" w:hAnsi="Times New Roman"/>
                <w:sz w:val="17"/>
                <w:szCs w:val="17"/>
                <w:b w:val="1"/>
                <w:bCs w:val="1"/>
                <w:color w:val="auto"/>
              </w:rPr>
              <w:t>SOCIETE GENERALE</w:t>
            </w:r>
          </w:p>
        </w:tc>
        <w:tc>
          <w:tcPr>
            <w:tcW w:w="0" w:type="dxa"/>
            <w:vAlign w:val="bottom"/>
          </w:tcPr>
          <w:p>
            <w:pPr>
              <w:spacing w:after="0"/>
              <w:rPr>
                <w:sz w:val="1"/>
                <w:szCs w:val="1"/>
                <w:color w:val="auto"/>
              </w:rPr>
            </w:pPr>
          </w:p>
        </w:tc>
      </w:tr>
      <w:tr>
        <w:trPr>
          <w:trHeight w:val="194"/>
        </w:trPr>
        <w:tc>
          <w:tcPr>
            <w:tcW w:w="2880" w:type="dxa"/>
            <w:vAlign w:val="bottom"/>
          </w:tcPr>
          <w:p>
            <w:pPr>
              <w:jc w:val="center"/>
              <w:ind w:right="899"/>
              <w:spacing w:after="0" w:line="194" w:lineRule="exact"/>
              <w:rPr>
                <w:sz w:val="20"/>
                <w:szCs w:val="20"/>
                <w:color w:val="auto"/>
              </w:rPr>
            </w:pPr>
            <w:r>
              <w:rPr>
                <w:rFonts w:ascii="Times New Roman" w:cs="Times New Roman" w:eastAsia="Times New Roman" w:hAnsi="Times New Roman"/>
                <w:sz w:val="17"/>
                <w:szCs w:val="17"/>
                <w:b w:val="1"/>
                <w:bCs w:val="1"/>
                <w:color w:val="auto"/>
              </w:rPr>
              <w:t>TD Cowen</w:t>
            </w:r>
          </w:p>
        </w:tc>
        <w:tc>
          <w:tcPr>
            <w:tcW w:w="2380" w:type="dxa"/>
            <w:vAlign w:val="bottom"/>
          </w:tcPr>
          <w:p>
            <w:pPr>
              <w:jc w:val="center"/>
              <w:ind w:right="182"/>
              <w:spacing w:after="0" w:line="194" w:lineRule="exact"/>
              <w:rPr>
                <w:sz w:val="20"/>
                <w:szCs w:val="20"/>
                <w:color w:val="auto"/>
              </w:rPr>
            </w:pPr>
            <w:r>
              <w:rPr>
                <w:rFonts w:ascii="Times New Roman" w:cs="Times New Roman" w:eastAsia="Times New Roman" w:hAnsi="Times New Roman"/>
                <w:sz w:val="17"/>
                <w:szCs w:val="17"/>
                <w:b w:val="1"/>
                <w:bCs w:val="1"/>
                <w:color w:val="auto"/>
              </w:rPr>
              <w:t>Wells Fargo Securities</w:t>
            </w:r>
          </w:p>
        </w:tc>
        <w:tc>
          <w:tcPr>
            <w:tcW w:w="2540" w:type="dxa"/>
            <w:vAlign w:val="bottom"/>
          </w:tcPr>
          <w:p>
            <w:pPr>
              <w:jc w:val="center"/>
              <w:ind w:left="599"/>
              <w:spacing w:after="0" w:line="194" w:lineRule="exact"/>
              <w:rPr>
                <w:sz w:val="20"/>
                <w:szCs w:val="20"/>
                <w:color w:val="auto"/>
              </w:rPr>
            </w:pPr>
            <w:r>
              <w:rPr>
                <w:rFonts w:ascii="Times New Roman" w:cs="Times New Roman" w:eastAsia="Times New Roman" w:hAnsi="Times New Roman"/>
                <w:sz w:val="17"/>
                <w:szCs w:val="17"/>
                <w:b w:val="1"/>
                <w:bCs w:val="1"/>
                <w:color w:val="auto"/>
              </w:rPr>
              <w:t>Wolfe | Nomura Alliance</w:t>
            </w:r>
          </w:p>
        </w:tc>
        <w:tc>
          <w:tcPr>
            <w:tcW w:w="0" w:type="dxa"/>
            <w:vAlign w:val="bottom"/>
          </w:tcPr>
          <w:p>
            <w:pPr>
              <w:spacing w:after="0"/>
              <w:rPr>
                <w:sz w:val="1"/>
                <w:szCs w:val="1"/>
                <w:color w:val="auto"/>
              </w:rPr>
            </w:pPr>
          </w:p>
        </w:tc>
      </w:tr>
      <w:tr>
        <w:trPr>
          <w:trHeight w:val="194"/>
        </w:trPr>
        <w:tc>
          <w:tcPr>
            <w:tcW w:w="2880" w:type="dxa"/>
            <w:vAlign w:val="bottom"/>
          </w:tcPr>
          <w:p>
            <w:pPr>
              <w:jc w:val="center"/>
              <w:ind w:right="899"/>
              <w:spacing w:after="0" w:line="194" w:lineRule="exact"/>
              <w:rPr>
                <w:sz w:val="20"/>
                <w:szCs w:val="20"/>
                <w:color w:val="auto"/>
              </w:rPr>
            </w:pPr>
            <w:r>
              <w:rPr>
                <w:rFonts w:ascii="Times New Roman" w:cs="Times New Roman" w:eastAsia="Times New Roman" w:hAnsi="Times New Roman"/>
                <w:sz w:val="17"/>
                <w:szCs w:val="17"/>
                <w:b w:val="1"/>
                <w:bCs w:val="1"/>
                <w:color w:val="auto"/>
              </w:rPr>
              <w:t>Leerink Partners</w:t>
            </w:r>
          </w:p>
        </w:tc>
        <w:tc>
          <w:tcPr>
            <w:tcW w:w="2380" w:type="dxa"/>
            <w:vAlign w:val="bottom"/>
          </w:tcPr>
          <w:p>
            <w:pPr>
              <w:jc w:val="center"/>
              <w:ind w:right="202"/>
              <w:spacing w:after="0" w:line="194" w:lineRule="exact"/>
              <w:rPr>
                <w:sz w:val="20"/>
                <w:szCs w:val="20"/>
                <w:color w:val="auto"/>
              </w:rPr>
            </w:pPr>
            <w:r>
              <w:rPr>
                <w:rFonts w:ascii="Times New Roman" w:cs="Times New Roman" w:eastAsia="Times New Roman" w:hAnsi="Times New Roman"/>
                <w:sz w:val="17"/>
                <w:szCs w:val="17"/>
                <w:b w:val="1"/>
                <w:bCs w:val="1"/>
                <w:color w:val="auto"/>
              </w:rPr>
              <w:t>Macquarie Capital</w:t>
            </w:r>
          </w:p>
        </w:tc>
        <w:tc>
          <w:tcPr>
            <w:tcW w:w="2540" w:type="dxa"/>
            <w:vAlign w:val="bottom"/>
          </w:tcPr>
          <w:p>
            <w:pPr>
              <w:jc w:val="center"/>
              <w:ind w:left="599"/>
              <w:spacing w:after="0" w:line="194" w:lineRule="exact"/>
              <w:rPr>
                <w:sz w:val="20"/>
                <w:szCs w:val="20"/>
                <w:color w:val="auto"/>
              </w:rPr>
            </w:pPr>
            <w:r>
              <w:rPr>
                <w:rFonts w:ascii="Times New Roman" w:cs="Times New Roman" w:eastAsia="Times New Roman" w:hAnsi="Times New Roman"/>
                <w:sz w:val="17"/>
                <w:szCs w:val="17"/>
                <w:b w:val="1"/>
                <w:bCs w:val="1"/>
                <w:color w:val="auto"/>
              </w:rPr>
              <w:t>Mizuho</w:t>
            </w:r>
          </w:p>
        </w:tc>
        <w:tc>
          <w:tcPr>
            <w:tcW w:w="0" w:type="dxa"/>
            <w:vAlign w:val="bottom"/>
          </w:tcPr>
          <w:p>
            <w:pPr>
              <w:spacing w:after="0"/>
              <w:rPr>
                <w:sz w:val="1"/>
                <w:szCs w:val="1"/>
                <w:color w:val="auto"/>
              </w:rPr>
            </w:pPr>
          </w:p>
        </w:tc>
      </w:tr>
      <w:tr>
        <w:trPr>
          <w:trHeight w:val="227"/>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7"/>
                <w:szCs w:val="17"/>
                <w:b w:val="1"/>
                <w:bCs w:val="1"/>
                <w:color w:val="auto"/>
              </w:rPr>
              <w:t>Piper Sandler</w:t>
            </w:r>
          </w:p>
        </w:tc>
        <w:tc>
          <w:tcPr>
            <w:tcW w:w="2380" w:type="dxa"/>
            <w:vAlign w:val="bottom"/>
          </w:tcPr>
          <w:p>
            <w:pPr>
              <w:jc w:val="center"/>
              <w:ind w:right="202"/>
              <w:spacing w:after="0"/>
              <w:rPr>
                <w:sz w:val="20"/>
                <w:szCs w:val="20"/>
                <w:color w:val="auto"/>
              </w:rPr>
            </w:pPr>
            <w:r>
              <w:rPr>
                <w:rFonts w:ascii="Times New Roman" w:cs="Times New Roman" w:eastAsia="Times New Roman" w:hAnsi="Times New Roman"/>
                <w:sz w:val="17"/>
                <w:szCs w:val="17"/>
                <w:b w:val="1"/>
                <w:bCs w:val="1"/>
                <w:color w:val="auto"/>
              </w:rPr>
              <w:t>Truist Securities</w:t>
            </w: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7"/>
                <w:szCs w:val="17"/>
                <w:b w:val="1"/>
                <w:bCs w:val="1"/>
                <w:color w:val="auto"/>
              </w:rPr>
              <w:t>William Blair</w:t>
            </w:r>
          </w:p>
        </w:tc>
        <w:tc>
          <w:tcPr>
            <w:tcW w:w="0" w:type="dxa"/>
            <w:vAlign w:val="bottom"/>
          </w:tcPr>
          <w:p>
            <w:pPr>
              <w:spacing w:after="0"/>
              <w:rPr>
                <w:sz w:val="1"/>
                <w:szCs w:val="1"/>
                <w:color w:val="auto"/>
              </w:rPr>
            </w:pPr>
          </w:p>
        </w:tc>
      </w:tr>
      <w:tr>
        <w:trPr>
          <w:trHeight w:val="320"/>
        </w:trPr>
        <w:tc>
          <w:tcPr>
            <w:tcW w:w="2880" w:type="dxa"/>
            <w:vAlign w:val="bottom"/>
          </w:tcPr>
          <w:p>
            <w:pPr>
              <w:spacing w:after="0"/>
              <w:rPr>
                <w:sz w:val="24"/>
                <w:szCs w:val="24"/>
                <w:color w:val="auto"/>
              </w:rPr>
            </w:pPr>
          </w:p>
        </w:tc>
        <w:tc>
          <w:tcPr>
            <w:tcW w:w="2380" w:type="dxa"/>
            <w:vAlign w:val="bottom"/>
          </w:tcPr>
          <w:p>
            <w:pPr>
              <w:jc w:val="center"/>
              <w:ind w:right="302"/>
              <w:spacing w:after="0"/>
              <w:rPr>
                <w:sz w:val="20"/>
                <w:szCs w:val="20"/>
                <w:color w:val="auto"/>
              </w:rPr>
            </w:pPr>
            <w:r>
              <w:rPr>
                <w:rFonts w:ascii="Times New Roman" w:cs="Times New Roman" w:eastAsia="Times New Roman" w:hAnsi="Times New Roman"/>
                <w:sz w:val="13"/>
                <w:szCs w:val="13"/>
                <w:b w:val="1"/>
                <w:bCs w:val="1"/>
                <w:i w:val="1"/>
                <w:iCs w:val="1"/>
                <w:color w:val="auto"/>
                <w:w w:val="97"/>
              </w:rPr>
              <w:t>Co-Managers</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Blackstone Capital Markets</w:t>
            </w:r>
          </w:p>
        </w:tc>
        <w:tc>
          <w:tcPr>
            <w:tcW w:w="2380" w:type="dxa"/>
            <w:vAlign w:val="bottom"/>
          </w:tcPr>
          <w:p>
            <w:pPr>
              <w:spacing w:after="0"/>
              <w:rPr>
                <w:sz w:val="24"/>
                <w:szCs w:val="24"/>
                <w:color w:val="auto"/>
              </w:rPr>
            </w:pP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Carlyle</w:t>
            </w:r>
          </w:p>
        </w:tc>
        <w:tc>
          <w:tcPr>
            <w:tcW w:w="0" w:type="dxa"/>
            <w:vAlign w:val="bottom"/>
          </w:tcPr>
          <w:p>
            <w:pPr>
              <w:spacing w:after="0"/>
              <w:rPr>
                <w:sz w:val="1"/>
                <w:szCs w:val="1"/>
                <w:color w:val="auto"/>
              </w:rPr>
            </w:pPr>
          </w:p>
        </w:tc>
      </w:tr>
      <w:tr>
        <w:trPr>
          <w:trHeight w:val="172"/>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w w:val="99"/>
              </w:rPr>
              <w:t>Baird</w:t>
            </w:r>
          </w:p>
        </w:tc>
        <w:tc>
          <w:tcPr>
            <w:tcW w:w="23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Rothschild &amp; Co</w:t>
            </w: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w w:val="96"/>
              </w:rPr>
              <w:t>Stifel</w:t>
            </w:r>
          </w:p>
        </w:tc>
        <w:tc>
          <w:tcPr>
            <w:tcW w:w="0" w:type="dxa"/>
            <w:vAlign w:val="bottom"/>
          </w:tcPr>
          <w:p>
            <w:pPr>
              <w:spacing w:after="0"/>
              <w:rPr>
                <w:sz w:val="1"/>
                <w:szCs w:val="1"/>
                <w:color w:val="auto"/>
              </w:rPr>
            </w:pPr>
          </w:p>
        </w:tc>
      </w:tr>
      <w:tr>
        <w:trPr>
          <w:trHeight w:val="172"/>
        </w:trPr>
        <w:tc>
          <w:tcPr>
            <w:tcW w:w="2880" w:type="dxa"/>
            <w:vAlign w:val="bottom"/>
          </w:tcPr>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BTIG</w:t>
            </w:r>
          </w:p>
        </w:tc>
        <w:tc>
          <w:tcPr>
            <w:tcW w:w="23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8"/>
              </w:rPr>
              <w:t>ING</w:t>
            </w: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IMI - Intesa Sanpaolo</w:t>
            </w:r>
          </w:p>
        </w:tc>
        <w:tc>
          <w:tcPr>
            <w:tcW w:w="0" w:type="dxa"/>
            <w:vAlign w:val="bottom"/>
          </w:tcPr>
          <w:p>
            <w:pPr>
              <w:spacing w:after="0"/>
              <w:rPr>
                <w:sz w:val="1"/>
                <w:szCs w:val="1"/>
                <w:color w:val="auto"/>
              </w:rPr>
            </w:pPr>
          </w:p>
        </w:tc>
      </w:tr>
      <w:tr>
        <w:trPr>
          <w:trHeight w:val="172"/>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NCMG</w:t>
            </w:r>
          </w:p>
        </w:tc>
        <w:tc>
          <w:tcPr>
            <w:tcW w:w="2380" w:type="dxa"/>
            <w:vAlign w:val="bottom"/>
          </w:tcPr>
          <w:p>
            <w:pPr>
              <w:spacing w:after="0"/>
              <w:rPr>
                <w:sz w:val="14"/>
                <w:szCs w:val="14"/>
                <w:color w:val="auto"/>
              </w:rPr>
            </w:pP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Perella Weinberg</w:t>
            </w:r>
          </w:p>
        </w:tc>
        <w:tc>
          <w:tcPr>
            <w:tcW w:w="0" w:type="dxa"/>
            <w:vAlign w:val="bottom"/>
          </w:tcPr>
          <w:p>
            <w:pPr>
              <w:spacing w:after="0"/>
              <w:rPr>
                <w:sz w:val="1"/>
                <w:szCs w:val="1"/>
                <w:color w:val="auto"/>
              </w:rPr>
            </w:pPr>
          </w:p>
        </w:tc>
      </w:tr>
      <w:tr>
        <w:trPr>
          <w:trHeight w:val="172"/>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Academy Securities</w:t>
            </w:r>
          </w:p>
        </w:tc>
        <w:tc>
          <w:tcPr>
            <w:tcW w:w="23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AmeriVet Securities</w:t>
            </w: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Blaylock Van, LLC</w:t>
            </w:r>
          </w:p>
        </w:tc>
        <w:tc>
          <w:tcPr>
            <w:tcW w:w="0" w:type="dxa"/>
            <w:vAlign w:val="bottom"/>
          </w:tcPr>
          <w:p>
            <w:pPr>
              <w:spacing w:after="0"/>
              <w:rPr>
                <w:sz w:val="1"/>
                <w:szCs w:val="1"/>
                <w:color w:val="auto"/>
              </w:rPr>
            </w:pPr>
          </w:p>
        </w:tc>
      </w:tr>
      <w:tr>
        <w:trPr>
          <w:trHeight w:val="172"/>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C.L. King &amp; Associates</w:t>
            </w:r>
          </w:p>
        </w:tc>
        <w:tc>
          <w:tcPr>
            <w:tcW w:w="23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Drexel Hamilton</w:t>
            </w: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Loop Capital Markets</w:t>
            </w:r>
          </w:p>
        </w:tc>
        <w:tc>
          <w:tcPr>
            <w:tcW w:w="0" w:type="dxa"/>
            <w:vAlign w:val="bottom"/>
          </w:tcPr>
          <w:p>
            <w:pPr>
              <w:spacing w:after="0"/>
              <w:rPr>
                <w:sz w:val="1"/>
                <w:szCs w:val="1"/>
                <w:color w:val="auto"/>
              </w:rPr>
            </w:pPr>
          </w:p>
        </w:tc>
      </w:tr>
      <w:tr>
        <w:trPr>
          <w:trHeight w:val="172"/>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Mischler Financial Group, Inc.</w:t>
            </w:r>
          </w:p>
        </w:tc>
        <w:tc>
          <w:tcPr>
            <w:tcW w:w="23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R. Seelaus &amp; Co., LLC</w:t>
            </w: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Ramirez &amp; Co., Inc.</w:t>
            </w:r>
          </w:p>
        </w:tc>
        <w:tc>
          <w:tcPr>
            <w:tcW w:w="0" w:type="dxa"/>
            <w:vAlign w:val="bottom"/>
          </w:tcPr>
          <w:p>
            <w:pPr>
              <w:spacing w:after="0"/>
              <w:rPr>
                <w:sz w:val="1"/>
                <w:szCs w:val="1"/>
                <w:color w:val="auto"/>
              </w:rPr>
            </w:pPr>
          </w:p>
        </w:tc>
      </w:tr>
      <w:tr>
        <w:trPr>
          <w:trHeight w:val="188"/>
        </w:trPr>
        <w:tc>
          <w:tcPr>
            <w:tcW w:w="288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Siebert Williams Shank</w:t>
            </w:r>
          </w:p>
        </w:tc>
        <w:tc>
          <w:tcPr>
            <w:tcW w:w="2380" w:type="dxa"/>
            <w:vAlign w:val="bottom"/>
          </w:tcPr>
          <w:p>
            <w:pPr>
              <w:spacing w:after="0"/>
              <w:rPr>
                <w:sz w:val="16"/>
                <w:szCs w:val="16"/>
                <w:color w:val="auto"/>
              </w:rPr>
            </w:pPr>
          </w:p>
        </w:tc>
        <w:tc>
          <w:tcPr>
            <w:tcW w:w="254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Tigress Financial Partners</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3"/>
          <w:szCs w:val="13"/>
          <w:b w:val="1"/>
          <w:bCs w:val="1"/>
          <w:color w:val="auto"/>
        </w:rPr>
        <w:t>The date of this prospectus is March 4, 2026.</w:t>
      </w:r>
    </w:p>
    <w:p>
      <w:pPr>
        <w:sectPr>
          <w:pgSz w:w="11900" w:h="16838" w:orient="portrait"/>
          <w:cols w:equalWidth="0" w:num="1">
            <w:col w:w="10159"/>
          </w:cols>
          <w:pgMar w:left="30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174625</wp:posOffset>
            </wp:positionV>
            <wp:extent cx="5739130" cy="7378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9130" cy="7378700"/>
                    </a:xfrm>
                    <a:prstGeom prst="rect">
                      <a:avLst/>
                    </a:prstGeom>
                    <a:noFill/>
                  </pic:spPr>
                </pic:pic>
              </a:graphicData>
            </a:graphic>
          </wp:anchor>
        </w:drawing>
      </w:r>
    </w:p>
    <w:p>
      <w:pPr>
        <w:sectPr>
          <w:pgSz w:w="11900" w:h="16838" w:orient="portrait"/>
          <w:cols w:equalWidth="0" w:num="1">
            <w:col w:w="10159"/>
          </w:cols>
          <w:pgMar w:left="300" w:top="39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174625</wp:posOffset>
            </wp:positionV>
            <wp:extent cx="5739130" cy="7378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9130" cy="7378700"/>
                    </a:xfrm>
                    <a:prstGeom prst="rect">
                      <a:avLst/>
                    </a:prstGeom>
                    <a:noFill/>
                  </pic:spPr>
                </pic:pic>
              </a:graphicData>
            </a:graphic>
          </wp:anchor>
        </w:drawing>
      </w:r>
    </w:p>
    <w:p>
      <w:pPr>
        <w:sectPr>
          <w:pgSz w:w="11900" w:h="16838" w:orient="portrait"/>
          <w:cols w:equalWidth="0" w:num="1">
            <w:col w:w="10159"/>
          </w:cols>
          <w:pgMar w:left="300" w:top="39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174625</wp:posOffset>
            </wp:positionV>
            <wp:extent cx="4919345" cy="6558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9345" cy="6558915"/>
                    </a:xfrm>
                    <a:prstGeom prst="rect">
                      <a:avLst/>
                    </a:prstGeom>
                    <a:noFill/>
                  </pic:spPr>
                </pic:pic>
              </a:graphicData>
            </a:graphic>
          </wp:anchor>
        </w:drawing>
      </w:r>
    </w:p>
    <w:p>
      <w:pPr>
        <w:sectPr>
          <w:pgSz w:w="11900" w:h="16838" w:orient="portrait"/>
          <w:cols w:equalWidth="0" w:num="1">
            <w:col w:w="10159"/>
          </w:cols>
          <w:pgMar w:left="300" w:top="39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w w:val="99"/>
              </w:rPr>
              <w:t>Summary</w:t>
            </w:r>
          </w:p>
        </w:tc>
        <w:tc>
          <w:tcPr>
            <w:tcW w:w="7920" w:type="dxa"/>
            <w:vAlign w:val="bottom"/>
            <w:gridSpan w:val="20"/>
            <w:vMerge w:val="restart"/>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6"/>
        </w:trPr>
        <w:tc>
          <w:tcPr>
            <w:tcW w:w="560" w:type="dxa"/>
            <w:vAlign w:val="bottom"/>
            <w:tcBorders>
              <w:bottom w:val="single" w:sz="8" w:color="0000EE"/>
            </w:tcBorders>
            <w:gridSpan w:val="2"/>
            <w:vMerge w:val="continue"/>
          </w:tcPr>
          <w:p>
            <w:pPr>
              <w:spacing w:after="0"/>
              <w:rPr>
                <w:sz w:val="11"/>
                <w:szCs w:val="11"/>
                <w:color w:val="auto"/>
              </w:rPr>
            </w:pPr>
          </w:p>
        </w:tc>
        <w:tc>
          <w:tcPr>
            <w:tcW w:w="7920" w:type="dxa"/>
            <w:vAlign w:val="bottom"/>
            <w:gridSpan w:val="20"/>
            <w:vMerge w:val="continue"/>
          </w:tcPr>
          <w:p>
            <w:pPr>
              <w:spacing w:after="0"/>
              <w:rPr>
                <w:sz w:val="11"/>
                <w:szCs w:val="11"/>
                <w:color w:val="auto"/>
              </w:rPr>
            </w:pPr>
          </w:p>
        </w:tc>
        <w:tc>
          <w:tcPr>
            <w:tcW w:w="2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20" w:type="dxa"/>
            <w:vAlign w:val="bottom"/>
            <w:tcBorders>
              <w:bottom w:val="single" w:sz="8" w:color="0000EE"/>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EE"/>
                <w:w w:val="99"/>
              </w:rPr>
              <w:t>Risk Factors</w:t>
            </w:r>
          </w:p>
        </w:tc>
        <w:tc>
          <w:tcPr>
            <w:tcW w:w="7760" w:type="dxa"/>
            <w:vAlign w:val="bottom"/>
            <w:gridSpan w:val="19"/>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52"/>
        </w:trPr>
        <w:tc>
          <w:tcPr>
            <w:tcW w:w="1680" w:type="dxa"/>
            <w:vAlign w:val="bottom"/>
            <w:tcBorders>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rPr>
              <w:t>Forward-Looking Statements</w:t>
            </w:r>
          </w:p>
        </w:tc>
        <w:tc>
          <w:tcPr>
            <w:tcW w:w="6800" w:type="dxa"/>
            <w:vAlign w:val="bottom"/>
            <w:gridSpan w:val="10"/>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52"/>
        </w:trPr>
        <w:tc>
          <w:tcPr>
            <w:tcW w:w="1480" w:type="dxa"/>
            <w:vAlign w:val="bottom"/>
            <w:tcBorders>
              <w:bottom w:val="single" w:sz="8" w:color="0000EE"/>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EE"/>
              </w:rPr>
              <w:t>Market and Industry Data</w:t>
            </w:r>
          </w:p>
        </w:tc>
        <w:tc>
          <w:tcPr>
            <w:tcW w:w="7000" w:type="dxa"/>
            <w:vAlign w:val="bottom"/>
            <w:gridSpan w:val="12"/>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2"/>
        </w:trPr>
        <w:tc>
          <w:tcPr>
            <w:tcW w:w="2660" w:type="dxa"/>
            <w:vAlign w:val="bottom"/>
            <w:tcBorders>
              <w:bottom w:val="single" w:sz="8" w:color="0000EE"/>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EE"/>
              </w:rPr>
              <w:t>Trademarks, Trade Names, and Service Marks</w:t>
            </w:r>
          </w:p>
        </w:tc>
        <w:tc>
          <w:tcPr>
            <w:tcW w:w="5820" w:type="dxa"/>
            <w:vAlign w:val="bottom"/>
            <w:gridSpan w:val="4"/>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52"/>
        </w:trPr>
        <w:tc>
          <w:tcPr>
            <w:tcW w:w="84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Organizational Structure</w:t>
            </w: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52"/>
        </w:trPr>
        <w:tc>
          <w:tcPr>
            <w:tcW w:w="1400" w:type="dxa"/>
            <w:vAlign w:val="bottom"/>
            <w:tcBorders>
              <w:top w:val="single" w:sz="8" w:color="0000EE"/>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EE"/>
              </w:rPr>
              <w:t>Use of Proceeds</w:t>
            </w:r>
          </w:p>
        </w:tc>
        <w:tc>
          <w:tcPr>
            <w:tcW w:w="7080" w:type="dxa"/>
            <w:vAlign w:val="bottom"/>
            <w:gridSpan w:val="13"/>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940" w:type="dxa"/>
            <w:vAlign w:val="bottom"/>
            <w:tcBorders>
              <w:bottom w:val="single" w:sz="8" w:color="0000EE"/>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EE"/>
              </w:rPr>
              <w:t>Dividend Policy</w:t>
            </w:r>
          </w:p>
        </w:tc>
        <w:tc>
          <w:tcPr>
            <w:tcW w:w="7540" w:type="dxa"/>
            <w:vAlign w:val="bottom"/>
            <w:gridSpan w:val="14"/>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52"/>
        </w:trPr>
        <w:tc>
          <w:tcPr>
            <w:tcW w:w="82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rPr>
              <w:t>Capitalization</w:t>
            </w:r>
          </w:p>
        </w:tc>
        <w:tc>
          <w:tcPr>
            <w:tcW w:w="7660" w:type="dxa"/>
            <w:vAlign w:val="bottom"/>
            <w:gridSpan w:val="16"/>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52"/>
        </w:trPr>
        <w:tc>
          <w:tcPr>
            <w:tcW w:w="3320" w:type="dxa"/>
            <w:vAlign w:val="bottom"/>
            <w:tcBorders>
              <w:bottom w:val="single" w:sz="8" w:color="0000EE"/>
            </w:tcBorders>
            <w:gridSpan w:val="20"/>
          </w:tcPr>
          <w:p>
            <w:pPr>
              <w:spacing w:after="0" w:line="152" w:lineRule="exact"/>
              <w:rPr>
                <w:sz w:val="20"/>
                <w:szCs w:val="20"/>
                <w:color w:val="auto"/>
              </w:rPr>
            </w:pPr>
            <w:r>
              <w:rPr>
                <w:rFonts w:ascii="Times New Roman" w:cs="Times New Roman" w:eastAsia="Times New Roman" w:hAnsi="Times New Roman"/>
                <w:sz w:val="14"/>
                <w:szCs w:val="14"/>
                <w:color w:val="0000EE"/>
              </w:rPr>
              <w:t>Unaudited Pro Forma Consolidated Financial Information</w:t>
            </w:r>
          </w:p>
        </w:tc>
        <w:tc>
          <w:tcPr>
            <w:tcW w:w="5160" w:type="dxa"/>
            <w:vAlign w:val="bottom"/>
            <w:gridSpan w:val="2"/>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2"/>
        </w:trPr>
        <w:tc>
          <w:tcPr>
            <w:tcW w:w="84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Management</w:t>
            </w: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140" w:type="dxa"/>
            <w:vAlign w:val="bottom"/>
            <w:tcBorders>
              <w:bottom w:val="single" w:sz="8" w:color="0000EE"/>
            </w:tcBorders>
            <w:gridSpan w:val="19"/>
          </w:tcPr>
          <w:p>
            <w:pPr>
              <w:spacing w:after="0" w:line="152" w:lineRule="exact"/>
              <w:rPr>
                <w:sz w:val="20"/>
                <w:szCs w:val="20"/>
                <w:color w:val="auto"/>
              </w:rPr>
            </w:pPr>
            <w:r>
              <w:rPr>
                <w:rFonts w:ascii="Times New Roman" w:cs="Times New Roman" w:eastAsia="Times New Roman" w:hAnsi="Times New Roman"/>
                <w:sz w:val="14"/>
                <w:szCs w:val="14"/>
                <w:color w:val="0000EE"/>
              </w:rPr>
              <w:t>Certain Relationships and Related Person Transactions</w:t>
            </w:r>
          </w:p>
        </w:tc>
        <w:tc>
          <w:tcPr>
            <w:tcW w:w="5340" w:type="dxa"/>
            <w:vAlign w:val="bottom"/>
            <w:gridSpan w:val="3"/>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52"/>
        </w:trPr>
        <w:tc>
          <w:tcPr>
            <w:tcW w:w="84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Principal and Selling Stockholders</w:t>
            </w: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4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Description of Certain Indebtedness</w:t>
            </w: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2"/>
        </w:trPr>
        <w:tc>
          <w:tcPr>
            <w:tcW w:w="1640" w:type="dxa"/>
            <w:vAlign w:val="bottom"/>
            <w:tcBorders>
              <w:top w:val="single" w:sz="8" w:color="0000EE"/>
              <w:bottom w:val="single" w:sz="8" w:color="0000EE"/>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20" w:type="dxa"/>
            <w:vAlign w:val="bottom"/>
            <w:tcBorders>
              <w:top w:val="single" w:sz="8" w:color="0000EE"/>
            </w:tcBorders>
            <w:gridSpan w:val="4"/>
          </w:tcPr>
          <w:p>
            <w:pPr>
              <w:spacing w:after="0"/>
              <w:rPr>
                <w:sz w:val="13"/>
                <w:szCs w:val="13"/>
                <w:color w:val="auto"/>
              </w:rPr>
            </w:pPr>
          </w:p>
        </w:tc>
        <w:tc>
          <w:tcPr>
            <w:tcW w:w="6420" w:type="dxa"/>
            <w:vAlign w:val="bottom"/>
            <w:gridSpan w:val="7"/>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52"/>
        </w:trPr>
        <w:tc>
          <w:tcPr>
            <w:tcW w:w="84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Certain U.S. Federal Income Tax Consequences to Non-U.S. Holders</w:t>
            </w: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52"/>
        </w:trPr>
        <w:tc>
          <w:tcPr>
            <w:tcW w:w="3960" w:type="dxa"/>
            <w:vAlign w:val="bottom"/>
            <w:tcBorders>
              <w:top w:val="single" w:sz="8" w:color="0000EE"/>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EE"/>
              </w:rPr>
              <w:t>Underwriting (Conflicts of Interest)</w:t>
            </w:r>
          </w:p>
        </w:tc>
        <w:tc>
          <w:tcPr>
            <w:tcW w:w="4520" w:type="dxa"/>
            <w:vAlign w:val="bottom"/>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52"/>
        </w:trPr>
        <w:tc>
          <w:tcPr>
            <w:tcW w:w="800" w:type="dxa"/>
            <w:vAlign w:val="bottom"/>
            <w:tcBorders>
              <w:top w:val="single" w:sz="8" w:color="0000EE"/>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EE"/>
                <w:w w:val="99"/>
              </w:rPr>
              <w:t>Legal Matters</w:t>
            </w:r>
          </w:p>
        </w:tc>
        <w:tc>
          <w:tcPr>
            <w:tcW w:w="1240" w:type="dxa"/>
            <w:vAlign w:val="bottom"/>
            <w:tcBorders>
              <w:top w:val="single" w:sz="8" w:color="0000EE"/>
            </w:tcBorders>
            <w:gridSpan w:val="9"/>
          </w:tcPr>
          <w:p>
            <w:pPr>
              <w:spacing w:after="0"/>
              <w:rPr>
                <w:sz w:val="13"/>
                <w:szCs w:val="13"/>
                <w:color w:val="auto"/>
              </w:rPr>
            </w:pPr>
          </w:p>
        </w:tc>
        <w:tc>
          <w:tcPr>
            <w:tcW w:w="6440" w:type="dxa"/>
            <w:vAlign w:val="bottom"/>
            <w:gridSpan w:val="8"/>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52"/>
        </w:trPr>
        <w:tc>
          <w:tcPr>
            <w:tcW w:w="440" w:type="dxa"/>
            <w:vAlign w:val="bottom"/>
            <w:tcBorders>
              <w:bottom w:val="single" w:sz="8" w:color="0000EE"/>
            </w:tcBorders>
          </w:tcPr>
          <w:p>
            <w:pPr>
              <w:spacing w:after="0" w:line="152" w:lineRule="exact"/>
              <w:rPr>
                <w:sz w:val="20"/>
                <w:szCs w:val="20"/>
                <w:color w:val="auto"/>
              </w:rPr>
            </w:pPr>
            <w:r>
              <w:rPr>
                <w:rFonts w:ascii="Times New Roman" w:cs="Times New Roman" w:eastAsia="Times New Roman" w:hAnsi="Times New Roman"/>
                <w:sz w:val="14"/>
                <w:szCs w:val="14"/>
                <w:color w:val="0000EE"/>
                <w:w w:val="98"/>
              </w:rPr>
              <w:t>Experts</w:t>
            </w:r>
          </w:p>
        </w:tc>
        <w:tc>
          <w:tcPr>
            <w:tcW w:w="8040" w:type="dxa"/>
            <w:vAlign w:val="bottom"/>
            <w:gridSpan w:val="21"/>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52"/>
        </w:trPr>
        <w:tc>
          <w:tcPr>
            <w:tcW w:w="2280" w:type="dxa"/>
            <w:vAlign w:val="bottom"/>
            <w:tcBorders>
              <w:bottom w:val="single" w:sz="8" w:color="0000EE"/>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6200" w:type="dxa"/>
            <w:vAlign w:val="bottom"/>
            <w:gridSpan w:val="5"/>
          </w:tcPr>
          <w:p>
            <w:pPr>
              <w:spacing w:after="0"/>
              <w:rPr>
                <w:sz w:val="13"/>
                <w:szCs w:val="13"/>
                <w:color w:val="auto"/>
              </w:rPr>
            </w:pP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52"/>
        </w:trPr>
        <w:tc>
          <w:tcPr>
            <w:tcW w:w="848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EE"/>
              </w:rPr>
              <w:t>Information Incorporated by Reference</w:t>
            </w:r>
          </w:p>
        </w:tc>
        <w:tc>
          <w:tcPr>
            <w:tcW w:w="28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Neither we, the selling stockholders, nor the underwriters have authorized anyone to provide you with information different from that contained or incorporated by reference in this prospectus, any amendment or supplement to this prospectus, or any free writing prospectus prepared by us or authorized to be provided on our behalf. Neither we, the selling stockholders, nor the underwriters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authorized to be provided on our behalf. You should assume that the information appearing in this prospectus or in any free writing prospectus prepared by us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those dates.</w:t>
      </w:r>
    </w:p>
    <w:p>
      <w:pPr>
        <w:spacing w:after="0" w:line="321" w:lineRule="exact"/>
        <w:rPr>
          <w:sz w:val="20"/>
          <w:szCs w:val="20"/>
          <w:color w:val="auto"/>
        </w:rPr>
      </w:pPr>
    </w:p>
    <w:p>
      <w:pPr>
        <w:ind w:left="1260" w:right="219" w:firstLine="351"/>
        <w:spacing w:after="0" w:line="265" w:lineRule="auto"/>
        <w:rPr>
          <w:sz w:val="20"/>
          <w:szCs w:val="20"/>
          <w:color w:val="auto"/>
        </w:rPr>
      </w:pPr>
      <w:r>
        <w:rPr>
          <w:rFonts w:ascii="Times New Roman" w:cs="Times New Roman" w:eastAsia="Times New Roman" w:hAnsi="Times New Roman"/>
          <w:sz w:val="14"/>
          <w:szCs w:val="14"/>
          <w:color w:val="auto"/>
        </w:rPr>
        <w:t>We, the selling stockholders, and the underwriters are offering to sell, and seeking offers to buy, shares of our Class A common stock only in jurisdictions where offers and sales are permitted.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5" w:lineRule="exact"/>
        <w:rPr>
          <w:sz w:val="20"/>
          <w:szCs w:val="20"/>
          <w:color w:val="auto"/>
        </w:rPr>
      </w:pPr>
    </w:p>
    <w:p>
      <w:pPr>
        <w:ind w:left="1260" w:right="219" w:firstLine="351"/>
        <w:spacing w:after="0" w:line="261" w:lineRule="auto"/>
        <w:rPr>
          <w:sz w:val="20"/>
          <w:szCs w:val="20"/>
          <w:color w:val="auto"/>
        </w:rPr>
      </w:pPr>
      <w:r>
        <w:rPr>
          <w:rFonts w:ascii="Times New Roman" w:cs="Times New Roman" w:eastAsia="Times New Roman" w:hAnsi="Times New Roman"/>
          <w:sz w:val="14"/>
          <w:szCs w:val="14"/>
          <w:color w:val="auto"/>
        </w:rPr>
        <w:t>Following the IPO Transactions (as defined below), Medline Holdings, LP (“Medline Holdings”) became the predecessor of Medline Inc. for financial reporting purposes.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(as defined herein) lacked economic substance and therefore were accounted for in a manner consistent with a reorganization of entities under common control. As a result, the consolidated financial statements of Medline Inc. recognize the assets and liabilities received in the Reorganization Transactions at their historical carrying amounts, as reflected in the historical financial statements of Medline Holdings. Medline Inc. consolidates Medline Holdings on its consolidated financial statements and records a non-controlling interest related to the Units (as defined herein) held by the Continuing Unitholders (as defined herein) on its consolidated balance sheet and statement of comprehensive income. See “Organizational Structure.”</w:t>
      </w:r>
    </w:p>
    <w:p>
      <w:pPr>
        <w:spacing w:after="0" w:line="146"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Medline Inc. had no significant business transactions or activities prior to the Reorganization Transactions, and, as a result, the historical financial information prior to the completion of the Reorganization Transactions reflects that of Medline Holdings.</w:t>
      </w:r>
    </w:p>
    <w:p>
      <w:pPr>
        <w:spacing w:after="0" w:line="123"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44" w:lineRule="exact"/>
        <w:rPr>
          <w:sz w:val="20"/>
          <w:szCs w:val="20"/>
          <w:color w:val="auto"/>
        </w:rPr>
      </w:pPr>
    </w:p>
    <w:p>
      <w:pPr>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IPO Transactions (as defined herein), to Medline Holdings, LP and its consolidated subsidiaries and (2) after the IPO Transactions to Medline Inc. and its consolidated subsidiaries.</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As used in this prospectus, unless otherwise noted or the context requires otherwise:</w:t>
      </w:r>
    </w:p>
    <w:p>
      <w:pPr>
        <w:spacing w:after="0" w:line="108" w:lineRule="exact"/>
        <w:rPr>
          <w:sz w:val="20"/>
          <w:szCs w:val="20"/>
          <w:color w:val="auto"/>
        </w:rPr>
      </w:pPr>
    </w:p>
    <w:p>
      <w:pPr>
        <w:ind w:left="2020" w:right="159" w:hanging="335"/>
        <w:spacing w:after="0" w:line="293"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Form 10-K” refers to Medline Inc.’s Form 10-K for the fiscal year ended December 31, 2025 filed with the Securities and Exchange Commission (“SEC”).</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refers to investment funds associated with Blackstone Inc.</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refers to investment funds associated with The Carlyle Group Inc.</w:t>
      </w:r>
    </w:p>
    <w:p>
      <w:pPr>
        <w:spacing w:after="0" w:line="107" w:lineRule="exact"/>
        <w:rPr>
          <w:rFonts w:ascii="Times New Roman" w:cs="Times New Roman" w:eastAsia="Times New Roman" w:hAnsi="Times New Roman"/>
          <w:sz w:val="14"/>
          <w:szCs w:val="14"/>
          <w:color w:val="auto"/>
        </w:rPr>
      </w:pPr>
    </w:p>
    <w:p>
      <w:pPr>
        <w:ind w:left="2020" w:right="259" w:hanging="335"/>
        <w:spacing w:after="0" w:line="275"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refers to the interests in Medline Holdings called “Class A Units” that were outstanding prior to the Reclassification. In connection with the Reclassification, (i) Class A Units held by Continuing Common Unitholders were converted into Common Units and (ii) Class A Units held by Exchanging Class A Unitholders were directly or indirectly exchanged for shares of Class A common stock.</w:t>
      </w:r>
    </w:p>
    <w:p>
      <w:pPr>
        <w:spacing w:after="0" w:line="59" w:lineRule="exact"/>
        <w:rPr>
          <w:rFonts w:ascii="Times New Roman" w:cs="Times New Roman" w:eastAsia="Times New Roman" w:hAnsi="Times New Roman"/>
          <w:sz w:val="14"/>
          <w:szCs w:val="14"/>
          <w:color w:val="auto"/>
        </w:rPr>
      </w:pPr>
    </w:p>
    <w:p>
      <w:pPr>
        <w:ind w:left="2020" w:right="259" w:hanging="335"/>
        <w:spacing w:after="0" w:line="275" w:lineRule="auto"/>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refers to the interests in Medline Holdings called “Class B Units” that were outstanding prior to the Reclassification, and does not include CUPI Units. In connection with the Reclassification, (i) Class B Units held by Continuing Incentive Unitholders were converted into</w:t>
      </w:r>
    </w:p>
    <w:p>
      <w:pPr>
        <w:spacing w:after="0" w:line="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9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40" w:right="179"/>
        <w:spacing w:after="0" w:line="275" w:lineRule="auto"/>
        <w:rPr>
          <w:sz w:val="20"/>
          <w:szCs w:val="20"/>
          <w:color w:val="auto"/>
        </w:rPr>
      </w:pPr>
      <w:r>
        <w:rPr>
          <w:rFonts w:ascii="Times New Roman" w:cs="Times New Roman" w:eastAsia="Times New Roman" w:hAnsi="Times New Roman"/>
          <w:sz w:val="14"/>
          <w:szCs w:val="14"/>
          <w:color w:val="auto"/>
        </w:rPr>
        <w:t>Incentive Units and (ii) 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60" w:lineRule="exact"/>
        <w:rPr>
          <w:sz w:val="20"/>
          <w:szCs w:val="20"/>
          <w:color w:val="auto"/>
        </w:rPr>
      </w:pPr>
    </w:p>
    <w:p>
      <w:pPr>
        <w:ind w:left="2020" w:right="259" w:hanging="335"/>
        <w:spacing w:after="0" w:line="293"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Units” refers to the new class of units of Medline Holdings created by the Reclassification as described under “Organizational Structure” and does not include Incentive Units.</w:t>
      </w:r>
    </w:p>
    <w:p>
      <w:pPr>
        <w:spacing w:after="0" w:line="48" w:lineRule="exact"/>
        <w:rPr>
          <w:rFonts w:ascii="Times New Roman" w:cs="Times New Roman" w:eastAsia="Times New Roman" w:hAnsi="Times New Roman"/>
          <w:sz w:val="14"/>
          <w:szCs w:val="14"/>
          <w:color w:val="auto"/>
        </w:rPr>
      </w:pPr>
    </w:p>
    <w:p>
      <w:pPr>
        <w:ind w:left="2020" w:right="599" w:hanging="335"/>
        <w:spacing w:after="0" w:line="293"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Common Unitholders” refers to certain pre-IPO holders of Class A Units and/or CUPI Units who hold Common Units following the Reclassification, as described under “Organizational Structure.”</w:t>
      </w:r>
    </w:p>
    <w:p>
      <w:pPr>
        <w:spacing w:after="0" w:line="48" w:lineRule="exact"/>
        <w:rPr>
          <w:rFonts w:ascii="Times New Roman" w:cs="Times New Roman" w:eastAsia="Times New Roman" w:hAnsi="Times New Roman"/>
          <w:sz w:val="14"/>
          <w:szCs w:val="14"/>
          <w:color w:val="auto"/>
        </w:rPr>
      </w:pPr>
    </w:p>
    <w:p>
      <w:pPr>
        <w:ind w:left="2020" w:right="919" w:hanging="335"/>
        <w:spacing w:after="0" w:line="293"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Incentive Unitholders” refers to certain pre-IPO holders of Class B Units who hold Incentive Units following the Reclassification, as described under “Organizational Structure.”</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Unitholders” refers collectively to Continuing Common Unitholders and Continuing Incentive Unitholders.</w:t>
      </w:r>
    </w:p>
    <w:p>
      <w:pPr>
        <w:spacing w:after="0" w:line="108" w:lineRule="exact"/>
        <w:rPr>
          <w:rFonts w:ascii="Times New Roman" w:cs="Times New Roman" w:eastAsia="Times New Roman" w:hAnsi="Times New Roman"/>
          <w:sz w:val="14"/>
          <w:szCs w:val="14"/>
          <w:color w:val="auto"/>
        </w:rPr>
      </w:pPr>
    </w:p>
    <w:p>
      <w:pPr>
        <w:ind w:left="2020" w:right="119" w:hanging="335"/>
        <w:spacing w:after="0" w:line="268"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refers to the interests in Medline Holdings that are designated as “Catch-Up Class B Units” and were outstanding prior to the Reclassification. In connection with the Reclassification, (i) CUPI Units held by Continuing Common Unitholders were converted into Common Units and (ii) CUPI Units held by Exchanging CUPI Unitholders were directly or indirectly exchanged for shares of Class A common stock.</w:t>
      </w:r>
    </w:p>
    <w:p>
      <w:pPr>
        <w:spacing w:after="0" w:line="66" w:lineRule="exact"/>
        <w:rPr>
          <w:rFonts w:ascii="Times New Roman" w:cs="Times New Roman" w:eastAsia="Times New Roman" w:hAnsi="Times New Roman"/>
          <w:sz w:val="14"/>
          <w:szCs w:val="14"/>
          <w:color w:val="auto"/>
        </w:rPr>
      </w:pPr>
    </w:p>
    <w:p>
      <w:pPr>
        <w:ind w:left="2020" w:right="799" w:hanging="335"/>
        <w:spacing w:after="0" w:line="293"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“Designating Stockholder” refers to each of our Principal Stockholders with whom we are party to separate director nomination agreements, as described in “Certain Relationships and Related Person Transactions—Director Nomination Agreements.”</w:t>
      </w:r>
    </w:p>
    <w:p>
      <w:pPr>
        <w:spacing w:after="0" w:line="48" w:lineRule="exact"/>
        <w:rPr>
          <w:rFonts w:ascii="Times New Roman" w:cs="Times New Roman" w:eastAsia="Times New Roman" w:hAnsi="Times New Roman"/>
          <w:sz w:val="14"/>
          <w:szCs w:val="14"/>
          <w:color w:val="auto"/>
        </w:rPr>
      </w:pPr>
    </w:p>
    <w:p>
      <w:pPr>
        <w:ind w:left="2020" w:right="139" w:hanging="335"/>
        <w:spacing w:after="0" w:line="293"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Class A Unitholder” refers to pre-IPO holders of Class A Units whose Class A Units were directly or indirectly exchanged for shares of Class A common stock following the Reclassification, as described under “Organizational Structure.”</w:t>
      </w:r>
    </w:p>
    <w:p>
      <w:pPr>
        <w:spacing w:after="0" w:line="48" w:lineRule="exact"/>
        <w:rPr>
          <w:rFonts w:ascii="Times New Roman" w:cs="Times New Roman" w:eastAsia="Times New Roman" w:hAnsi="Times New Roman"/>
          <w:sz w:val="14"/>
          <w:szCs w:val="14"/>
          <w:color w:val="auto"/>
        </w:rPr>
      </w:pPr>
    </w:p>
    <w:p>
      <w:pPr>
        <w:ind w:left="2020" w:right="139" w:hanging="335"/>
        <w:spacing w:after="0" w:line="275"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59" w:lineRule="exact"/>
        <w:rPr>
          <w:rFonts w:ascii="Times New Roman" w:cs="Times New Roman" w:eastAsia="Times New Roman" w:hAnsi="Times New Roman"/>
          <w:sz w:val="14"/>
          <w:szCs w:val="14"/>
          <w:color w:val="auto"/>
        </w:rPr>
      </w:pPr>
    </w:p>
    <w:p>
      <w:pPr>
        <w:ind w:left="2020" w:right="479" w:hanging="335"/>
        <w:spacing w:after="0" w:line="293"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CUPI Unitholder” refers to pre-IPO holders of CUPI Units whose CUPI Units were directly or indirectly exchanged for shares of Class A common stock following the Reclassification, as described under “Organizational Structure.”</w:t>
      </w:r>
    </w:p>
    <w:p>
      <w:pPr>
        <w:spacing w:after="0" w:line="48" w:lineRule="exact"/>
        <w:rPr>
          <w:rFonts w:ascii="Times New Roman" w:cs="Times New Roman" w:eastAsia="Times New Roman" w:hAnsi="Times New Roman"/>
          <w:sz w:val="14"/>
          <w:szCs w:val="14"/>
          <w:color w:val="auto"/>
        </w:rPr>
      </w:pPr>
    </w:p>
    <w:p>
      <w:pPr>
        <w:ind w:left="2020" w:right="159" w:hanging="335"/>
        <w:spacing w:after="0" w:line="293"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Unitholders” refers collectively to Exchanging Class A Unitholders, Exchanging CUPI Unitholders, and Exchanging Class B Unitholders.</w:t>
      </w:r>
    </w:p>
    <w:p>
      <w:pPr>
        <w:spacing w:after="0" w:line="48" w:lineRule="exact"/>
        <w:rPr>
          <w:rFonts w:ascii="Times New Roman" w:cs="Times New Roman" w:eastAsia="Times New Roman" w:hAnsi="Times New Roman"/>
          <w:sz w:val="14"/>
          <w:szCs w:val="14"/>
          <w:color w:val="auto"/>
        </w:rPr>
      </w:pPr>
    </w:p>
    <w:p>
      <w:pPr>
        <w:ind w:left="2020" w:right="179" w:hanging="335"/>
        <w:spacing w:after="0" w:line="293"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owners” or “pre-IPO owners” refer to our Principal Stockholders, our Other Pre-IPO Investors and management and other equity holders who were the owners of Medline Holdings immediately prior to the Reorganization Transactions.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“H&amp;F” refers to investment funds associated with Hellman &amp; Friedman LLC.</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“Hux” refers to Hux Investment Pte. Ltd.</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“IDNs” refers to integrated delivery networks.</w:t>
      </w:r>
    </w:p>
    <w:p>
      <w:pPr>
        <w:spacing w:after="0" w:line="107" w:lineRule="exact"/>
        <w:rPr>
          <w:rFonts w:ascii="Times New Roman" w:cs="Times New Roman" w:eastAsia="Times New Roman" w:hAnsi="Times New Roman"/>
          <w:sz w:val="14"/>
          <w:szCs w:val="14"/>
          <w:color w:val="auto"/>
        </w:rPr>
      </w:pPr>
    </w:p>
    <w:p>
      <w:pPr>
        <w:ind w:left="2020" w:right="239" w:hanging="335"/>
        <w:spacing w:after="0" w:line="265" w:lineRule="auto"/>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9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5"/>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refers to the initial public offering of our Class A common stock, which closed on December 18, 2025.</w:t>
      </w:r>
    </w:p>
    <w:p>
      <w:pPr>
        <w:spacing w:after="0" w:line="107" w:lineRule="exact"/>
        <w:rPr>
          <w:rFonts w:ascii="Times New Roman" w:cs="Times New Roman" w:eastAsia="Times New Roman" w:hAnsi="Times New Roman"/>
          <w:sz w:val="14"/>
          <w:szCs w:val="14"/>
          <w:color w:val="auto"/>
        </w:rPr>
      </w:pPr>
    </w:p>
    <w:p>
      <w:pPr>
        <w:ind w:left="2020" w:right="1019" w:hanging="335"/>
        <w:spacing w:after="0" w:line="293"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Transactions” refers to the offering of Class A common stock in our IPO and certain related transactions, as defined in “Organizational Structure—IPO Transactions.”</w:t>
      </w:r>
    </w:p>
    <w:p>
      <w:pPr>
        <w:spacing w:after="0" w:line="48" w:lineRule="exact"/>
        <w:rPr>
          <w:rFonts w:ascii="Times New Roman" w:cs="Times New Roman" w:eastAsia="Times New Roman" w:hAnsi="Times New Roman"/>
          <w:sz w:val="14"/>
          <w:szCs w:val="14"/>
          <w:color w:val="auto"/>
        </w:rPr>
      </w:pPr>
    </w:p>
    <w:p>
      <w:pPr>
        <w:jc w:val="both"/>
        <w:ind w:left="2020" w:right="839" w:hanging="335"/>
        <w:spacing w:after="0" w:line="275"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“Medline,” the “Company,” “we,” “us,” and “our” refer (1) prior to the consummation of the IPO Transactions described under “Organizational Structure—IPO Transactions,” to Medline Holdings, LP and its consolidated subsidiaries and (2) after the IPO Transactions described under “Organizational Structure—IPO Transactions,” to Medline Inc. and its consolidated subsidiaries.</w:t>
      </w:r>
    </w:p>
    <w:p>
      <w:pPr>
        <w:spacing w:after="0" w:line="59" w:lineRule="exact"/>
        <w:rPr>
          <w:rFonts w:ascii="Times New Roman" w:cs="Times New Roman" w:eastAsia="Times New Roman" w:hAnsi="Times New Roman"/>
          <w:sz w:val="14"/>
          <w:szCs w:val="14"/>
          <w:color w:val="auto"/>
        </w:rPr>
      </w:pPr>
    </w:p>
    <w:p>
      <w:pPr>
        <w:ind w:left="2020" w:right="519" w:hanging="335"/>
        <w:spacing w:after="0" w:line="275"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59" w:lineRule="exact"/>
        <w:rPr>
          <w:rFonts w:ascii="Times New Roman" w:cs="Times New Roman" w:eastAsia="Times New Roman" w:hAnsi="Times New Roman"/>
          <w:sz w:val="14"/>
          <w:szCs w:val="14"/>
          <w:color w:val="auto"/>
        </w:rPr>
      </w:pPr>
    </w:p>
    <w:p>
      <w:pPr>
        <w:ind w:left="2020" w:right="219" w:hanging="335"/>
        <w:spacing w:after="0" w:line="293"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“Mills Family” refers to the holders of equity interests of Medline Holdings immediately prior to the Reorganization Transactions that are affiliated with members of the Mills family.</w:t>
      </w:r>
    </w:p>
    <w:p>
      <w:pPr>
        <w:spacing w:after="0" w:line="48" w:lineRule="exact"/>
        <w:rPr>
          <w:rFonts w:ascii="Times New Roman" w:cs="Times New Roman" w:eastAsia="Times New Roman" w:hAnsi="Times New Roman"/>
          <w:sz w:val="14"/>
          <w:szCs w:val="14"/>
          <w:color w:val="auto"/>
        </w:rPr>
      </w:pPr>
    </w:p>
    <w:p>
      <w:pPr>
        <w:ind w:left="2020" w:right="159" w:hanging="335"/>
        <w:spacing w:after="0" w:line="293"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Transactions” refers to the offering of Class A common stock hereby and certain related transactions, as described in “Unaudited Pro Forma Consolidated Financial Information.”</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Pre-IPO Investors” refers collectively to Hux and Platinum Falcon.</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“Platinum Falcon” refers to Platinum Falcon B 2018 RSC Limited.</w:t>
      </w:r>
    </w:p>
    <w:p>
      <w:pPr>
        <w:spacing w:after="0" w:line="107" w:lineRule="exact"/>
        <w:rPr>
          <w:rFonts w:ascii="Times New Roman" w:cs="Times New Roman" w:eastAsia="Times New Roman" w:hAnsi="Times New Roman"/>
          <w:sz w:val="14"/>
          <w:szCs w:val="14"/>
          <w:color w:val="auto"/>
        </w:rPr>
      </w:pPr>
    </w:p>
    <w:p>
      <w:pPr>
        <w:ind w:left="2020" w:right="199" w:hanging="335"/>
        <w:spacing w:after="0" w:line="293"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“Pre-IPO Stockholders” refers to certain of our pre-IPO owners that received shares of Class A common stock of Medline Inc. pursuant to the Blocker Transfers as defined and described in “Organizational Structure—Blocker Transfers.”</w:t>
      </w:r>
    </w:p>
    <w:p>
      <w:pPr>
        <w:spacing w:after="0" w:line="48" w:lineRule="exact"/>
        <w:rPr>
          <w:rFonts w:ascii="Times New Roman" w:cs="Times New Roman" w:eastAsia="Times New Roman" w:hAnsi="Times New Roman"/>
          <w:sz w:val="14"/>
          <w:szCs w:val="14"/>
          <w:color w:val="auto"/>
        </w:rPr>
      </w:pPr>
    </w:p>
    <w:p>
      <w:pPr>
        <w:ind w:left="2020" w:right="299" w:hanging="335"/>
        <w:spacing w:after="0" w:line="293"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“Prime Vendor” refers to a relationship for which there is a multi-year distribution agreement between Medline and a customer, whereby the customer agrees to use Medline for the vast majority of its med-surg product needs.</w:t>
      </w:r>
    </w:p>
    <w:p>
      <w:pPr>
        <w:spacing w:after="0" w:line="37" w:lineRule="exact"/>
        <w:rPr>
          <w:rFonts w:ascii="Times New Roman" w:cs="Times New Roman" w:eastAsia="Times New Roman" w:hAnsi="Times New Roman"/>
          <w:sz w:val="14"/>
          <w:szCs w:val="14"/>
          <w:color w:val="auto"/>
        </w:rPr>
      </w:pPr>
    </w:p>
    <w:p>
      <w:pPr>
        <w:jc w:val="both"/>
        <w:ind w:left="2040" w:right="299"/>
        <w:spacing w:after="0" w:line="27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49" w:lineRule="exact"/>
        <w:rPr>
          <w:rFonts w:ascii="Times New Roman" w:cs="Times New Roman" w:eastAsia="Times New Roman" w:hAnsi="Times New Roman"/>
          <w:sz w:val="14"/>
          <w:szCs w:val="14"/>
          <w:color w:val="auto"/>
        </w:rPr>
      </w:pPr>
    </w:p>
    <w:p>
      <w:pPr>
        <w:ind w:left="2040" w:right="279"/>
        <w:spacing w:after="0" w:line="29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48" w:lineRule="exact"/>
        <w:rPr>
          <w:rFonts w:ascii="Times New Roman" w:cs="Times New Roman" w:eastAsia="Times New Roman" w:hAnsi="Times New Roman"/>
          <w:sz w:val="14"/>
          <w:szCs w:val="14"/>
          <w:color w:val="auto"/>
        </w:rPr>
      </w:pPr>
    </w:p>
    <w:p>
      <w:pPr>
        <w:ind w:left="2020" w:right="119" w:hanging="335"/>
        <w:spacing w:after="0" w:line="265"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6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Stockholders” refers collectively to Blackstone, Carlyle, H&amp;F, and the Mills Family.</w:t>
      </w:r>
    </w:p>
    <w:p>
      <w:pPr>
        <w:spacing w:after="0" w:line="107" w:lineRule="exact"/>
        <w:rPr>
          <w:rFonts w:ascii="Times New Roman" w:cs="Times New Roman" w:eastAsia="Times New Roman" w:hAnsi="Times New Roman"/>
          <w:sz w:val="14"/>
          <w:szCs w:val="14"/>
          <w:color w:val="auto"/>
        </w:rPr>
      </w:pPr>
    </w:p>
    <w:p>
      <w:pPr>
        <w:ind w:left="2020" w:right="379" w:hanging="335"/>
        <w:spacing w:after="0" w:line="275"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59" w:lineRule="exact"/>
        <w:rPr>
          <w:rFonts w:ascii="Times New Roman" w:cs="Times New Roman" w:eastAsia="Times New Roman" w:hAnsi="Times New Roman"/>
          <w:sz w:val="14"/>
          <w:szCs w:val="14"/>
          <w:color w:val="auto"/>
        </w:rPr>
      </w:pPr>
    </w:p>
    <w:p>
      <w:pPr>
        <w:ind w:left="2020" w:right="179" w:hanging="335"/>
        <w:spacing w:after="0" w:line="293" w:lineRule="auto"/>
        <w:tabs>
          <w:tab w:leader="none" w:pos="2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“Reorganization Transactions” refers to the transactions described under “Organizational Structure—Reclassification and Amendment and Restatement of the Limited Partnership Agreement of Medline Holdings.”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9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right="139" w:hanging="335"/>
        <w:spacing w:after="0" w:line="293" w:lineRule="auto"/>
        <w:tabs>
          <w:tab w:leader="none" w:pos="2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“Sponsor Acquisition” refers to the acquisition on October 21, 2021 by our Sponsors of a majority interest in Medline Holdings and certain transactions related thereto.</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“Sponsors” refers collectively to Blackstone, Carlyle, and H&amp;F.</w:t>
      </w:r>
    </w:p>
    <w:p>
      <w:pPr>
        <w:spacing w:after="0" w:line="107" w:lineRule="exact"/>
        <w:rPr>
          <w:rFonts w:ascii="Times New Roman" w:cs="Times New Roman" w:eastAsia="Times New Roman" w:hAnsi="Times New Roman"/>
          <w:sz w:val="14"/>
          <w:szCs w:val="14"/>
          <w:color w:val="auto"/>
        </w:rPr>
      </w:pPr>
    </w:p>
    <w:p>
      <w:pPr>
        <w:ind w:left="2020" w:right="199" w:hanging="335"/>
        <w:spacing w:after="0" w:line="268" w:lineRule="auto"/>
        <w:tabs>
          <w:tab w:leader="none" w:pos="2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 packaging, third-party logistics, inventory rationalization and route planning. Supply Chain Solutions is one of our two reportable segments.</w:t>
      </w:r>
    </w:p>
    <w:p>
      <w:pPr>
        <w:spacing w:after="0" w:line="66" w:lineRule="exact"/>
        <w:rPr>
          <w:rFonts w:ascii="Times New Roman" w:cs="Times New Roman" w:eastAsia="Times New Roman" w:hAnsi="Times New Roman"/>
          <w:sz w:val="14"/>
          <w:szCs w:val="14"/>
          <w:color w:val="auto"/>
        </w:rPr>
      </w:pPr>
    </w:p>
    <w:p>
      <w:pPr>
        <w:ind w:left="2020" w:right="359" w:hanging="335"/>
        <w:spacing w:after="0" w:line="293" w:lineRule="auto"/>
        <w:tabs>
          <w:tab w:leader="none" w:pos="2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new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194310</wp:posOffset>
            </wp:positionV>
            <wp:extent cx="117538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260" w:right="259" w:firstLine="351"/>
        <w:spacing w:after="0" w:line="293" w:lineRule="auto"/>
        <w:rPr>
          <w:sz w:val="20"/>
          <w:szCs w:val="20"/>
          <w:color w:val="auto"/>
        </w:rPr>
      </w:pPr>
      <w:r>
        <w:rPr>
          <w:rFonts w:ascii="Times New Roman" w:cs="Times New Roman" w:eastAsia="Times New Roman" w:hAnsi="Times New Roman"/>
          <w:sz w:val="14"/>
          <w:szCs w:val="14"/>
          <w:color w:val="auto"/>
        </w:rPr>
        <w:t>Unless indicated otherwise, the information included in this prospectus assumes no exercise by the underwriters of their option to purchase up to an additional 11,250,000 shares of Class A common stock from the selling stockholders.</w:t>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0159"/>
          </w:cols>
          <w:pgMar w:left="300" w:top="39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5143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1015" cy="5143500"/>
                    </a:xfrm>
                    <a:prstGeom prst="rect">
                      <a:avLst/>
                    </a:prstGeom>
                    <a:noFill/>
                  </pic:spPr>
                </pic:pic>
              </a:graphicData>
            </a:graphic>
          </wp:anchor>
        </w:drawing>
      </w:r>
    </w:p>
    <w:p>
      <w:pPr>
        <w:spacing w:after="0" w:line="37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83" w:lineRule="exact"/>
        <w:rPr>
          <w:sz w:val="20"/>
          <w:szCs w:val="20"/>
          <w:color w:val="auto"/>
        </w:rPr>
      </w:pPr>
    </w:p>
    <w:p>
      <w:pPr>
        <w:ind w:left="1400" w:right="359" w:firstLine="339"/>
        <w:spacing w:after="0" w:line="266"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information incorporated by reference in this prospectus and any free writing prospectus prepared by us or on our behalf, including the section entitled “Risk Factors” in this prospectus, the documents incorporated by reference in this prospectus, and the consolidated financial statements and the related notes thereto incorporated by reference in this prospectus before you decide to invest in shares of our Class A common stock.</w:t>
      </w:r>
    </w:p>
    <w:p>
      <w:pPr>
        <w:spacing w:after="0" w:line="31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Our Mission</w:t>
      </w:r>
    </w:p>
    <w:p>
      <w:pPr>
        <w:spacing w:after="0" w:line="18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Our mission is to make healthcare run better by delivering improved clinical, financial, and operational outcomes.</w:t>
      </w:r>
    </w:p>
    <w:p>
      <w:pPr>
        <w:spacing w:after="0" w:line="3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ind w:left="1400" w:right="299" w:firstLine="339"/>
        <w:spacing w:after="0" w:line="261" w:lineRule="auto"/>
        <w:rPr>
          <w:sz w:val="20"/>
          <w:szCs w:val="20"/>
          <w:color w:val="auto"/>
        </w:rPr>
      </w:pPr>
      <w:r>
        <w:rPr>
          <w:rFonts w:ascii="Times New Roman" w:cs="Times New Roman" w:eastAsia="Times New Roman" w:hAnsi="Times New Roman"/>
          <w:sz w:val="14"/>
          <w:szCs w:val="14"/>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70 global distribution facilities, spanning over 29 million square feet of warehouse space, and our owned fleet of over 2,100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i w:val="1"/>
          <w:iCs w:val="1"/>
          <w:color w:val="auto"/>
        </w:rPr>
        <w:t>Note: Amounts were calculated in accordance with the historical accounting standards applicable to the Company in the relevant period.</w:t>
      </w:r>
    </w:p>
    <w:p>
      <w:pPr>
        <w:spacing w:after="0" w:line="25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5027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1015" cy="5027295"/>
                    </a:xfrm>
                    <a:prstGeom prst="rect">
                      <a:avLst/>
                    </a:prstGeom>
                    <a:noFill/>
                  </pic:spPr>
                </pic:pic>
              </a:graphicData>
            </a:graphic>
          </wp:anchor>
        </w:drawing>
      </w:r>
    </w:p>
    <w:p>
      <w:pPr>
        <w:spacing w:after="0" w:line="381" w:lineRule="exact"/>
        <w:rPr>
          <w:sz w:val="20"/>
          <w:szCs w:val="20"/>
          <w:color w:val="auto"/>
        </w:rPr>
      </w:pPr>
    </w:p>
    <w:p>
      <w:pPr>
        <w:ind w:left="1400" w:right="299" w:firstLine="339"/>
        <w:spacing w:after="0" w:line="261" w:lineRule="auto"/>
        <w:rPr>
          <w:sz w:val="20"/>
          <w:szCs w:val="20"/>
          <w:color w:val="auto"/>
        </w:rPr>
      </w:pPr>
      <w:r>
        <w:rPr>
          <w:rFonts w:ascii="Times New Roman" w:cs="Times New Roman" w:eastAsia="Times New Roman" w:hAnsi="Times New Roman"/>
          <w:sz w:val="14"/>
          <w:szCs w:val="14"/>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46" w:lineRule="exact"/>
        <w:rPr>
          <w:sz w:val="20"/>
          <w:szCs w:val="20"/>
          <w:color w:val="auto"/>
        </w:rPr>
      </w:pPr>
    </w:p>
    <w:p>
      <w:pPr>
        <w:ind w:left="1400" w:right="299" w:firstLine="339"/>
        <w:spacing w:after="0" w:line="264" w:lineRule="auto"/>
        <w:rPr>
          <w:sz w:val="20"/>
          <w:szCs w:val="20"/>
          <w:color w:val="auto"/>
        </w:rPr>
      </w:pPr>
      <w:r>
        <w:rPr>
          <w:rFonts w:ascii="Times New Roman" w:cs="Times New Roman" w:eastAsia="Times New Roman" w:hAnsi="Times New Roman"/>
          <w:sz w:val="14"/>
          <w:szCs w:val="14"/>
          <w:color w:val="auto"/>
        </w:rPr>
        <w:t>The combination of our expansive product portfolio and our differentiated supply chain creates a force multiplier for our business. Our Medline Brand segment offers approximately 190,000 products, including those manufactured in our 30 facilities, as well as those sourced from our more than 600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4,000 people. These capabilities and our compelling value proposition allow us to serve as a long-term strategic partner to our customers and expand the scope of our relationships over time.</w:t>
      </w:r>
    </w:p>
    <w:p>
      <w:pPr>
        <w:spacing w:after="0" w:line="143" w:lineRule="exact"/>
        <w:rPr>
          <w:sz w:val="20"/>
          <w:szCs w:val="20"/>
          <w:color w:val="auto"/>
        </w:rPr>
      </w:pPr>
    </w:p>
    <w:p>
      <w:pPr>
        <w:ind w:left="1400" w:right="279" w:firstLine="339"/>
        <w:spacing w:after="0" w:line="261" w:lineRule="auto"/>
        <w:rPr>
          <w:sz w:val="20"/>
          <w:szCs w:val="20"/>
          <w:color w:val="auto"/>
        </w:rPr>
      </w:pPr>
      <w:r>
        <w:rPr>
          <w:rFonts w:ascii="Times New Roman" w:cs="Times New Roman" w:eastAsia="Times New Roman" w:hAnsi="Times New Roman"/>
          <w:sz w:val="14"/>
          <w:szCs w:val="14"/>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2"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3251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1015" cy="3251200"/>
                    </a:xfrm>
                    <a:prstGeom prst="rect">
                      <a:avLst/>
                    </a:prstGeom>
                    <a:noFill/>
                  </pic:spPr>
                </pic:pic>
              </a:graphicData>
            </a:graphic>
          </wp:anchor>
        </w:drawing>
      </w:r>
    </w:p>
    <w:p>
      <w:pPr>
        <w:spacing w:after="0" w:line="381" w:lineRule="exact"/>
        <w:rPr>
          <w:sz w:val="20"/>
          <w:szCs w:val="20"/>
          <w:color w:val="auto"/>
        </w:rPr>
      </w:pPr>
    </w:p>
    <w:p>
      <w:pPr>
        <w:ind w:left="1400" w:right="299" w:firstLine="339"/>
        <w:spacing w:after="0" w:line="264" w:lineRule="auto"/>
        <w:rPr>
          <w:sz w:val="20"/>
          <w:szCs w:val="20"/>
          <w:color w:val="auto"/>
        </w:rPr>
      </w:pPr>
      <w:r>
        <w:rPr>
          <w:rFonts w:ascii="Times New Roman" w:cs="Times New Roman" w:eastAsia="Times New Roman" w:hAnsi="Times New Roman"/>
          <w:sz w:val="14"/>
          <w:szCs w:val="14"/>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43" w:lineRule="exact"/>
        <w:rPr>
          <w:sz w:val="20"/>
          <w:szCs w:val="20"/>
          <w:color w:val="auto"/>
        </w:rPr>
      </w:pPr>
    </w:p>
    <w:p>
      <w:pPr>
        <w:ind w:left="1400" w:right="299" w:firstLine="339"/>
        <w:spacing w:after="0" w:line="264" w:lineRule="auto"/>
        <w:rPr>
          <w:sz w:val="20"/>
          <w:szCs w:val="20"/>
          <w:color w:val="auto"/>
        </w:rPr>
      </w:pPr>
      <w:r>
        <w:rPr>
          <w:rFonts w:ascii="Times New Roman" w:cs="Times New Roman" w:eastAsia="Times New Roman" w:hAnsi="Times New Roman"/>
          <w:sz w:val="14"/>
          <w:szCs w:val="14"/>
          <w:color w:val="auto"/>
        </w:rPr>
        <w:t>We have grown our net sales every year by retaining existing customers while gaining share with new and existing customers, with CAGRs of 18% since our founding and approximately 13% over the past 10 years. Notably, nearly 90% of our growth during the past 10 years has been organic. Our product portfolio predominantly consists of consumables, such that approximately 90% of our Medline Brand net sales were recurring for the year ended December 31, 2025.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43" w:lineRule="exact"/>
        <w:rPr>
          <w:sz w:val="20"/>
          <w:szCs w:val="20"/>
          <w:color w:val="auto"/>
        </w:rPr>
      </w:pPr>
    </w:p>
    <w:p>
      <w:pPr>
        <w:ind w:left="1400" w:right="319" w:firstLine="339"/>
        <w:spacing w:after="0" w:line="265" w:lineRule="auto"/>
        <w:rPr>
          <w:sz w:val="20"/>
          <w:szCs w:val="20"/>
          <w:color w:val="auto"/>
        </w:rPr>
      </w:pPr>
      <w:r>
        <w:rPr>
          <w:rFonts w:ascii="Times New Roman" w:cs="Times New Roman" w:eastAsia="Times New Roman" w:hAnsi="Times New Roman"/>
          <w:sz w:val="14"/>
          <w:szCs w:val="14"/>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For the year ended December 31, 2025, we generated net sales of $28.4 billion, net income of $1.2 billion, and Adjusted EBITDA of</w:t>
      </w:r>
    </w:p>
    <w:p>
      <w:pPr>
        <w:spacing w:after="0" w:line="25"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color w:val="auto"/>
        </w:rPr>
        <w:t>$3.5 billion, representing a net income margin of 4.1% and an Adjusted EBITDA Margin of 12.2%. During that period, 48.3% of total net sales and 80.6% of Segment Adjusted EBITDA were generated from our Medline Brand segment, while 51.7% of total net sales and 19.4% of Segment Adjusted EBITDA were generated from our Supply Chain Solutions segment. For a reconciliation of Adjusted 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“Part II—Item 7—Management’s Discussion and Analysis of Financial Condition and Results of Operations—Non-GAAP Financial Information” in our 2025 Form 10-K incorporated by reference in this prospectus.</w:t>
      </w:r>
    </w:p>
    <w:p>
      <w:pPr>
        <w:spacing w:after="0" w:line="2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5341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1015" cy="5341620"/>
                    </a:xfrm>
                    <a:prstGeom prst="rect">
                      <a:avLst/>
                    </a:prstGeom>
                    <a:noFill/>
                  </pic:spPr>
                </pic:pic>
              </a:graphicData>
            </a:graphic>
          </wp:anchor>
        </w:drawing>
      </w:r>
    </w:p>
    <w:p>
      <w:pPr>
        <w:spacing w:after="0" w:line="3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185" w:lineRule="exact"/>
        <w:rPr>
          <w:sz w:val="20"/>
          <w:szCs w:val="20"/>
          <w:color w:val="auto"/>
        </w:rPr>
      </w:pPr>
    </w:p>
    <w:p>
      <w:pPr>
        <w:ind w:left="1400" w:right="299" w:firstLine="339"/>
        <w:spacing w:after="0" w:line="293" w:lineRule="auto"/>
        <w:rPr>
          <w:sz w:val="20"/>
          <w:szCs w:val="20"/>
          <w:color w:val="auto"/>
        </w:rPr>
      </w:pPr>
      <w:r>
        <w:rPr>
          <w:rFonts w:ascii="Times New Roman" w:cs="Times New Roman" w:eastAsia="Times New Roman" w:hAnsi="Times New Roman"/>
          <w:sz w:val="14"/>
          <w:szCs w:val="14"/>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400" w:right="419" w:firstLine="3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Medline Brand</w:t>
      </w:r>
      <w:r>
        <w:rPr>
          <w:rFonts w:ascii="Times New Roman" w:cs="Times New Roman" w:eastAsia="Times New Roman" w:hAnsi="Times New Roman"/>
          <w:sz w:val="14"/>
          <w:szCs w:val="14"/>
          <w:color w:val="auto"/>
        </w:rPr>
        <w:t>. We offer our customers approximately 190,000 med-surg products through our Medline Brand segment. We have leading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0" w:right="519" w:firstLine="339"/>
        <w:spacing w:after="0" w:line="268" w:lineRule="auto"/>
        <w:rPr>
          <w:sz w:val="20"/>
          <w:szCs w:val="20"/>
          <w:color w:val="auto"/>
        </w:rPr>
      </w:pPr>
      <w:r>
        <w:rPr>
          <w:rFonts w:ascii="Times New Roman" w:cs="Times New Roman" w:eastAsia="Times New Roman" w:hAnsi="Times New Roman"/>
          <w:sz w:val="14"/>
          <w:szCs w:val="14"/>
          <w:color w:val="auto"/>
        </w:rPr>
        <w:t>We produce approximately one-third of Medline Brand products, which are primarily Class I and II medical devices, through our 30 manufacturing facilities, of which 24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600 global partners across a diversified set of approximately 40 countries, with</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453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1015" cy="4453890"/>
                    </a:xfrm>
                    <a:prstGeom prst="rect">
                      <a:avLst/>
                    </a:prstGeom>
                    <a:noFill/>
                  </pic:spPr>
                </pic:pic>
              </a:graphicData>
            </a:graphic>
          </wp:anchor>
        </w:drawing>
      </w:r>
    </w:p>
    <w:p>
      <w:pPr>
        <w:spacing w:after="0" w:line="381" w:lineRule="exact"/>
        <w:rPr>
          <w:sz w:val="20"/>
          <w:szCs w:val="20"/>
          <w:color w:val="auto"/>
        </w:rPr>
      </w:pPr>
    </w:p>
    <w:p>
      <w:pPr>
        <w:ind w:left="1400" w:right="279"/>
        <w:spacing w:after="0" w:line="265" w:lineRule="auto"/>
        <w:rPr>
          <w:sz w:val="20"/>
          <w:szCs w:val="20"/>
          <w:color w:val="auto"/>
        </w:rPr>
      </w:pPr>
      <w:r>
        <w:rPr>
          <w:rFonts w:ascii="Times New Roman" w:cs="Times New Roman" w:eastAsia="Times New Roman" w:hAnsi="Times New Roman"/>
          <w:sz w:val="14"/>
          <w:szCs w:val="14"/>
          <w:color w:val="auto"/>
        </w:rPr>
        <w:t>more than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5% of total spend as of December 31, 2025.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44" w:lineRule="exact"/>
        <w:rPr>
          <w:sz w:val="20"/>
          <w:szCs w:val="20"/>
          <w:color w:val="auto"/>
        </w:rPr>
      </w:pPr>
    </w:p>
    <w:p>
      <w:pPr>
        <w:ind w:left="1400" w:right="379" w:firstLine="339"/>
        <w:spacing w:after="0" w:line="268" w:lineRule="auto"/>
        <w:rPr>
          <w:sz w:val="20"/>
          <w:szCs w:val="20"/>
          <w:color w:val="auto"/>
        </w:rPr>
      </w:pPr>
      <w:r>
        <w:rPr>
          <w:rFonts w:ascii="Times New Roman" w:cs="Times New Roman" w:eastAsia="Times New Roman" w:hAnsi="Times New Roman"/>
          <w:sz w:val="14"/>
          <w:szCs w:val="14"/>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more than 250 new products over the last three years and will continue to innovate as a trusted thought partner to our customer base.</w:t>
      </w:r>
    </w:p>
    <w:p>
      <w:pPr>
        <w:spacing w:after="0" w:line="142" w:lineRule="exact"/>
        <w:rPr>
          <w:sz w:val="20"/>
          <w:szCs w:val="20"/>
          <w:color w:val="auto"/>
        </w:rPr>
      </w:pPr>
    </w:p>
    <w:p>
      <w:pPr>
        <w:ind w:left="1400" w:right="359" w:firstLine="339"/>
        <w:spacing w:after="0" w:line="275" w:lineRule="auto"/>
        <w:rPr>
          <w:sz w:val="20"/>
          <w:szCs w:val="20"/>
          <w:color w:val="auto"/>
        </w:rPr>
      </w:pPr>
      <w:r>
        <w:rPr>
          <w:rFonts w:ascii="Times New Roman" w:cs="Times New Roman" w:eastAsia="Times New Roman" w:hAnsi="Times New Roman"/>
          <w:sz w:val="14"/>
          <w:szCs w:val="14"/>
          <w:color w:val="auto"/>
        </w:rPr>
        <w:t>We are committed to delivering products of the highest standard, which is reflected by our robust quality team of over 2,700 employees. Our quality control team is integrated and embedded across our manufacturing and sourcing locations. Their expertise ensures that every product bearing the Medline brand meets both our rigorous quality standards and our customers’ expectations.</w:t>
      </w:r>
    </w:p>
    <w:p>
      <w:pPr>
        <w:spacing w:after="0" w:line="135" w:lineRule="exact"/>
        <w:rPr>
          <w:sz w:val="20"/>
          <w:szCs w:val="20"/>
          <w:color w:val="auto"/>
        </w:rPr>
      </w:pPr>
    </w:p>
    <w:p>
      <w:pPr>
        <w:ind w:left="1400" w:right="399" w:firstLine="339"/>
        <w:spacing w:after="0" w:line="268" w:lineRule="auto"/>
        <w:rPr>
          <w:sz w:val="20"/>
          <w:szCs w:val="20"/>
          <w:color w:val="auto"/>
        </w:rPr>
      </w:pPr>
      <w:r>
        <w:rPr>
          <w:rFonts w:ascii="Times New Roman" w:cs="Times New Roman" w:eastAsia="Times New Roman" w:hAnsi="Times New Roman"/>
          <w:sz w:val="14"/>
          <w:szCs w:val="14"/>
          <w:color w:val="auto"/>
        </w:rPr>
        <w:t>Our combination of value, quality, and service has allowed our Medline Brand products to hold the leading position across many of our key product families. Furthermore, we generated $1.3 billion of Medline Brand net sales for fiscal year 2025 through other distributors. These relationships allow us to highlight the value proposition of our Medline Brand and distribution network, which over time creates opportunities to earn Prime Vendor agreements for those customers.</w:t>
      </w:r>
    </w:p>
    <w:p>
      <w:pPr>
        <w:spacing w:after="0" w:line="138"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Supply Chain Solutions. </w:t>
      </w:r>
      <w:r>
        <w:rPr>
          <w:rFonts w:ascii="Times New Roman" w:cs="Times New Roman" w:eastAsia="Times New Roman" w:hAnsi="Times New Roman"/>
          <w:sz w:val="14"/>
          <w:szCs w:val="14"/>
          <w:color w:val="auto"/>
        </w:rPr>
        <w:t>We offer approximately 145,000 med-surg products from over 1,300 third-party suppliers, including nearly all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46" w:lineRule="exact"/>
        <w:rPr>
          <w:sz w:val="20"/>
          <w:szCs w:val="20"/>
          <w:color w:val="auto"/>
        </w:rPr>
      </w:pPr>
    </w:p>
    <w:p>
      <w:pPr>
        <w:ind w:left="1400" w:right="379" w:firstLine="339"/>
        <w:spacing w:after="0" w:line="268" w:lineRule="auto"/>
        <w:rPr>
          <w:sz w:val="20"/>
          <w:szCs w:val="20"/>
          <w:color w:val="auto"/>
        </w:rPr>
      </w:pPr>
      <w:r>
        <w:rPr>
          <w:rFonts w:ascii="Times New Roman" w:cs="Times New Roman" w:eastAsia="Times New Roman" w:hAnsi="Times New Roman"/>
          <w:sz w:val="14"/>
          <w:szCs w:val="14"/>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38" w:lineRule="exact"/>
        <w:rPr>
          <w:sz w:val="20"/>
          <w:szCs w:val="20"/>
          <w:color w:val="auto"/>
        </w:rPr>
      </w:pPr>
    </w:p>
    <w:p>
      <w:pPr>
        <w:ind w:left="1400" w:right="299" w:firstLine="33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Prime Vendor Model. </w:t>
      </w:r>
      <w:r>
        <w:rPr>
          <w:rFonts w:ascii="Times New Roman" w:cs="Times New Roman" w:eastAsia="Times New Roman" w:hAnsi="Times New Roman"/>
          <w:sz w:val="14"/>
          <w:szCs w:val="14"/>
          <w:color w:val="auto"/>
        </w:rPr>
        <w:t>In our Prime Vendor relationships, we enter into long-term agreements, typically structured with five-year terms,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3469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1015" cy="3469640"/>
                    </a:xfrm>
                    <a:prstGeom prst="rect">
                      <a:avLst/>
                    </a:prstGeom>
                    <a:noFill/>
                  </pic:spPr>
                </pic:pic>
              </a:graphicData>
            </a:graphic>
          </wp:anchor>
        </w:drawing>
      </w:r>
    </w:p>
    <w:p>
      <w:pPr>
        <w:spacing w:after="0" w:line="381" w:lineRule="exact"/>
        <w:rPr>
          <w:sz w:val="20"/>
          <w:szCs w:val="20"/>
          <w:color w:val="auto"/>
        </w:rPr>
      </w:pPr>
    </w:p>
    <w:p>
      <w:pPr>
        <w:ind w:left="1400" w:right="279" w:firstLine="339"/>
        <w:spacing w:after="0" w:line="260" w:lineRule="auto"/>
        <w:rPr>
          <w:sz w:val="20"/>
          <w:szCs w:val="20"/>
          <w:color w:val="auto"/>
        </w:rPr>
      </w:pPr>
      <w:r>
        <w:rPr>
          <w:rFonts w:ascii="Times New Roman" w:cs="Times New Roman" w:eastAsia="Times New Roman" w:hAnsi="Times New Roman"/>
          <w:sz w:val="14"/>
          <w:szCs w:val="14"/>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47"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Our differentiated capabilities have enabled us to grow and scale our Prime Vendor model over time. Over just the past six years, we have signed new Prime Vendor agreements representing approximately $8 billion of annual contract value and have over 1,600 Prime Vendor relationships as of December 31, 2025, representing $18.0 billion of net sales for the year ended December 31, 2025.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 $1.3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 —Risk Factors—Risks Related to Our Business, Industry and Operations—Our failure to establish and maintain Prime Vendor relationships may cause our revenue to decline” in our 2025 Form 10-K incorporated by reference in this prospectus.</w:t>
      </w:r>
    </w:p>
    <w:p>
      <w:pPr>
        <w:spacing w:after="0" w:line="25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3832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1015" cy="383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color w:val="auto"/>
        </w:rPr>
        <w:t>Note: Data represents average Medline Brand net sales percentage mix across cohorts 2014 – 2023.</w:t>
      </w:r>
    </w:p>
    <w:p>
      <w:pPr>
        <w:spacing w:after="0" w:line="77" w:lineRule="exact"/>
        <w:rPr>
          <w:sz w:val="20"/>
          <w:szCs w:val="20"/>
          <w:color w:val="auto"/>
        </w:rPr>
      </w:pPr>
    </w:p>
    <w:p>
      <w:pPr>
        <w:ind w:left="1400" w:right="319" w:firstLine="339"/>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Distribution Network. </w:t>
      </w:r>
      <w:r>
        <w:rPr>
          <w:rFonts w:ascii="Times New Roman" w:cs="Times New Roman" w:eastAsia="Times New Roman" w:hAnsi="Times New Roman"/>
          <w:sz w:val="14"/>
          <w:szCs w:val="14"/>
          <w:color w:val="auto"/>
        </w:rPr>
        <w:t>We have a differentiated network of 70 global distribution centers, 45 of which are in the United States.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2,100 MedTrans trucks that deliver our products across care settings within the United States. Our $4.8 billion of global inventory as of December 31, 2025, and our market-leading supply chain capabilities drive our ability to fulfill customer orders with service levels of 99% and support our high customer satisfaction levels. Over the last five years, we have invested $1.4 billion in total capital expenditures within our distribution network. As of December 31, 2025, we had approximately 25% in excess capacity across our platform to support our long-term growth.</w:t>
      </w:r>
    </w:p>
    <w:p>
      <w:pPr>
        <w:spacing w:after="0" w:line="200" w:lineRule="exact"/>
        <w:rPr>
          <w:sz w:val="20"/>
          <w:szCs w:val="20"/>
          <w:color w:val="auto"/>
        </w:rPr>
      </w:pPr>
    </w:p>
    <w:p>
      <w:pPr>
        <w:spacing w:after="0" w:line="2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511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1015" cy="511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00" w:right="279" w:firstLine="3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Commercial Platform. </w:t>
      </w:r>
      <w:r>
        <w:rPr>
          <w:rFonts w:ascii="Times New Roman" w:cs="Times New Roman" w:eastAsia="Times New Roman" w:hAnsi="Times New Roman"/>
          <w:sz w:val="14"/>
          <w:szCs w:val="14"/>
          <w:color w:val="auto"/>
        </w:rPr>
        <w:t>Our deep connectivity to our customers is driven by the strength of our dedicated and tenured commercial team.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have a U.S. commercial team of approximately 4,000 people across all points of care, which includes account managers, product specialists, specialized clinical resources, customer service representatives, supply chain specialists, Prime Vendor analysts, and a robust leadership team dedicated to driving efficiencies for our customers through their teams.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2025.</w:t>
      </w:r>
    </w:p>
    <w:p>
      <w:pPr>
        <w:spacing w:after="0" w:line="3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185" w:lineRule="exact"/>
        <w:rPr>
          <w:sz w:val="20"/>
          <w:szCs w:val="20"/>
          <w:color w:val="auto"/>
        </w:rPr>
      </w:pPr>
    </w:p>
    <w:p>
      <w:pPr>
        <w:ind w:left="1400" w:right="399" w:firstLine="339"/>
        <w:spacing w:after="0" w:line="268" w:lineRule="auto"/>
        <w:rPr>
          <w:sz w:val="20"/>
          <w:szCs w:val="20"/>
          <w:color w:val="auto"/>
        </w:rPr>
      </w:pPr>
      <w:r>
        <w:rPr>
          <w:rFonts w:ascii="Times New Roman" w:cs="Times New Roman" w:eastAsia="Times New Roman" w:hAnsi="Times New Roman"/>
          <w:sz w:val="14"/>
          <w:szCs w:val="14"/>
          <w:color w:val="auto"/>
        </w:rPr>
        <w:t>We estimate our total addressable market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42" w:lineRule="exact"/>
        <w:rPr>
          <w:sz w:val="20"/>
          <w:szCs w:val="20"/>
          <w:color w:val="auto"/>
        </w:rPr>
      </w:pPr>
    </w:p>
    <w:p>
      <w:pPr>
        <w:jc w:val="both"/>
        <w:ind w:left="1400" w:right="539" w:firstLine="339"/>
        <w:spacing w:after="0" w:line="275" w:lineRule="auto"/>
        <w:rPr>
          <w:sz w:val="20"/>
          <w:szCs w:val="20"/>
          <w:color w:val="auto"/>
        </w:rPr>
      </w:pPr>
      <w:r>
        <w:rPr>
          <w:rFonts w:ascii="Times New Roman" w:cs="Times New Roman" w:eastAsia="Times New Roman" w:hAnsi="Times New Roman"/>
          <w:sz w:val="14"/>
          <w:szCs w:val="14"/>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the Centers for Medicare &amp; Medicaid Services</w:t>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511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1015" cy="5116195"/>
                    </a:xfrm>
                    <a:prstGeom prst="rect">
                      <a:avLst/>
                    </a:prstGeom>
                    <a:noFill/>
                  </pic:spPr>
                </pic:pic>
              </a:graphicData>
            </a:graphic>
          </wp:anchor>
        </w:drawing>
      </w:r>
    </w:p>
    <w:p>
      <w:pPr>
        <w:spacing w:after="0" w:line="381" w:lineRule="exact"/>
        <w:rPr>
          <w:sz w:val="20"/>
          <w:szCs w:val="20"/>
          <w:color w:val="auto"/>
        </w:rPr>
      </w:pPr>
    </w:p>
    <w:p>
      <w:pPr>
        <w:ind w:left="1400" w:right="319"/>
        <w:spacing w:after="0" w:line="268" w:lineRule="auto"/>
        <w:rPr>
          <w:sz w:val="20"/>
          <w:szCs w:val="20"/>
          <w:color w:val="auto"/>
        </w:rPr>
      </w:pPr>
      <w:r>
        <w:rPr>
          <w:rFonts w:ascii="Times New Roman" w:cs="Times New Roman" w:eastAsia="Times New Roman" w:hAnsi="Times New Roman"/>
          <w:sz w:val="14"/>
          <w:szCs w:val="14"/>
          <w:color w:val="auto"/>
        </w:rPr>
        <w:t>(“CMS”).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42" w:lineRule="exact"/>
        <w:rPr>
          <w:sz w:val="20"/>
          <w:szCs w:val="20"/>
          <w:color w:val="auto"/>
        </w:rPr>
      </w:pPr>
    </w:p>
    <w:p>
      <w:pPr>
        <w:ind w:left="1400" w:right="399" w:firstLine="339"/>
        <w:spacing w:after="0" w:line="293" w:lineRule="auto"/>
        <w:rPr>
          <w:sz w:val="20"/>
          <w:szCs w:val="20"/>
          <w:color w:val="auto"/>
        </w:rPr>
      </w:pPr>
      <w:r>
        <w:rPr>
          <w:rFonts w:ascii="Times New Roman" w:cs="Times New Roman" w:eastAsia="Times New Roman" w:hAnsi="Times New Roman"/>
          <w:sz w:val="14"/>
          <w:szCs w:val="14"/>
          <w:color w:val="auto"/>
        </w:rPr>
        <w:t>International markets also represent an attractive opportunity, as net sales outside of the United States represented only 6.9% of our total net sales for the year ended December 31, 2025.</w:t>
      </w:r>
    </w:p>
    <w:p>
      <w:pPr>
        <w:spacing w:after="0" w:line="1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market opportunity is enhanced by the following dynamics:</w:t>
      </w:r>
    </w:p>
    <w:p>
      <w:pPr>
        <w:spacing w:after="0" w:line="106" w:lineRule="exact"/>
        <w:rPr>
          <w:sz w:val="20"/>
          <w:szCs w:val="20"/>
          <w:color w:val="auto"/>
        </w:rPr>
      </w:pPr>
    </w:p>
    <w:p>
      <w:pPr>
        <w:ind w:left="2140" w:right="819" w:hanging="321"/>
        <w:spacing w:after="0" w:line="296"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Margin Pressure Across End Markets: </w:t>
      </w:r>
      <w:r>
        <w:rPr>
          <w:rFonts w:ascii="Times New Roman" w:cs="Times New Roman" w:eastAsia="Times New Roman" w:hAnsi="Times New Roman"/>
          <w:sz w:val="14"/>
          <w:szCs w:val="14"/>
          <w:color w:val="auto"/>
        </w:rPr>
        <w:t>Hospitals generally operate at a low margin; given these dynamics, health systems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providers are heavily focused on mitigating costs and increasing the quality of care.</w:t>
      </w:r>
    </w:p>
    <w:p>
      <w:pPr>
        <w:spacing w:after="0" w:line="44" w:lineRule="exact"/>
        <w:rPr>
          <w:rFonts w:ascii="Times New Roman" w:cs="Times New Roman" w:eastAsia="Times New Roman" w:hAnsi="Times New Roman"/>
          <w:sz w:val="14"/>
          <w:szCs w:val="14"/>
          <w:color w:val="auto"/>
        </w:rPr>
      </w:pPr>
    </w:p>
    <w:p>
      <w:pPr>
        <w:ind w:left="2140" w:right="639" w:hanging="321"/>
        <w:spacing w:after="0" w:line="296"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Shift in Volumes Outside of the Hospital: </w:t>
      </w:r>
      <w:r>
        <w:rPr>
          <w:rFonts w:ascii="Times New Roman" w:cs="Times New Roman" w:eastAsia="Times New Roman" w:hAnsi="Times New Roman"/>
          <w:sz w:val="14"/>
          <w:szCs w:val="14"/>
          <w:color w:val="auto"/>
        </w:rPr>
        <w:t>As overall healthcare utilization increases, higher acuity procedures continue to shift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lower-cost sites of care, such as surgery centers and physician offices.</w:t>
      </w:r>
    </w:p>
    <w:p>
      <w:pPr>
        <w:spacing w:after="0" w:line="44" w:lineRule="exact"/>
        <w:rPr>
          <w:rFonts w:ascii="Times New Roman" w:cs="Times New Roman" w:eastAsia="Times New Roman" w:hAnsi="Times New Roman"/>
          <w:sz w:val="14"/>
          <w:szCs w:val="14"/>
          <w:color w:val="auto"/>
        </w:rPr>
      </w:pPr>
    </w:p>
    <w:p>
      <w:pPr>
        <w:ind w:left="2140" w:right="519" w:hanging="321"/>
        <w:spacing w:after="0" w:line="296"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Healthcare Consolidation: </w:t>
      </w:r>
      <w:r>
        <w:rPr>
          <w:rFonts w:ascii="Times New Roman" w:cs="Times New Roman" w:eastAsia="Times New Roman" w:hAnsi="Times New Roman"/>
          <w:sz w:val="14"/>
          <w:szCs w:val="14"/>
          <w:color w:val="auto"/>
        </w:rPr>
        <w:t>Consolidation activity is expected to continue, as hospitals combine to drive scale and create integrated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models to serve the continuum of care.</w:t>
      </w:r>
    </w:p>
    <w:p>
      <w:pPr>
        <w:spacing w:after="0" w:line="44" w:lineRule="exact"/>
        <w:rPr>
          <w:rFonts w:ascii="Times New Roman" w:cs="Times New Roman" w:eastAsia="Times New Roman" w:hAnsi="Times New Roman"/>
          <w:sz w:val="14"/>
          <w:szCs w:val="14"/>
          <w:color w:val="auto"/>
        </w:rPr>
      </w:pPr>
    </w:p>
    <w:p>
      <w:pPr>
        <w:ind w:left="2140" w:right="539" w:hanging="321"/>
        <w:spacing w:after="0" w:line="296"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Supply Chain Resiliency: </w:t>
      </w:r>
      <w:r>
        <w:rPr>
          <w:rFonts w:ascii="Times New Roman" w:cs="Times New Roman" w:eastAsia="Times New Roman" w:hAnsi="Times New Roman"/>
          <w:sz w:val="14"/>
          <w:szCs w:val="14"/>
          <w:color w:val="auto"/>
        </w:rPr>
        <w:t>Supply chain disruptions and shortages have revealed the industry’s need for in-stock products and short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delivery timeframes.</w:t>
      </w:r>
    </w:p>
    <w:p>
      <w:pPr>
        <w:spacing w:after="0" w:line="2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Value Creation for Key Stakeholders</w:t>
      </w:r>
    </w:p>
    <w:p>
      <w:pPr>
        <w:spacing w:after="0" w:line="185" w:lineRule="exact"/>
        <w:rPr>
          <w:sz w:val="20"/>
          <w:szCs w:val="20"/>
          <w:color w:val="auto"/>
        </w:rPr>
      </w:pPr>
    </w:p>
    <w:p>
      <w:pPr>
        <w:ind w:left="1400" w:right="359" w:firstLine="339"/>
        <w:spacing w:after="0" w:line="293" w:lineRule="auto"/>
        <w:rPr>
          <w:sz w:val="20"/>
          <w:szCs w:val="20"/>
          <w:color w:val="auto"/>
        </w:rPr>
      </w:pPr>
      <w:r>
        <w:rPr>
          <w:rFonts w:ascii="Times New Roman" w:cs="Times New Roman" w:eastAsia="Times New Roman" w:hAnsi="Times New Roman"/>
          <w:sz w:val="14"/>
          <w:szCs w:val="14"/>
          <w:color w:val="auto"/>
        </w:rPr>
        <w:t>Our integrated business model helps us to address the needs of the market today and enables us to drive value for key constituents across the healthcare system.</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Healthcare providers:</w:t>
      </w:r>
    </w:p>
    <w:p>
      <w:pPr>
        <w:spacing w:after="0" w:line="110" w:lineRule="exact"/>
        <w:rPr>
          <w:sz w:val="20"/>
          <w:szCs w:val="20"/>
          <w:color w:val="auto"/>
        </w:rPr>
      </w:pPr>
    </w:p>
    <w:p>
      <w:pPr>
        <w:ind w:left="2140" w:right="339" w:hanging="321"/>
        <w:spacing w:after="0" w:line="293" w:lineRule="auto"/>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high-quality, competitively priced Medline Brand products deliver material cost savings to providers, many of whom face margin pressures.</w:t>
      </w:r>
    </w:p>
    <w:p>
      <w:pPr>
        <w:spacing w:after="0" w:line="48" w:lineRule="exact"/>
        <w:rPr>
          <w:rFonts w:ascii="Times New Roman" w:cs="Times New Roman" w:eastAsia="Times New Roman" w:hAnsi="Times New Roman"/>
          <w:sz w:val="14"/>
          <w:szCs w:val="14"/>
          <w:color w:val="auto"/>
        </w:rPr>
      </w:pPr>
    </w:p>
    <w:p>
      <w:pPr>
        <w:ind w:left="2140" w:right="499" w:hanging="321"/>
        <w:spacing w:after="0" w:line="293" w:lineRule="auto"/>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48"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Prime Vendor model enables the cost-effective management of products, inventory, distribution, and delivery across sites of care.</w:t>
      </w:r>
    </w:p>
    <w:p>
      <w:pPr>
        <w:spacing w:after="0" w:line="107" w:lineRule="exact"/>
        <w:rPr>
          <w:rFonts w:ascii="Times New Roman" w:cs="Times New Roman" w:eastAsia="Times New Roman" w:hAnsi="Times New Roman"/>
          <w:sz w:val="14"/>
          <w:szCs w:val="14"/>
          <w:color w:val="auto"/>
        </w:rPr>
      </w:pPr>
    </w:p>
    <w:p>
      <w:pPr>
        <w:ind w:left="2140" w:right="419" w:hanging="321"/>
        <w:spacing w:after="0" w:line="265" w:lineRule="auto"/>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Patients:</w:t>
      </w:r>
    </w:p>
    <w:p>
      <w:pPr>
        <w:spacing w:after="0" w:line="110" w:lineRule="exact"/>
        <w:rPr>
          <w:sz w:val="20"/>
          <w:szCs w:val="20"/>
          <w:color w:val="auto"/>
        </w:rPr>
      </w:pPr>
    </w:p>
    <w:p>
      <w:pPr>
        <w:ind w:left="2140" w:right="299" w:hanging="321"/>
        <w:spacing w:after="0" w:line="293" w:lineRule="auto"/>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2"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3941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1015" cy="3941445"/>
                    </a:xfrm>
                    <a:prstGeom prst="rect">
                      <a:avLst/>
                    </a:prstGeom>
                    <a:noFill/>
                  </pic:spPr>
                </pic:pic>
              </a:graphicData>
            </a:graphic>
          </wp:anchor>
        </w:drawing>
      </w:r>
    </w:p>
    <w:p>
      <w:pPr>
        <w:spacing w:after="0" w:line="381" w:lineRule="exact"/>
        <w:rPr>
          <w:sz w:val="20"/>
          <w:szCs w:val="20"/>
          <w:color w:val="auto"/>
        </w:rPr>
      </w:pPr>
    </w:p>
    <w:p>
      <w:pPr>
        <w:ind w:left="2140" w:right="459" w:hanging="321"/>
        <w:spacing w:after="0" w:line="293"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educational materials and at-home care kits help patients take an active role in their own care, which improves health outcomes and patient satisfaction.</w:t>
      </w:r>
    </w:p>
    <w:p>
      <w:pPr>
        <w:spacing w:after="0" w:line="48"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thoughtfully designed products and services creates positive patient experiences.</w:t>
      </w:r>
    </w:p>
    <w:p>
      <w:pPr>
        <w:spacing w:after="0" w:line="107"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direct-to-consumer channel increases access to our high-quality, cost-effective products.</w:t>
      </w:r>
    </w:p>
    <w:p>
      <w:pPr>
        <w:spacing w:after="0" w:line="2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Product suppliers:</w:t>
      </w:r>
    </w:p>
    <w:p>
      <w:pPr>
        <w:spacing w:after="0" w:line="110" w:lineRule="exact"/>
        <w:rPr>
          <w:sz w:val="20"/>
          <w:szCs w:val="20"/>
          <w:color w:val="auto"/>
        </w:rPr>
      </w:pPr>
    </w:p>
    <w:p>
      <w:pPr>
        <w:ind w:left="2140" w:hanging="321"/>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scaled platform provides third-party product suppliers with access to our commercial team and a large and diverse customer base.</w:t>
      </w:r>
    </w:p>
    <w:p>
      <w:pPr>
        <w:spacing w:after="0" w:line="107"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service levels ensure that suppliers’ products are delivered reliably and on time.</w:t>
      </w:r>
    </w:p>
    <w:p>
      <w:pPr>
        <w:spacing w:after="0" w:line="108"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presence across the healthcare continuum provides opportunities to serve every site of care.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Why We Win</w:t>
      </w:r>
    </w:p>
    <w:p>
      <w:pPr>
        <w:spacing w:after="0" w:line="18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ability to earn and retain customers is driven by a number of specific qualities that are critical to our success.</w:t>
      </w:r>
    </w:p>
    <w:p>
      <w:pPr>
        <w:spacing w:after="0" w:line="179" w:lineRule="exact"/>
        <w:rPr>
          <w:sz w:val="20"/>
          <w:szCs w:val="20"/>
          <w:color w:val="auto"/>
        </w:rPr>
      </w:pPr>
    </w:p>
    <w:p>
      <w:pPr>
        <w:ind w:left="1400" w:right="379" w:firstLine="3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Customer-Focused Culture. </w:t>
      </w:r>
      <w:r>
        <w:rPr>
          <w:rFonts w:ascii="Times New Roman" w:cs="Times New Roman" w:eastAsia="Times New Roman" w:hAnsi="Times New Roman"/>
          <w:sz w:val="14"/>
          <w:szCs w:val="14"/>
          <w:color w:val="auto"/>
        </w:rPr>
        <w:t>Customers are at the heart of what we do. Our best-in-class business model, entrepreneurial spirit,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4,000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43"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Medline Platform Advantage. </w:t>
      </w:r>
      <w:r>
        <w:rPr>
          <w:rFonts w:ascii="Times New Roman" w:cs="Times New Roman" w:eastAsia="Times New Roman" w:hAnsi="Times New Roman"/>
          <w:sz w:val="14"/>
          <w:szCs w:val="14"/>
          <w:color w:val="auto"/>
        </w:rPr>
        <w:t>We are the largest provider of med-surg and supply chain solutions serving all points of care, based on total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net 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$2.4 billion in total new customer signings for the year ended December 31, 2025.</w:t>
      </w: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918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1015" cy="491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0" w:right="299" w:firstLine="3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Medline Brand Product Portfolio. </w:t>
      </w:r>
      <w:r>
        <w:rPr>
          <w:rFonts w:ascii="Times New Roman" w:cs="Times New Roman" w:eastAsia="Times New Roman" w:hAnsi="Times New Roman"/>
          <w:sz w:val="14"/>
          <w:szCs w:val="14"/>
          <w:color w:val="auto"/>
        </w:rPr>
        <w:t>We offer approximately 190,000 Medline Brand products across our product categories. We have a track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record of successfully bringing new products to market, with more than 2,300 granted patents and more than 450 clearances under Section 510(k) of the Federal Food, Drug and Cosmetic Act (“510(k)”). Over the last three years, we have successfully launched more than 250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39" w:lineRule="exact"/>
        <w:rPr>
          <w:sz w:val="20"/>
          <w:szCs w:val="20"/>
          <w:color w:val="auto"/>
        </w:rPr>
      </w:pPr>
    </w:p>
    <w:p>
      <w:pPr>
        <w:ind w:left="1400" w:right="279" w:firstLine="3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Unrivaled Distribution Capabilities. </w:t>
      </w:r>
      <w:r>
        <w:rPr>
          <w:rFonts w:ascii="Times New Roman" w:cs="Times New Roman" w:eastAsia="Times New Roman" w:hAnsi="Times New Roman"/>
          <w:sz w:val="14"/>
          <w:szCs w:val="14"/>
          <w:color w:val="auto"/>
        </w:rPr>
        <w:t>Medline’s breadth and footprint today is the result of decades of significant investments, including $1.4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billion in capital expenditures within our distribution network over the last five years. The network has been developed to serve healthcare facilities and providers across the continuum of care. We have a differentiated network of 70 global distribution facilities and a fleet of more than 2,100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2025, we carried $4.8 billion in global inventory that, combined with our distribution network and capabilities, enables us to have service levels of 99%.</w:t>
      </w:r>
    </w:p>
    <w:p>
      <w:pPr>
        <w:spacing w:after="0" w:line="143" w:lineRule="exact"/>
        <w:rPr>
          <w:sz w:val="20"/>
          <w:szCs w:val="20"/>
          <w:color w:val="auto"/>
        </w:rPr>
      </w:pPr>
    </w:p>
    <w:p>
      <w:pPr>
        <w:ind w:left="1400" w:right="539" w:firstLine="3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Clinical Solutions. </w:t>
      </w:r>
      <w:r>
        <w:rPr>
          <w:rFonts w:ascii="Times New Roman" w:cs="Times New Roman" w:eastAsia="Times New Roman" w:hAnsi="Times New Roman"/>
          <w:sz w:val="14"/>
          <w:szCs w:val="14"/>
          <w:color w:val="auto"/>
        </w:rPr>
        <w:t>Medline’s clinical solutions empower frontline teams with best practice guidance, education and training, and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36" w:lineRule="exact"/>
        <w:rPr>
          <w:sz w:val="20"/>
          <w:szCs w:val="20"/>
          <w:color w:val="auto"/>
        </w:rPr>
      </w:pPr>
    </w:p>
    <w:p>
      <w:pPr>
        <w:ind w:left="1400" w:right="439" w:firstLine="3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Increasing Returns to Scale. </w:t>
      </w:r>
      <w:r>
        <w:rPr>
          <w:rFonts w:ascii="Times New Roman" w:cs="Times New Roman" w:eastAsia="Times New Roman" w:hAnsi="Times New Roman"/>
          <w:sz w:val="14"/>
          <w:szCs w:val="14"/>
          <w:color w:val="auto"/>
        </w:rPr>
        <w:t>As we grow, Medline is uniquely positioned to benefit from our vertically integrated model and over 1,600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active 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w:t>
      </w: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2"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774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1015" cy="4774565"/>
                    </a:xfrm>
                    <a:prstGeom prst="rect">
                      <a:avLst/>
                    </a:prstGeom>
                    <a:noFill/>
                  </pic:spPr>
                </pic:pic>
              </a:graphicData>
            </a:graphic>
          </wp:anchor>
        </w:drawing>
      </w:r>
    </w:p>
    <w:p>
      <w:pPr>
        <w:spacing w:after="0" w:line="381" w:lineRule="exact"/>
        <w:rPr>
          <w:sz w:val="20"/>
          <w:szCs w:val="20"/>
          <w:color w:val="auto"/>
        </w:rPr>
      </w:pPr>
    </w:p>
    <w:p>
      <w:pPr>
        <w:ind w:left="1400" w:right="339"/>
        <w:spacing w:after="0" w:line="265" w:lineRule="auto"/>
        <w:rPr>
          <w:sz w:val="20"/>
          <w:szCs w:val="20"/>
          <w:color w:val="auto"/>
        </w:rPr>
      </w:pPr>
      <w:r>
        <w:rPr>
          <w:rFonts w:ascii="Times New Roman" w:cs="Times New Roman" w:eastAsia="Times New Roman" w:hAnsi="Times New Roman"/>
          <w:sz w:val="14"/>
          <w:szCs w:val="14"/>
          <w:color w:val="auto"/>
        </w:rPr>
        <w:t>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85" w:lineRule="exact"/>
        <w:rPr>
          <w:sz w:val="20"/>
          <w:szCs w:val="20"/>
          <w:color w:val="auto"/>
        </w:rPr>
      </w:pPr>
    </w:p>
    <w:p>
      <w:pPr>
        <w:ind w:left="1400" w:right="279" w:firstLine="339"/>
        <w:spacing w:after="0" w:line="293" w:lineRule="auto"/>
        <w:rPr>
          <w:sz w:val="20"/>
          <w:szCs w:val="20"/>
          <w:color w:val="auto"/>
        </w:rPr>
      </w:pPr>
      <w:r>
        <w:rPr>
          <w:rFonts w:ascii="Times New Roman" w:cs="Times New Roman" w:eastAsia="Times New Roman" w:hAnsi="Times New Roman"/>
          <w:sz w:val="14"/>
          <w:szCs w:val="14"/>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Net Sales Growth</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ind w:left="2140" w:right="419" w:hanging="321"/>
        <w:spacing w:after="0" w:line="26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Growing with our Prime Vendor Customers</w:t>
      </w:r>
      <w:r>
        <w:rPr>
          <w:rFonts w:ascii="Times New Roman" w:cs="Times New Roman" w:eastAsia="Times New Roman" w:hAnsi="Times New Roman"/>
          <w:sz w:val="14"/>
          <w:szCs w:val="14"/>
          <w:color w:val="auto"/>
        </w:rPr>
        <w:t>: We have achieved a greater than 98% average Prime Vendor retention rate over the past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63" w:lineRule="exact"/>
        <w:rPr>
          <w:rFonts w:ascii="Times New Roman" w:cs="Times New Roman" w:eastAsia="Times New Roman" w:hAnsi="Times New Roman"/>
          <w:sz w:val="14"/>
          <w:szCs w:val="14"/>
          <w:color w:val="auto"/>
        </w:rPr>
      </w:pPr>
    </w:p>
    <w:p>
      <w:pPr>
        <w:ind w:left="2140" w:right="419" w:hanging="321"/>
        <w:spacing w:after="0" w:line="26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Winning New Prime Vendor Customers</w:t>
      </w:r>
      <w:r>
        <w:rPr>
          <w:rFonts w:ascii="Times New Roman" w:cs="Times New Roman" w:eastAsia="Times New Roman" w:hAnsi="Times New Roman"/>
          <w:sz w:val="14"/>
          <w:szCs w:val="14"/>
          <w:color w:val="auto"/>
        </w:rPr>
        <w:t>: We continue to earn new Prime Vendor customers, which has been a key driver of sustained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63" w:lineRule="exact"/>
        <w:rPr>
          <w:rFonts w:ascii="Times New Roman" w:cs="Times New Roman" w:eastAsia="Times New Roman" w:hAnsi="Times New Roman"/>
          <w:sz w:val="14"/>
          <w:szCs w:val="14"/>
          <w:color w:val="auto"/>
        </w:rPr>
      </w:pPr>
    </w:p>
    <w:p>
      <w:pPr>
        <w:ind w:left="2140" w:right="499" w:hanging="321"/>
        <w:spacing w:after="0" w:line="276"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Growing Medline Brand with Non-Prime Vendor Customers</w:t>
      </w:r>
      <w:r>
        <w:rPr>
          <w:rFonts w:ascii="Times New Roman" w:cs="Times New Roman" w:eastAsia="Times New Roman" w:hAnsi="Times New Roman"/>
          <w:sz w:val="14"/>
          <w:szCs w:val="14"/>
          <w:color w:val="auto"/>
        </w:rPr>
        <w:t>: An increasing number of non-Prime Vendor customers are choosing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Medline Brand. We will continue to provide high-quality, cost-effective products that meet their med-surg needs and accelerate our expansion within these customers.</w:t>
      </w:r>
    </w:p>
    <w:p>
      <w:pPr>
        <w:spacing w:after="0" w:line="57" w:lineRule="exact"/>
        <w:rPr>
          <w:rFonts w:ascii="Times New Roman" w:cs="Times New Roman" w:eastAsia="Times New Roman" w:hAnsi="Times New Roman"/>
          <w:sz w:val="14"/>
          <w:szCs w:val="14"/>
          <w:color w:val="auto"/>
        </w:rPr>
      </w:pPr>
    </w:p>
    <w:p>
      <w:pPr>
        <w:ind w:left="2140" w:right="359" w:hanging="321"/>
        <w:spacing w:after="0" w:line="276"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Continuous Product Innovation</w:t>
      </w:r>
      <w:r>
        <w:rPr>
          <w:rFonts w:ascii="Times New Roman" w:cs="Times New Roman" w:eastAsia="Times New Roman" w:hAnsi="Times New Roman"/>
          <w:sz w:val="14"/>
          <w:szCs w:val="14"/>
          <w:color w:val="auto"/>
        </w:rPr>
        <w:t>: Innovation is embedded within our product teams, who leverage our salesforce, customer feedback,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57" w:lineRule="exact"/>
        <w:rPr>
          <w:rFonts w:ascii="Times New Roman" w:cs="Times New Roman" w:eastAsia="Times New Roman" w:hAnsi="Times New Roman"/>
          <w:sz w:val="14"/>
          <w:szCs w:val="14"/>
          <w:color w:val="auto"/>
        </w:rPr>
      </w:pPr>
    </w:p>
    <w:p>
      <w:pPr>
        <w:ind w:left="2140" w:right="299" w:hanging="321"/>
        <w:spacing w:after="0" w:line="26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Channel Expansion</w:t>
      </w:r>
      <w:r>
        <w:rPr>
          <w:rFonts w:ascii="Times New Roman" w:cs="Times New Roman" w:eastAsia="Times New Roman" w:hAnsi="Times New Roman"/>
          <w:sz w:val="14"/>
          <w:szCs w:val="14"/>
          <w:color w:val="auto"/>
        </w:rPr>
        <w:t>: We will continue to evaluate new opportunities to expand our TAM and the markets we serve. We currently serve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63" w:lineRule="exact"/>
        <w:rPr>
          <w:rFonts w:ascii="Times New Roman" w:cs="Times New Roman" w:eastAsia="Times New Roman" w:hAnsi="Times New Roman"/>
          <w:sz w:val="14"/>
          <w:szCs w:val="14"/>
          <w:color w:val="auto"/>
        </w:rPr>
      </w:pPr>
    </w:p>
    <w:p>
      <w:pPr>
        <w:ind w:left="2140" w:right="319" w:hanging="321"/>
        <w:spacing w:after="0" w:line="26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International Expansion</w:t>
      </w:r>
      <w:r>
        <w:rPr>
          <w:rFonts w:ascii="Times New Roman" w:cs="Times New Roman" w:eastAsia="Times New Roman" w:hAnsi="Times New Roman"/>
          <w:sz w:val="14"/>
          <w:szCs w:val="14"/>
          <w:color w:val="auto"/>
        </w:rPr>
        <w:t>: Our value proposition can help customers across markets internationally, and we expect to tap into the $200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2025.</w:t>
      </w:r>
    </w:p>
    <w:p>
      <w:pPr>
        <w:spacing w:after="0" w:line="63" w:lineRule="exact"/>
        <w:rPr>
          <w:rFonts w:ascii="Times New Roman" w:cs="Times New Roman" w:eastAsia="Times New Roman" w:hAnsi="Times New Roman"/>
          <w:sz w:val="14"/>
          <w:szCs w:val="14"/>
          <w:color w:val="auto"/>
        </w:rPr>
      </w:pPr>
    </w:p>
    <w:p>
      <w:pPr>
        <w:ind w:left="2140" w:right="359" w:hanging="321"/>
        <w:spacing w:after="0" w:line="276"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M&amp;A Execution</w:t>
      </w:r>
      <w:r>
        <w:rPr>
          <w:rFonts w:ascii="Times New Roman" w:cs="Times New Roman" w:eastAsia="Times New Roman" w:hAnsi="Times New Roman"/>
          <w:sz w:val="14"/>
          <w:szCs w:val="14"/>
          <w:color w:val="auto"/>
        </w:rPr>
        <w:t>: Our disciplined, global M&amp;A strategy is focused on pursuing adjacent products and services, as well as expanding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new channels. We have a proven strategy for integrating new acquisitions and achieving significant synergies, which has enabled us to acquire businesses at</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918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1015" cy="4918075"/>
                    </a:xfrm>
                    <a:prstGeom prst="rect">
                      <a:avLst/>
                    </a:prstGeom>
                    <a:noFill/>
                  </pic:spPr>
                </pic:pic>
              </a:graphicData>
            </a:graphic>
          </wp:anchor>
        </w:drawing>
      </w:r>
    </w:p>
    <w:p>
      <w:pPr>
        <w:spacing w:after="0" w:line="381" w:lineRule="exact"/>
        <w:rPr>
          <w:sz w:val="20"/>
          <w:szCs w:val="20"/>
          <w:color w:val="auto"/>
        </w:rPr>
      </w:pPr>
    </w:p>
    <w:p>
      <w:pPr>
        <w:ind w:left="2160" w:right="359"/>
        <w:spacing w:after="0" w:line="265" w:lineRule="auto"/>
        <w:rPr>
          <w:sz w:val="20"/>
          <w:szCs w:val="20"/>
          <w:color w:val="auto"/>
        </w:rPr>
      </w:pPr>
      <w:r>
        <w:rPr>
          <w:rFonts w:ascii="Times New Roman" w:cs="Times New Roman" w:eastAsia="Times New Roman" w:hAnsi="Times New Roman"/>
          <w:sz w:val="14"/>
          <w:szCs w:val="14"/>
          <w:color w:val="auto"/>
        </w:rPr>
        <w:t>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Earnings Growth</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ind w:left="2140" w:right="299" w:hanging="321"/>
        <w:spacing w:after="0" w:line="259" w:lineRule="auto"/>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Medline Brand Conversion Opportunity</w:t>
      </w:r>
      <w:r>
        <w:rPr>
          <w:rFonts w:ascii="Times New Roman" w:cs="Times New Roman" w:eastAsia="Times New Roman" w:hAnsi="Times New Roman"/>
          <w:sz w:val="14"/>
          <w:szCs w:val="14"/>
          <w:color w:val="auto"/>
        </w:rPr>
        <w:t>: To help our customers achieve cost savings, we provide them with Medline Brand products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 $1.3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1A—Risk Factors—Risks Related to Our Business, Industry and Operations—Our failure to establish and maintain Prime Vendor relationships may cause our revenue to decline” in our 2025 Form 10-K incorporated by reference in this prospectus.</w:t>
      </w:r>
    </w:p>
    <w:p>
      <w:pPr>
        <w:spacing w:after="0" w:line="243" w:lineRule="exact"/>
        <w:rPr>
          <w:rFonts w:ascii="Times New Roman" w:cs="Times New Roman" w:eastAsia="Times New Roman" w:hAnsi="Times New Roman"/>
          <w:sz w:val="14"/>
          <w:szCs w:val="14"/>
          <w:color w:val="auto"/>
        </w:rPr>
      </w:pPr>
    </w:p>
    <w:p>
      <w:pPr>
        <w:jc w:val="both"/>
        <w:ind w:left="2140" w:right="359" w:hanging="321"/>
        <w:spacing w:after="0" w:line="269" w:lineRule="auto"/>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Operational Execution</w:t>
      </w:r>
      <w:r>
        <w:rPr>
          <w:rFonts w:ascii="Times New Roman" w:cs="Times New Roman" w:eastAsia="Times New Roman" w:hAnsi="Times New Roman"/>
          <w:sz w:val="14"/>
          <w:szCs w:val="14"/>
          <w:color w:val="auto"/>
        </w:rPr>
        <w:t>: To strengthen our cost advantage on Medline Brand products, we continuously improve our procurement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31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Our Culture</w:t>
      </w:r>
    </w:p>
    <w:p>
      <w:pPr>
        <w:spacing w:after="0" w:line="185" w:lineRule="exact"/>
        <w:rPr>
          <w:sz w:val="20"/>
          <w:szCs w:val="20"/>
          <w:color w:val="auto"/>
        </w:rPr>
      </w:pPr>
    </w:p>
    <w:p>
      <w:pPr>
        <w:ind w:left="1400" w:right="319" w:firstLine="339"/>
        <w:spacing w:after="0" w:line="265" w:lineRule="auto"/>
        <w:rPr>
          <w:sz w:val="20"/>
          <w:szCs w:val="20"/>
          <w:color w:val="auto"/>
        </w:rPr>
      </w:pPr>
      <w:r>
        <w:rPr>
          <w:rFonts w:ascii="Times New Roman" w:cs="Times New Roman" w:eastAsia="Times New Roman" w:hAnsi="Times New Roman"/>
          <w:sz w:val="14"/>
          <w:szCs w:val="14"/>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45,000 people and operate across more than 100 countries. The work we do enables healthcare providers to deliver the best quality care, in the most financially sustainable way, across the entire continuum of healthcare.</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culture is guided by our six core values:</w:t>
      </w:r>
    </w:p>
    <w:p>
      <w:pPr>
        <w:spacing w:after="0" w:line="108" w:lineRule="exact"/>
        <w:rPr>
          <w:sz w:val="20"/>
          <w:szCs w:val="20"/>
          <w:color w:val="auto"/>
        </w:rPr>
      </w:pPr>
    </w:p>
    <w:p>
      <w:pPr>
        <w:ind w:left="2140" w:hanging="321"/>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relentless customer focus</w:t>
      </w:r>
    </w:p>
    <w:p>
      <w:pPr>
        <w:spacing w:after="0" w:line="107"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demonstrate agility and flexibility</w:t>
      </w:r>
    </w:p>
    <w:p>
      <w:pPr>
        <w:spacing w:after="0" w:line="2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5034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1015" cy="5034280"/>
                    </a:xfrm>
                    <a:prstGeom prst="rect">
                      <a:avLst/>
                    </a:prstGeom>
                    <a:noFill/>
                  </pic:spPr>
                </pic:pic>
              </a:graphicData>
            </a:graphic>
          </wp:anchor>
        </w:drawing>
      </w:r>
    </w:p>
    <w:p>
      <w:pPr>
        <w:spacing w:after="0" w:line="381" w:lineRule="exact"/>
        <w:rPr>
          <w:sz w:val="20"/>
          <w:szCs w:val="20"/>
          <w:color w:val="auto"/>
        </w:rPr>
      </w:pPr>
    </w:p>
    <w:p>
      <w:pPr>
        <w:ind w:left="2140" w:hanging="321"/>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gritty problem solvers</w:t>
      </w:r>
    </w:p>
    <w:p>
      <w:pPr>
        <w:spacing w:after="0" w:line="107"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drive to succeed</w:t>
      </w:r>
    </w:p>
    <w:p>
      <w:pPr>
        <w:spacing w:after="0" w:line="108"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practice purposeful candor</w:t>
      </w:r>
    </w:p>
    <w:p>
      <w:pPr>
        <w:spacing w:after="0" w:line="107"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relationships matter</w:t>
      </w:r>
    </w:p>
    <w:p>
      <w:pPr>
        <w:spacing w:after="0" w:line="183" w:lineRule="exact"/>
        <w:rPr>
          <w:sz w:val="20"/>
          <w:szCs w:val="20"/>
          <w:color w:val="auto"/>
        </w:rPr>
      </w:pPr>
    </w:p>
    <w:p>
      <w:pPr>
        <w:ind w:left="1400" w:right="359" w:firstLine="339"/>
        <w:spacing w:after="0" w:line="275" w:lineRule="auto"/>
        <w:rPr>
          <w:sz w:val="20"/>
          <w:szCs w:val="20"/>
          <w:color w:val="auto"/>
        </w:rPr>
      </w:pPr>
      <w:r>
        <w:rPr>
          <w:rFonts w:ascii="Times New Roman" w:cs="Times New Roman" w:eastAsia="Times New Roman" w:hAnsi="Times New Roman"/>
          <w:sz w:val="14"/>
          <w:szCs w:val="14"/>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w:t>
      </w: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Our Structure</w:t>
      </w:r>
    </w:p>
    <w:p>
      <w:pPr>
        <w:spacing w:after="0" w:line="18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Medline Inc. is a holding company, and its sole material assets are its equity interests held directly or indirectly through wholly owned</w:t>
      </w:r>
    </w:p>
    <w:p>
      <w:pPr>
        <w:spacing w:after="0" w:line="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subsidiaries in Medline Holdings. As the general partner of Medline Holdings, Medline Inc. operates and controls all of the business and affairs of</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Medline Holdings and, through Medline Holdings and its subsidiaries, conduct our business. Prior to the completion of the IPO:</w:t>
      </w:r>
    </w:p>
    <w:p>
      <w:pPr>
        <w:spacing w:after="0" w:line="94" w:lineRule="exact"/>
        <w:rPr>
          <w:sz w:val="20"/>
          <w:szCs w:val="20"/>
          <w:color w:val="auto"/>
        </w:rPr>
      </w:pPr>
    </w:p>
    <w:p>
      <w:pPr>
        <w:ind w:left="2160" w:right="379" w:hanging="427"/>
        <w:spacing w:after="0" w:line="293"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Pre-IPO Stockholders received shares of Class A common stock of Medline Inc. pursuant to the Blocker Transfers as defined and described in “Organizational Structure—Blocker Transfers”;</w:t>
      </w:r>
    </w:p>
    <w:p>
      <w:pPr>
        <w:spacing w:after="0" w:line="48" w:lineRule="exact"/>
        <w:rPr>
          <w:rFonts w:ascii="Times New Roman" w:cs="Times New Roman" w:eastAsia="Times New Roman" w:hAnsi="Times New Roman"/>
          <w:sz w:val="14"/>
          <w:szCs w:val="14"/>
          <w:color w:val="auto"/>
        </w:rPr>
      </w:pPr>
    </w:p>
    <w:p>
      <w:pPr>
        <w:jc w:val="both"/>
        <w:ind w:left="2160" w:right="359" w:hanging="427"/>
        <w:spacing w:after="0" w:line="275"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59" w:lineRule="exact"/>
        <w:rPr>
          <w:rFonts w:ascii="Times New Roman" w:cs="Times New Roman" w:eastAsia="Times New Roman" w:hAnsi="Times New Roman"/>
          <w:sz w:val="14"/>
          <w:szCs w:val="14"/>
          <w:color w:val="auto"/>
        </w:rPr>
      </w:pPr>
    </w:p>
    <w:p>
      <w:pPr>
        <w:ind w:left="2480" w:hanging="241"/>
        <w:spacing w:after="0"/>
        <w:tabs>
          <w:tab w:leader="none" w:pos="24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Continuing Common Unitholders were converted into Common Units;</w:t>
      </w:r>
    </w:p>
    <w:p>
      <w:pPr>
        <w:spacing w:after="0" w:line="107" w:lineRule="exact"/>
        <w:rPr>
          <w:rFonts w:ascii="Times New Roman" w:cs="Times New Roman" w:eastAsia="Times New Roman" w:hAnsi="Times New Roman"/>
          <w:sz w:val="14"/>
          <w:szCs w:val="14"/>
          <w:color w:val="auto"/>
        </w:rPr>
      </w:pPr>
    </w:p>
    <w:p>
      <w:pPr>
        <w:ind w:left="2480" w:hanging="241"/>
        <w:spacing w:after="0"/>
        <w:tabs>
          <w:tab w:leader="none" w:pos="24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Continuing Common Unitholders were converted into Common Units; and</w:t>
      </w:r>
    </w:p>
    <w:p>
      <w:pPr>
        <w:spacing w:after="0" w:line="107" w:lineRule="exact"/>
        <w:rPr>
          <w:rFonts w:ascii="Times New Roman" w:cs="Times New Roman" w:eastAsia="Times New Roman" w:hAnsi="Times New Roman"/>
          <w:sz w:val="14"/>
          <w:szCs w:val="14"/>
          <w:color w:val="auto"/>
        </w:rPr>
      </w:pPr>
    </w:p>
    <w:p>
      <w:pPr>
        <w:ind w:left="2480" w:hanging="241"/>
        <w:spacing w:after="0"/>
        <w:tabs>
          <w:tab w:leader="none" w:pos="24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Continuing Incentive Unitholders were converted into Incentive Units;</w:t>
      </w:r>
    </w:p>
    <w:p>
      <w:pPr>
        <w:spacing w:after="0" w:line="108" w:lineRule="exact"/>
        <w:rPr>
          <w:rFonts w:ascii="Times New Roman" w:cs="Times New Roman" w:eastAsia="Times New Roman" w:hAnsi="Times New Roman"/>
          <w:sz w:val="14"/>
          <w:szCs w:val="14"/>
          <w:color w:val="auto"/>
        </w:rPr>
      </w:pPr>
    </w:p>
    <w:p>
      <w:pPr>
        <w:ind w:left="2160" w:right="679" w:hanging="427"/>
        <w:spacing w:after="0" w:line="293"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Common Unitholders received the number of shares of Class B common stock of Medline Inc. equivalent to the number of Common Units held by each such Continuing Common Unitholder; and</w:t>
      </w:r>
    </w:p>
    <w:p>
      <w:pPr>
        <w:spacing w:after="0" w:line="48" w:lineRule="exact"/>
        <w:rPr>
          <w:rFonts w:ascii="Times New Roman" w:cs="Times New Roman" w:eastAsia="Times New Roman" w:hAnsi="Times New Roman"/>
          <w:sz w:val="14"/>
          <w:szCs w:val="14"/>
          <w:color w:val="auto"/>
        </w:rPr>
      </w:pPr>
    </w:p>
    <w:p>
      <w:pPr>
        <w:ind w:left="2160" w:hanging="427"/>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CUPI Units, and Class B Units that are not reclassified as set forth in (2) above were treated as follows:</w:t>
      </w:r>
    </w:p>
    <w:p>
      <w:pPr>
        <w:spacing w:after="0" w:line="107" w:lineRule="exact"/>
        <w:rPr>
          <w:rFonts w:ascii="Times New Roman" w:cs="Times New Roman" w:eastAsia="Times New Roman" w:hAnsi="Times New Roman"/>
          <w:sz w:val="14"/>
          <w:szCs w:val="14"/>
          <w:color w:val="auto"/>
        </w:rPr>
      </w:pPr>
    </w:p>
    <w:p>
      <w:pPr>
        <w:ind w:left="2480" w:right="579" w:hanging="241"/>
        <w:spacing w:after="0" w:line="293" w:lineRule="auto"/>
        <w:tabs>
          <w:tab w:leader="none" w:pos="24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Exchanging Class A Unitholders were directly or indirectly exchanged for shares of Class A common stock;</w:t>
      </w:r>
    </w:p>
    <w:p>
      <w:pPr>
        <w:spacing w:after="0" w:line="48" w:lineRule="exact"/>
        <w:rPr>
          <w:rFonts w:ascii="Times New Roman" w:cs="Times New Roman" w:eastAsia="Times New Roman" w:hAnsi="Times New Roman"/>
          <w:sz w:val="14"/>
          <w:szCs w:val="14"/>
          <w:color w:val="auto"/>
        </w:rPr>
      </w:pPr>
    </w:p>
    <w:p>
      <w:pPr>
        <w:ind w:left="2480" w:right="439" w:hanging="241"/>
        <w:spacing w:after="0" w:line="293" w:lineRule="auto"/>
        <w:tabs>
          <w:tab w:leader="none" w:pos="24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Exchanging CUPI Unitholders were directly or indirectly exchanged for shares of Class A common stock; and</w:t>
      </w:r>
    </w:p>
    <w:p>
      <w:pPr>
        <w:spacing w:after="0" w:line="48" w:lineRule="exact"/>
        <w:rPr>
          <w:rFonts w:ascii="Times New Roman" w:cs="Times New Roman" w:eastAsia="Times New Roman" w:hAnsi="Times New Roman"/>
          <w:sz w:val="14"/>
          <w:szCs w:val="14"/>
          <w:color w:val="auto"/>
        </w:rPr>
      </w:pPr>
    </w:p>
    <w:p>
      <w:pPr>
        <w:ind w:left="2480" w:right="459" w:hanging="241"/>
        <w:spacing w:after="0" w:line="275" w:lineRule="auto"/>
        <w:tabs>
          <w:tab w:leader="none" w:pos="24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35" w:lineRule="exact"/>
        <w:rPr>
          <w:sz w:val="20"/>
          <w:szCs w:val="20"/>
          <w:color w:val="auto"/>
        </w:rPr>
      </w:pPr>
    </w:p>
    <w:p>
      <w:pPr>
        <w:ind w:left="1400" w:right="299" w:firstLine="339"/>
        <w:spacing w:after="0" w:line="275" w:lineRule="auto"/>
        <w:rPr>
          <w:sz w:val="20"/>
          <w:szCs w:val="20"/>
          <w:color w:val="auto"/>
        </w:rPr>
      </w:pPr>
      <w:r>
        <w:rPr>
          <w:rFonts w:ascii="Times New Roman" w:cs="Times New Roman" w:eastAsia="Times New Roman" w:hAnsi="Times New Roman"/>
          <w:sz w:val="14"/>
          <w:szCs w:val="14"/>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672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1015" cy="4672330"/>
                    </a:xfrm>
                    <a:prstGeom prst="rect">
                      <a:avLst/>
                    </a:prstGeom>
                    <a:noFill/>
                  </pic:spPr>
                </pic:pic>
              </a:graphicData>
            </a:graphic>
          </wp:anchor>
        </w:drawing>
      </w:r>
    </w:p>
    <w:p>
      <w:pPr>
        <w:spacing w:after="0" w:line="381" w:lineRule="exact"/>
        <w:rPr>
          <w:sz w:val="20"/>
          <w:szCs w:val="20"/>
          <w:color w:val="auto"/>
        </w:rPr>
      </w:pPr>
    </w:p>
    <w:p>
      <w:pPr>
        <w:ind w:left="1400" w:right="439"/>
        <w:spacing w:after="0" w:line="275" w:lineRule="auto"/>
        <w:rPr>
          <w:sz w:val="20"/>
          <w:szCs w:val="20"/>
          <w:color w:val="auto"/>
        </w:rPr>
      </w:pPr>
      <w:r>
        <w:rPr>
          <w:rFonts w:ascii="Times New Roman" w:cs="Times New Roman" w:eastAsia="Times New Roman" w:hAnsi="Times New Roman"/>
          <w:sz w:val="14"/>
          <w:szCs w:val="14"/>
          <w:color w:val="auto"/>
        </w:rPr>
        <w:t>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35" w:lineRule="exact"/>
        <w:rPr>
          <w:sz w:val="20"/>
          <w:szCs w:val="20"/>
          <w:color w:val="auto"/>
        </w:rPr>
      </w:pPr>
    </w:p>
    <w:p>
      <w:pPr>
        <w:ind w:left="1400" w:right="279" w:firstLine="339"/>
        <w:spacing w:after="0" w:line="261"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“Certain Relationships and Related Person Transactions—Medline Holdings Amended and Restated Limited Partnership Agreement.”</w:t>
      </w:r>
    </w:p>
    <w:p>
      <w:pPr>
        <w:spacing w:after="0" w:line="146" w:lineRule="exact"/>
        <w:rPr>
          <w:sz w:val="20"/>
          <w:szCs w:val="20"/>
          <w:color w:val="auto"/>
        </w:rPr>
      </w:pPr>
    </w:p>
    <w:p>
      <w:pPr>
        <w:ind w:left="1400" w:right="279" w:firstLine="339"/>
        <w:spacing w:after="0" w:line="264" w:lineRule="auto"/>
        <w:rPr>
          <w:sz w:val="20"/>
          <w:szCs w:val="20"/>
          <w:color w:val="auto"/>
        </w:rPr>
      </w:pPr>
      <w:r>
        <w:rPr>
          <w:rFonts w:ascii="Times New Roman" w:cs="Times New Roman" w:eastAsia="Times New Roman" w:hAnsi="Times New Roman"/>
          <w:sz w:val="14"/>
          <w:szCs w:val="14"/>
          <w:color w:val="auto"/>
        </w:rPr>
        <w:t>We granted options to purchase shares of Class A common stock under the Omnibus Incentive Plan (as defined herein) to certain Exchanging Class B Unitholders in substitution for a portion of the economic benefit to which the Class B Units were entitled prior to the IPO that was not reflected in the exchange of Class B Units to shares of Class A common stock. In addition, we granted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w:t>
      </w:r>
    </w:p>
    <w:p>
      <w:pPr>
        <w:spacing w:after="0" w:line="143" w:lineRule="exact"/>
        <w:rPr>
          <w:sz w:val="20"/>
          <w:szCs w:val="20"/>
          <w:color w:val="auto"/>
        </w:rPr>
      </w:pPr>
    </w:p>
    <w:p>
      <w:pPr>
        <w:ind w:left="1400" w:right="279" w:firstLine="339"/>
        <w:spacing w:after="0" w:line="262" w:lineRule="auto"/>
        <w:rPr>
          <w:sz w:val="20"/>
          <w:szCs w:val="20"/>
          <w:color w:val="auto"/>
        </w:rPr>
      </w:pPr>
      <w:r>
        <w:rPr>
          <w:rFonts w:ascii="Times New Roman" w:cs="Times New Roman" w:eastAsia="Times New Roman" w:hAnsi="Times New Roman"/>
          <w:sz w:val="14"/>
          <w:szCs w:val="14"/>
          <w:color w:val="auto"/>
        </w:rPr>
        <w:t>We and the Continuing Unitholders also entered into an exchange agreement under which they (or certain permitted transferees)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47" w:lineRule="exact"/>
        <w:rPr>
          <w:sz w:val="20"/>
          <w:szCs w:val="20"/>
          <w:color w:val="auto"/>
        </w:rPr>
      </w:pPr>
    </w:p>
    <w:p>
      <w:pPr>
        <w:ind w:left="1400" w:right="379" w:firstLine="339"/>
        <w:spacing w:after="0" w:line="261" w:lineRule="auto"/>
        <w:rPr>
          <w:sz w:val="20"/>
          <w:szCs w:val="20"/>
          <w:color w:val="auto"/>
        </w:rPr>
      </w:pPr>
      <w:r>
        <w:rPr>
          <w:rFonts w:ascii="Times New Roman" w:cs="Times New Roman" w:eastAsia="Times New Roman" w:hAnsi="Times New Roman"/>
          <w:sz w:val="14"/>
          <w:szCs w:val="14"/>
          <w:color w:val="auto"/>
        </w:rPr>
        <w:t>Following the IPO,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46" w:lineRule="exact"/>
        <w:rPr>
          <w:sz w:val="20"/>
          <w:szCs w:val="20"/>
          <w:color w:val="auto"/>
        </w:rPr>
      </w:pPr>
    </w:p>
    <w:p>
      <w:pPr>
        <w:ind w:left="1400" w:right="679" w:firstLine="339"/>
        <w:spacing w:after="0" w:line="293" w:lineRule="auto"/>
        <w:rPr>
          <w:sz w:val="20"/>
          <w:szCs w:val="20"/>
          <w:color w:val="auto"/>
        </w:rPr>
      </w:pPr>
      <w:r>
        <w:rPr>
          <w:rFonts w:ascii="Times New Roman" w:cs="Times New Roman" w:eastAsia="Times New Roman" w:hAnsi="Times New Roman"/>
          <w:sz w:val="14"/>
          <w:szCs w:val="14"/>
          <w:color w:val="auto"/>
        </w:rPr>
        <w:t>Prior to the completion of our IPO, we entered into a tax receivable agreement with certain of our pre-IPO owners that provides for the payment by Medline Inc. to such pre-IPO owners of 90% of certain tax benefits, if</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563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1015" cy="4563110"/>
                    </a:xfrm>
                    <a:prstGeom prst="rect">
                      <a:avLst/>
                    </a:prstGeom>
                    <a:noFill/>
                  </pic:spPr>
                </pic:pic>
              </a:graphicData>
            </a:graphic>
          </wp:anchor>
        </w:drawing>
      </w:r>
    </w:p>
    <w:p>
      <w:pPr>
        <w:spacing w:after="0" w:line="38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any, that Medline Inc. actually realizes, or is deemed to realize (calculated using certain assumptions), as a result of (i) Medline Inc.’s allocable</w:t>
      </w:r>
    </w:p>
    <w:p>
      <w:pPr>
        <w:spacing w:after="0" w:line="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 of the existing tax basis in Medline Holdings’ assets acquired in our IPO, (ii) increases in Medline Inc.’s allocable share of existing tax basis</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and tax basis adjustments to the tangible and intangible assets of Medline Holdings as a result of sales or exchanges of Common Units (including</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Common Units issued upon conversion of vested Incentive Units) in connection with or after our IPO, including the exchange of Common Units</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 shares of our Class A common stock by the selling stockholders in connection with this offering, (iii) Medline Inc.’s utilization of certain tax</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attributes (including any existing tax basis) of certain entities that are taxable as corporations for U.S. federal income tax purposes through which</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Pre-IPO Stockholders hold their interests in Medline Holdings prior to the Offering Transactions (the “Blocker Companies”), which Medline</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Inc. acquired in connection with our IPO as described under “Organizational Structure—Blocker Transfers,” and (iv) certain other tax benefits</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related to entering into the tax receivable agreement, including tax benefits attributable to payments under the tax receivable agreement. This</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payment obligation is an obligation of Medline Inc. and not of Medline Holdings. Payments under the tax receivable agreement are generally due</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annually five business days following finalization of a schedule showing the relevant tax benefit calculations that is required to be delivered by</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Medline Inc. within 120 calendar days following the due date (including extensions) of its U.S. corporation income tax return, and interest on such</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payments will accrue from the due date (without extensions) of such tax return. The term of the tax receivable agreement will continue until all</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such tax benefits have been utilized or expired, and payments thereunder are not conditioned upon continued ownership of us by the pre-IPO</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owners. Assuming: (i) a price of $42.88 per share of our Class A common stock (the closing sales price of our shares of Class A common stock on</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March 4, 2026 as reported on Nasdaq); (ii) a constant corporate tax rate of 25.7%; (iii) we will have sufficient taxable income to fully utilize the tax</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benefits; and (iv) no material changes in tax law, if the Continuing Unitholders were to exchange all of the Common Units that they will hold</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immediately following our IPO and this offering, and, assuming all Incentive Units are converted to Common Units and subsequently exchanged</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 shares of Class A common stock at a price of $42.88 per share of Class A common stock, we estimate that we would, as a result of the</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Reorganization Transactions, the IPO Transactions, this offering and such hypothetical exchange, record a deferred tax asset of approximately</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$6,023 million and that the aggregate noncurrent liability we would record based on our estimate of the aggregate amount that Medline Inc. would</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pay under the tax receivable agreement is approximately $11,140 million, generally payable over a 15-year period. These amounts are estimates</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and have been prepared for informational purposes only. The actual amount of deferred tax assets and related noncurrent liabilities that we will</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recognize as a result of any such future exchanges will differ based on, among other things: (i) the amount and timing of future exchanges of</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Common Units (including Common Units issued upon conversion of vested Incentive Units) by Continuing Unitholders, and the extent to which</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such exchanges are taxable; (ii) the price per share of our Class A common stock at the time of the exchanges; (iii) the amount and timing of future</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income against which to offset the tax benefits; and (iv) the tax rates then in effect. See “Certain Relationships and Related Person Transactions—</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Tax Receivable Agreement.”</w:t>
      </w:r>
    </w:p>
    <w:p>
      <w:pPr>
        <w:spacing w:after="0" w:line="170" w:lineRule="exact"/>
        <w:rPr>
          <w:sz w:val="20"/>
          <w:szCs w:val="20"/>
          <w:color w:val="auto"/>
        </w:rPr>
      </w:pPr>
    </w:p>
    <w:p>
      <w:pPr>
        <w:ind w:left="1400" w:right="339" w:firstLine="339"/>
        <w:spacing w:after="0" w:line="262" w:lineRule="auto"/>
        <w:rPr>
          <w:sz w:val="20"/>
          <w:szCs w:val="20"/>
          <w:color w:val="auto"/>
        </w:rPr>
      </w:pPr>
      <w:r>
        <w:rPr>
          <w:rFonts w:ascii="Times New Roman" w:cs="Times New Roman" w:eastAsia="Times New Roman" w:hAnsi="Times New Roman"/>
          <w:sz w:val="14"/>
          <w:szCs w:val="14"/>
          <w:color w:val="auto"/>
        </w:rPr>
        <w:t>Our organizational structure, as described above, is commonly referred to as an umbrella partnership-C-corporation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147" w:lineRule="exact"/>
        <w:rPr>
          <w:sz w:val="20"/>
          <w:szCs w:val="20"/>
          <w:color w:val="auto"/>
        </w:rPr>
      </w:pPr>
    </w:p>
    <w:p>
      <w:pPr>
        <w:jc w:val="both"/>
        <w:ind w:left="1400" w:right="399" w:firstLine="339"/>
        <w:spacing w:after="0" w:line="275" w:lineRule="auto"/>
        <w:rPr>
          <w:sz w:val="20"/>
          <w:szCs w:val="20"/>
          <w:color w:val="auto"/>
        </w:rPr>
      </w:pPr>
      <w:r>
        <w:rPr>
          <w:rFonts w:ascii="Times New Roman" w:cs="Times New Roman" w:eastAsia="Times New Roman" w:hAnsi="Times New Roman"/>
          <w:sz w:val="14"/>
          <w:szCs w:val="14"/>
          <w:color w:val="auto"/>
        </w:rPr>
        <w:t>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92"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303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1015" cy="4303395"/>
                    </a:xfrm>
                    <a:prstGeom prst="rect">
                      <a:avLst/>
                    </a:prstGeom>
                    <a:noFill/>
                  </pic:spPr>
                </pic:pic>
              </a:graphicData>
            </a:graphic>
          </wp:anchor>
        </w:drawing>
      </w:r>
    </w:p>
    <w:p>
      <w:pPr>
        <w:spacing w:after="0" w:line="381" w:lineRule="exact"/>
        <w:rPr>
          <w:sz w:val="20"/>
          <w:szCs w:val="20"/>
          <w:color w:val="auto"/>
        </w:rPr>
      </w:pPr>
    </w:p>
    <w:p>
      <w:pPr>
        <w:ind w:left="1400" w:right="299"/>
        <w:spacing w:after="0" w:line="275" w:lineRule="auto"/>
        <w:rPr>
          <w:sz w:val="20"/>
          <w:szCs w:val="20"/>
          <w:color w:val="auto"/>
        </w:rPr>
      </w:pPr>
      <w:r>
        <w:rPr>
          <w:rFonts w:ascii="Times New Roman" w:cs="Times New Roman" w:eastAsia="Times New Roman" w:hAnsi="Times New Roman"/>
          <w:sz w:val="14"/>
          <w:szCs w:val="14"/>
          <w:color w:val="auto"/>
        </w:rPr>
        <w:t>carrying amounts, as reflected in the historical consolidated financial statements of Medline Holdings. Medline Inc. consolidates Medline Holdings in its consolidated financial statements and records a non-controlling interest related to the Units held by the Continuing Unitholders on its consolidated balance sheet and statement of income.</w:t>
      </w:r>
    </w:p>
    <w:p>
      <w:pPr>
        <w:spacing w:after="0" w:line="135" w:lineRule="exact"/>
        <w:rPr>
          <w:sz w:val="20"/>
          <w:szCs w:val="20"/>
          <w:color w:val="auto"/>
        </w:rPr>
      </w:pPr>
    </w:p>
    <w:p>
      <w:pPr>
        <w:ind w:left="1400" w:right="619" w:firstLine="339"/>
        <w:spacing w:after="0" w:line="293" w:lineRule="auto"/>
        <w:rPr>
          <w:sz w:val="20"/>
          <w:szCs w:val="20"/>
          <w:color w:val="auto"/>
        </w:rPr>
      </w:pPr>
      <w:r>
        <w:rPr>
          <w:rFonts w:ascii="Times New Roman" w:cs="Times New Roman" w:eastAsia="Times New Roman" w:hAnsi="Times New Roman"/>
          <w:sz w:val="14"/>
          <w:szCs w:val="14"/>
          <w:color w:val="auto"/>
        </w:rPr>
        <w:t>The simplified diagram below depicts our organizational structure immediately after our IPO and this offering,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p>
    <w:p>
      <w:pPr>
        <w:spacing w:after="0" w:line="91" w:lineRule="exact"/>
        <w:rPr>
          <w:sz w:val="20"/>
          <w:szCs w:val="20"/>
          <w:color w:val="auto"/>
        </w:rPr>
      </w:pPr>
    </w:p>
    <w:p>
      <w:pPr>
        <w:ind w:left="1740" w:right="499" w:hanging="340"/>
        <w:spacing w:after="0" w:line="235" w:lineRule="auto"/>
        <w:tabs>
          <w:tab w:leader="none" w:pos="174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our Class A common stock and Class B common stock entitles its holder to one vote on all matters to be voted on by the stockholders generally. For additional information, see “Description of Capital Stock—Common Stock.”</w:t>
      </w:r>
    </w:p>
    <w:p>
      <w:pPr>
        <w:ind w:left="1740" w:right="459" w:hanging="340"/>
        <w:spacing w:after="0" w:line="231" w:lineRule="auto"/>
        <w:tabs>
          <w:tab w:leader="none" w:pos="174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February 23, 2026 (assuming the $49.64 closing price per share of our Class A common stock on such date), 27,875,935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549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1015" cy="4549140"/>
                    </a:xfrm>
                    <a:prstGeom prst="rect">
                      <a:avLst/>
                    </a:prstGeom>
                    <a:noFill/>
                  </pic:spPr>
                </pic:pic>
              </a:graphicData>
            </a:graphic>
          </wp:anchor>
        </w:drawing>
      </w:r>
    </w:p>
    <w:p>
      <w:pPr>
        <w:spacing w:after="0" w:line="3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Investment Risks</w:t>
      </w:r>
    </w:p>
    <w:p>
      <w:pPr>
        <w:spacing w:after="0" w:line="185" w:lineRule="exact"/>
        <w:rPr>
          <w:sz w:val="20"/>
          <w:szCs w:val="20"/>
          <w:color w:val="auto"/>
        </w:rPr>
      </w:pPr>
    </w:p>
    <w:p>
      <w:pPr>
        <w:ind w:left="1400" w:right="379" w:firstLine="339"/>
        <w:spacing w:after="0" w:line="275" w:lineRule="auto"/>
        <w:rPr>
          <w:sz w:val="20"/>
          <w:szCs w:val="20"/>
          <w:color w:val="auto"/>
        </w:rPr>
      </w:pPr>
      <w:r>
        <w:rPr>
          <w:rFonts w:ascii="Times New Roman" w:cs="Times New Roman" w:eastAsia="Times New Roman" w:hAnsi="Times New Roman"/>
          <w:sz w:val="14"/>
          <w:szCs w:val="14"/>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60" w:lineRule="exact"/>
        <w:rPr>
          <w:sz w:val="20"/>
          <w:szCs w:val="20"/>
          <w:color w:val="auto"/>
        </w:rPr>
      </w:pPr>
    </w:p>
    <w:p>
      <w:pPr>
        <w:ind w:left="2140" w:right="599" w:hanging="321"/>
        <w:spacing w:after="0" w:line="293"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the proper function, security and availability of our information technology systems and data, as well as those of third parties throughout our global supply chain, to operate our business.</w:t>
      </w:r>
    </w:p>
    <w:p>
      <w:pPr>
        <w:spacing w:after="0" w:line="48" w:lineRule="exact"/>
        <w:rPr>
          <w:rFonts w:ascii="Times New Roman" w:cs="Times New Roman" w:eastAsia="Times New Roman" w:hAnsi="Times New Roman"/>
          <w:sz w:val="14"/>
          <w:szCs w:val="14"/>
          <w:color w:val="auto"/>
        </w:rPr>
      </w:pPr>
    </w:p>
    <w:p>
      <w:pPr>
        <w:ind w:left="2140" w:right="759" w:hanging="321"/>
        <w:spacing w:after="0" w:line="293"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global operations are subject to inherent risks that could materially adversely affect our business, results of operations and financial condition.</w:t>
      </w:r>
    </w:p>
    <w:p>
      <w:pPr>
        <w:spacing w:after="0" w:line="48" w:lineRule="exact"/>
        <w:rPr>
          <w:rFonts w:ascii="Times New Roman" w:cs="Times New Roman" w:eastAsia="Times New Roman" w:hAnsi="Times New Roman"/>
          <w:sz w:val="14"/>
          <w:szCs w:val="14"/>
          <w:color w:val="auto"/>
        </w:rPr>
      </w:pPr>
    </w:p>
    <w:p>
      <w:pPr>
        <w:ind w:left="2140" w:right="779" w:hanging="321"/>
        <w:spacing w:after="0" w:line="293"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48" w:lineRule="exact"/>
        <w:rPr>
          <w:rFonts w:ascii="Times New Roman" w:cs="Times New Roman" w:eastAsia="Times New Roman" w:hAnsi="Times New Roman"/>
          <w:sz w:val="14"/>
          <w:szCs w:val="14"/>
          <w:color w:val="auto"/>
        </w:rPr>
      </w:pPr>
    </w:p>
    <w:p>
      <w:pPr>
        <w:ind w:left="2140" w:right="959" w:hanging="321"/>
        <w:spacing w:after="0" w:line="293"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extensive environmental, health and safety requirements, and our operations involve hazardous and other environmentally sensitive substances.</w:t>
      </w:r>
    </w:p>
    <w:p>
      <w:pPr>
        <w:spacing w:after="0" w:line="48" w:lineRule="exact"/>
        <w:rPr>
          <w:rFonts w:ascii="Times New Roman" w:cs="Times New Roman" w:eastAsia="Times New Roman" w:hAnsi="Times New Roman"/>
          <w:sz w:val="14"/>
          <w:szCs w:val="14"/>
          <w:color w:val="auto"/>
        </w:rPr>
      </w:pPr>
    </w:p>
    <w:p>
      <w:pPr>
        <w:ind w:left="2140" w:right="799" w:hanging="321"/>
        <w:spacing w:after="0" w:line="293"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derive fully the anticipated benefits from our existing or future acquisitions, joint ventures, investments, dispositions, or other strategic transactions.</w:t>
      </w:r>
    </w:p>
    <w:p>
      <w:pPr>
        <w:spacing w:after="0" w:line="48"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in the healthcare industry could have an adverse effect on our business, results of operations and financial condition.</w:t>
      </w:r>
    </w:p>
    <w:p>
      <w:pPr>
        <w:spacing w:after="0" w:line="108"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 could have a significant impact on our results of operations.</w:t>
      </w:r>
    </w:p>
    <w:p>
      <w:pPr>
        <w:spacing w:after="0" w:line="107"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profitability and cash flows may be adversely affected by inflationary pressures.</w:t>
      </w:r>
    </w:p>
    <w:p>
      <w:pPr>
        <w:spacing w:after="0" w:line="108" w:lineRule="exact"/>
        <w:rPr>
          <w:rFonts w:ascii="Times New Roman" w:cs="Times New Roman" w:eastAsia="Times New Roman" w:hAnsi="Times New Roman"/>
          <w:sz w:val="14"/>
          <w:szCs w:val="14"/>
          <w:color w:val="auto"/>
        </w:rPr>
      </w:pPr>
    </w:p>
    <w:p>
      <w:pPr>
        <w:ind w:left="2140" w:right="619" w:hanging="321"/>
        <w:spacing w:after="0" w:line="293"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and domestic macro-economic and political conditions could materially adversely affect our business, results of operations and financial condition.</w:t>
      </w:r>
    </w:p>
    <w:p>
      <w:pPr>
        <w:spacing w:after="0" w:line="48"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industry, with accelerating pricing pressure and changes in technology.</w:t>
      </w:r>
    </w:p>
    <w:p>
      <w:pPr>
        <w:spacing w:after="0" w:line="107" w:lineRule="exact"/>
        <w:rPr>
          <w:rFonts w:ascii="Times New Roman" w:cs="Times New Roman" w:eastAsia="Times New Roman" w:hAnsi="Times New Roman"/>
          <w:sz w:val="14"/>
          <w:szCs w:val="14"/>
          <w:color w:val="auto"/>
        </w:rPr>
      </w:pPr>
    </w:p>
    <w:p>
      <w:pPr>
        <w:ind w:left="2140" w:right="399" w:hanging="321"/>
        <w:spacing w:after="0" w:line="293"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48" w:lineRule="exact"/>
        <w:rPr>
          <w:rFonts w:ascii="Times New Roman" w:cs="Times New Roman" w:eastAsia="Times New Roman" w:hAnsi="Times New Roman"/>
          <w:sz w:val="14"/>
          <w:szCs w:val="14"/>
          <w:color w:val="auto"/>
        </w:rPr>
      </w:pPr>
    </w:p>
    <w:p>
      <w:pPr>
        <w:ind w:left="2140" w:hanging="321"/>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attract, develop and retain key employees.</w:t>
      </w:r>
    </w:p>
    <w:p>
      <w:pPr>
        <w:spacing w:after="0" w:line="108" w:lineRule="exact"/>
        <w:rPr>
          <w:rFonts w:ascii="Times New Roman" w:cs="Times New Roman" w:eastAsia="Times New Roman" w:hAnsi="Times New Roman"/>
          <w:sz w:val="14"/>
          <w:szCs w:val="14"/>
          <w:color w:val="auto"/>
        </w:rPr>
      </w:pPr>
    </w:p>
    <w:p>
      <w:pPr>
        <w:jc w:val="both"/>
        <w:ind w:left="2140" w:right="439" w:hanging="321"/>
        <w:spacing w:after="0" w:line="275"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59" w:lineRule="exact"/>
        <w:rPr>
          <w:rFonts w:ascii="Times New Roman" w:cs="Times New Roman" w:eastAsia="Times New Roman" w:hAnsi="Times New Roman"/>
          <w:sz w:val="14"/>
          <w:szCs w:val="14"/>
          <w:color w:val="auto"/>
        </w:rPr>
      </w:pPr>
    </w:p>
    <w:p>
      <w:pPr>
        <w:ind w:left="2140" w:right="359" w:hanging="321"/>
        <w:spacing w:after="0" w:line="293"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Designating Stockholders will continue to hold a significant percentage of our stock, and their interests may conflict with ours or yours in the future.</w:t>
      </w:r>
    </w:p>
    <w:p>
      <w:pPr>
        <w:spacing w:after="0" w:line="123" w:lineRule="exact"/>
        <w:rPr>
          <w:sz w:val="20"/>
          <w:szCs w:val="20"/>
          <w:color w:val="auto"/>
        </w:rPr>
      </w:pPr>
    </w:p>
    <w:p>
      <w:pPr>
        <w:ind w:left="1400" w:right="339" w:firstLine="339"/>
        <w:spacing w:after="0" w:line="293" w:lineRule="auto"/>
        <w:rPr>
          <w:sz w:val="20"/>
          <w:szCs w:val="20"/>
          <w:color w:val="auto"/>
        </w:rPr>
      </w:pPr>
      <w:r>
        <w:rPr>
          <w:rFonts w:ascii="Times New Roman" w:cs="Times New Roman" w:eastAsia="Times New Roman" w:hAnsi="Times New Roman"/>
          <w:sz w:val="14"/>
          <w:szCs w:val="14"/>
          <w:color w:val="auto"/>
        </w:rPr>
        <w:t>Before you invest in our Class A common stock, you should carefully consider all of the information in this prospectus, including matters set forth under the heading “Risk Factors” herein and in our 2025 Form 10-K, which is incorporated by reference in this prospectus.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92"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18300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1015" cy="1830070"/>
                    </a:xfrm>
                    <a:prstGeom prst="rect">
                      <a:avLst/>
                    </a:prstGeom>
                    <a:noFill/>
                  </pic:spPr>
                </pic:pic>
              </a:graphicData>
            </a:graphic>
          </wp:anchor>
        </w:drawing>
      </w:r>
    </w:p>
    <w:p>
      <w:pPr>
        <w:spacing w:after="0" w:line="3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185" w:lineRule="exact"/>
        <w:rPr>
          <w:sz w:val="20"/>
          <w:szCs w:val="20"/>
          <w:color w:val="auto"/>
        </w:rPr>
      </w:pPr>
    </w:p>
    <w:p>
      <w:pPr>
        <w:ind w:left="1400" w:right="339" w:firstLine="339"/>
        <w:spacing w:after="0" w:line="265" w:lineRule="auto"/>
        <w:rPr>
          <w:sz w:val="20"/>
          <w:szCs w:val="20"/>
          <w:color w:val="auto"/>
        </w:rPr>
      </w:pPr>
      <w:r>
        <w:rPr>
          <w:rFonts w:ascii="Times New Roman" w:cs="Times New Roman" w:eastAsia="Times New Roman" w:hAnsi="Times New Roman"/>
          <w:sz w:val="14"/>
          <w:szCs w:val="14"/>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44" w:lineRule="exact"/>
        <w:rPr>
          <w:sz w:val="20"/>
          <w:szCs w:val="20"/>
          <w:color w:val="auto"/>
        </w:rPr>
      </w:pPr>
    </w:p>
    <w:p>
      <w:pPr>
        <w:ind w:left="1400" w:right="459" w:firstLine="339"/>
        <w:spacing w:after="0" w:line="293" w:lineRule="auto"/>
        <w:rPr>
          <w:sz w:val="20"/>
          <w:szCs w:val="20"/>
          <w:color w:val="auto"/>
        </w:rPr>
      </w:pPr>
      <w:r>
        <w:rPr>
          <w:rFonts w:ascii="Times New Roman" w:cs="Times New Roman" w:eastAsia="Times New Roman" w:hAnsi="Times New Roman"/>
          <w:sz w:val="14"/>
          <w:szCs w:val="14"/>
          <w:color w:val="auto"/>
        </w:rPr>
        <w:t>In 2023, as part of a multi-year succession planning process, we elevated Jim Boyle to Chief Executive Officer, with members of the Mills Family continuing to serve on our board.</w:t>
      </w:r>
    </w:p>
    <w:p>
      <w:pPr>
        <w:spacing w:after="0" w:line="123" w:lineRule="exact"/>
        <w:rPr>
          <w:sz w:val="20"/>
          <w:szCs w:val="20"/>
          <w:color w:val="auto"/>
        </w:rPr>
      </w:pPr>
    </w:p>
    <w:p>
      <w:pPr>
        <w:ind w:left="1400" w:right="359" w:firstLine="339"/>
        <w:spacing w:after="0" w:line="272" w:lineRule="auto"/>
        <w:rPr>
          <w:sz w:val="20"/>
          <w:szCs w:val="20"/>
          <w:color w:val="auto"/>
        </w:rPr>
      </w:pPr>
      <w:r>
        <w:rPr>
          <w:rFonts w:ascii="Times New Roman" w:cs="Times New Roman" w:eastAsia="Times New Roman" w:hAnsi="Times New Roman"/>
          <w:sz w:val="14"/>
          <w:szCs w:val="14"/>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xml:space="preserve">. The reference to our website is intended to be an inactive textual reference only. </w:t>
      </w:r>
      <w:r>
        <w:rPr>
          <w:rFonts w:ascii="Times New Roman" w:cs="Times New Roman" w:eastAsia="Times New Roman" w:hAnsi="Times New Roman"/>
          <w:sz w:val="14"/>
          <w:szCs w:val="14"/>
          <w:b w:val="1"/>
          <w:bCs w:val="1"/>
          <w:color w:val="auto"/>
        </w:rPr>
        <w:t>The information contained on, or that can be accessed through, our website is not part of this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prospectus.</w:t>
      </w: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9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2691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1015" cy="4269105"/>
                    </a:xfrm>
                    <a:prstGeom prst="rect">
                      <a:avLst/>
                    </a:prstGeom>
                    <a:noFill/>
                  </pic:spPr>
                </pic:pic>
              </a:graphicData>
            </a:graphic>
          </wp:anchor>
        </w:drawing>
      </w:r>
    </w:p>
    <w:p>
      <w:pPr>
        <w:spacing w:after="0" w:line="379"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92" w:right="1440" w:bottom="1440" w:gutter="0" w:footer="0" w:header="0"/>
        </w:sectPr>
      </w:pPr>
    </w:p>
    <w:p>
      <w:pPr>
        <w:spacing w:after="0" w:line="207" w:lineRule="exact"/>
        <w:rPr>
          <w:sz w:val="20"/>
          <w:szCs w:val="20"/>
          <w:color w:val="auto"/>
        </w:rPr>
      </w:pPr>
    </w:p>
    <w:p>
      <w:pPr>
        <w:ind w:left="1460" w:right="320" w:hanging="62"/>
        <w:spacing w:after="0" w:line="293" w:lineRule="auto"/>
        <w:rPr>
          <w:sz w:val="20"/>
          <w:szCs w:val="20"/>
          <w:color w:val="auto"/>
        </w:rPr>
      </w:pPr>
      <w:r>
        <w:rPr>
          <w:rFonts w:ascii="Times New Roman" w:cs="Times New Roman" w:eastAsia="Times New Roman" w:hAnsi="Times New Roman"/>
          <w:sz w:val="14"/>
          <w:szCs w:val="14"/>
          <w:color w:val="auto"/>
        </w:rPr>
        <w:t>Class A common stock offered by the selling stockholders</w:t>
      </w:r>
    </w:p>
    <w:p>
      <w:pPr>
        <w:spacing w:after="0" w:line="156" w:lineRule="exact"/>
        <w:rPr>
          <w:sz w:val="20"/>
          <w:szCs w:val="20"/>
          <w:color w:val="auto"/>
        </w:rPr>
      </w:pPr>
    </w:p>
    <w:p>
      <w:pPr>
        <w:ind w:left="1460" w:right="340" w:hanging="62"/>
        <w:spacing w:after="0" w:line="293" w:lineRule="auto"/>
        <w:rPr>
          <w:sz w:val="20"/>
          <w:szCs w:val="20"/>
          <w:color w:val="auto"/>
        </w:rPr>
      </w:pPr>
      <w:r>
        <w:rPr>
          <w:rFonts w:ascii="Times New Roman" w:cs="Times New Roman" w:eastAsia="Times New Roman" w:hAnsi="Times New Roman"/>
          <w:sz w:val="14"/>
          <w:szCs w:val="14"/>
          <w:color w:val="auto"/>
        </w:rPr>
        <w:t>Class A common stock outstanding after this offering</w:t>
      </w:r>
    </w:p>
    <w:p>
      <w:pPr>
        <w:spacing w:after="0" w:line="156" w:lineRule="exact"/>
        <w:rPr>
          <w:sz w:val="20"/>
          <w:szCs w:val="20"/>
          <w:color w:val="auto"/>
        </w:rPr>
      </w:pPr>
    </w:p>
    <w:p>
      <w:pPr>
        <w:ind w:left="1460" w:right="280" w:hanging="62"/>
        <w:spacing w:after="0" w:line="268" w:lineRule="auto"/>
        <w:rPr>
          <w:sz w:val="20"/>
          <w:szCs w:val="20"/>
          <w:color w:val="auto"/>
        </w:rPr>
      </w:pPr>
      <w:r>
        <w:rPr>
          <w:rFonts w:ascii="Times New Roman" w:cs="Times New Roman" w:eastAsia="Times New Roman" w:hAnsi="Times New Roman"/>
          <w:sz w:val="14"/>
          <w:szCs w:val="14"/>
          <w:color w:val="auto"/>
        </w:rPr>
        <w:t>Class A common stock outstanding after this offering, assuming exchange of all Common Units held by the Continuing Common Unitholders</w:t>
      </w:r>
    </w:p>
    <w:p>
      <w:pPr>
        <w:spacing w:after="0" w:line="174" w:lineRule="exact"/>
        <w:rPr>
          <w:sz w:val="20"/>
          <w:szCs w:val="20"/>
          <w:color w:val="auto"/>
        </w:rPr>
      </w:pPr>
    </w:p>
    <w:p>
      <w:pPr>
        <w:ind w:left="1460" w:right="140" w:hanging="62"/>
        <w:spacing w:after="0" w:line="293" w:lineRule="auto"/>
        <w:rPr>
          <w:sz w:val="20"/>
          <w:szCs w:val="20"/>
          <w:color w:val="auto"/>
        </w:rPr>
      </w:pPr>
      <w:r>
        <w:rPr>
          <w:rFonts w:ascii="Times New Roman" w:cs="Times New Roman" w:eastAsia="Times New Roman" w:hAnsi="Times New Roman"/>
          <w:sz w:val="14"/>
          <w:szCs w:val="14"/>
          <w:color w:val="auto"/>
        </w:rPr>
        <w:t>Class B common stock outstanding, after giving effect to this offering</w:t>
      </w:r>
    </w:p>
    <w:p>
      <w:pPr>
        <w:spacing w:after="0" w:line="317" w:lineRule="exact"/>
        <w:rPr>
          <w:sz w:val="20"/>
          <w:szCs w:val="20"/>
          <w:color w:val="auto"/>
        </w:rPr>
      </w:pPr>
    </w:p>
    <w:p>
      <w:pPr>
        <w:ind w:left="1460" w:hanging="62"/>
        <w:spacing w:after="0" w:line="293" w:lineRule="auto"/>
        <w:rPr>
          <w:sz w:val="20"/>
          <w:szCs w:val="20"/>
          <w:color w:val="auto"/>
        </w:rPr>
      </w:pPr>
      <w:r>
        <w:rPr>
          <w:rFonts w:ascii="Times New Roman" w:cs="Times New Roman" w:eastAsia="Times New Roman" w:hAnsi="Times New Roman"/>
          <w:sz w:val="14"/>
          <w:szCs w:val="14"/>
          <w:color w:val="auto"/>
        </w:rPr>
        <w:t>Voting power held by investors in the IPO and this offering, after giving effect to this offering</w:t>
      </w:r>
    </w:p>
    <w:p>
      <w:pPr>
        <w:spacing w:after="0" w:line="156" w:lineRule="exact"/>
        <w:rPr>
          <w:sz w:val="20"/>
          <w:szCs w:val="20"/>
          <w:color w:val="auto"/>
        </w:rPr>
      </w:pPr>
    </w:p>
    <w:p>
      <w:pPr>
        <w:ind w:left="1460" w:right="160" w:hanging="62"/>
        <w:spacing w:after="0" w:line="293" w:lineRule="auto"/>
        <w:rPr>
          <w:sz w:val="20"/>
          <w:szCs w:val="20"/>
          <w:color w:val="auto"/>
        </w:rPr>
      </w:pPr>
      <w:r>
        <w:rPr>
          <w:rFonts w:ascii="Times New Roman" w:cs="Times New Roman" w:eastAsia="Times New Roman" w:hAnsi="Times New Roman"/>
          <w:sz w:val="14"/>
          <w:szCs w:val="14"/>
          <w:color w:val="auto"/>
        </w:rPr>
        <w:t>Voting power held by our pre-IPO owners, after giving effect to this offering</w:t>
      </w:r>
    </w:p>
    <w:p>
      <w:pPr>
        <w:spacing w:after="0" w:line="1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0" w:lineRule="exact"/>
        <w:rPr>
          <w:sz w:val="20"/>
          <w:szCs w:val="20"/>
          <w:color w:val="auto"/>
        </w:rPr>
      </w:pPr>
    </w:p>
    <w:p>
      <w:pPr>
        <w:spacing w:after="0" w:line="3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Conflicts of Interest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99"/>
        <w:spacing w:after="0" w:line="293" w:lineRule="auto"/>
        <w:rPr>
          <w:sz w:val="20"/>
          <w:szCs w:val="20"/>
          <w:color w:val="auto"/>
        </w:rPr>
      </w:pPr>
      <w:r>
        <w:rPr>
          <w:rFonts w:ascii="Times New Roman" w:cs="Times New Roman" w:eastAsia="Times New Roman" w:hAnsi="Times New Roman"/>
          <w:sz w:val="14"/>
          <w:szCs w:val="14"/>
          <w:color w:val="auto"/>
        </w:rPr>
        <w:t>75,000,000 shares (or 86,250,000 shares if the underwriters exercise in full their option to purchase additional shares of Class A common stock).</w:t>
      </w:r>
    </w:p>
    <w:p>
      <w:pPr>
        <w:spacing w:after="0" w:line="156" w:lineRule="exact"/>
        <w:rPr>
          <w:sz w:val="20"/>
          <w:szCs w:val="20"/>
          <w:color w:val="auto"/>
        </w:rPr>
      </w:pPr>
    </w:p>
    <w:p>
      <w:pPr>
        <w:jc w:val="both"/>
        <w:ind w:right="399"/>
        <w:spacing w:after="0" w:line="293" w:lineRule="auto"/>
        <w:rPr>
          <w:sz w:val="20"/>
          <w:szCs w:val="20"/>
          <w:color w:val="auto"/>
        </w:rPr>
      </w:pPr>
      <w:r>
        <w:rPr>
          <w:rFonts w:ascii="Times New Roman" w:cs="Times New Roman" w:eastAsia="Times New Roman" w:hAnsi="Times New Roman"/>
          <w:sz w:val="14"/>
          <w:szCs w:val="14"/>
          <w:color w:val="auto"/>
        </w:rPr>
        <w:t>841,181,362 shares (or 845,611,435 shares if the underwriters exercise in full their option to purchase additional shares of Class A common stock).</w:t>
      </w:r>
    </w:p>
    <w:p>
      <w:pPr>
        <w:spacing w:after="0" w:line="156" w:lineRule="exact"/>
        <w:rPr>
          <w:sz w:val="20"/>
          <w:szCs w:val="20"/>
          <w:color w:val="auto"/>
        </w:rPr>
      </w:pPr>
    </w:p>
    <w:p>
      <w:pPr>
        <w:ind w:right="319"/>
        <w:spacing w:after="0" w:line="293" w:lineRule="auto"/>
        <w:rPr>
          <w:sz w:val="20"/>
          <w:szCs w:val="20"/>
          <w:color w:val="auto"/>
        </w:rPr>
      </w:pPr>
      <w:r>
        <w:rPr>
          <w:rFonts w:ascii="Times New Roman" w:cs="Times New Roman" w:eastAsia="Times New Roman" w:hAnsi="Times New Roman"/>
          <w:sz w:val="14"/>
          <w:szCs w:val="14"/>
          <w:color w:val="auto"/>
        </w:rPr>
        <w:t>1,313,693,412 shares (which does not reflect any shares of Class A common stock issuable in exchange for as-converted Incentive Units).</w:t>
      </w:r>
    </w:p>
    <w:p>
      <w:pPr>
        <w:spacing w:after="0" w:line="200" w:lineRule="exact"/>
        <w:rPr>
          <w:sz w:val="20"/>
          <w:szCs w:val="20"/>
          <w:color w:val="auto"/>
        </w:rPr>
      </w:pPr>
    </w:p>
    <w:p>
      <w:pPr>
        <w:spacing w:after="0" w:line="300" w:lineRule="exact"/>
        <w:rPr>
          <w:sz w:val="20"/>
          <w:szCs w:val="20"/>
          <w:color w:val="auto"/>
        </w:rPr>
      </w:pPr>
    </w:p>
    <w:p>
      <w:pPr>
        <w:jc w:val="both"/>
        <w:ind w:right="399"/>
        <w:spacing w:after="0" w:line="275" w:lineRule="auto"/>
        <w:rPr>
          <w:sz w:val="20"/>
          <w:szCs w:val="20"/>
          <w:color w:val="auto"/>
        </w:rPr>
      </w:pPr>
      <w:r>
        <w:rPr>
          <w:rFonts w:ascii="Times New Roman" w:cs="Times New Roman" w:eastAsia="Times New Roman" w:hAnsi="Times New Roman"/>
          <w:sz w:val="14"/>
          <w:szCs w:val="14"/>
          <w:color w:val="auto"/>
        </w:rPr>
        <w:t>472,512,050 shares, all of which will be held by the Continuing Common Unitholders (or 468,081,977 shares if the underwriters exercise in full their option to purchase additional shares of Class A common stock).</w:t>
      </w:r>
    </w:p>
    <w:p>
      <w:pPr>
        <w:spacing w:after="0" w:line="157" w:lineRule="exact"/>
        <w:rPr>
          <w:sz w:val="20"/>
          <w:szCs w:val="20"/>
          <w:color w:val="auto"/>
        </w:rPr>
      </w:pPr>
    </w:p>
    <w:p>
      <w:pPr>
        <w:ind w:right="579"/>
        <w:spacing w:after="0" w:line="293" w:lineRule="auto"/>
        <w:rPr>
          <w:sz w:val="20"/>
          <w:szCs w:val="20"/>
          <w:color w:val="auto"/>
        </w:rPr>
      </w:pPr>
      <w:r>
        <w:rPr>
          <w:rFonts w:ascii="Times New Roman" w:cs="Times New Roman" w:eastAsia="Times New Roman" w:hAnsi="Times New Roman"/>
          <w:sz w:val="14"/>
          <w:szCs w:val="14"/>
          <w:color w:val="auto"/>
        </w:rPr>
        <w:t>22.7% (or 23.5% if the underwriters exercise in full their option to purchase additional shares of Class A common stock).</w:t>
      </w:r>
    </w:p>
    <w:p>
      <w:pPr>
        <w:spacing w:after="0" w:line="156" w:lineRule="exact"/>
        <w:rPr>
          <w:sz w:val="20"/>
          <w:szCs w:val="20"/>
          <w:color w:val="auto"/>
        </w:rPr>
      </w:pPr>
    </w:p>
    <w:p>
      <w:pPr>
        <w:ind w:right="579"/>
        <w:spacing w:after="0" w:line="293" w:lineRule="auto"/>
        <w:rPr>
          <w:sz w:val="20"/>
          <w:szCs w:val="20"/>
          <w:color w:val="auto"/>
        </w:rPr>
      </w:pPr>
      <w:r>
        <w:rPr>
          <w:rFonts w:ascii="Times New Roman" w:cs="Times New Roman" w:eastAsia="Times New Roman" w:hAnsi="Times New Roman"/>
          <w:sz w:val="14"/>
          <w:szCs w:val="14"/>
          <w:color w:val="auto"/>
        </w:rPr>
        <w:t>76.5% (or 75.6% if the underwriters exercise in full their option to purchase additional shares of Class A common stock).</w:t>
      </w:r>
    </w:p>
    <w:p>
      <w:pPr>
        <w:spacing w:after="0" w:line="156"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157" w:lineRule="exact"/>
        <w:rPr>
          <w:sz w:val="20"/>
          <w:szCs w:val="20"/>
          <w:color w:val="auto"/>
        </w:rPr>
      </w:pPr>
    </w:p>
    <w:p>
      <w:pPr>
        <w:ind w:right="319"/>
        <w:spacing w:after="0" w:line="261" w:lineRule="auto"/>
        <w:rPr>
          <w:sz w:val="20"/>
          <w:szCs w:val="20"/>
          <w:color w:val="auto"/>
        </w:rPr>
      </w:pPr>
      <w:r>
        <w:rPr>
          <w:rFonts w:ascii="Times New Roman" w:cs="Times New Roman" w:eastAsia="Times New Roman" w:hAnsi="Times New Roman"/>
          <w:sz w:val="14"/>
          <w:szCs w:val="14"/>
          <w:color w:val="auto"/>
        </w:rPr>
        <w:t>Affiliates of Blackstone and Carlyle beneficially own in excess of 10% of our issued and outstanding common stock and will receive in excess of 5% of the net proceeds of this offering. Because TCG Capital Markets L.L.C. and Blackstone Securities Partners L.P. are underwriters in this offering, and their affiliates own in excess of 10% of our issued and outstanding common stock and will receive in excess of 5% of the net proceeds of this offering, TCG Capital Markets L.L.C. and Blackstone Securities Partners L.P. are deemed to have a “conflict of interest” under Rule 5121 (“Rule 5121”) of the Financial Industry Regulatory Authority, Inc. (“FINRA”). Accordingly, this offering is being made in compliance with the requirements of Rule 5121. Pursuant to that rule, the appointment of a</w:t>
      </w:r>
    </w:p>
    <w:p>
      <w:pPr>
        <w:spacing w:after="0" w:line="200" w:lineRule="exact"/>
        <w:rPr>
          <w:sz w:val="20"/>
          <w:szCs w:val="20"/>
          <w:color w:val="auto"/>
        </w:rPr>
      </w:pPr>
    </w:p>
    <w:p>
      <w:pPr>
        <w:sectPr>
          <w:pgSz w:w="11900" w:h="16838" w:orient="portrait"/>
          <w:cols w:equalWidth="0" w:num="2">
            <w:col w:w="4300" w:space="320"/>
            <w:col w:w="5539"/>
          </w:cols>
          <w:pgMar w:left="300" w:top="392" w:right="1440" w:bottom="1440" w:gutter="0" w:footer="0" w:header="0"/>
          <w:type w:val="continuous"/>
        </w:sectPr>
      </w:pPr>
    </w:p>
    <w:p>
      <w:pPr>
        <w:spacing w:after="0" w:line="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92"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250" w:type="dxa"/>
        <w:tblCellMar>
          <w:top w:w="0" w:type="dxa"/>
          <w:left w:w="0" w:type="dxa"/>
          <w:bottom w:w="0" w:type="dxa"/>
          <w:right w:w="0" w:type="dxa"/>
        </w:tblCellMar>
      </w:tblPr>
      <w:tr>
        <w:trPr>
          <w:trHeight w:val="302"/>
        </w:trPr>
        <w:tc>
          <w:tcPr>
            <w:tcW w:w="2240" w:type="dxa"/>
            <w:vAlign w:val="bottom"/>
            <w:tcBorders>
              <w:top w:val="single" w:sz="8" w:color="auto"/>
              <w:left w:val="single" w:sz="8" w:color="auto"/>
            </w:tcBorders>
          </w:tcPr>
          <w:p>
            <w:pPr>
              <w:spacing w:after="0"/>
              <w:rPr>
                <w:sz w:val="24"/>
                <w:szCs w:val="24"/>
                <w:color w:val="auto"/>
              </w:rPr>
            </w:pPr>
          </w:p>
        </w:tc>
        <w:tc>
          <w:tcPr>
            <w:tcW w:w="656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“qualified independent underwriter” is not required in connection with this offering as the</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member primarily responsible for managing the public offering does not have a conflict of</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interest, is not an affiliate of any member that has a conflict of interest and meets the</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requirements of paragraph (f)(12)(E) of Rule 5121. See “Underwriting (Conflicts of</w:t>
            </w:r>
          </w:p>
        </w:tc>
      </w:tr>
      <w:tr>
        <w:trPr>
          <w:trHeight w:val="186"/>
        </w:trPr>
        <w:tc>
          <w:tcPr>
            <w:tcW w:w="2240" w:type="dxa"/>
            <w:vAlign w:val="bottom"/>
            <w:tcBorders>
              <w:left w:val="single" w:sz="8" w:color="auto"/>
            </w:tcBorders>
          </w:tcPr>
          <w:p>
            <w:pPr>
              <w:spacing w:after="0"/>
              <w:rPr>
                <w:sz w:val="16"/>
                <w:szCs w:val="16"/>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Interest).”</w:t>
            </w:r>
          </w:p>
        </w:tc>
      </w:tr>
      <w:tr>
        <w:trPr>
          <w:trHeight w:val="363"/>
        </w:trPr>
        <w:tc>
          <w:tcPr>
            <w:tcW w:w="22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Voting rights</w:t>
            </w: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Each share of our Class A common stock entitles its holder to one vote on all matters to be</w:t>
            </w:r>
          </w:p>
        </w:tc>
      </w:tr>
      <w:tr>
        <w:trPr>
          <w:trHeight w:val="186"/>
        </w:trPr>
        <w:tc>
          <w:tcPr>
            <w:tcW w:w="2240" w:type="dxa"/>
            <w:vAlign w:val="bottom"/>
            <w:tcBorders>
              <w:left w:val="single" w:sz="8" w:color="auto"/>
            </w:tcBorders>
          </w:tcPr>
          <w:p>
            <w:pPr>
              <w:spacing w:after="0"/>
              <w:rPr>
                <w:sz w:val="16"/>
                <w:szCs w:val="16"/>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voted on by stockholders generally.</w:t>
            </w:r>
          </w:p>
        </w:tc>
      </w:tr>
      <w:tr>
        <w:trPr>
          <w:trHeight w:val="352"/>
        </w:trPr>
        <w:tc>
          <w:tcPr>
            <w:tcW w:w="2240" w:type="dxa"/>
            <w:vAlign w:val="bottom"/>
            <w:tcBorders>
              <w:left w:val="single" w:sz="8" w:color="auto"/>
            </w:tcBorders>
          </w:tcPr>
          <w:p>
            <w:pPr>
              <w:spacing w:after="0"/>
              <w:rPr>
                <w:sz w:val="24"/>
                <w:szCs w:val="2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The Continuing Common Unitholders hold all of the initially outstanding shares of our</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Class B common stock and, upon conversion of vested Incentive Units for Common Units,</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the converting holders will also receive an equivalent number of shares of Class B common</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stock. The shares of Class B common stock have no economic rights but entitle each holder</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to one vote for each share held of record on all matters to be voted on by stockholders</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generally, with the number of shares of Class B common stock held by each Continuing</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Unitholder being equivalent to the number of Common Units held by each such Continuing</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Unitholder. If at any time the ratio at which Common Units are exchangeable for shares of</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our Class A common stock changes from one-for-one as described under “Certain</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Relationships and Related Person Transactions—Exchange Agreement,” the number of</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votes to which Class B common stockholders are entitled will be adjusted accordingly.</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Holders of shares of our Class B common stock vote together with holders of our Class A</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common stock as a single class on all matters on which stockholders are entitled to vote</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generally, except as otherwise required by law. See “Description of Capital Stock—</w:t>
            </w:r>
          </w:p>
        </w:tc>
      </w:tr>
      <w:tr>
        <w:trPr>
          <w:trHeight w:val="186"/>
        </w:trPr>
        <w:tc>
          <w:tcPr>
            <w:tcW w:w="2240" w:type="dxa"/>
            <w:vAlign w:val="bottom"/>
            <w:tcBorders>
              <w:left w:val="single" w:sz="8" w:color="auto"/>
            </w:tcBorders>
          </w:tcPr>
          <w:p>
            <w:pPr>
              <w:spacing w:after="0"/>
              <w:rPr>
                <w:sz w:val="16"/>
                <w:szCs w:val="16"/>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Common Stock—Class B Common Stock.”</w:t>
            </w:r>
          </w:p>
        </w:tc>
      </w:tr>
      <w:tr>
        <w:trPr>
          <w:trHeight w:val="352"/>
        </w:trPr>
        <w:tc>
          <w:tcPr>
            <w:tcW w:w="22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Dividend policy</w:t>
            </w: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We have no current plans to pay dividends on our Class A common stock following this</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offering. The declaration, amount, and payment of any future dividends will be at the sole</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discretion of our board of directors and will depend on general economic and business</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conditions; our financial condition and operating results; our available cash; current and</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anticipated cash needs; capital requirements; contractual, legal, tax, and regulatory</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restrictions and implications on the payment of dividends by us to our stockholders or by</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our subsidiaries (including Medline Holdings) to us; and such other factors as our board of</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directors may deem relevant. Holders of Class B common stock are not entitled to any</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dividends (other than dividends payable in the form of additional shares of Class B</w:t>
            </w:r>
          </w:p>
        </w:tc>
      </w:tr>
      <w:tr>
        <w:trPr>
          <w:trHeight w:val="186"/>
        </w:trPr>
        <w:tc>
          <w:tcPr>
            <w:tcW w:w="2240" w:type="dxa"/>
            <w:vAlign w:val="bottom"/>
            <w:tcBorders>
              <w:left w:val="single" w:sz="8" w:color="auto"/>
            </w:tcBorders>
          </w:tcPr>
          <w:p>
            <w:pPr>
              <w:spacing w:after="0"/>
              <w:rPr>
                <w:sz w:val="16"/>
                <w:szCs w:val="16"/>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common stock).</w:t>
            </w:r>
          </w:p>
        </w:tc>
      </w:tr>
      <w:tr>
        <w:trPr>
          <w:trHeight w:val="352"/>
        </w:trPr>
        <w:tc>
          <w:tcPr>
            <w:tcW w:w="2240" w:type="dxa"/>
            <w:vAlign w:val="bottom"/>
            <w:tcBorders>
              <w:left w:val="single" w:sz="8" w:color="auto"/>
            </w:tcBorders>
          </w:tcPr>
          <w:p>
            <w:pPr>
              <w:spacing w:after="0"/>
              <w:rPr>
                <w:sz w:val="24"/>
                <w:szCs w:val="2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Medline Inc. is a holding company and has no material assets other than its equity interests</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held directly or indirectly through wholly owned subsidiaries in Medline Holdings. We</w:t>
            </w:r>
          </w:p>
        </w:tc>
      </w:tr>
      <w:tr>
        <w:trPr>
          <w:trHeight w:val="172"/>
        </w:trPr>
        <w:tc>
          <w:tcPr>
            <w:tcW w:w="2240" w:type="dxa"/>
            <w:vAlign w:val="bottom"/>
            <w:tcBorders>
              <w:left w:val="single" w:sz="8" w:color="auto"/>
            </w:tcBorders>
          </w:tcPr>
          <w:p>
            <w:pPr>
              <w:spacing w:after="0"/>
              <w:rPr>
                <w:sz w:val="14"/>
                <w:szCs w:val="14"/>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intend to cause Medline Holdings to make distributions to us in an amount sufficient to</w:t>
            </w:r>
          </w:p>
        </w:tc>
      </w:tr>
      <w:tr>
        <w:trPr>
          <w:trHeight w:val="186"/>
        </w:trPr>
        <w:tc>
          <w:tcPr>
            <w:tcW w:w="2240" w:type="dxa"/>
            <w:vAlign w:val="bottom"/>
            <w:tcBorders>
              <w:left w:val="single" w:sz="8" w:color="auto"/>
            </w:tcBorders>
          </w:tcPr>
          <w:p>
            <w:pPr>
              <w:spacing w:after="0"/>
              <w:rPr>
                <w:sz w:val="16"/>
                <w:szCs w:val="16"/>
                <w:color w:val="auto"/>
              </w:rPr>
            </w:pPr>
          </w:p>
        </w:tc>
        <w:tc>
          <w:tcPr>
            <w:tcW w:w="65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cover cash dividends, if any, declared by us. If Medline Holdings makes</w:t>
            </w:r>
          </w:p>
        </w:tc>
      </w:tr>
      <w:tr>
        <w:trPr>
          <w:trHeight w:val="136"/>
        </w:trPr>
        <w:tc>
          <w:tcPr>
            <w:tcW w:w="2240" w:type="dxa"/>
            <w:vAlign w:val="bottom"/>
            <w:tcBorders>
              <w:left w:val="single" w:sz="8" w:color="auto"/>
              <w:bottom w:val="single" w:sz="8" w:color="auto"/>
            </w:tcBorders>
          </w:tcPr>
          <w:p>
            <w:pPr>
              <w:spacing w:after="0"/>
              <w:rPr>
                <w:sz w:val="11"/>
                <w:szCs w:val="11"/>
                <w:color w:val="auto"/>
              </w:rPr>
            </w:pPr>
          </w:p>
        </w:tc>
        <w:tc>
          <w:tcPr>
            <w:tcW w:w="6560" w:type="dxa"/>
            <w:vAlign w:val="bottom"/>
            <w:tcBorders>
              <w:bottom w:val="single" w:sz="8" w:color="auto"/>
              <w:right w:val="single" w:sz="8" w:color="auto"/>
            </w:tcBorders>
          </w:tcPr>
          <w:p>
            <w:pPr>
              <w:spacing w:after="0"/>
              <w:rPr>
                <w:sz w:val="11"/>
                <w:szCs w:val="11"/>
                <w:color w:val="auto"/>
              </w:rPr>
            </w:pPr>
          </w:p>
        </w:tc>
      </w:tr>
      <w:tr>
        <w:trPr>
          <w:trHeight w:val="285"/>
        </w:trPr>
        <w:tc>
          <w:tcPr>
            <w:tcW w:w="2240" w:type="dxa"/>
            <w:vAlign w:val="bottom"/>
          </w:tcPr>
          <w:p>
            <w:pPr>
              <w:spacing w:after="0"/>
              <w:rPr>
                <w:sz w:val="24"/>
                <w:szCs w:val="24"/>
                <w:color w:val="auto"/>
              </w:rPr>
            </w:pPr>
          </w:p>
        </w:tc>
        <w:tc>
          <w:tcPr>
            <w:tcW w:w="656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21</w:t>
            </w:r>
          </w:p>
        </w:tc>
      </w:tr>
    </w:tbl>
    <w:p>
      <w:pPr>
        <w:sectPr>
          <w:pgSz w:w="11900" w:h="16838" w:orient="portrait"/>
          <w:cols w:equalWidth="0" w:num="1">
            <w:col w:w="10159"/>
          </w:cols>
          <w:pgMar w:left="300" w:top="392"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250" w:type="dxa"/>
        <w:tblCellMar>
          <w:top w:w="0" w:type="dxa"/>
          <w:left w:w="0" w:type="dxa"/>
          <w:bottom w:w="0" w:type="dxa"/>
          <w:right w:w="0" w:type="dxa"/>
        </w:tblCellMar>
      </w:tblPr>
      <w:tr>
        <w:trPr>
          <w:trHeight w:val="302"/>
        </w:trPr>
        <w:tc>
          <w:tcPr>
            <w:tcW w:w="3200" w:type="dxa"/>
            <w:vAlign w:val="bottom"/>
            <w:tcBorders>
              <w:top w:val="single" w:sz="8" w:color="auto"/>
              <w:left w:val="single" w:sz="8" w:color="auto"/>
            </w:tcBorders>
          </w:tcPr>
          <w:p>
            <w:pPr>
              <w:spacing w:after="0"/>
              <w:rPr>
                <w:sz w:val="24"/>
                <w:szCs w:val="24"/>
                <w:color w:val="auto"/>
              </w:rPr>
            </w:pPr>
          </w:p>
        </w:tc>
        <w:tc>
          <w:tcPr>
            <w:tcW w:w="56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such distributions to Medline Inc., the other holders of Common Units and any</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participating Incentive Units (as described below) will be entitled to receive equivalent pro</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rata distributions. Incentive Units are not entitled to receive distributions (other than tax</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distributions) until holders of Common Units have received a minimum return as provided</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 the amended and restated limited partnership agreement of Medline Holdings. However,</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Incentive Units have the benefit of adjustment provisions that reduce the participation</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threshold for distributions in respect of which they do not participate until there is no</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participation threshold, at and after which time the Incentive Units would participate pro</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rata with distributions on Common Units. The adjustment to the participation threshold of</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 Incentive Unit for distributions in respect of which such Incentive Unit does not</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participate is factored into calculating the number of Common Units the holder of vested</w:t>
            </w:r>
          </w:p>
        </w:tc>
      </w:tr>
      <w:tr>
        <w:trPr>
          <w:trHeight w:val="186"/>
        </w:trPr>
        <w:tc>
          <w:tcPr>
            <w:tcW w:w="3200" w:type="dxa"/>
            <w:vAlign w:val="bottom"/>
            <w:tcBorders>
              <w:left w:val="single" w:sz="8" w:color="auto"/>
            </w:tcBorders>
          </w:tcPr>
          <w:p>
            <w:pPr>
              <w:spacing w:after="0"/>
              <w:rPr>
                <w:sz w:val="16"/>
                <w:szCs w:val="16"/>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Incentive Units receives upon conversion of a vested Incentive Unit for a Common Unit.</w:t>
            </w:r>
          </w:p>
        </w:tc>
      </w:tr>
      <w:tr>
        <w:trPr>
          <w:trHeight w:val="363"/>
        </w:trPr>
        <w:tc>
          <w:tcPr>
            <w:tcW w:w="3200" w:type="dxa"/>
            <w:vAlign w:val="bottom"/>
            <w:tcBorders>
              <w:left w:val="single" w:sz="8" w:color="auto"/>
            </w:tcBorders>
          </w:tcPr>
          <w:p>
            <w:pPr>
              <w:spacing w:after="0"/>
              <w:rPr>
                <w:sz w:val="24"/>
                <w:szCs w:val="2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Under the terms of the amended and restated limited partnership agreement, Medline</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Holdings is obligated to make tax distributions to holders of Units (including Medline Inc.)</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at certain assumed tax rates. See “Part I—Item 1A—Risk Factors—Risks Related to Our</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Organizational Structure—Medline Inc. is a holding company and its only material assets</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are its equity interests held directly or indirectly through wholly owned subsidiaries in</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Medline Holdings, and it is accordingly dependent upon distributions from Medline</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Holdings to pay taxes, make payments under the tax receivable agreement, and pay any</w:t>
            </w:r>
          </w:p>
        </w:tc>
      </w:tr>
      <w:tr>
        <w:trPr>
          <w:trHeight w:val="186"/>
        </w:trPr>
        <w:tc>
          <w:tcPr>
            <w:tcW w:w="3200" w:type="dxa"/>
            <w:vAlign w:val="bottom"/>
            <w:tcBorders>
              <w:left w:val="single" w:sz="8" w:color="auto"/>
            </w:tcBorders>
          </w:tcPr>
          <w:p>
            <w:pPr>
              <w:spacing w:after="0"/>
              <w:rPr>
                <w:sz w:val="16"/>
                <w:szCs w:val="16"/>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dividends” in our 2025 Form 10-K incorporated by reference in this prospectus.</w:t>
            </w:r>
          </w:p>
        </w:tc>
      </w:tr>
      <w:tr>
        <w:trPr>
          <w:trHeight w:val="352"/>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rights of holders of Common Units and</w:t>
            </w: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Prior to our IPO, we entered into an exchange agreement with the Continuing Unitholders</w:t>
            </w:r>
          </w:p>
        </w:tc>
      </w:tr>
      <w:tr>
        <w:trPr>
          <w:trHeight w:val="172"/>
        </w:trPr>
        <w:tc>
          <w:tcPr>
            <w:tcW w:w="32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Incentive Units</w:t>
            </w: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so that they may (subject to the terms of the exchange agreement) exchange their Common</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Units (including Common Units issued upon conversion of vested Incentive Units) for</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shares of Class A common stock of Medline Inc. on a one-for-one basis, subject to</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customary conversion rate adjustments for stock splits, stock dividends and</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reclassifications, whereupon an equivalent number of shares of Class B common stock held</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by each such Continuing Unitholder will be automatically transferred to us and cancelled</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and retired upon any such exchange. See “Certain Relationships and Related Person</w:t>
            </w:r>
          </w:p>
        </w:tc>
      </w:tr>
      <w:tr>
        <w:trPr>
          <w:trHeight w:val="186"/>
        </w:trPr>
        <w:tc>
          <w:tcPr>
            <w:tcW w:w="3200" w:type="dxa"/>
            <w:vAlign w:val="bottom"/>
            <w:tcBorders>
              <w:left w:val="single" w:sz="8" w:color="auto"/>
            </w:tcBorders>
          </w:tcPr>
          <w:p>
            <w:pPr>
              <w:spacing w:after="0"/>
              <w:rPr>
                <w:sz w:val="16"/>
                <w:szCs w:val="16"/>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Transactions—Exchange Agreement.”</w:t>
            </w:r>
          </w:p>
        </w:tc>
      </w:tr>
      <w:tr>
        <w:trPr>
          <w:trHeight w:val="352"/>
        </w:trPr>
        <w:tc>
          <w:tcPr>
            <w:tcW w:w="3200" w:type="dxa"/>
            <w:vAlign w:val="bottom"/>
            <w:tcBorders>
              <w:left w:val="single" w:sz="8" w:color="auto"/>
            </w:tcBorders>
          </w:tcPr>
          <w:p>
            <w:pPr>
              <w:spacing w:after="0"/>
              <w:rPr>
                <w:sz w:val="24"/>
                <w:szCs w:val="2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Subject to certain restrictions, the holders of vested Incentive Units have the right to</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convert their vested Incentive Units into a number of Common Units that generally are</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equal to (a) the product of the number of vested Incentive Units to be converted with a</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given per unit participation threshold and then-current difference between the per unit</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value of a Common Unit at the time of the conversion (based on the public trading price of</w:t>
            </w:r>
          </w:p>
        </w:tc>
      </w:tr>
      <w:tr>
        <w:trPr>
          <w:trHeight w:val="172"/>
        </w:trPr>
        <w:tc>
          <w:tcPr>
            <w:tcW w:w="320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 share of Class A common stock) and the per unit participation threshold of such vested</w:t>
            </w:r>
          </w:p>
        </w:tc>
      </w:tr>
      <w:tr>
        <w:trPr>
          <w:trHeight w:val="186"/>
        </w:trPr>
        <w:tc>
          <w:tcPr>
            <w:tcW w:w="3200" w:type="dxa"/>
            <w:vAlign w:val="bottom"/>
            <w:tcBorders>
              <w:left w:val="single" w:sz="8" w:color="auto"/>
            </w:tcBorders>
          </w:tcPr>
          <w:p>
            <w:pPr>
              <w:spacing w:after="0"/>
              <w:rPr>
                <w:sz w:val="16"/>
                <w:szCs w:val="16"/>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Incentive Units divided by</w:t>
            </w:r>
          </w:p>
        </w:tc>
      </w:tr>
      <w:tr>
        <w:trPr>
          <w:trHeight w:val="136"/>
        </w:trPr>
        <w:tc>
          <w:tcPr>
            <w:tcW w:w="3200" w:type="dxa"/>
            <w:vAlign w:val="bottom"/>
            <w:tcBorders>
              <w:left w:val="single" w:sz="8" w:color="auto"/>
              <w:bottom w:val="single" w:sz="8" w:color="auto"/>
            </w:tcBorders>
          </w:tcPr>
          <w:p>
            <w:pPr>
              <w:spacing w:after="0"/>
              <w:rPr>
                <w:sz w:val="11"/>
                <w:szCs w:val="11"/>
                <w:color w:val="auto"/>
              </w:rPr>
            </w:pPr>
          </w:p>
        </w:tc>
        <w:tc>
          <w:tcPr>
            <w:tcW w:w="5600" w:type="dxa"/>
            <w:vAlign w:val="bottom"/>
            <w:tcBorders>
              <w:bottom w:val="single" w:sz="8" w:color="auto"/>
              <w:right w:val="single" w:sz="8" w:color="auto"/>
            </w:tcBorders>
          </w:tcPr>
          <w:p>
            <w:pPr>
              <w:spacing w:after="0"/>
              <w:rPr>
                <w:sz w:val="11"/>
                <w:szCs w:val="11"/>
                <w:color w:val="auto"/>
              </w:rPr>
            </w:pPr>
          </w:p>
        </w:tc>
      </w:tr>
      <w:tr>
        <w:trPr>
          <w:trHeight w:val="285"/>
        </w:trPr>
        <w:tc>
          <w:tcPr>
            <w:tcW w:w="3200" w:type="dxa"/>
            <w:vAlign w:val="bottom"/>
          </w:tcPr>
          <w:p>
            <w:pPr>
              <w:spacing w:after="0"/>
              <w:rPr>
                <w:sz w:val="24"/>
                <w:szCs w:val="24"/>
                <w:color w:val="auto"/>
              </w:rPr>
            </w:pPr>
          </w:p>
        </w:tc>
        <w:tc>
          <w:tcPr>
            <w:tcW w:w="56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22</w:t>
            </w:r>
          </w:p>
        </w:tc>
      </w:tr>
    </w:tbl>
    <w:p>
      <w:pPr>
        <w:sectPr>
          <w:pgSz w:w="11900" w:h="16838" w:orient="portrait"/>
          <w:cols w:equalWidth="0" w:num="1">
            <w:col w:w="10159"/>
          </w:cols>
          <w:pgMar w:left="300" w:top="392"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250" w:type="dxa"/>
        <w:tblCellMar>
          <w:top w:w="0" w:type="dxa"/>
          <w:left w:w="0" w:type="dxa"/>
          <w:bottom w:w="0" w:type="dxa"/>
          <w:right w:w="0" w:type="dxa"/>
        </w:tblCellMar>
      </w:tblPr>
      <w:tr>
        <w:trPr>
          <w:trHeight w:val="302"/>
        </w:trPr>
        <w:tc>
          <w:tcPr>
            <w:tcW w:w="2500" w:type="dxa"/>
            <w:vAlign w:val="bottom"/>
            <w:tcBorders>
              <w:top w:val="single" w:sz="8" w:color="auto"/>
              <w:left w:val="single" w:sz="8" w:color="auto"/>
            </w:tcBorders>
          </w:tcPr>
          <w:p>
            <w:pPr>
              <w:spacing w:after="0"/>
              <w:rPr>
                <w:sz w:val="24"/>
                <w:szCs w:val="24"/>
                <w:color w:val="auto"/>
              </w:rPr>
            </w:pPr>
          </w:p>
        </w:tc>
        <w:tc>
          <w:tcPr>
            <w:tcW w:w="630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(b) the per unit value of a Common Unit at the time of the conversion (based on the public</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trading price of a share of Class A common stock), subject to certain adjustments. See</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“Certain Relationships and Related Person Transactions—Medline Holdings Amended and</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Restated Limited Partnership Agreement.” Common Units received upon conversion are</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exchangeable on a one-for-one basis for shares of Class A common stock of Medline Inc.</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 accordance with the terms of the exchange agreement. An unvested Incentive Unit is not</w:t>
            </w:r>
          </w:p>
        </w:tc>
      </w:tr>
      <w:tr>
        <w:trPr>
          <w:trHeight w:val="186"/>
        </w:trPr>
        <w:tc>
          <w:tcPr>
            <w:tcW w:w="2500" w:type="dxa"/>
            <w:vAlign w:val="bottom"/>
            <w:tcBorders>
              <w:left w:val="single" w:sz="8" w:color="auto"/>
            </w:tcBorders>
          </w:tcPr>
          <w:p>
            <w:pPr>
              <w:spacing w:after="0"/>
              <w:rPr>
                <w:sz w:val="16"/>
                <w:szCs w:val="16"/>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exchangeable unless and until such Incentive Unit vests.</w:t>
            </w:r>
          </w:p>
        </w:tc>
      </w:tr>
      <w:tr>
        <w:trPr>
          <w:trHeight w:val="363"/>
        </w:trPr>
        <w:tc>
          <w:tcPr>
            <w:tcW w:w="2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Tax receivable agreement</w:t>
            </w: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Prior to the completion of our IPO, we entered into a tax receivable agreement with certain</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of our pre-IPO owners that provides for the payment by Medline Inc. to such pre-IPO</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owners of 90% of certain tax benefits, if any, that Medline Inc. realizes, or is deemed to</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realize (calculated using certain assumptions), as a result of (i) Medline Inc.’s allocable</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share of the existing tax basis in Medline Holdings’ assets acquired in our IPO,</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(ii) increases in Medline Inc.’s allocable share of existing tax basis and tax basis</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adjustments to the tangible and intangible assets of Medline Holdings as a result of sales or</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exchanges of Common Units (including Common Units issued upon conversion of vested</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Incentive Units) in connection with or after our IPO, including the exchange of Common</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Units for shares of our Class A common stock by the selling stockholders in connection</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with this offering, (iii) Medline Inc.’s utilization of certain tax attributes (including any</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existing tax basis) of the Blocker Companies, which Medline Inc. acquired in connection</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with our IPO as described under “Organizational Structure—Blocker Transfers,” and</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(iv) certain other tax benefits related to entering into the tax receivable agreement,</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including tax benefits attributable to payments under the tax receivable agreement. Sales or</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exchanges of Common Units (including Common Units issued upon conversion of vested</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Incentive Units) are expected to result in increases in the tax basis of the assets of Medline</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Holdings. The existing tax basis, increases in existing tax basis and tax basis adjustments</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generated over time may increase (for tax purposes) depreciation and amortization</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deductions available to Medline Inc. for tax purposes and, therefore, may reduce the</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amount of U.S. federal, state and local tax that Medline Inc. would otherwise be required to</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pay in the future. Actual tax benefits realized by Medline Inc. may differ from tax benefits</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calculated under the tax receivable agreement as a result of the use of certain assumptions</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 the tax receivable agreement, including the use of an assumed blended state and local</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income tax rate of 6% (as adjusted to take into account the U.S. federal tax benefit of such</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taxes) to calculate tax benefits. This payment obligation is an obligation of Medline Inc.</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and not of Medline Holdings. See “Certain Relationships and Related Person Transactions</w:t>
            </w:r>
          </w:p>
        </w:tc>
      </w:tr>
      <w:tr>
        <w:trPr>
          <w:trHeight w:val="186"/>
        </w:trPr>
        <w:tc>
          <w:tcPr>
            <w:tcW w:w="2500" w:type="dxa"/>
            <w:vAlign w:val="bottom"/>
            <w:tcBorders>
              <w:left w:val="single" w:sz="8" w:color="auto"/>
            </w:tcBorders>
          </w:tcPr>
          <w:p>
            <w:pPr>
              <w:spacing w:after="0"/>
              <w:rPr>
                <w:sz w:val="16"/>
                <w:szCs w:val="16"/>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—Tax Receivable Agreement.”</w:t>
            </w:r>
          </w:p>
        </w:tc>
      </w:tr>
      <w:tr>
        <w:trPr>
          <w:trHeight w:val="352"/>
        </w:trPr>
        <w:tc>
          <w:tcPr>
            <w:tcW w:w="2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IPO lock-up release</w:t>
            </w: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 connection with this offering, Goldman Sachs &amp; Co. LLC and Morgan Stanley &amp; Co.</w:t>
            </w:r>
          </w:p>
        </w:tc>
      </w:tr>
      <w:tr>
        <w:trPr>
          <w:trHeight w:val="172"/>
        </w:trPr>
        <w:tc>
          <w:tcPr>
            <w:tcW w:w="250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LLC, as representatives of the several underwriters in the IPO, have agreed to release, with</w:t>
            </w:r>
          </w:p>
        </w:tc>
      </w:tr>
      <w:tr>
        <w:trPr>
          <w:trHeight w:val="186"/>
        </w:trPr>
        <w:tc>
          <w:tcPr>
            <w:tcW w:w="2500" w:type="dxa"/>
            <w:vAlign w:val="bottom"/>
            <w:tcBorders>
              <w:left w:val="single" w:sz="8" w:color="auto"/>
            </w:tcBorders>
          </w:tcPr>
          <w:p>
            <w:pPr>
              <w:spacing w:after="0"/>
              <w:rPr>
                <w:sz w:val="16"/>
                <w:szCs w:val="16"/>
                <w:color w:val="auto"/>
              </w:rPr>
            </w:pPr>
          </w:p>
        </w:tc>
        <w:tc>
          <w:tcPr>
            <w:tcW w:w="63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respect to this</w:t>
            </w:r>
          </w:p>
        </w:tc>
      </w:tr>
      <w:tr>
        <w:trPr>
          <w:trHeight w:val="136"/>
        </w:trPr>
        <w:tc>
          <w:tcPr>
            <w:tcW w:w="2500" w:type="dxa"/>
            <w:vAlign w:val="bottom"/>
            <w:tcBorders>
              <w:left w:val="single" w:sz="8" w:color="auto"/>
              <w:bottom w:val="single" w:sz="8" w:color="auto"/>
            </w:tcBorders>
          </w:tcPr>
          <w:p>
            <w:pPr>
              <w:spacing w:after="0"/>
              <w:rPr>
                <w:sz w:val="11"/>
                <w:szCs w:val="11"/>
                <w:color w:val="auto"/>
              </w:rPr>
            </w:pPr>
          </w:p>
        </w:tc>
        <w:tc>
          <w:tcPr>
            <w:tcW w:w="6300" w:type="dxa"/>
            <w:vAlign w:val="bottom"/>
            <w:tcBorders>
              <w:bottom w:val="single" w:sz="8" w:color="auto"/>
              <w:right w:val="single" w:sz="8" w:color="auto"/>
            </w:tcBorders>
          </w:tcPr>
          <w:p>
            <w:pPr>
              <w:spacing w:after="0"/>
              <w:rPr>
                <w:sz w:val="11"/>
                <w:szCs w:val="11"/>
                <w:color w:val="auto"/>
              </w:rPr>
            </w:pPr>
          </w:p>
        </w:tc>
      </w:tr>
      <w:tr>
        <w:trPr>
          <w:trHeight w:val="285"/>
        </w:trPr>
        <w:tc>
          <w:tcPr>
            <w:tcW w:w="2500" w:type="dxa"/>
            <w:vAlign w:val="bottom"/>
          </w:tcPr>
          <w:p>
            <w:pPr>
              <w:spacing w:after="0"/>
              <w:rPr>
                <w:sz w:val="24"/>
                <w:szCs w:val="24"/>
                <w:color w:val="auto"/>
              </w:rPr>
            </w:pPr>
          </w:p>
        </w:tc>
        <w:tc>
          <w:tcPr>
            <w:tcW w:w="630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23</w:t>
            </w:r>
          </w:p>
        </w:tc>
      </w:tr>
    </w:tbl>
    <w:p>
      <w:pPr>
        <w:sectPr>
          <w:pgSz w:w="11900" w:h="16838" w:orient="portrait"/>
          <w:cols w:equalWidth="0" w:num="1">
            <w:col w:w="10159"/>
          </w:cols>
          <w:pgMar w:left="300" w:top="392"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51708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1015" cy="5170805"/>
                    </a:xfrm>
                    <a:prstGeom prst="rect">
                      <a:avLst/>
                    </a:prstGeom>
                    <a:noFill/>
                  </pic:spPr>
                </pic:pic>
              </a:graphicData>
            </a:graphic>
          </wp:anchor>
        </w:drawing>
      </w:r>
    </w:p>
    <w:p>
      <w:pPr>
        <w:spacing w:after="0" w:line="38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offering, the lock-up restrictions applicable to the Company and the selling stockholders</w:t>
      </w:r>
    </w:p>
    <w:p>
      <w:pPr>
        <w:spacing w:after="0" w:line="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pursuant to agreements entered into in connection with the IPO. See “Underwriting</w:t>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(Conflicts of Interest).”</w:t>
      </w:r>
    </w:p>
    <w:p>
      <w:pPr>
        <w:sectPr>
          <w:pgSz w:w="11900" w:h="16838" w:orient="portrait"/>
          <w:cols w:equalWidth="0" w:num="1">
            <w:col w:w="10159"/>
          </w:cols>
          <w:pgMar w:left="300" w:top="392" w:right="1440" w:bottom="1440" w:gutter="0" w:footer="0" w:header="0"/>
        </w:sectPr>
      </w:pPr>
    </w:p>
    <w:p>
      <w:pPr>
        <w:spacing w:after="0" w:line="20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99"/>
        <w:spacing w:after="0" w:line="275" w:lineRule="auto"/>
        <w:rPr>
          <w:sz w:val="20"/>
          <w:szCs w:val="20"/>
          <w:color w:val="auto"/>
        </w:rPr>
      </w:pPr>
      <w:r>
        <w:rPr>
          <w:rFonts w:ascii="Times New Roman" w:cs="Times New Roman" w:eastAsia="Times New Roman" w:hAnsi="Times New Roman"/>
          <w:sz w:val="14"/>
          <w:szCs w:val="14"/>
          <w:color w:val="auto"/>
        </w:rPr>
        <w:t>See “Risk Factors” herein and in our 2025 Form 10-K, which is incorporated by reference in this prospectus, for a discussion of risks you should carefully consider before deciding to invest in our Class A common stock.</w:t>
      </w:r>
    </w:p>
    <w:p>
      <w:pPr>
        <w:spacing w:after="0" w:line="157" w:lineRule="exact"/>
        <w:rPr>
          <w:sz w:val="20"/>
          <w:szCs w:val="20"/>
          <w:color w:val="auto"/>
        </w:rPr>
      </w:pPr>
    </w:p>
    <w:p>
      <w:pPr>
        <w:sectPr>
          <w:pgSz w:w="11900" w:h="16838" w:orient="portrait"/>
          <w:cols w:equalWidth="0" w:num="2">
            <w:col w:w="3900" w:space="720"/>
            <w:col w:w="5539"/>
          </w:cols>
          <w:pgMar w:left="300" w:top="392" w:right="1440" w:bottom="1440" w:gutter="0" w:footer="0" w:header="0"/>
          <w:type w:val="continuous"/>
        </w:sectPr>
      </w:pPr>
    </w:p>
    <w:p>
      <w:pPr>
        <w:ind w:left="1460" w:hanging="62"/>
        <w:spacing w:after="0" w:line="293" w:lineRule="auto"/>
        <w:rPr>
          <w:sz w:val="20"/>
          <w:szCs w:val="20"/>
          <w:color w:val="auto"/>
        </w:rPr>
      </w:pPr>
      <w:r>
        <w:rPr>
          <w:rFonts w:ascii="Times New Roman" w:cs="Times New Roman" w:eastAsia="Times New Roman" w:hAnsi="Times New Roman"/>
          <w:sz w:val="14"/>
          <w:szCs w:val="14"/>
          <w:color w:val="auto"/>
        </w:rPr>
        <w:t>Certain U.S. federal income tax consequences to non-U.S. holders</w:t>
      </w:r>
    </w:p>
    <w:p>
      <w:pPr>
        <w:spacing w:after="0" w:line="20" w:lineRule="exact"/>
        <w:rPr>
          <w:sz w:val="20"/>
          <w:szCs w:val="20"/>
          <w:color w:val="auto"/>
        </w:rPr>
      </w:pPr>
      <w:r>
        <w:rPr>
          <w:sz w:val="20"/>
          <w:szCs w:val="20"/>
          <w:color w:val="auto"/>
        </w:rPr>
        <w:br w:type="column"/>
      </w:r>
    </w:p>
    <w:p>
      <w:pPr>
        <w:jc w:val="both"/>
        <w:ind w:right="419"/>
        <w:spacing w:after="0" w:line="275" w:lineRule="auto"/>
        <w:rPr>
          <w:sz w:val="20"/>
          <w:szCs w:val="20"/>
          <w:color w:val="auto"/>
        </w:rPr>
      </w:pPr>
      <w:r>
        <w:rPr>
          <w:rFonts w:ascii="Times New Roman" w:cs="Times New Roman" w:eastAsia="Times New Roman" w:hAnsi="Times New Roman"/>
          <w:sz w:val="14"/>
          <w:szCs w:val="14"/>
          <w:color w:val="auto"/>
        </w:rPr>
        <w:t>For a discussion of certain U.S. federal income tax consequences that may be relevant to non-U.S. stockholders, see “Certain U.S. Federal Income Tax Consequences to Non-U.S. Holders.”</w:t>
      </w:r>
    </w:p>
    <w:p>
      <w:pPr>
        <w:spacing w:after="0" w:line="157" w:lineRule="exact"/>
        <w:rPr>
          <w:sz w:val="20"/>
          <w:szCs w:val="20"/>
          <w:color w:val="auto"/>
        </w:rPr>
      </w:pPr>
    </w:p>
    <w:p>
      <w:pPr>
        <w:sectPr>
          <w:pgSz w:w="11900" w:h="16838" w:orient="portrait"/>
          <w:cols w:equalWidth="0" w:num="2">
            <w:col w:w="4180" w:space="440"/>
            <w:col w:w="5539"/>
          </w:cols>
          <w:pgMar w:left="300" w:top="392"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“MDLN”</w:t>
      </w:r>
    </w:p>
    <w:p>
      <w:pPr>
        <w:spacing w:after="0" w:line="194" w:lineRule="exact"/>
        <w:rPr>
          <w:sz w:val="20"/>
          <w:szCs w:val="20"/>
          <w:color w:val="auto"/>
        </w:rPr>
      </w:pPr>
    </w:p>
    <w:p>
      <w:pPr>
        <w:sectPr>
          <w:pgSz w:w="11900" w:h="16838" w:orient="portrait"/>
          <w:cols w:equalWidth="0" w:num="2">
            <w:col w:w="3900" w:space="720"/>
            <w:col w:w="5539"/>
          </w:cols>
          <w:pgMar w:left="300" w:top="392" w:right="1440" w:bottom="1440" w:gutter="0" w:footer="0" w:header="0"/>
          <w:type w:val="continuous"/>
        </w:sectPr>
      </w:pPr>
    </w:p>
    <w:p>
      <w:pPr>
        <w:ind w:left="1400" w:right="479" w:firstLine="339"/>
        <w:spacing w:after="0" w:line="293" w:lineRule="auto"/>
        <w:rPr>
          <w:sz w:val="20"/>
          <w:szCs w:val="20"/>
          <w:color w:val="auto"/>
        </w:rPr>
      </w:pPr>
      <w:r>
        <w:rPr>
          <w:rFonts w:ascii="Times New Roman" w:cs="Times New Roman" w:eastAsia="Times New Roman" w:hAnsi="Times New Roman"/>
          <w:sz w:val="14"/>
          <w:szCs w:val="14"/>
          <w:color w:val="auto"/>
        </w:rPr>
        <w:t>In this prospectus, unless otherwise indicated, the number of shares of Class A common stock outstanding and the other information based thereon is based on 811,647,534 shares of Class A common stock outstanding as of February 23, 2026, and does not reflect:</w:t>
      </w:r>
    </w:p>
    <w:p>
      <w:pPr>
        <w:spacing w:after="0" w:line="48" w:lineRule="exact"/>
        <w:rPr>
          <w:sz w:val="20"/>
          <w:szCs w:val="20"/>
          <w:color w:val="auto"/>
        </w:rPr>
      </w:pPr>
    </w:p>
    <w:p>
      <w:pPr>
        <w:ind w:left="2140" w:right="399" w:hanging="321"/>
        <w:spacing w:after="0" w:line="293"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4,359,769 shares of Class A common stock issuable upon exchange of Common Units held by the selling stockholders upon exercise of the underwriters’ option to purchase additional shares of Class A common stock;</w:t>
      </w:r>
    </w:p>
    <w:p>
      <w:pPr>
        <w:spacing w:after="0" w:line="48" w:lineRule="exact"/>
        <w:rPr>
          <w:rFonts w:ascii="Times New Roman" w:cs="Times New Roman" w:eastAsia="Times New Roman" w:hAnsi="Times New Roman"/>
          <w:sz w:val="14"/>
          <w:szCs w:val="14"/>
          <w:color w:val="auto"/>
        </w:rPr>
      </w:pPr>
    </w:p>
    <w:p>
      <w:pPr>
        <w:ind w:left="2140" w:right="339" w:hanging="321"/>
        <w:spacing w:after="0" w:line="272"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472,512,050 shares of Class A common stock issuable upon exchange of 472,512,050 Common Units (or, if the underwriters exercise their option to purchase additional shares of Class A common stock, 468,081,977 shares of Class A common stock issuable upon exchange of 468,081,977 Common Units) that will be held by the Continuing Common Unitholders immediately following this offering;</w:t>
      </w:r>
    </w:p>
    <w:p>
      <w:pPr>
        <w:spacing w:after="0" w:line="238" w:lineRule="exact"/>
        <w:rPr>
          <w:rFonts w:ascii="Times New Roman" w:cs="Times New Roman" w:eastAsia="Times New Roman" w:hAnsi="Times New Roman"/>
          <w:sz w:val="14"/>
          <w:szCs w:val="14"/>
          <w:color w:val="auto"/>
        </w:rPr>
      </w:pPr>
    </w:p>
    <w:p>
      <w:pPr>
        <w:ind w:left="2140" w:right="319" w:hanging="321"/>
        <w:spacing w:after="0" w:line="275"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35,170,172 shares of Class A common stock that may be granted under the Medline Inc. 2025 Omnibus Incentive Plan (the “Omnibus Incentive Plan”), which includes shares of Class A common stock issuable upon exercise, vesting or settlement, as applicable, of the following employee equity grants, in each case awarded in connection with the IPO:</w:t>
      </w:r>
    </w:p>
    <w:p>
      <w:pPr>
        <w:spacing w:after="0" w:line="59" w:lineRule="exact"/>
        <w:rPr>
          <w:rFonts w:ascii="Times New Roman" w:cs="Times New Roman" w:eastAsia="Times New Roman" w:hAnsi="Times New Roman"/>
          <w:sz w:val="14"/>
          <w:szCs w:val="14"/>
          <w:color w:val="auto"/>
        </w:rPr>
      </w:pPr>
    </w:p>
    <w:p>
      <w:pPr>
        <w:ind w:left="2480" w:right="519" w:hanging="241"/>
        <w:spacing w:after="0" w:line="275" w:lineRule="auto"/>
        <w:tabs>
          <w:tab w:leader="none" w:pos="24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27,875,935 shares of Class A common stock issuable in exchange for an equivalent number of Common Units into which Incentive Units held by the Continuing Incentive Unitholders are convertible (assuming such Incentive Units are fully vested and converted to Common Units);</w:t>
      </w:r>
    </w:p>
    <w:p>
      <w:pPr>
        <w:spacing w:after="0" w:line="59" w:lineRule="exact"/>
        <w:rPr>
          <w:rFonts w:ascii="Times New Roman" w:cs="Times New Roman" w:eastAsia="Times New Roman" w:hAnsi="Times New Roman"/>
          <w:sz w:val="14"/>
          <w:szCs w:val="14"/>
          <w:color w:val="auto"/>
        </w:rPr>
      </w:pPr>
    </w:p>
    <w:p>
      <w:pPr>
        <w:ind w:left="2480" w:right="419" w:hanging="241"/>
        <w:spacing w:after="0" w:line="293" w:lineRule="auto"/>
        <w:tabs>
          <w:tab w:leader="none" w:pos="24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6,770,442 shares of Class A common stock in respect of stock options granted to certain Exchanging Class B Unitholders with an exercise price per share of $29.00;</w:t>
      </w:r>
    </w:p>
    <w:p>
      <w:pPr>
        <w:spacing w:after="0" w:line="48" w:lineRule="exact"/>
        <w:rPr>
          <w:rFonts w:ascii="Times New Roman" w:cs="Times New Roman" w:eastAsia="Times New Roman" w:hAnsi="Times New Roman"/>
          <w:sz w:val="14"/>
          <w:szCs w:val="14"/>
          <w:color w:val="auto"/>
        </w:rPr>
      </w:pPr>
    </w:p>
    <w:p>
      <w:pPr>
        <w:jc w:val="both"/>
        <w:ind w:left="2480" w:right="459" w:hanging="241"/>
        <w:spacing w:after="0" w:line="275" w:lineRule="auto"/>
        <w:tabs>
          <w:tab w:leader="none" w:pos="24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490,032 shares of Class A common stock underlying RSUs granted to certain Exchanging Unitholders, which will be issuable upon the settlement of such RSUs following the later of the date that is 180 days following the completion of our IPO and the existing vesting date of the underlying unit; and</w:t>
      </w:r>
    </w:p>
    <w:p>
      <w:pPr>
        <w:spacing w:after="0" w:line="59" w:lineRule="exact"/>
        <w:rPr>
          <w:rFonts w:ascii="Times New Roman" w:cs="Times New Roman" w:eastAsia="Times New Roman" w:hAnsi="Times New Roman"/>
          <w:sz w:val="14"/>
          <w:szCs w:val="14"/>
          <w:color w:val="auto"/>
        </w:rPr>
      </w:pPr>
    </w:p>
    <w:p>
      <w:pPr>
        <w:ind w:left="2480" w:right="319" w:hanging="241"/>
        <w:spacing w:after="0" w:line="275" w:lineRule="auto"/>
        <w:tabs>
          <w:tab w:leader="none" w:pos="24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33,763 shares of Class A common stock underlying RSUs held by certain independent non-employee members of our board of directors, which will be issuable upon the settlement of such RSUs following the vesting date of such director’s RSUs in respect of Class A Units;</w:t>
      </w:r>
    </w:p>
    <w:p>
      <w:pPr>
        <w:spacing w:after="0" w:line="59" w:lineRule="exact"/>
        <w:rPr>
          <w:rFonts w:ascii="Times New Roman" w:cs="Times New Roman" w:eastAsia="Times New Roman" w:hAnsi="Times New Roman"/>
          <w:sz w:val="14"/>
          <w:szCs w:val="14"/>
          <w:color w:val="auto"/>
        </w:rPr>
      </w:pPr>
    </w:p>
    <w:p>
      <w:pPr>
        <w:ind w:left="2140" w:right="439" w:hanging="321"/>
        <w:spacing w:after="0" w:line="293"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92,466,854 additional shares of Class A common stock that may be granted under the Omnibus Incentive Plan, including awards we expect to grant to our named executive officers, other executive officers, and independent directors; or</w:t>
      </w:r>
    </w:p>
    <w:p>
      <w:pPr>
        <w:spacing w:after="0" w:line="48" w:lineRule="exact"/>
        <w:rPr>
          <w:rFonts w:ascii="Times New Roman" w:cs="Times New Roman" w:eastAsia="Times New Roman" w:hAnsi="Times New Roman"/>
          <w:sz w:val="14"/>
          <w:szCs w:val="14"/>
          <w:color w:val="auto"/>
        </w:rPr>
      </w:pPr>
    </w:p>
    <w:p>
      <w:pPr>
        <w:ind w:left="2140" w:right="439" w:hanging="321"/>
        <w:spacing w:after="0" w:line="293"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28,116,713 shares of Class A common stock available for issuance under the Medline Inc. 2025 Employee Stock Purchase Plan (the “ESPP”).</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92" w:right="1440"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3797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1015" cy="3797935"/>
                    </a:xfrm>
                    <a:prstGeom prst="rect">
                      <a:avLst/>
                    </a:prstGeom>
                    <a:noFill/>
                  </pic:spPr>
                </pic:pic>
              </a:graphicData>
            </a:graphic>
          </wp:anchor>
        </w:drawing>
      </w:r>
    </w:p>
    <w:p>
      <w:pPr>
        <w:spacing w:after="0" w:line="37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Summary Historical and Pro Forma Consolidated Financial and Other Data</w:t>
      </w:r>
    </w:p>
    <w:p>
      <w:pPr>
        <w:spacing w:after="0" w:line="185" w:lineRule="exact"/>
        <w:rPr>
          <w:sz w:val="20"/>
          <w:szCs w:val="20"/>
          <w:color w:val="auto"/>
        </w:rPr>
      </w:pPr>
    </w:p>
    <w:p>
      <w:pPr>
        <w:ind w:left="1400" w:right="359" w:firstLine="339"/>
        <w:spacing w:after="0" w:line="261" w:lineRule="auto"/>
        <w:rPr>
          <w:sz w:val="20"/>
          <w:szCs w:val="20"/>
          <w:color w:val="auto"/>
        </w:rPr>
      </w:pPr>
      <w:r>
        <w:rPr>
          <w:rFonts w:ascii="Times New Roman" w:cs="Times New Roman" w:eastAsia="Times New Roman" w:hAnsi="Times New Roman"/>
          <w:sz w:val="14"/>
          <w:szCs w:val="14"/>
          <w:color w:val="auto"/>
        </w:rPr>
        <w:t>The following table presents the summary historical consolidated financial and other data for Medline Holdings and its subsidiaries and the summary pro forma consolidated financial and other data for Medline Inc. for the periods and at the dates indicated.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Medline Inc. consolidates Medline Holdings on its consolidated financial statements and records a non-controlling interest related to the Units held by our Continuing Unitholders on its consolidated balance sheet and consolidated statement of comprehensive income.</w:t>
      </w:r>
    </w:p>
    <w:p>
      <w:pPr>
        <w:spacing w:after="0" w:line="318" w:lineRule="exact"/>
        <w:rPr>
          <w:sz w:val="20"/>
          <w:szCs w:val="20"/>
          <w:color w:val="auto"/>
        </w:rPr>
      </w:pPr>
    </w:p>
    <w:p>
      <w:pPr>
        <w:ind w:left="1400" w:right="379" w:firstLine="339"/>
        <w:spacing w:after="0" w:line="275" w:lineRule="auto"/>
        <w:rPr>
          <w:sz w:val="20"/>
          <w:szCs w:val="20"/>
          <w:color w:val="auto"/>
        </w:rPr>
      </w:pPr>
      <w:r>
        <w:rPr>
          <w:rFonts w:ascii="Times New Roman" w:cs="Times New Roman" w:eastAsia="Times New Roman" w:hAnsi="Times New Roman"/>
          <w:sz w:val="14"/>
          <w:szCs w:val="14"/>
          <w:color w:val="auto"/>
        </w:rPr>
        <w:t>The summary consolidated statements of comprehensive income data and statements of cash flows data presented below for the years ended December 31, 2025, 2024 and 2023 and the summary consolidated balance sheet data presented below as of December 31, 2025 and 2024 have been derived from the consolidated financial statements included within the 2025 Form 10-K incorporated by reference in this prospectus.</w:t>
      </w:r>
    </w:p>
    <w:p>
      <w:pPr>
        <w:spacing w:after="0" w:line="135" w:lineRule="exact"/>
        <w:rPr>
          <w:sz w:val="20"/>
          <w:szCs w:val="20"/>
          <w:color w:val="auto"/>
        </w:rPr>
      </w:pPr>
    </w:p>
    <w:p>
      <w:pPr>
        <w:ind w:left="1400" w:right="579" w:firstLine="339"/>
        <w:spacing w:after="0" w:line="293" w:lineRule="auto"/>
        <w:rPr>
          <w:sz w:val="20"/>
          <w:szCs w:val="20"/>
          <w:color w:val="auto"/>
        </w:rPr>
      </w:pPr>
      <w:r>
        <w:rPr>
          <w:rFonts w:ascii="Times New Roman" w:cs="Times New Roman" w:eastAsia="Times New Roman" w:hAnsi="Times New Roman"/>
          <w:sz w:val="14"/>
          <w:szCs w:val="14"/>
          <w:color w:val="auto"/>
        </w:rPr>
        <w:t>Medline Inc. had no significant business transactions or activities prior to the Reorganization Transactions, and, as a result, the historical financial information reflects that of Medline Holdings.</w:t>
      </w:r>
    </w:p>
    <w:p>
      <w:pPr>
        <w:spacing w:after="0" w:line="123" w:lineRule="exact"/>
        <w:rPr>
          <w:sz w:val="20"/>
          <w:szCs w:val="20"/>
          <w:color w:val="auto"/>
        </w:rPr>
      </w:pPr>
    </w:p>
    <w:p>
      <w:pPr>
        <w:ind w:left="1400" w:right="399" w:firstLine="339"/>
        <w:spacing w:after="0" w:line="265" w:lineRule="auto"/>
        <w:rPr>
          <w:sz w:val="20"/>
          <w:szCs w:val="20"/>
          <w:color w:val="auto"/>
        </w:rPr>
      </w:pPr>
      <w:r>
        <w:rPr>
          <w:rFonts w:ascii="Times New Roman" w:cs="Times New Roman" w:eastAsia="Times New Roman" w:hAnsi="Times New Roman"/>
          <w:sz w:val="14"/>
          <w:szCs w:val="14"/>
          <w:color w:val="auto"/>
        </w:rPr>
        <w:t>You should read the summary historical consolidated financial data below, together with “Organizational Structure,” “Unaudited Pro Forma Consolidated Financial Information,” and “Description of Certain Indebtedness” included elsewhere in this prospectus and “Part II—Item 7— Management’s Discussion and Analysis of Financial Condition and Results of Operations,” “Part II—Item 8—Financial Statements and Supplementary Data,” and the historical consolidated financial statements and related notes thereto included in our 2025 Form 10-K incorporated by reference in this prospectus.</w:t>
      </w:r>
    </w:p>
    <w:p>
      <w:pPr>
        <w:spacing w:after="0" w:line="144" w:lineRule="exact"/>
        <w:rPr>
          <w:sz w:val="20"/>
          <w:szCs w:val="20"/>
          <w:color w:val="auto"/>
        </w:rPr>
      </w:pPr>
    </w:p>
    <w:p>
      <w:pPr>
        <w:ind w:left="1400" w:right="279" w:firstLine="339"/>
        <w:spacing w:after="0" w:line="262" w:lineRule="auto"/>
        <w:rPr>
          <w:sz w:val="20"/>
          <w:szCs w:val="20"/>
          <w:color w:val="auto"/>
        </w:rPr>
      </w:pPr>
      <w:r>
        <w:rPr>
          <w:rFonts w:ascii="Times New Roman" w:cs="Times New Roman" w:eastAsia="Times New Roman" w:hAnsi="Times New Roman"/>
          <w:sz w:val="14"/>
          <w:szCs w:val="14"/>
          <w:color w:val="auto"/>
        </w:rPr>
        <w:t>The summary unaudited pro forma consolidated financial data of Medline Inc. presented below has been derived from our unaudited pro forma consolidated financial information included elsewhere in this prospectus. The summary unaudited pro forma consolidated statements of income data for the year ended December 31, 2025 gives effect to the Reorganization Transactions, the IPO Transactions, and this offering as if they had occurred on January 1, 2025. The summary unaudited pro forma consolidated balance sheet data as of December 31, 2025 gives effect to the transactions described under “Unaudited Pro Forma Consolidated Financial Information,” including the IPO Transactions and this offering, as if they had occurred on December 31, 2025. The following summary unaudited consolidated pro forma financial information is presented for illustrative purposes only and is not necessarily indicative of the operating results or financial position that would have occurred if the relevant</w:t>
      </w: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92"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5581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1015" cy="5581015"/>
                    </a:xfrm>
                    <a:prstGeom prst="rect">
                      <a:avLst/>
                    </a:prstGeom>
                    <a:noFill/>
                  </pic:spPr>
                </pic:pic>
              </a:graphicData>
            </a:graphic>
          </wp:anchor>
        </w:drawing>
      </w:r>
    </w:p>
    <w:p>
      <w:pPr>
        <w:spacing w:after="0" w:line="381" w:lineRule="exact"/>
        <w:rPr>
          <w:sz w:val="20"/>
          <w:szCs w:val="20"/>
          <w:color w:val="auto"/>
        </w:rPr>
      </w:pPr>
    </w:p>
    <w:p>
      <w:pPr>
        <w:ind w:left="1400" w:right="379"/>
        <w:spacing w:after="0" w:line="293" w:lineRule="auto"/>
        <w:rPr>
          <w:sz w:val="20"/>
          <w:szCs w:val="20"/>
          <w:color w:val="auto"/>
        </w:rPr>
      </w:pPr>
      <w:r>
        <w:rPr>
          <w:rFonts w:ascii="Times New Roman" w:cs="Times New Roman" w:eastAsia="Times New Roman" w:hAnsi="Times New Roman"/>
          <w:sz w:val="14"/>
          <w:szCs w:val="14"/>
          <w:color w:val="auto"/>
        </w:rPr>
        <w:t>transactions had been consummated on the dates indicated, nor is it indicative of future operating results or financial position. See “Unaudited Pro Forma Consolidated Financial Information.”</w:t>
      </w:r>
    </w:p>
    <w:p>
      <w:pPr>
        <w:spacing w:after="0" w:line="132" w:lineRule="exact"/>
        <w:rPr>
          <w:sz w:val="20"/>
          <w:szCs w:val="20"/>
          <w:color w:val="auto"/>
        </w:rPr>
      </w:pPr>
    </w:p>
    <w:tbl>
      <w:tblPr>
        <w:tblLayout w:type="fixed"/>
        <w:tblInd w:w="1240" w:type="dxa"/>
        <w:tblCellMar>
          <w:top w:w="0" w:type="dxa"/>
          <w:left w:w="0" w:type="dxa"/>
          <w:bottom w:w="0" w:type="dxa"/>
          <w:right w:w="0" w:type="dxa"/>
        </w:tblCellMar>
      </w:tblPr>
      <w:tr>
        <w:trPr>
          <w:trHeight w:val="126"/>
        </w:trPr>
        <w:tc>
          <w:tcPr>
            <w:tcW w:w="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4"/>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4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top w:val="single" w:sz="8" w:color="auto"/>
            </w:tcBorders>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Borders>
              <w:top w:val="single" w:sz="8" w:color="auto"/>
            </w:tcBorders>
            <w:gridSpan w:val="4"/>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5"/>
          </w:tcPr>
          <w:p>
            <w:pPr>
              <w:jc w:val="center"/>
              <w:ind w:right="20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4"/>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(Amounts in millions, other than per share data)</w:t>
            </w:r>
          </w:p>
        </w:tc>
        <w:tc>
          <w:tcPr>
            <w:tcW w:w="140" w:type="dxa"/>
            <w:vAlign w:val="bottom"/>
          </w:tcPr>
          <w:p>
            <w:pPr>
              <w:spacing w:after="0"/>
              <w:rPr>
                <w:sz w:val="10"/>
                <w:szCs w:val="10"/>
                <w:color w:val="auto"/>
              </w:rPr>
            </w:pPr>
          </w:p>
        </w:tc>
        <w:tc>
          <w:tcPr>
            <w:tcW w:w="820" w:type="dxa"/>
            <w:vAlign w:val="bottom"/>
            <w:gridSpan w:val="4"/>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10"/>
                <w:szCs w:val="10"/>
                <w:color w:val="auto"/>
              </w:rPr>
            </w:pPr>
          </w:p>
        </w:tc>
        <w:tc>
          <w:tcPr>
            <w:tcW w:w="820" w:type="dxa"/>
            <w:vAlign w:val="bottom"/>
            <w:gridSpan w:val="4"/>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5"/>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0"/>
                <w:szCs w:val="10"/>
                <w:color w:val="auto"/>
              </w:rPr>
            </w:pPr>
          </w:p>
        </w:tc>
        <w:tc>
          <w:tcPr>
            <w:tcW w:w="900" w:type="dxa"/>
            <w:vAlign w:val="bottom"/>
            <w:gridSpan w:val="6"/>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4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446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Summary Statements of Income:</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28,432</w:t>
            </w:r>
          </w:p>
        </w:tc>
        <w:tc>
          <w:tcPr>
            <w:tcW w:w="140" w:type="dxa"/>
            <w:vAlign w:val="bottom"/>
          </w:tcPr>
          <w:p>
            <w:pPr>
              <w:spacing w:after="0"/>
              <w:rPr>
                <w:sz w:val="14"/>
                <w:szCs w:val="14"/>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28,432</w:t>
            </w:r>
          </w:p>
        </w:tc>
        <w:tc>
          <w:tcPr>
            <w:tcW w:w="16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25,507</w:t>
            </w:r>
          </w:p>
        </w:tc>
        <w:tc>
          <w:tcPr>
            <w:tcW w:w="200" w:type="dxa"/>
            <w:vAlign w:val="bottom"/>
          </w:tcPr>
          <w:p>
            <w:pPr>
              <w:spacing w:after="0"/>
              <w:rPr>
                <w:sz w:val="14"/>
                <w:szCs w:val="14"/>
                <w:color w:val="auto"/>
              </w:rPr>
            </w:pPr>
          </w:p>
        </w:tc>
        <w:tc>
          <w:tcPr>
            <w:tcW w:w="34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23,231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20,914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17,346</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color w:val="auto"/>
              </w:rPr>
              <w:t>(514)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(864)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(loss) gain,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4"/>
              </w:rPr>
              <w:t>(11)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vMerge w:val="continue"/>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(674)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(900)</w:t>
            </w: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 attributable to Medline Inc.</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vMerge w:val="restart"/>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vMerge w:val="continue"/>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0.82</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vMerge w:val="restart"/>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vMerge w:val="continue"/>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0.79</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vMerge w:val="restart"/>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vMerge w:val="continue"/>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used to compute net income (loss) per share: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vMerge w:val="restart"/>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vMerge w:val="continue"/>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rPr>
                <w:sz w:val="14"/>
                <w:szCs w:val="14"/>
                <w:color w:val="auto"/>
              </w:rPr>
            </w:pPr>
          </w:p>
        </w:tc>
        <w:tc>
          <w:tcPr>
            <w:tcW w:w="360" w:type="dxa"/>
            <w:vAlign w:val="bottom"/>
            <w:gridSpan w:val="2"/>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6"/>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Unaudited Pro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4"/>
            <w:vMerge w:val="restart"/>
          </w:tcPr>
          <w:p>
            <w:pPr>
              <w:jc w:val="right"/>
              <w:ind w:right="101"/>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5"/>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Forma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4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As of</w:t>
            </w:r>
          </w:p>
        </w:tc>
        <w:tc>
          <w:tcPr>
            <w:tcW w:w="2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5"/>
          </w:tcPr>
          <w:p>
            <w:pPr>
              <w:jc w:val="center"/>
              <w:ind w:right="460"/>
              <w:spacing w:after="0" w:line="90" w:lineRule="exact"/>
              <w:rPr>
                <w:sz w:val="20"/>
                <w:szCs w:val="20"/>
                <w:color w:val="auto"/>
              </w:rPr>
            </w:pPr>
            <w:r>
              <w:rPr>
                <w:rFonts w:ascii="Times New Roman" w:cs="Times New Roman" w:eastAsia="Times New Roman" w:hAnsi="Times New Roman"/>
                <w:sz w:val="10"/>
                <w:szCs w:val="10"/>
                <w:b w:val="1"/>
                <w:bCs w:val="1"/>
                <w:color w:val="auto"/>
              </w:rPr>
              <w:t>As of</w:t>
            </w:r>
          </w:p>
        </w:tc>
        <w:tc>
          <w:tcPr>
            <w:tcW w:w="1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gridSpan w:val="4"/>
          </w:tcPr>
          <w:p>
            <w:pPr>
              <w:ind w:left="80"/>
              <w:spacing w:after="0" w:line="90" w:lineRule="exact"/>
              <w:rPr>
                <w:sz w:val="20"/>
                <w:szCs w:val="20"/>
                <w:color w:val="auto"/>
              </w:rPr>
            </w:pPr>
            <w:r>
              <w:rPr>
                <w:rFonts w:ascii="Times New Roman" w:cs="Times New Roman" w:eastAsia="Times New Roman" w:hAnsi="Times New Roman"/>
                <w:sz w:val="10"/>
                <w:szCs w:val="10"/>
                <w:b w:val="1"/>
                <w:bCs w:val="1"/>
                <w:color w:val="auto"/>
              </w:rPr>
              <w:t>As of</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6"/>
          </w:tcPr>
          <w:p>
            <w:pPr>
              <w:jc w:val="center"/>
              <w:ind w:right="46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0"/>
                <w:szCs w:val="10"/>
                <w:color w:val="auto"/>
              </w:rPr>
            </w:pPr>
          </w:p>
        </w:tc>
        <w:tc>
          <w:tcPr>
            <w:tcW w:w="1000" w:type="dxa"/>
            <w:vAlign w:val="bottom"/>
            <w:gridSpan w:val="6"/>
          </w:tcPr>
          <w:p>
            <w:pPr>
              <w:jc w:val="center"/>
              <w:ind w:right="34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0"/>
                <w:szCs w:val="10"/>
                <w:color w:val="auto"/>
              </w:rPr>
            </w:pPr>
          </w:p>
        </w:tc>
        <w:tc>
          <w:tcPr>
            <w:tcW w:w="900" w:type="dxa"/>
            <w:vAlign w:val="bottom"/>
            <w:gridSpan w:val="6"/>
          </w:tcPr>
          <w:p>
            <w:pPr>
              <w:ind w:left="4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4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4"/>
          </w:tcPr>
          <w:p>
            <w:pPr>
              <w:jc w:val="center"/>
              <w:ind w:left="25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Balance Sheet Data:</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4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4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280" w:type="dxa"/>
            <w:vAlign w:val="bottom"/>
            <w:tcBorders>
              <w:top w:val="single" w:sz="8" w:color="auto"/>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w w:val="95"/>
              </w:rPr>
              <w:t>1,939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38,749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w w:val="98"/>
              </w:rPr>
              <w:t>38,484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35,978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19,636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3"/>
          </w:tcPr>
          <w:p>
            <w:pPr>
              <w:jc w:val="right"/>
              <w:ind w:right="83"/>
              <w:spacing w:after="0"/>
              <w:rPr>
                <w:sz w:val="20"/>
                <w:szCs w:val="20"/>
                <w:color w:val="auto"/>
              </w:rPr>
            </w:pPr>
            <w:r>
              <w:rPr>
                <w:rFonts w:ascii="Times New Roman" w:cs="Times New Roman" w:eastAsia="Times New Roman" w:hAnsi="Times New Roman"/>
                <w:sz w:val="14"/>
                <w:szCs w:val="14"/>
                <w:color w:val="auto"/>
                <w:w w:val="98"/>
              </w:rPr>
              <w:t>19,198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8"/>
              </w:rPr>
              <w:t>19,454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mezzanine equity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 partners’ capital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w w:val="93"/>
              </w:rPr>
              <w:t>19,113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3"/>
          </w:tcPr>
          <w:p>
            <w:pPr>
              <w:jc w:val="right"/>
              <w:ind w:right="83"/>
              <w:spacing w:after="0"/>
              <w:rPr>
                <w:sz w:val="20"/>
                <w:szCs w:val="20"/>
                <w:color w:val="auto"/>
              </w:rPr>
            </w:pPr>
            <w:r>
              <w:rPr>
                <w:rFonts w:ascii="Times New Roman" w:cs="Times New Roman" w:eastAsia="Times New Roman" w:hAnsi="Times New Roman"/>
                <w:sz w:val="14"/>
                <w:szCs w:val="14"/>
                <w:color w:val="auto"/>
                <w:w w:val="98"/>
              </w:rPr>
              <w:t>19,286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8"/>
              </w:rPr>
              <w:t>16,158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46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2"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6583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1015" cy="4658360"/>
                    </a:xfrm>
                    <a:prstGeom prst="rect">
                      <a:avLst/>
                    </a:prstGeom>
                    <a:noFill/>
                  </pic:spPr>
                </pic:pic>
              </a:graphicData>
            </a:graphic>
          </wp:anchor>
        </w:drawing>
      </w:r>
    </w:p>
    <w:p>
      <w:pPr>
        <w:spacing w:after="0" w:line="376"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4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5"/>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5"/>
          </w:tcPr>
          <w:p>
            <w:pPr>
              <w:jc w:val="center"/>
              <w:ind w:right="26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4"/>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5"/>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5"/>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5"/>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4380" w:type="dxa"/>
            <w:vAlign w:val="bottom"/>
            <w:tcBorders>
              <w:bottom w:val="single" w:sz="8" w:color="CCEEFF"/>
            </w:tcBorders>
            <w:vMerge w:val="continue"/>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Statements of Cash Flows Data:</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24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260" w:type="dxa"/>
            <w:vAlign w:val="bottom"/>
          </w:tcPr>
          <w:p>
            <w:pPr>
              <w:spacing w:after="0"/>
              <w:rPr>
                <w:sz w:val="14"/>
                <w:szCs w:val="14"/>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1,685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(1,493)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8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(1,613)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98"/>
        </w:trPr>
        <w:tc>
          <w:tcPr>
            <w:tcW w:w="4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gridSpan w:val="6"/>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7"/>
                <w:szCs w:val="7"/>
                <w:color w:val="auto"/>
              </w:rPr>
            </w:pPr>
          </w:p>
        </w:tc>
        <w:tc>
          <w:tcPr>
            <w:tcW w:w="1060" w:type="dxa"/>
            <w:vAlign w:val="bottom"/>
            <w:gridSpan w:val="6"/>
          </w:tcPr>
          <w:p>
            <w:pPr>
              <w:jc w:val="center"/>
              <w:ind w:right="38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00" w:type="dxa"/>
            <w:vAlign w:val="bottom"/>
          </w:tcPr>
          <w:p>
            <w:pPr>
              <w:spacing w:after="0"/>
              <w:rPr>
                <w:sz w:val="7"/>
                <w:szCs w:val="7"/>
                <w:color w:val="auto"/>
              </w:rPr>
            </w:pPr>
          </w:p>
        </w:tc>
        <w:tc>
          <w:tcPr>
            <w:tcW w:w="660" w:type="dxa"/>
            <w:vAlign w:val="bottom"/>
            <w:gridSpan w:val="4"/>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 except percentages)</w:t>
            </w:r>
          </w:p>
        </w:tc>
        <w:tc>
          <w:tcPr>
            <w:tcW w:w="780" w:type="dxa"/>
            <w:vAlign w:val="bottom"/>
          </w:tcPr>
          <w:p>
            <w:pPr>
              <w:spacing w:after="0"/>
              <w:rPr>
                <w:sz w:val="10"/>
                <w:szCs w:val="10"/>
                <w:color w:val="auto"/>
              </w:rPr>
            </w:pPr>
          </w:p>
        </w:tc>
        <w:tc>
          <w:tcPr>
            <w:tcW w:w="1080" w:type="dxa"/>
            <w:vAlign w:val="bottom"/>
            <w:gridSpan w:val="6"/>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0"/>
                <w:szCs w:val="10"/>
                <w:color w:val="auto"/>
              </w:rPr>
            </w:pPr>
          </w:p>
        </w:tc>
        <w:tc>
          <w:tcPr>
            <w:tcW w:w="1060" w:type="dxa"/>
            <w:vAlign w:val="bottom"/>
            <w:gridSpan w:val="6"/>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10"/>
                <w:szCs w:val="10"/>
                <w:color w:val="auto"/>
              </w:rPr>
            </w:pPr>
          </w:p>
        </w:tc>
        <w:tc>
          <w:tcPr>
            <w:tcW w:w="820" w:type="dxa"/>
            <w:vAlign w:val="bottom"/>
            <w:gridSpan w:val="6"/>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4380" w:type="dxa"/>
            <w:vAlign w:val="bottom"/>
            <w:vMerge w:val="continue"/>
          </w:tcPr>
          <w:p>
            <w:pPr>
              <w:spacing w:after="0"/>
              <w:rPr>
                <w:sz w:val="11"/>
                <w:szCs w:val="11"/>
                <w:color w:val="auto"/>
              </w:rPr>
            </w:pPr>
          </w:p>
        </w:tc>
        <w:tc>
          <w:tcPr>
            <w:tcW w:w="1260" w:type="dxa"/>
            <w:vAlign w:val="bottom"/>
            <w:gridSpan w:val="4"/>
          </w:tcPr>
          <w:p>
            <w:pPr>
              <w:ind w:left="10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5"/>
          </w:tcPr>
          <w:p>
            <w:pPr>
              <w:jc w:val="center"/>
              <w:ind w:left="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5"/>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Financial Data:</w:t>
            </w:r>
          </w:p>
        </w:tc>
        <w:tc>
          <w:tcPr>
            <w:tcW w:w="7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2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380" w:type="dxa"/>
            <w:vAlign w:val="bottom"/>
            <w:tcBorders>
              <w:top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top w:val="single" w:sz="8" w:color="auto"/>
            </w:tcBorders>
            <w:shd w:val="clear" w:color="auto" w:fill="CCEEFF"/>
          </w:tcPr>
          <w:p>
            <w:pPr>
              <w:jc w:val="center"/>
              <w:ind w:left="64"/>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Medline Brand segment net sales</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3"/>
              </w:rPr>
              <w:t>13,720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12,515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11,613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Medline Brand Segment Adjusted EBITDA</w:t>
            </w:r>
            <w:r>
              <w:rPr>
                <w:rFonts w:ascii="Times New Roman" w:cs="Times New Roman" w:eastAsia="Times New Roman" w:hAnsi="Times New Roman"/>
                <w:sz w:val="19"/>
                <w:szCs w:val="19"/>
                <w:color w:val="auto"/>
                <w:vertAlign w:val="superscript"/>
              </w:rPr>
              <w:t>(1)</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line="173" w:lineRule="exact"/>
              <w:rPr>
                <w:sz w:val="20"/>
                <w:szCs w:val="20"/>
                <w:color w:val="auto"/>
              </w:rPr>
            </w:pPr>
            <w:r>
              <w:rPr>
                <w:rFonts w:ascii="Times New Roman" w:cs="Times New Roman" w:eastAsia="Times New Roman" w:hAnsi="Times New Roman"/>
                <w:sz w:val="13"/>
                <w:szCs w:val="13"/>
                <w:color w:val="auto"/>
              </w:rPr>
              <w:t>Medline Brand Segment Adjusted EBITDA Margin</w:t>
            </w:r>
            <w:r>
              <w:rPr>
                <w:rFonts w:ascii="Times New Roman" w:cs="Times New Roman" w:eastAsia="Times New Roman" w:hAnsi="Times New Roman"/>
                <w:sz w:val="19"/>
                <w:szCs w:val="19"/>
                <w:color w:val="auto"/>
                <w:vertAlign w:val="superscript"/>
              </w:rPr>
              <w:t>(1)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26.1%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3"/>
              </w:rPr>
              <w:t>23.3%</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Supply Chain Solutions segment net sales</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14,712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12,992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11,618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line="173" w:lineRule="exact"/>
              <w:rPr>
                <w:sz w:val="20"/>
                <w:szCs w:val="20"/>
                <w:color w:val="auto"/>
              </w:rPr>
            </w:pPr>
            <w:r>
              <w:rPr>
                <w:rFonts w:ascii="Times New Roman" w:cs="Times New Roman" w:eastAsia="Times New Roman" w:hAnsi="Times New Roman"/>
                <w:sz w:val="13"/>
                <w:szCs w:val="13"/>
                <w:color w:val="auto"/>
              </w:rPr>
              <w:t>Supply Chain Solutions Segment Adjusted EBITDA</w:t>
            </w:r>
            <w:r>
              <w:rPr>
                <w:rFonts w:ascii="Times New Roman" w:cs="Times New Roman" w:eastAsia="Times New Roman" w:hAnsi="Times New Roman"/>
                <w:sz w:val="19"/>
                <w:szCs w:val="19"/>
                <w:color w:val="auto"/>
                <w:vertAlign w:val="superscript"/>
              </w:rPr>
              <w:t>(1)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Supply Chain Solutions Segment Adjusted EBITDA Margin</w:t>
            </w:r>
            <w:r>
              <w:rPr>
                <w:rFonts w:ascii="Times New Roman" w:cs="Times New Roman" w:eastAsia="Times New Roman" w:hAnsi="Times New Roman"/>
                <w:sz w:val="19"/>
                <w:szCs w:val="19"/>
                <w:color w:val="auto"/>
                <w:vertAlign w:val="superscript"/>
              </w:rPr>
              <w:t>(1)</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5.5%</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2"/>
        </w:trPr>
        <w:tc>
          <w:tcPr>
            <w:tcW w:w="4380" w:type="dxa"/>
            <w:vAlign w:val="bottom"/>
          </w:tcPr>
          <w:p>
            <w:pPr>
              <w:spacing w:after="0" w:line="173"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9"/>
                <w:szCs w:val="19"/>
                <w:color w:val="auto"/>
                <w:vertAlign w:val="superscript"/>
              </w:rPr>
              <w:t>(2)</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margin</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4.1%</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84"/>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21"/>
                <w:szCs w:val="21"/>
                <w:color w:val="auto"/>
                <w:vertAlign w:val="superscript"/>
              </w:rPr>
              <w:t>(2)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13.2%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3"/>
              </w:rPr>
              <w:t>11.9%</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740" w:right="379" w:hanging="340"/>
        <w:spacing w:after="0" w:line="230" w:lineRule="auto"/>
        <w:tabs>
          <w:tab w:leader="none" w:pos="17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20—Segment Information” of our audited consolidated financial statements, which is included in our 2025 Form 10-K incorporated by reference in this prospectus. Segment Adjusted EBITDA margin is Segment Adjusted EBITDA divided by segment net sales.</w:t>
      </w:r>
    </w:p>
    <w:p>
      <w:pPr>
        <w:ind w:left="1740" w:right="459" w:hanging="340"/>
        <w:spacing w:after="0" w:line="242" w:lineRule="auto"/>
        <w:tabs>
          <w:tab w:leader="none" w:pos="17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144" w:lineRule="exact"/>
        <w:rPr>
          <w:sz w:val="20"/>
          <w:szCs w:val="20"/>
          <w:color w:val="auto"/>
        </w:rPr>
      </w:pPr>
    </w:p>
    <w:p>
      <w:pPr>
        <w:ind w:left="1400" w:right="279" w:firstLine="339"/>
        <w:spacing w:after="0" w:line="268" w:lineRule="auto"/>
        <w:rPr>
          <w:sz w:val="20"/>
          <w:szCs w:val="20"/>
          <w:color w:val="auto"/>
        </w:rPr>
      </w:pPr>
      <w:r>
        <w:rPr>
          <w:rFonts w:ascii="Times New Roman" w:cs="Times New Roman" w:eastAsia="Times New Roman" w:hAnsi="Times New Roman"/>
          <w:sz w:val="14"/>
          <w:szCs w:val="14"/>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142" w:lineRule="exact"/>
        <w:rPr>
          <w:sz w:val="20"/>
          <w:szCs w:val="20"/>
          <w:color w:val="auto"/>
        </w:rPr>
      </w:pPr>
    </w:p>
    <w:p>
      <w:pPr>
        <w:ind w:left="1400" w:right="279" w:firstLine="339"/>
        <w:spacing w:after="0" w:line="266" w:lineRule="auto"/>
        <w:rPr>
          <w:sz w:val="20"/>
          <w:szCs w:val="20"/>
          <w:color w:val="auto"/>
        </w:rPr>
      </w:pPr>
      <w:r>
        <w:rPr>
          <w:rFonts w:ascii="Times New Roman" w:cs="Times New Roman" w:eastAsia="Times New Roman" w:hAnsi="Times New Roman"/>
          <w:sz w:val="14"/>
          <w:szCs w:val="14"/>
          <w:color w:val="auto"/>
        </w:rPr>
        <w:t>We evaluate our operating performance using Adjusted EBITDA and Adjusted EBITDA Margin. We define Adjusted EBITDA as net income (loss) adjusted for (i) interest expense, net, (ii) provision for income taxes, (iii) depreciation and amortization, (iv) inventory-related adjustments,</w:t>
      </w:r>
    </w:p>
    <w:p>
      <w:pPr>
        <w:spacing w:after="0" w:line="1" w:lineRule="exact"/>
        <w:rPr>
          <w:sz w:val="20"/>
          <w:szCs w:val="20"/>
          <w:color w:val="auto"/>
        </w:rPr>
      </w:pPr>
    </w:p>
    <w:p>
      <w:pPr>
        <w:ind w:left="1400" w:right="299"/>
        <w:spacing w:after="0" w:line="259" w:lineRule="auto"/>
        <w:tabs>
          <w:tab w:leader="none" w:pos="160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(vi) litigation (gains) charges, net, (vii) transaction-related costs, and (viii)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92"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4610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1015" cy="4610735"/>
                    </a:xfrm>
                    <a:prstGeom prst="rect">
                      <a:avLst/>
                    </a:prstGeom>
                    <a:noFill/>
                  </pic:spPr>
                </pic:pic>
              </a:graphicData>
            </a:graphic>
          </wp:anchor>
        </w:drawing>
      </w:r>
    </w:p>
    <w:p>
      <w:pPr>
        <w:spacing w:after="0" w:line="381" w:lineRule="exact"/>
        <w:rPr>
          <w:sz w:val="20"/>
          <w:szCs w:val="20"/>
          <w:color w:val="auto"/>
        </w:rPr>
      </w:pPr>
    </w:p>
    <w:p>
      <w:pPr>
        <w:ind w:left="1400" w:right="279" w:firstLine="339"/>
        <w:spacing w:after="0" w:line="262" w:lineRule="auto"/>
        <w:rPr>
          <w:sz w:val="20"/>
          <w:szCs w:val="20"/>
          <w:color w:val="auto"/>
        </w:rPr>
      </w:pPr>
      <w:r>
        <w:rPr>
          <w:rFonts w:ascii="Times New Roman" w:cs="Times New Roman" w:eastAsia="Times New Roman" w:hAnsi="Times New Roman"/>
          <w:sz w:val="14"/>
          <w:szCs w:val="14"/>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Adjusted EBITDA and Adjusted EBITDA Margin</w:t>
      </w:r>
    </w:p>
    <w:p>
      <w:pPr>
        <w:spacing w:after="0" w:line="99" w:lineRule="exact"/>
        <w:rPr>
          <w:sz w:val="20"/>
          <w:szCs w:val="20"/>
          <w:color w:val="auto"/>
        </w:rPr>
      </w:pPr>
    </w:p>
    <w:p>
      <w:pPr>
        <w:ind w:left="1400" w:right="699" w:firstLine="339"/>
        <w:spacing w:after="0" w:line="293" w:lineRule="auto"/>
        <w:rPr>
          <w:sz w:val="20"/>
          <w:szCs w:val="20"/>
          <w:color w:val="auto"/>
        </w:rPr>
      </w:pPr>
      <w:r>
        <w:rPr>
          <w:rFonts w:ascii="Times New Roman" w:cs="Times New Roman" w:eastAsia="Times New Roman" w:hAnsi="Times New Roman"/>
          <w:sz w:val="14"/>
          <w:szCs w:val="14"/>
          <w:color w:val="auto"/>
        </w:rPr>
        <w:t>The following table sets forth a reconciliation of net income, the most comparable GAAP financial measure, to Adjusted EBITDA and Adjusted EBITDA Margin for the periods indicated.</w:t>
      </w:r>
    </w:p>
    <w:p>
      <w:pPr>
        <w:spacing w:after="0" w:line="140"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4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40" w:type="dxa"/>
            <w:vAlign w:val="bottom"/>
          </w:tcPr>
          <w:p>
            <w:pPr>
              <w:spacing w:after="0"/>
              <w:rPr>
                <w:sz w:val="7"/>
                <w:szCs w:val="7"/>
                <w:color w:val="auto"/>
              </w:rPr>
            </w:pPr>
          </w:p>
        </w:tc>
        <w:tc>
          <w:tcPr>
            <w:tcW w:w="1040" w:type="dxa"/>
            <w:vAlign w:val="bottom"/>
            <w:gridSpan w:val="3"/>
          </w:tcPr>
          <w:p>
            <w:pPr>
              <w:jc w:val="center"/>
              <w:ind w:right="380"/>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260" w:type="dxa"/>
            <w:vAlign w:val="bottom"/>
          </w:tcPr>
          <w:p>
            <w:pPr>
              <w:spacing w:after="0"/>
              <w:rPr>
                <w:sz w:val="7"/>
                <w:szCs w:val="7"/>
                <w:color w:val="auto"/>
              </w:rPr>
            </w:pPr>
          </w:p>
        </w:tc>
        <w:tc>
          <w:tcPr>
            <w:tcW w:w="6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 except percentages)</w:t>
            </w:r>
          </w:p>
        </w:tc>
        <w:tc>
          <w:tcPr>
            <w:tcW w:w="138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6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3700" w:type="dxa"/>
            <w:vAlign w:val="bottom"/>
            <w:gridSpan w:val="2"/>
            <w:vMerge w:val="continue"/>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3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3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3"/>
                <w:szCs w:val="13"/>
                <w:color w:val="auto"/>
              </w:rPr>
              <w:t>Inventory-related adjustments</w:t>
            </w:r>
            <w:r>
              <w:rPr>
                <w:rFonts w:ascii="Times New Roman" w:cs="Times New Roman" w:eastAsia="Times New Roman" w:hAnsi="Times New Roman"/>
                <w:sz w:val="19"/>
                <w:szCs w:val="19"/>
                <w:color w:val="auto"/>
                <w:vertAlign w:val="superscript"/>
              </w:rPr>
              <w:t>(1)</w:t>
            </w: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3"/>
                <w:szCs w:val="13"/>
                <w:color w:val="auto"/>
              </w:rPr>
              <w:t>Litigation (gains) charges, net</w:t>
            </w:r>
            <w:r>
              <w:rPr>
                <w:rFonts w:ascii="Times New Roman" w:cs="Times New Roman" w:eastAsia="Times New Roman" w:hAnsi="Times New Roman"/>
                <w:sz w:val="19"/>
                <w:szCs w:val="19"/>
                <w:color w:val="auto"/>
                <w:vertAlign w:val="superscript"/>
              </w:rPr>
              <w:t>(2)</w:t>
            </w: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tcPr>
          <w:p>
            <w:pPr>
              <w:ind w:left="280"/>
              <w:spacing w:after="0" w:line="173" w:lineRule="exact"/>
              <w:rPr>
                <w:sz w:val="20"/>
                <w:szCs w:val="20"/>
                <w:color w:val="auto"/>
              </w:rPr>
            </w:pPr>
            <w:r>
              <w:rPr>
                <w:rFonts w:ascii="Times New Roman" w:cs="Times New Roman" w:eastAsia="Times New Roman" w:hAnsi="Times New Roman"/>
                <w:sz w:val="13"/>
                <w:szCs w:val="13"/>
                <w:color w:val="auto"/>
              </w:rPr>
              <w:t>Transaction-related costs</w:t>
            </w:r>
            <w:r>
              <w:rPr>
                <w:rFonts w:ascii="Times New Roman" w:cs="Times New Roman" w:eastAsia="Times New Roman" w:hAnsi="Times New Roman"/>
                <w:sz w:val="19"/>
                <w:szCs w:val="19"/>
                <w:color w:val="auto"/>
                <w:vertAlign w:val="superscript"/>
              </w:rPr>
              <w:t>(3)</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3"/>
                <w:szCs w:val="13"/>
                <w:color w:val="auto"/>
              </w:rPr>
              <w:t>Other non-core charges</w:t>
            </w:r>
            <w:r>
              <w:rPr>
                <w:rFonts w:ascii="Times New Roman" w:cs="Times New Roman" w:eastAsia="Times New Roman" w:hAnsi="Times New Roman"/>
                <w:sz w:val="19"/>
                <w:szCs w:val="19"/>
                <w:color w:val="auto"/>
                <w:vertAlign w:val="superscript"/>
              </w:rPr>
              <w:t>(4)</w:t>
            </w:r>
          </w:p>
        </w:tc>
        <w:tc>
          <w:tcPr>
            <w:tcW w:w="13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38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Net income margin</w:t>
            </w:r>
            <w:r>
              <w:rPr>
                <w:rFonts w:ascii="Times New Roman" w:cs="Times New Roman" w:eastAsia="Times New Roman" w:hAnsi="Times New Roman"/>
                <w:sz w:val="19"/>
                <w:szCs w:val="19"/>
                <w:color w:val="auto"/>
                <w:vertAlign w:val="superscript"/>
              </w:rPr>
              <w:t>(5)</w:t>
            </w: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21"/>
                <w:szCs w:val="21"/>
                <w:color w:val="auto"/>
                <w:vertAlign w:val="superscript"/>
              </w:rPr>
              <w:t>(5)</w:t>
            </w: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70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740" w:right="399" w:hanging="340"/>
        <w:spacing w:after="0" w:line="232" w:lineRule="auto"/>
        <w:tabs>
          <w:tab w:leader="none" w:pos="174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inventory adjustment associated with non-cash last-in, first-out (“LIFO”) reserves. Inventory adjustments were $83 million, $53 million, and $61 million for the years ended December 31, 2025, 2024, and 2023, respectively. The years ended December 31, 2024 and 2023 also include $25 million and $90 million, respectively, of amortization of the inventory step-up resulting from acquisitions.</w:t>
      </w:r>
    </w:p>
    <w:p>
      <w:pPr>
        <w:ind w:left="1740" w:right="479" w:hanging="340"/>
        <w:spacing w:after="0" w:line="224" w:lineRule="auto"/>
        <w:tabs>
          <w:tab w:leader="none" w:pos="174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2025, represents a settlement adjustment of $(8) million related to the EtO litigation, $(43) million related to settlement of an intellectual property dispute, and $18 million related to other legal settlements. For the year ended December 31, 2024, represents $2 million one-time legal costs. For the year ended December 31, 2023, represents settlement charges of $163 million related to the EtO litigation and $3 million of other legal costs, net of $(5) million of insurance recoveries.</w:t>
      </w:r>
    </w:p>
    <w:p>
      <w:pPr>
        <w:ind w:left="1740" w:right="299" w:hanging="340"/>
        <w:spacing w:after="0" w:line="227" w:lineRule="auto"/>
        <w:tabs>
          <w:tab w:leader="none" w:pos="174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2025 and 2024, respectively, includes $28 million and $22 million of acquisition and integration-related costs and adjustments; and $30 million and $9 million of expenses related to our IPO, consisting of legal, accounting, and advisory fees, as well as one-time employee bonuses, including those with an ongoing service requirement. The year ended December 31, 2024 also includes $(13) million one-time gain related to acquisition of equity investment. The year ended December 31, 2023 includes a one-time gain of $(75) million due to a change in valuation estimate resulting from cash collected on accounts receivable in excess of its acquisition-date fair value and $217 million of the change of control expenses related to the Sponsor Acquisition.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for the year ended December 31, 2023. The Liquidity MPU Payouts were unique, non-performance-related payments to the MPU Award Holders specific to the Sponsor Acquisition. As of December 31, 2023, all change of control expenses related to the Liquidity MPU Payouts have ended and no other payments will be</w:t>
      </w: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92"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172085</wp:posOffset>
            </wp:positionV>
            <wp:extent cx="5581015" cy="716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1015" cy="716280"/>
                    </a:xfrm>
                    <a:prstGeom prst="rect">
                      <a:avLst/>
                    </a:prstGeom>
                    <a:noFill/>
                  </pic:spPr>
                </pic:pic>
              </a:graphicData>
            </a:graphic>
          </wp:anchor>
        </w:drawing>
      </w:r>
    </w:p>
    <w:p>
      <w:pPr>
        <w:spacing w:after="0" w:line="378" w:lineRule="exact"/>
        <w:rPr>
          <w:sz w:val="20"/>
          <w:szCs w:val="20"/>
          <w:color w:val="auto"/>
        </w:rPr>
      </w:pPr>
    </w:p>
    <w:p>
      <w:pPr>
        <w:ind w:left="1740" w:right="519"/>
        <w:spacing w:after="0" w:line="235" w:lineRule="auto"/>
        <w:rPr>
          <w:sz w:val="20"/>
          <w:szCs w:val="20"/>
          <w:color w:val="auto"/>
        </w:rPr>
      </w:pPr>
      <w:r>
        <w:rPr>
          <w:rFonts w:ascii="Times New Roman" w:cs="Times New Roman" w:eastAsia="Times New Roman" w:hAnsi="Times New Roman"/>
          <w:sz w:val="11"/>
          <w:szCs w:val="11"/>
          <w:color w:val="auto"/>
        </w:rPr>
        <w:t>made. For more information regarding the Liquidity MPU Payouts, please refer to “Note 17—Stock-Based Compensation” of our audited consolidated financial statements, included in our 2025 Form 10-K incorporated by reference in this prospectus.</w:t>
      </w:r>
    </w:p>
    <w:p>
      <w:pPr>
        <w:spacing w:after="0" w:line="1" w:lineRule="exact"/>
        <w:rPr>
          <w:sz w:val="20"/>
          <w:szCs w:val="20"/>
          <w:color w:val="auto"/>
        </w:rPr>
      </w:pPr>
    </w:p>
    <w:p>
      <w:pPr>
        <w:ind w:left="1740" w:right="319" w:hanging="340"/>
        <w:spacing w:after="0" w:line="224"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2025, 2024 and 2023, respectively, includes $87 million, $(6) million and $15 million of realized and unrealized foreign exchange and investment losses (gains); $5 million, $(1) million and $18 million of losses (gains) on disposal of assets and exits; and $20 million, $23 million and $18 million of other project costs. For the years ended December 31, 2025 and 2024, respectively, also includes $64 million and $56 million of loss on debt extinguishment and other refinancing costs and fees; and $31 million and $38 million credit loss expense related to certain customer receivables.</w:t>
      </w:r>
    </w:p>
    <w:p>
      <w:pPr>
        <w:spacing w:after="0" w:line="1" w:lineRule="exact"/>
        <w:rPr>
          <w:rFonts w:ascii="Times New Roman" w:cs="Times New Roman" w:eastAsia="Times New Roman" w:hAnsi="Times New Roman"/>
          <w:sz w:val="11"/>
          <w:szCs w:val="11"/>
          <w:color w:val="auto"/>
        </w:rPr>
      </w:pPr>
    </w:p>
    <w:p>
      <w:pPr>
        <w:ind w:left="1740" w:hanging="340"/>
        <w:spacing w:after="0"/>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income margin represents net income divided by net sales and Adjusted EBITDA Margin represents Adjusted EBITDA divided by net sales.</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92"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ind w:left="1260" w:right="23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You should carefully consider the risks and uncertainties described below, as well as those contained in our 2025 Form 10-K, including the information set forth under “Item 1A—Risk Factors,” together with the other information contained or incorporated by reference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5" w:lineRule="exact"/>
        <w:rPr>
          <w:sz w:val="20"/>
          <w:szCs w:val="20"/>
          <w:color w:val="auto"/>
        </w:rPr>
      </w:pPr>
    </w:p>
    <w:p>
      <w:pPr>
        <w:ind w:left="1260" w:right="2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33" w:lineRule="exact"/>
        <w:rPr>
          <w:sz w:val="20"/>
          <w:szCs w:val="20"/>
          <w:color w:val="auto"/>
        </w:rPr>
      </w:pPr>
    </w:p>
    <w:p>
      <w:pPr>
        <w:ind w:left="1260" w:right="139" w:firstLine="351"/>
        <w:spacing w:after="0" w:line="267" w:lineRule="auto"/>
        <w:rPr>
          <w:sz w:val="20"/>
          <w:szCs w:val="20"/>
          <w:color w:val="auto"/>
        </w:rPr>
      </w:pPr>
      <w:r>
        <w:rPr>
          <w:rFonts w:ascii="Times New Roman" w:cs="Times New Roman" w:eastAsia="Times New Roman" w:hAnsi="Times New Roman"/>
          <w:sz w:val="14"/>
          <w:szCs w:val="14"/>
          <w:color w:val="auto"/>
        </w:rPr>
        <w:t>The trading market for our Class A common stock is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399" w:lineRule="exact"/>
        <w:rPr>
          <w:sz w:val="20"/>
          <w:szCs w:val="20"/>
          <w:color w:val="auto"/>
        </w:rPr>
      </w:pPr>
    </w:p>
    <w:p>
      <w:pPr>
        <w:ind w:left="1260" w:right="2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Designating Stockholders will continue to hold a significant percentage of our stock, and their interests may conflict with ours or yours in the future.</w:t>
      </w:r>
    </w:p>
    <w:p>
      <w:pPr>
        <w:spacing w:after="0" w:line="33" w:lineRule="exact"/>
        <w:rPr>
          <w:sz w:val="20"/>
          <w:szCs w:val="20"/>
          <w:color w:val="auto"/>
        </w:rPr>
      </w:pPr>
    </w:p>
    <w:p>
      <w:pPr>
        <w:ind w:left="1260" w:right="239" w:firstLine="351"/>
        <w:spacing w:after="0" w:line="263" w:lineRule="auto"/>
        <w:rPr>
          <w:sz w:val="20"/>
          <w:szCs w:val="20"/>
          <w:color w:val="auto"/>
        </w:rPr>
      </w:pPr>
      <w:r>
        <w:rPr>
          <w:rFonts w:ascii="Times New Roman" w:cs="Times New Roman" w:eastAsia="Times New Roman" w:hAnsi="Times New Roman"/>
          <w:sz w:val="14"/>
          <w:szCs w:val="14"/>
          <w:color w:val="auto"/>
        </w:rPr>
        <w:t>Immediately following this offering, the Designating Stockholders will beneficially own or control approximately 61.4% of the combined voting power of our shares eligible to vote in the election of our directors (or 60.6% if the underwriters exercise in full their option to purchase additional shares of Class A common stock). Moreover, we have agreed to nominate to our board individuals designated by the Designating Stockholders</w:t>
      </w:r>
    </w:p>
    <w:p>
      <w:pPr>
        <w:spacing w:after="0" w:line="1" w:lineRule="exact"/>
        <w:rPr>
          <w:sz w:val="20"/>
          <w:szCs w:val="20"/>
          <w:color w:val="auto"/>
        </w:rPr>
      </w:pPr>
    </w:p>
    <w:p>
      <w:pPr>
        <w:ind w:left="1260" w:right="139"/>
        <w:spacing w:after="0" w:line="258" w:lineRule="auto"/>
        <w:rPr>
          <w:sz w:val="20"/>
          <w:szCs w:val="20"/>
          <w:color w:val="auto"/>
        </w:rPr>
      </w:pPr>
      <w:r>
        <w:rPr>
          <w:rFonts w:ascii="Times New Roman" w:cs="Times New Roman" w:eastAsia="Times New Roman" w:hAnsi="Times New Roman"/>
          <w:sz w:val="14"/>
          <w:szCs w:val="14"/>
          <w:color w:val="auto"/>
        </w:rPr>
        <w:t>in accordance with the director nomination agreements we entered into in connection with our IPO. The Designating Stockholders retain the right to designate directors subject to the maintenance of certain ownership requirements in us. See “Certain Relationships and Related Person Transactions— 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49" w:lineRule="exact"/>
        <w:rPr>
          <w:sz w:val="20"/>
          <w:szCs w:val="20"/>
          <w:color w:val="auto"/>
        </w:rPr>
      </w:pPr>
    </w:p>
    <w:p>
      <w:pPr>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In addition, immediately following this offering, the Continuing Common Unitholders (which include certain interests held by our Principal Stockholders) will own 36.0% of the Common Units (or 35.6% if the underwriters exercise in full their option to purchase additional shares of Class A common stock). Because they hold their</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92"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19"/>
        <w:spacing w:after="0" w:line="259" w:lineRule="auto"/>
        <w:rPr>
          <w:sz w:val="20"/>
          <w:szCs w:val="20"/>
          <w:color w:val="auto"/>
        </w:rPr>
      </w:pPr>
      <w:r>
        <w:rPr>
          <w:rFonts w:ascii="Times New Roman" w:cs="Times New Roman" w:eastAsia="Times New Roman" w:hAnsi="Times New Roman"/>
          <w:sz w:val="14"/>
          <w:szCs w:val="14"/>
          <w:color w:val="auto"/>
        </w:rPr>
        <w:t>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tax receivable agreement that we entered into in connection with our IPO,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231" w:lineRule="exact"/>
        <w:rPr>
          <w:sz w:val="20"/>
          <w:szCs w:val="20"/>
          <w:color w:val="auto"/>
        </w:rPr>
      </w:pPr>
    </w:p>
    <w:p>
      <w:pPr>
        <w:ind w:left="1260" w:right="1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33"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50" w:lineRule="exact"/>
        <w:rPr>
          <w:sz w:val="20"/>
          <w:szCs w:val="20"/>
          <w:color w:val="auto"/>
        </w:rPr>
      </w:pPr>
    </w:p>
    <w:p>
      <w:pPr>
        <w:ind w:left="1260" w:right="379" w:firstLine="351"/>
        <w:spacing w:after="0" w:line="275" w:lineRule="auto"/>
        <w:rPr>
          <w:sz w:val="20"/>
          <w:szCs w:val="20"/>
          <w:color w:val="auto"/>
        </w:rPr>
      </w:pPr>
      <w:r>
        <w:rPr>
          <w:rFonts w:ascii="Times New Roman" w:cs="Times New Roman" w:eastAsia="Times New Roman" w:hAnsi="Times New Roman"/>
          <w:sz w:val="14"/>
          <w:szCs w:val="14"/>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17" w:lineRule="exact"/>
        <w:rPr>
          <w:sz w:val="20"/>
          <w:szCs w:val="20"/>
          <w:color w:val="auto"/>
        </w:rPr>
      </w:pPr>
    </w:p>
    <w:p>
      <w:pPr>
        <w:ind w:left="1260" w:right="29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The underwriters have agreed to release, with respect to this offering, the lock-up restrictions agreed to in connection with the IPO with respect to certain parties and may again waive lockup restrictions with respect to our securities in the future, which could adversely affect the price of our Class A common stock.</w:t>
      </w:r>
    </w:p>
    <w:p>
      <w:pPr>
        <w:spacing w:after="0" w:line="47" w:lineRule="exact"/>
        <w:rPr>
          <w:sz w:val="20"/>
          <w:szCs w:val="20"/>
          <w:color w:val="auto"/>
        </w:rPr>
      </w:pPr>
    </w:p>
    <w:p>
      <w:pPr>
        <w:jc w:val="both"/>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In connection with the IPO, we, our officers, directors, and our pre-IPO owners agreed with the underwriters, subject to certain exceptions, not to dispose of or hedge any shares of Class A common stock or securities convertible into or exchangeable for shares of Class A common stock for a period of 180 days following December 16, 2025. Goldman Sachs &amp; Co. LLC and Morgan Stanley &amp; Co. LLC, as representatives of</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92"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479"/>
        <w:spacing w:after="0" w:line="268" w:lineRule="auto"/>
        <w:rPr>
          <w:sz w:val="20"/>
          <w:szCs w:val="20"/>
          <w:color w:val="auto"/>
        </w:rPr>
      </w:pPr>
      <w:r>
        <w:rPr>
          <w:rFonts w:ascii="Times New Roman" w:cs="Times New Roman" w:eastAsia="Times New Roman" w:hAnsi="Times New Roman"/>
          <w:sz w:val="14"/>
          <w:szCs w:val="14"/>
          <w:color w:val="auto"/>
        </w:rPr>
        <w:t>the underwriters, have agreed to release the lockup restrictions applicable to the Company and the selling stockholders pursuant to such lock-up agreements with respect to the shares of Class A common stock being sold in this offering. The underwriters may waive or release the lock-up restrictions contained in such agreements in the future, which could cause the market price of our Class A common stock to decline and impair our ability to raise capital.</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92"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This prospectus contains or incorporates by reference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and “Risk Factors” herein and in our 2025 Form 10-K, as such factors may be updated from time to time in our periodic filings with the SEC, as well as the other information contained or incorporated by reference in this prospectus,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included or incorporated by reference in this prospectus. Factors that may cause actual results to differ from expected results include:</w:t>
      </w:r>
    </w:p>
    <w:p>
      <w:pPr>
        <w:spacing w:after="0" w:line="74" w:lineRule="exact"/>
        <w:rPr>
          <w:sz w:val="20"/>
          <w:szCs w:val="20"/>
          <w:color w:val="auto"/>
        </w:rPr>
      </w:pPr>
    </w:p>
    <w:p>
      <w:pPr>
        <w:ind w:left="2020" w:right="459" w:hanging="335"/>
        <w:spacing w:after="0" w:line="293" w:lineRule="auto"/>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risks in our global operations;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extensive and complex laws and governmental regulations and the cost of adverse regulatory actions;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compliance with environmental, health, and safety requirements;</w:t>
      </w:r>
    </w:p>
    <w:p>
      <w:pPr>
        <w:spacing w:after="0" w:line="107" w:lineRule="exact"/>
        <w:rPr>
          <w:rFonts w:ascii="Times New Roman" w:cs="Times New Roman" w:eastAsia="Times New Roman" w:hAnsi="Times New Roman"/>
          <w:sz w:val="14"/>
          <w:szCs w:val="14"/>
          <w:color w:val="auto"/>
        </w:rPr>
      </w:pPr>
    </w:p>
    <w:p>
      <w:pPr>
        <w:ind w:left="2020" w:right="219" w:hanging="335"/>
        <w:spacing w:after="0" w:line="293" w:lineRule="auto"/>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expected benefits from the entry into new or amended contracts, planned cost savings, and business improvement initiatives;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in the healthcare industry;</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inflationary pressures;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macro-economic and political conditions;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government-imposed import policies, tariffs, and legislation;</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 accelerating price pressure in our markets;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anti-bribery laws, anti-corruption laws, and those laws and regulations pertaining to economic sanctions;</w:t>
      </w:r>
    </w:p>
    <w:p>
      <w:pPr>
        <w:spacing w:after="0" w:line="108" w:lineRule="exact"/>
        <w:rPr>
          <w:rFonts w:ascii="Times New Roman" w:cs="Times New Roman" w:eastAsia="Times New Roman" w:hAnsi="Times New Roman"/>
          <w:sz w:val="14"/>
          <w:szCs w:val="14"/>
          <w:color w:val="auto"/>
        </w:rPr>
      </w:pPr>
    </w:p>
    <w:p>
      <w:pPr>
        <w:ind w:left="2020" w:right="519" w:hanging="335"/>
        <w:spacing w:after="0" w:line="293" w:lineRule="auto"/>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third parties we work with to comply with complex and rapidly evolving data privacy, security, and data protection laws and regulations;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of increasing use of Machine Learning Technology;</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tax legislation and audits by tax authorities;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U.S. and global healthcare environments;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third-party manufacturers, certain significant suppliers and third-party shippers;</w:t>
      </w:r>
    </w:p>
    <w:p>
      <w:pPr>
        <w:spacing w:after="0" w:line="107" w:lineRule="exact"/>
        <w:rPr>
          <w:rFonts w:ascii="Times New Roman" w:cs="Times New Roman" w:eastAsia="Times New Roman" w:hAnsi="Times New Roman"/>
          <w:sz w:val="14"/>
          <w:szCs w:val="14"/>
          <w:color w:val="auto"/>
        </w:rPr>
      </w:pPr>
    </w:p>
    <w:p>
      <w:pPr>
        <w:ind w:left="2020" w:right="959" w:hanging="335"/>
        <w:spacing w:after="0" w:line="293" w:lineRule="auto"/>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fluctuations of key commodities and other factors of production including labor and transportation on our manufacturing business;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significant challenges or delays in the Company’s sourcing of new products and technologies;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concentration in and dependence on certain healthcare provider customers and GPOs;</w:t>
      </w:r>
    </w:p>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92"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develop and retain key employees;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the proper functioning of critical facilities and distribution networks;</w:t>
      </w:r>
    </w:p>
    <w:p>
      <w:pPr>
        <w:spacing w:after="0" w:line="107" w:lineRule="exact"/>
        <w:rPr>
          <w:rFonts w:ascii="Times New Roman" w:cs="Times New Roman" w:eastAsia="Times New Roman" w:hAnsi="Times New Roman"/>
          <w:sz w:val="14"/>
          <w:szCs w:val="14"/>
          <w:color w:val="auto"/>
        </w:rPr>
      </w:pPr>
    </w:p>
    <w:p>
      <w:pPr>
        <w:ind w:left="2020" w:right="179" w:hanging="335"/>
        <w:spacing w:after="0" w:line="293" w:lineRule="auto"/>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litigation brought by third parties claiming infringement, misappropriation, or other violation by us of their intellectual property rights;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requirements to recognize impairment charges related to goodwill, identified intangible assets, and fixed assets;</w:t>
      </w:r>
    </w:p>
    <w:p>
      <w:pPr>
        <w:spacing w:after="0" w:line="108" w:lineRule="exact"/>
        <w:rPr>
          <w:rFonts w:ascii="Times New Roman" w:cs="Times New Roman" w:eastAsia="Times New Roman" w:hAnsi="Times New Roman"/>
          <w:sz w:val="14"/>
          <w:szCs w:val="14"/>
          <w:color w:val="auto"/>
        </w:rPr>
      </w:pPr>
    </w:p>
    <w:p>
      <w:pPr>
        <w:ind w:left="2020" w:right="139" w:hanging="335"/>
        <w:spacing w:after="0" w:line="293" w:lineRule="auto"/>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derive fully the anticipated benefits from our existing or future acquisitions, joint ventures, investments, dispositions, or other strategic transactions;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problems, recalls, and product liability claims;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 and legal, regulatory, and market measures to address climate change;</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aspirations, goals, and disclosures related to ESG and sustainability matters;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unfavorable outcome of legal proceedings we are involved in;</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relating to reimbursement of healthcare goods and services;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third parties we work with to reduce expenses if we experience decreasing prices for our goods and services;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insurance program to cover future losses;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positive perceptions of our reputation;</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and ability to incur substantially more debt;</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the financial risks associated with interest rate fluctuations on our variable rate debt;</w:t>
      </w:r>
    </w:p>
    <w:p>
      <w:pPr>
        <w:spacing w:after="0" w:line="108" w:lineRule="exact"/>
        <w:rPr>
          <w:rFonts w:ascii="Times New Roman" w:cs="Times New Roman" w:eastAsia="Times New Roman" w:hAnsi="Times New Roman"/>
          <w:sz w:val="14"/>
          <w:szCs w:val="14"/>
          <w:color w:val="auto"/>
        </w:rPr>
      </w:pPr>
    </w:p>
    <w:p>
      <w:pPr>
        <w:ind w:left="2020" w:right="159" w:hanging="335"/>
        <w:spacing w:after="0" w:line="293" w:lineRule="auto"/>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in our debt agreements, which may restrict our ability to pursue our business strategies and our ability to comply with them; and</w:t>
      </w:r>
    </w:p>
    <w:p>
      <w:pPr>
        <w:spacing w:after="0" w:line="48" w:lineRule="exact"/>
        <w:rPr>
          <w:rFonts w:ascii="Times New Roman" w:cs="Times New Roman" w:eastAsia="Times New Roman" w:hAnsi="Times New Roman"/>
          <w:sz w:val="14"/>
          <w:szCs w:val="14"/>
          <w:color w:val="auto"/>
        </w:rPr>
      </w:pPr>
    </w:p>
    <w:p>
      <w:pPr>
        <w:ind w:left="2020" w:right="299" w:hanging="335"/>
        <w:spacing w:after="0" w:line="293" w:lineRule="auto"/>
        <w:tabs>
          <w:tab w:leader="none" w:pos="2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under “Risk Factors” herein and in our 2025 Form 10-K, as well as contained or incorporated by reference in this prospectus.</w:t>
      </w:r>
    </w:p>
    <w:p>
      <w:pPr>
        <w:spacing w:after="0" w:line="123" w:lineRule="exact"/>
        <w:rPr>
          <w:sz w:val="20"/>
          <w:szCs w:val="20"/>
          <w:color w:val="auto"/>
        </w:rPr>
      </w:pPr>
    </w:p>
    <w:p>
      <w:pPr>
        <w:ind w:left="1260" w:right="159" w:firstLine="351"/>
        <w:spacing w:after="0" w:line="261" w:lineRule="auto"/>
        <w:rPr>
          <w:sz w:val="20"/>
          <w:szCs w:val="20"/>
          <w:color w:val="auto"/>
        </w:rPr>
      </w:pPr>
      <w:r>
        <w:rPr>
          <w:rFonts w:ascii="Times New Roman" w:cs="Times New Roman" w:eastAsia="Times New Roman" w:hAnsi="Times New Roman"/>
          <w:sz w:val="14"/>
          <w:szCs w:val="14"/>
          <w:color w:val="auto"/>
        </w:rPr>
        <w:t>The forward-looking statements contained or incorporated by reference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in our 2025 Form 10-K, as well as “Part II —Item 7—Management’s Discussion and Analysis of Financial Condition and Results of Operations” included in our 2025 Form 10-K incorporated by reference in this prospectus. 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46" w:lineRule="exact"/>
        <w:rPr>
          <w:sz w:val="20"/>
          <w:szCs w:val="20"/>
          <w:color w:val="auto"/>
        </w:rPr>
      </w:pPr>
    </w:p>
    <w:p>
      <w:pPr>
        <w:jc w:val="both"/>
        <w:ind w:left="1260" w:right="239" w:firstLine="351"/>
        <w:spacing w:after="0" w:line="275" w:lineRule="auto"/>
        <w:rPr>
          <w:sz w:val="20"/>
          <w:szCs w:val="20"/>
          <w:color w:val="auto"/>
        </w:rPr>
      </w:pPr>
      <w:r>
        <w:rPr>
          <w:rFonts w:ascii="Times New Roman" w:cs="Times New Roman" w:eastAsia="Times New Roman" w:hAnsi="Times New Roman"/>
          <w:sz w:val="14"/>
          <w:szCs w:val="14"/>
          <w:color w:val="auto"/>
        </w:rPr>
        <w:t>The forward-looking statements included or incorporated by reference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92"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339"/>
        <w:spacing w:after="0" w:line="268" w:lineRule="auto"/>
        <w:rPr>
          <w:sz w:val="20"/>
          <w:szCs w:val="20"/>
          <w:color w:val="auto"/>
        </w:rPr>
      </w:pPr>
      <w:r>
        <w:rPr>
          <w:rFonts w:ascii="Times New Roman" w:cs="Times New Roman" w:eastAsia="Times New Roman" w:hAnsi="Times New Roman"/>
          <w:sz w:val="14"/>
          <w:szCs w:val="14"/>
          <w:color w:val="auto"/>
        </w:rPr>
        <w:t>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or incorporated by reference in this prospectus to reflect changed assumptions, the occurrence of unanticipated events, or changes to future operating results over time.</w:t>
      </w:r>
    </w:p>
    <w:p>
      <w:pPr>
        <w:spacing w:after="0" w:line="3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85" w:lineRule="exact"/>
        <w:rPr>
          <w:sz w:val="20"/>
          <w:szCs w:val="20"/>
          <w:color w:val="auto"/>
        </w:rPr>
      </w:pPr>
    </w:p>
    <w:p>
      <w:pPr>
        <w:ind w:left="1260" w:right="319" w:firstLine="351"/>
        <w:spacing w:after="0" w:line="264"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include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 Additionally, you should assume that any such information in documents that we have incorporated by reference is derived from sources and internal data and estimates available as of the date of such document incorporated by reference.</w:t>
      </w:r>
    </w:p>
    <w:p>
      <w:pPr>
        <w:spacing w:after="0" w:line="143" w:lineRule="exact"/>
        <w:rPr>
          <w:sz w:val="20"/>
          <w:szCs w:val="20"/>
          <w:color w:val="auto"/>
        </w:rPr>
      </w:pPr>
    </w:p>
    <w:p>
      <w:pPr>
        <w:ind w:left="1260" w:right="219" w:firstLine="351"/>
        <w:spacing w:after="0" w:line="260" w:lineRule="auto"/>
        <w:rPr>
          <w:sz w:val="20"/>
          <w:szCs w:val="20"/>
          <w:color w:val="auto"/>
        </w:rPr>
      </w:pPr>
      <w:r>
        <w:rPr>
          <w:rFonts w:ascii="Times New Roman" w:cs="Times New Roman" w:eastAsia="Times New Roman" w:hAnsi="Times New Roman"/>
          <w:sz w:val="14"/>
          <w:szCs w:val="14"/>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or incorporated by reference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322" w:lineRule="exact"/>
        <w:rPr>
          <w:sz w:val="20"/>
          <w:szCs w:val="20"/>
          <w:color w:val="auto"/>
        </w:rPr>
      </w:pPr>
    </w:p>
    <w:p>
      <w:pPr>
        <w:ind w:left="1260" w:right="179" w:firstLine="351"/>
        <w:spacing w:after="0" w:line="264" w:lineRule="auto"/>
        <w:rPr>
          <w:sz w:val="20"/>
          <w:szCs w:val="20"/>
          <w:color w:val="auto"/>
        </w:rPr>
      </w:pPr>
      <w:r>
        <w:rPr>
          <w:rFonts w:ascii="Times New Roman" w:cs="Times New Roman" w:eastAsia="Times New Roman" w:hAnsi="Times New Roman"/>
          <w:sz w:val="14"/>
          <w:szCs w:val="14"/>
          <w:color w:val="auto"/>
        </w:rPr>
        <w:t>In addition, assumptions and estimates of our and our industry’s future performance are subject to a high degree of uncertainty and risk due to a variety of factors, including those described in “Risk Factors” herein and in our 2025 Form 10-K.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Neither we nor the underwriters can guarantee the accuracy or completeness of any such information contained or incorporated by reference in this prospectus.</w:t>
      </w:r>
    </w:p>
    <w:p>
      <w:pPr>
        <w:spacing w:after="0" w:line="143"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Statements regarding our market position (including statements that we are the largest company in a particular market), unless otherwise noted, are based on our 2025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2025 net sales relative to the publicly reported net sales of med-surg products by companies that are both med-surg manufacturers and distributors.</w:t>
      </w:r>
    </w:p>
    <w:p>
      <w:pPr>
        <w:spacing w:after="0" w:line="142" w:lineRule="exact"/>
        <w:rPr>
          <w:sz w:val="20"/>
          <w:szCs w:val="20"/>
          <w:color w:val="auto"/>
        </w:rPr>
      </w:pPr>
    </w:p>
    <w:p>
      <w:pPr>
        <w:ind w:left="1260" w:right="299" w:firstLine="351"/>
        <w:spacing w:after="0" w:line="268" w:lineRule="auto"/>
        <w:rPr>
          <w:sz w:val="20"/>
          <w:szCs w:val="20"/>
          <w:color w:val="auto"/>
        </w:rPr>
      </w:pPr>
      <w:r>
        <w:rPr>
          <w:rFonts w:ascii="Times New Roman" w:cs="Times New Roman" w:eastAsia="Times New Roman" w:hAnsi="Times New Roman"/>
          <w:sz w:val="14"/>
          <w:szCs w:val="14"/>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 them through our manufacturing or sourcing networks. We define our SAM for Medline Brand products as the portion of our U.S. TAM directly addressable by our existing Medline Brand portfolio and capabilities. We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92"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39"/>
        <w:spacing w:after="0" w:line="293" w:lineRule="auto"/>
        <w:rPr>
          <w:sz w:val="20"/>
          <w:szCs w:val="20"/>
          <w:color w:val="auto"/>
        </w:rPr>
      </w:pPr>
      <w:r>
        <w:rPr>
          <w:rFonts w:ascii="Times New Roman" w:cs="Times New Roman" w:eastAsia="Times New Roman" w:hAnsi="Times New Roman"/>
          <w:sz w:val="14"/>
          <w:szCs w:val="14"/>
          <w:color w:val="auto"/>
        </w:rPr>
        <w:t>calculate our TAM and SAM estimates included in this prospectus using internally prepared analyses that rely on independent data extracts and research, publicly available information regarding our competitors, and internal market estimates.</w:t>
      </w:r>
    </w:p>
    <w:p>
      <w:pPr>
        <w:spacing w:after="0" w:line="2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TRADEMARKS, TRADE NAMES, AND SERVICE MARKS</w:t>
      </w:r>
    </w:p>
    <w:p>
      <w:pPr>
        <w:spacing w:after="0" w:line="185" w:lineRule="exact"/>
        <w:rPr>
          <w:sz w:val="20"/>
          <w:szCs w:val="20"/>
          <w:color w:val="auto"/>
        </w:rPr>
      </w:pPr>
    </w:p>
    <w:p>
      <w:pPr>
        <w:ind w:left="1260" w:right="159" w:firstLine="351"/>
        <w:spacing w:after="0" w:line="242" w:lineRule="auto"/>
        <w:rPr>
          <w:sz w:val="20"/>
          <w:szCs w:val="20"/>
          <w:color w:val="auto"/>
        </w:rPr>
      </w:pPr>
      <w:r>
        <w:rPr>
          <w:rFonts w:ascii="Times New Roman" w:cs="Times New Roman" w:eastAsia="Times New Roman" w:hAnsi="Times New Roman"/>
          <w:sz w:val="14"/>
          <w:szCs w:val="14"/>
          <w:color w:val="auto"/>
        </w:rPr>
        <w:t xml:space="preserve">We own or have the right to use trademarks, trade names, and service marks used in connection with our business, including, but not limited to, Medline, Curad, Microtek, Hudson, and Proxima, which are protected 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92"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Organizational Structure Following the IPO</w:t>
      </w:r>
    </w:p>
    <w:p>
      <w:pPr>
        <w:spacing w:after="0" w:line="99"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the accounting predecessor. Medline Inc. consolidates Medline Holdings in its consolidated financial statements and records a non-controlling interest related to the Units held by the Continuing Unitholders on its consolidated balance sheet and statement of income. As further described herein, prior to the completion of the IPO:</w:t>
      </w:r>
    </w:p>
    <w:p>
      <w:pPr>
        <w:spacing w:after="0" w:line="73" w:lineRule="exact"/>
        <w:rPr>
          <w:sz w:val="20"/>
          <w:szCs w:val="20"/>
          <w:color w:val="auto"/>
        </w:rPr>
      </w:pPr>
    </w:p>
    <w:p>
      <w:pPr>
        <w:ind w:left="2020" w:right="499" w:hanging="422"/>
        <w:spacing w:after="0" w:line="293" w:lineRule="auto"/>
        <w:tabs>
          <w:tab w:leader="none" w:pos="2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Pre-IPO Stockholders received shares of Class A common stock of Medline Inc. pursuant to the Blocker Transfers as defined and described in “Organizational Structure—Blocker Transfers”;</w:t>
      </w:r>
    </w:p>
    <w:p>
      <w:pPr>
        <w:spacing w:after="0" w:line="48" w:lineRule="exact"/>
        <w:rPr>
          <w:rFonts w:ascii="Times New Roman" w:cs="Times New Roman" w:eastAsia="Times New Roman" w:hAnsi="Times New Roman"/>
          <w:sz w:val="14"/>
          <w:szCs w:val="14"/>
          <w:color w:val="auto"/>
        </w:rPr>
      </w:pPr>
    </w:p>
    <w:p>
      <w:pPr>
        <w:ind w:left="2020" w:right="319" w:hanging="422"/>
        <w:spacing w:after="0" w:line="275" w:lineRule="auto"/>
        <w:tabs>
          <w:tab w:leader="none" w:pos="2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59" w:lineRule="exact"/>
        <w:rPr>
          <w:rFonts w:ascii="Times New Roman" w:cs="Times New Roman" w:eastAsia="Times New Roman" w:hAnsi="Times New Roman"/>
          <w:sz w:val="14"/>
          <w:szCs w:val="14"/>
          <w:color w:val="auto"/>
        </w:rPr>
      </w:pPr>
    </w:p>
    <w:p>
      <w:pPr>
        <w:ind w:left="2380" w:hanging="254"/>
        <w:spacing w:after="0"/>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Continuing Common Unitholders were converted into Common Units;</w:t>
      </w:r>
    </w:p>
    <w:p>
      <w:pPr>
        <w:spacing w:after="0" w:line="108" w:lineRule="exact"/>
        <w:rPr>
          <w:rFonts w:ascii="Times New Roman" w:cs="Times New Roman" w:eastAsia="Times New Roman" w:hAnsi="Times New Roman"/>
          <w:sz w:val="14"/>
          <w:szCs w:val="14"/>
          <w:color w:val="auto"/>
        </w:rPr>
      </w:pPr>
    </w:p>
    <w:p>
      <w:pPr>
        <w:ind w:left="2380" w:hanging="254"/>
        <w:spacing w:after="0"/>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Continuing Common Unitholders were converted into Common Units; and</w:t>
      </w:r>
    </w:p>
    <w:p>
      <w:pPr>
        <w:spacing w:after="0" w:line="107" w:lineRule="exact"/>
        <w:rPr>
          <w:rFonts w:ascii="Times New Roman" w:cs="Times New Roman" w:eastAsia="Times New Roman" w:hAnsi="Times New Roman"/>
          <w:sz w:val="14"/>
          <w:szCs w:val="14"/>
          <w:color w:val="auto"/>
        </w:rPr>
      </w:pPr>
    </w:p>
    <w:p>
      <w:pPr>
        <w:ind w:left="2380" w:hanging="254"/>
        <w:spacing w:after="0"/>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Continuing Incentive Unitholders were converted into Incentive Units;</w:t>
      </w:r>
    </w:p>
    <w:p>
      <w:pPr>
        <w:spacing w:after="0" w:line="108" w:lineRule="exact"/>
        <w:rPr>
          <w:rFonts w:ascii="Times New Roman" w:cs="Times New Roman" w:eastAsia="Times New Roman" w:hAnsi="Times New Roman"/>
          <w:sz w:val="14"/>
          <w:szCs w:val="14"/>
          <w:color w:val="auto"/>
        </w:rPr>
      </w:pPr>
    </w:p>
    <w:p>
      <w:pPr>
        <w:ind w:left="2020" w:right="179" w:hanging="422"/>
        <w:spacing w:after="0" w:line="293" w:lineRule="auto"/>
        <w:tabs>
          <w:tab w:leader="none" w:pos="2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Common Unitholders received the number of shares of Class B common stock of Medline Inc. equivalent to the number of Common Units held by each such Continuing Common Unitholder; and</w:t>
      </w:r>
    </w:p>
    <w:p>
      <w:pPr>
        <w:spacing w:after="0" w:line="48" w:lineRule="exact"/>
        <w:rPr>
          <w:rFonts w:ascii="Times New Roman" w:cs="Times New Roman" w:eastAsia="Times New Roman" w:hAnsi="Times New Roman"/>
          <w:sz w:val="14"/>
          <w:szCs w:val="14"/>
          <w:color w:val="auto"/>
        </w:rPr>
      </w:pPr>
    </w:p>
    <w:p>
      <w:pPr>
        <w:ind w:left="2020" w:hanging="422"/>
        <w:spacing w:after="0"/>
        <w:tabs>
          <w:tab w:leader="none" w:pos="2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CUPI Units, and Class B Units that are not reclassified as set forth in (2) above were treated as follows:</w:t>
      </w:r>
    </w:p>
    <w:p>
      <w:pPr>
        <w:spacing w:after="0" w:line="107" w:lineRule="exact"/>
        <w:rPr>
          <w:rFonts w:ascii="Times New Roman" w:cs="Times New Roman" w:eastAsia="Times New Roman" w:hAnsi="Times New Roman"/>
          <w:sz w:val="14"/>
          <w:szCs w:val="14"/>
          <w:color w:val="auto"/>
        </w:rPr>
      </w:pPr>
    </w:p>
    <w:p>
      <w:pPr>
        <w:ind w:left="2380" w:hanging="254"/>
        <w:spacing w:after="0"/>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Exchanging Class A Unitholders were directly or indirectly exchanged for shares of Class A common stock;</w:t>
      </w:r>
    </w:p>
    <w:p>
      <w:pPr>
        <w:spacing w:after="0" w:line="108" w:lineRule="exact"/>
        <w:rPr>
          <w:rFonts w:ascii="Times New Roman" w:cs="Times New Roman" w:eastAsia="Times New Roman" w:hAnsi="Times New Roman"/>
          <w:sz w:val="14"/>
          <w:szCs w:val="14"/>
          <w:color w:val="auto"/>
        </w:rPr>
      </w:pPr>
    </w:p>
    <w:p>
      <w:pPr>
        <w:ind w:left="2380" w:hanging="254"/>
        <w:spacing w:after="0"/>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Exchanging CUPI Unitholders were directly or indirectly exchanged for shares of Class A common stock; and</w:t>
      </w:r>
    </w:p>
    <w:p>
      <w:pPr>
        <w:spacing w:after="0" w:line="107" w:lineRule="exact"/>
        <w:rPr>
          <w:rFonts w:ascii="Times New Roman" w:cs="Times New Roman" w:eastAsia="Times New Roman" w:hAnsi="Times New Roman"/>
          <w:sz w:val="14"/>
          <w:szCs w:val="14"/>
          <w:color w:val="auto"/>
        </w:rPr>
      </w:pPr>
    </w:p>
    <w:p>
      <w:pPr>
        <w:ind w:left="2380" w:right="139" w:hanging="254"/>
        <w:spacing w:after="0" w:line="293" w:lineRule="auto"/>
        <w:tabs>
          <w:tab w:leader="none" w:pos="2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123" w:lineRule="exact"/>
        <w:rPr>
          <w:sz w:val="20"/>
          <w:szCs w:val="20"/>
          <w:color w:val="auto"/>
        </w:rPr>
      </w:pPr>
    </w:p>
    <w:p>
      <w:pPr>
        <w:jc w:val="both"/>
        <w:ind w:left="1260" w:right="219" w:firstLine="351"/>
        <w:spacing w:after="0" w:line="265" w:lineRule="auto"/>
        <w:rPr>
          <w:sz w:val="20"/>
          <w:szCs w:val="20"/>
          <w:color w:val="auto"/>
        </w:rPr>
      </w:pPr>
      <w:r>
        <w:rPr>
          <w:rFonts w:ascii="Times New Roman" w:cs="Times New Roman" w:eastAsia="Times New Roman" w:hAnsi="Times New Roman"/>
          <w:sz w:val="14"/>
          <w:szCs w:val="14"/>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44" w:lineRule="exact"/>
        <w:rPr>
          <w:sz w:val="20"/>
          <w:szCs w:val="20"/>
          <w:color w:val="auto"/>
        </w:rPr>
      </w:pPr>
    </w:p>
    <w:p>
      <w:pPr>
        <w:jc w:val="both"/>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92"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39"/>
        <w:spacing w:after="0" w:line="262" w:lineRule="auto"/>
        <w:rPr>
          <w:sz w:val="20"/>
          <w:szCs w:val="20"/>
          <w:color w:val="auto"/>
        </w:rPr>
      </w:pPr>
      <w:r>
        <w:rPr>
          <w:rFonts w:ascii="Times New Roman" w:cs="Times New Roman" w:eastAsia="Times New Roman" w:hAnsi="Times New Roman"/>
          <w:sz w:val="14"/>
          <w:szCs w:val="14"/>
          <w:color w:val="auto"/>
        </w:rPr>
        <w:t>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“Certain Relationships and Related Person Transactions—Medline Holdings Amended and Restated Limited Partnership Agreement.”</w:t>
      </w:r>
    </w:p>
    <w:p>
      <w:pPr>
        <w:spacing w:after="0" w:line="147"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Following the IPO, the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46" w:lineRule="exact"/>
        <w:rPr>
          <w:sz w:val="20"/>
          <w:szCs w:val="20"/>
          <w:color w:val="auto"/>
        </w:rPr>
      </w:pPr>
    </w:p>
    <w:p>
      <w:pPr>
        <w:ind w:left="1260" w:right="159" w:firstLine="351"/>
        <w:spacing w:after="0" w:line="262" w:lineRule="auto"/>
        <w:rPr>
          <w:sz w:val="20"/>
          <w:szCs w:val="20"/>
          <w:color w:val="auto"/>
        </w:rPr>
      </w:pPr>
      <w:r>
        <w:rPr>
          <w:rFonts w:ascii="Times New Roman" w:cs="Times New Roman" w:eastAsia="Times New Roman" w:hAnsi="Times New Roman"/>
          <w:sz w:val="14"/>
          <w:szCs w:val="14"/>
          <w:color w:val="auto"/>
        </w:rPr>
        <w:t>Our organizational structure, as described above, is commonly referred to as an umbrella partnership-C-corporation (or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92"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simplified diagram below depicts our organizational structure immediately after our IPO and this offering,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139700</wp:posOffset>
            </wp:positionV>
            <wp:extent cx="4837430" cy="26574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3743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p>
    <w:p>
      <w:pPr>
        <w:spacing w:after="0" w:line="91" w:lineRule="exact"/>
        <w:rPr>
          <w:sz w:val="20"/>
          <w:szCs w:val="20"/>
          <w:color w:val="auto"/>
        </w:rPr>
      </w:pPr>
    </w:p>
    <w:p>
      <w:pPr>
        <w:ind w:left="1600" w:right="639" w:hanging="346"/>
        <w:spacing w:after="0" w:line="235" w:lineRule="auto"/>
        <w:tabs>
          <w:tab w:leader="none" w:pos="160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our Class A common stock and Class B common stock entitles its holder to one vote on all matters to be voted on by the stockholders generally. For additional information, see “Description of Capital Stock—Common Stock.”</w:t>
      </w:r>
    </w:p>
    <w:p>
      <w:pPr>
        <w:ind w:left="1600" w:right="119" w:hanging="346"/>
        <w:spacing w:after="0"/>
        <w:tabs>
          <w:tab w:leader="none" w:pos="160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February 23, 2026 (assuming the $49.64 closing price per share of our Class A common stock on such date), 27,875,935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Incorporation of Medline Inc.</w:t>
      </w:r>
    </w:p>
    <w:p>
      <w:pPr>
        <w:spacing w:after="0" w:line="99" w:lineRule="exact"/>
        <w:rPr>
          <w:sz w:val="20"/>
          <w:szCs w:val="20"/>
          <w:color w:val="auto"/>
        </w:rPr>
      </w:pPr>
    </w:p>
    <w:p>
      <w:pPr>
        <w:jc w:val="both"/>
        <w:ind w:left="1260" w:right="339" w:firstLine="351"/>
        <w:spacing w:after="0" w:line="275" w:lineRule="auto"/>
        <w:rPr>
          <w:sz w:val="20"/>
          <w:szCs w:val="20"/>
          <w:color w:val="auto"/>
        </w:rPr>
      </w:pPr>
      <w:r>
        <w:rPr>
          <w:rFonts w:ascii="Times New Roman" w:cs="Times New Roman" w:eastAsia="Times New Roman" w:hAnsi="Times New Roman"/>
          <w:sz w:val="14"/>
          <w:szCs w:val="14"/>
          <w:color w:val="auto"/>
        </w:rPr>
        <w:t>Medline Inc. was incorporated as a Delaware corporation on November 6, 2024. Until the IPO, Medline Inc. did not engage in any business or other activities except in connection with its formation and the IPO. The amended and restated certificate of incorporation of Medline Inc. authorizes two classes of common stock, Class A common stock and Class B common stock, each having the terms described in “Description of Capital Stock.”</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Blocker Transfers</w:t>
      </w:r>
    </w:p>
    <w:p>
      <w:pPr>
        <w:spacing w:after="0" w:line="99"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Prior to the completion of the IPO, our Pre-IPO Stockholders held their interests in Medline Holdings through Blocker Companies that are taxable as corporations for U.S. federal income tax purposes. At the time of the IPO, we entered into certain restructuring transactions (such transactions, the “Blocker Transfers”) that resulted in the Pre-IPO Stockholders acquiring newly issued shares of Class A common stock in exchange for the acquisition by Medline Inc. of the Blocker Companies and, indirectly, the equivalent number of Common Units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92"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359"/>
        <w:spacing w:after="0" w:line="293" w:lineRule="auto"/>
        <w:rPr>
          <w:sz w:val="20"/>
          <w:szCs w:val="20"/>
          <w:color w:val="auto"/>
        </w:rPr>
      </w:pPr>
      <w:r>
        <w:rPr>
          <w:rFonts w:ascii="Times New Roman" w:cs="Times New Roman" w:eastAsia="Times New Roman" w:hAnsi="Times New Roman"/>
          <w:sz w:val="14"/>
          <w:szCs w:val="14"/>
          <w:color w:val="auto"/>
        </w:rPr>
        <w:t>held by the Blocker Companies. Each of the Blocker Companies initially became a wholly owned subsidiary of Medline Inc. and were either merged into Medline Inc. or remained a wholly owned subsidiary that is part of the same consolidated group for U.S. federal income tax purposes.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Reclassification and Amendment and Restatement of the Limited Partnership Agreement of Medline Holdings</w:t>
      </w:r>
    </w:p>
    <w:p>
      <w:pPr>
        <w:spacing w:after="0" w:line="99" w:lineRule="exact"/>
        <w:rPr>
          <w:sz w:val="20"/>
          <w:szCs w:val="20"/>
          <w:color w:val="auto"/>
        </w:rPr>
      </w:pPr>
    </w:p>
    <w:p>
      <w:pPr>
        <w:ind w:left="1260" w:right="159" w:firstLine="351"/>
        <w:spacing w:after="0" w:line="261" w:lineRule="auto"/>
        <w:rPr>
          <w:sz w:val="20"/>
          <w:szCs w:val="20"/>
          <w:color w:val="auto"/>
        </w:rPr>
      </w:pPr>
      <w:r>
        <w:rPr>
          <w:rFonts w:ascii="Times New Roman" w:cs="Times New Roman" w:eastAsia="Times New Roman" w:hAnsi="Times New Roman"/>
          <w:sz w:val="14"/>
          <w:szCs w:val="14"/>
          <w:color w:val="auto"/>
        </w:rPr>
        <w:t>Prior to the IPO, the limited partnership agreement of Medline Holdings was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hold their ownership interests directly in Medline Holdings (in the case of the Continuing Unitholders) or Medline Inc. (in the case of the Pre-IPO Stockholders and the Exchanging Unitholders).</w:t>
      </w:r>
    </w:p>
    <w:p>
      <w:pPr>
        <w:spacing w:after="0" w:line="149"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In connection with the Reclassification, Class A Units, CUPI Units, and all vested and unvested Class B Units held by the Exchanging Unitholders that were not reclassified into Units of Medline Holdings were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was determined based on the amount of proceeds that would be distributed to such units if the Company were to be sold at a value derived from the initial public offering price, and the intrinsic value of the shares of Class A common stock issued in respect of each unit has a value equal to the hypothetical proceeds such unit would have received. Such shares of Class A common stock are restricted shares of Class A common stock, to the extent such shares related to unvested Class B Units, or vested shares of Class A common stock, to the extent such shares related to Class A Units, CUPI Units, or vested Class B Units.</w:t>
      </w:r>
    </w:p>
    <w:p>
      <w:pPr>
        <w:spacing w:after="0" w:line="149" w:lineRule="exact"/>
        <w:rPr>
          <w:sz w:val="20"/>
          <w:szCs w:val="20"/>
          <w:color w:val="auto"/>
        </w:rPr>
      </w:pPr>
    </w:p>
    <w:p>
      <w:pPr>
        <w:ind w:left="1260" w:right="219" w:firstLine="351"/>
        <w:spacing w:after="0" w:line="265" w:lineRule="auto"/>
        <w:rPr>
          <w:sz w:val="20"/>
          <w:szCs w:val="20"/>
          <w:color w:val="auto"/>
        </w:rPr>
      </w:pPr>
      <w:r>
        <w:rPr>
          <w:rFonts w:ascii="Times New Roman" w:cs="Times New Roman" w:eastAsia="Times New Roman" w:hAnsi="Times New Roman"/>
          <w:sz w:val="14"/>
          <w:szCs w:val="14"/>
          <w:color w:val="auto"/>
        </w:rPr>
        <w:t>In addition, we (i) granted options to purchase shares of Class A common stock under the Omnibus Incentive Plan to certain Exchanging Class B Unitholders in substitution for a portion of the economic benefit to which the Class B Units were entitled prior to the IPO that was not reflected in the exchange of Class B Units to shares of Class A common stock and (ii) granted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w:t>
      </w:r>
    </w:p>
    <w:p>
      <w:pPr>
        <w:spacing w:after="0" w:line="144"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Pursuant to the amended and restated limited partnership agreement of Medline Holdings, Medline Inc. is the sole general partner of Medline Holdings. Accordingly, Medline Inc. has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are not entitled to receive distributions (other than tax distributions) until holders of Common Units have received a minimum return as provided in the amended and restated limited partnership agreement of Medline Holdings. However, Incentive Units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49" w:lineRule="exact"/>
        <w:rPr>
          <w:sz w:val="20"/>
          <w:szCs w:val="20"/>
          <w:color w:val="auto"/>
        </w:rPr>
      </w:pPr>
    </w:p>
    <w:p>
      <w:pPr>
        <w:ind w:left="1260" w:right="539" w:firstLine="351"/>
        <w:spacing w:after="0" w:line="293" w:lineRule="auto"/>
        <w:rPr>
          <w:sz w:val="20"/>
          <w:szCs w:val="20"/>
          <w:color w:val="auto"/>
        </w:rPr>
      </w:pPr>
      <w:r>
        <w:rPr>
          <w:rFonts w:ascii="Times New Roman" w:cs="Times New Roman" w:eastAsia="Times New Roman" w:hAnsi="Times New Roman"/>
          <w:sz w:val="14"/>
          <w:szCs w:val="14"/>
          <w:color w:val="auto"/>
        </w:rPr>
        <w:t>The Continuing Unitholders, including Medline Inc., incur U.S. federal, state, and local income taxes on their allocable share of any taxable income of Medline Holdings. Net profits and net losses of Medline Holdings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92"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39"/>
        <w:spacing w:after="0" w:line="261" w:lineRule="auto"/>
        <w:rPr>
          <w:sz w:val="20"/>
          <w:szCs w:val="20"/>
          <w:color w:val="auto"/>
        </w:rPr>
      </w:pPr>
      <w:r>
        <w:rPr>
          <w:rFonts w:ascii="Times New Roman" w:cs="Times New Roman" w:eastAsia="Times New Roman" w:hAnsi="Times New Roman"/>
          <w:sz w:val="14"/>
          <w:szCs w:val="14"/>
          <w:color w:val="auto"/>
        </w:rPr>
        <w:t>are generally allocated to its owners (including Medline Inc.) pro rata in accordance with the percentages of their respective Units held, except as otherwise required by law. The amended and restated limited partnership agreement provides for cash distributions to the Continuing Unitholders if Medline Inc. 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“Certain Relationships and Related Person Transactions—Medline Holdings Amended and Restated Limited Partnership Agreement.”</w:t>
      </w:r>
    </w:p>
    <w:p>
      <w:pPr>
        <w:spacing w:after="0" w:line="146"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are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99" w:lineRule="exact"/>
        <w:rPr>
          <w:sz w:val="20"/>
          <w:szCs w:val="20"/>
          <w:color w:val="auto"/>
        </w:rPr>
      </w:pPr>
    </w:p>
    <w:p>
      <w:pPr>
        <w:ind w:left="1260" w:right="139" w:firstLine="351"/>
        <w:spacing w:after="0" w:line="259" w:lineRule="auto"/>
        <w:rPr>
          <w:sz w:val="20"/>
          <w:szCs w:val="20"/>
          <w:color w:val="auto"/>
        </w:rPr>
      </w:pPr>
      <w:r>
        <w:rPr>
          <w:rFonts w:ascii="Times New Roman" w:cs="Times New Roman" w:eastAsia="Times New Roman" w:hAnsi="Times New Roman"/>
          <w:sz w:val="14"/>
          <w:szCs w:val="14"/>
          <w:color w:val="auto"/>
        </w:rPr>
        <w:t>We and the Continuing Unitholders entered into an exchange agreement at the time of our IPO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an applicable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“Certain Relationships and Related Person Transactions— Exchange Agreement,” the number of votes to which Class B common stockholders are entitled will be adjusted accordingly. See “Certain Relationships and Related Person Transactions—Exchange Agreement.”</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9" w:lineRule="exact"/>
        <w:rPr>
          <w:sz w:val="20"/>
          <w:szCs w:val="20"/>
          <w:color w:val="auto"/>
        </w:rPr>
      </w:pPr>
    </w:p>
    <w:p>
      <w:pPr>
        <w:ind w:left="1260" w:right="239" w:firstLine="351"/>
        <w:spacing w:after="0" w:line="293" w:lineRule="auto"/>
        <w:rPr>
          <w:sz w:val="20"/>
          <w:szCs w:val="20"/>
          <w:color w:val="auto"/>
        </w:rPr>
      </w:pPr>
      <w:r>
        <w:rPr>
          <w:rFonts w:ascii="Times New Roman" w:cs="Times New Roman" w:eastAsia="Times New Roman" w:hAnsi="Times New Roman"/>
          <w:sz w:val="14"/>
          <w:szCs w:val="14"/>
          <w:color w:val="auto"/>
        </w:rPr>
        <w:t>Prior to the completion of our IPO, Medline Inc. entered into a tax receivable agreement with certain of our pre-IPO owners that provides for the payment by Medline Inc. to such pre-IPO owners of 90% of certain tax</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92"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59"/>
        <w:spacing w:after="0" w:line="259" w:lineRule="auto"/>
        <w:rPr>
          <w:sz w:val="20"/>
          <w:szCs w:val="20"/>
          <w:color w:val="auto"/>
        </w:rPr>
      </w:pPr>
      <w:r>
        <w:rPr>
          <w:rFonts w:ascii="Times New Roman" w:cs="Times New Roman" w:eastAsia="Times New Roman" w:hAnsi="Times New Roman"/>
          <w:sz w:val="14"/>
          <w:szCs w:val="14"/>
          <w:color w:val="auto"/>
        </w:rPr>
        <w:t>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our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IPO Transactions</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On December 18, 2025, Medline Inc. completed its initial public offering of its Class A common stock in which it issued and sold 248,439,654</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shares of Class A common stock (including shares issued pursuant to the exercise in full of the underwriters’ option to purchase additional shares).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shares were sold at an initial offering price of $29.00 per share, which generated net proceeds of approximately $7,048 million after deducting</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underwriting discounts and commissions of approximately $157 million. The offering expenses (excluding underwriting discounts and commissions)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were approximately $40 million. We used the proceeds (net of underwriting discounts and commissions) from the issuance of 179,000,000 shares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($5,078 million) in the IPO to purchase an equivalent number of newly issued Common Units from Medline Holdings, which Medline Holdings in turn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used $731 million (including interest of $1 million) to repay in full all outstanding indebtedness under our New Euro Term Loan Facility, $3,292 million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(including interest of $11 million) to repay a portion of the outstanding indebtedness under our 2028 Refinancing Term Loan Facility, and the remainder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for general corporate purposes and to bear all of the expenses of the IPO. We used the proceeds from the issuance of 69,439,654 shares ($1,970 million)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 the IPO (including shares issued pursuant to the exercise in full of the underwriters’ option to purchase additional shares) to purchase or redeem</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outstanding equity interests from certain of our pre-IPO owners.</w:t>
      </w:r>
    </w:p>
    <w:p>
      <w:pPr>
        <w:spacing w:after="0" w:line="170" w:lineRule="exact"/>
        <w:rPr>
          <w:sz w:val="20"/>
          <w:szCs w:val="20"/>
          <w:color w:val="auto"/>
        </w:rPr>
      </w:pPr>
    </w:p>
    <w:p>
      <w:pPr>
        <w:ind w:left="1260" w:right="219" w:firstLine="351"/>
        <w:spacing w:after="0" w:line="275" w:lineRule="auto"/>
        <w:rPr>
          <w:sz w:val="20"/>
          <w:szCs w:val="20"/>
          <w:color w:val="auto"/>
        </w:rPr>
      </w:pPr>
      <w:r>
        <w:rPr>
          <w:rFonts w:ascii="Times New Roman" w:cs="Times New Roman" w:eastAsia="Times New Roman" w:hAnsi="Times New Roman"/>
          <w:sz w:val="14"/>
          <w:szCs w:val="14"/>
          <w:color w:val="auto"/>
        </w:rPr>
        <w:t>Accordingly, Medline Inc. directly or indirectly holds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interests in Medline Holdings as a single Common Unit.</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92"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5"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92"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5"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We have no current plans to pay dividends on our Class A common stock.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provides that holders of Class B common stock shall not be entitled to any dividends on their shares of Class B common stock (other than dividends payable in the form of additional shares of Class B common stock).</w:t>
      </w:r>
    </w:p>
    <w:p>
      <w:pPr>
        <w:spacing w:after="0" w:line="146" w:lineRule="exact"/>
        <w:rPr>
          <w:sz w:val="20"/>
          <w:szCs w:val="20"/>
          <w:color w:val="auto"/>
        </w:rPr>
      </w:pPr>
    </w:p>
    <w:p>
      <w:pPr>
        <w:ind w:left="1260" w:right="119" w:firstLine="351"/>
        <w:spacing w:after="0" w:line="260" w:lineRule="auto"/>
        <w:rPr>
          <w:sz w:val="20"/>
          <w:szCs w:val="20"/>
          <w:color w:val="auto"/>
        </w:rPr>
      </w:pPr>
      <w:r>
        <w:rPr>
          <w:rFonts w:ascii="Times New Roman" w:cs="Times New Roman" w:eastAsia="Times New Roman" w:hAnsi="Times New Roman"/>
          <w:sz w:val="14"/>
          <w:szCs w:val="14"/>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320" w:lineRule="exact"/>
        <w:rPr>
          <w:sz w:val="20"/>
          <w:szCs w:val="20"/>
          <w:color w:val="auto"/>
        </w:rPr>
      </w:pPr>
    </w:p>
    <w:p>
      <w:pPr>
        <w:ind w:left="1260" w:right="219" w:firstLine="351"/>
        <w:spacing w:after="0" w:line="259" w:lineRule="auto"/>
        <w:rPr>
          <w:sz w:val="20"/>
          <w:szCs w:val="20"/>
          <w:color w:val="auto"/>
        </w:rPr>
      </w:pPr>
      <w:r>
        <w:rPr>
          <w:rFonts w:ascii="Times New Roman" w:cs="Times New Roman" w:eastAsia="Times New Roman" w:hAnsi="Times New Roman"/>
          <w:sz w:val="14"/>
          <w:szCs w:val="14"/>
          <w:color w:val="auto"/>
        </w:rPr>
        <w:t>The amended and restated limited partnership agreement of Medline Holdings provides that pro rata cash distributions be made to Continuing Unitholders (including Medline Inc.) at certain assumed tax rates, which we refer to as “tax distributions.” Tax distributions will be pro rata as among the Common Units.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Common Units, to maintain 1:1 parity between Common Units and shares of Class A common stock. See “Part I—Item 1A—Risk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 in our 2025 Form 10-K incorporated by reference in this prospectus.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92"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 See “Description of Certain Indebtedness.”</w:t>
      </w:r>
    </w:p>
    <w:p>
      <w:pPr>
        <w:spacing w:after="0" w:line="135"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92"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table sets forth our consolidated cash and cash equivalents and capitalization as of December 31, 2025:</w:t>
      </w:r>
    </w:p>
    <w:p>
      <w:pPr>
        <w:spacing w:after="0" w:line="108" w:lineRule="exact"/>
        <w:rPr>
          <w:sz w:val="20"/>
          <w:szCs w:val="20"/>
          <w:color w:val="auto"/>
        </w:rPr>
      </w:pPr>
    </w:p>
    <w:p>
      <w:pPr>
        <w:ind w:left="2020" w:hanging="335"/>
        <w:spacing w:after="0"/>
        <w:tabs>
          <w:tab w:leader="none" w:pos="2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historical basis; and</w:t>
      </w:r>
    </w:p>
    <w:p>
      <w:pPr>
        <w:spacing w:after="0" w:line="107" w:lineRule="exact"/>
        <w:rPr>
          <w:rFonts w:ascii="Times New Roman" w:cs="Times New Roman" w:eastAsia="Times New Roman" w:hAnsi="Times New Roman"/>
          <w:sz w:val="14"/>
          <w:szCs w:val="14"/>
          <w:color w:val="auto"/>
        </w:rPr>
      </w:pPr>
    </w:p>
    <w:p>
      <w:pPr>
        <w:ind w:left="2020" w:right="339" w:hanging="335"/>
        <w:spacing w:after="0" w:line="275" w:lineRule="auto"/>
        <w:tabs>
          <w:tab w:leader="none" w:pos="2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prepared in accordance with Article 11 of Regulation S-X giving effect to the transactions described under “Unaudited Pro Forma Consolidated Financial Information,” included elsewhere in the prospectus, which reflects the sale by the selling stockholders of 75,000,000 shares of Class A common stock in this offering at the offering price of $41.00 per share.</w:t>
      </w:r>
    </w:p>
    <w:p>
      <w:pPr>
        <w:spacing w:after="0" w:line="135" w:lineRule="exact"/>
        <w:rPr>
          <w:sz w:val="20"/>
          <w:szCs w:val="20"/>
          <w:color w:val="auto"/>
        </w:rPr>
      </w:pPr>
    </w:p>
    <w:p>
      <w:pPr>
        <w:ind w:left="1260" w:right="199" w:firstLine="351"/>
        <w:spacing w:after="0" w:line="268" w:lineRule="auto"/>
        <w:rPr>
          <w:sz w:val="20"/>
          <w:szCs w:val="20"/>
          <w:color w:val="auto"/>
        </w:rPr>
      </w:pPr>
      <w:r>
        <w:rPr>
          <w:rFonts w:ascii="Times New Roman" w:cs="Times New Roman" w:eastAsia="Times New Roman" w:hAnsi="Times New Roman"/>
          <w:sz w:val="14"/>
          <w:szCs w:val="14"/>
          <w:color w:val="auto"/>
        </w:rPr>
        <w:t>Cash and cash equivalents are not components of our total capitalization. You should read this table together with the other information contained in this prospectus, including “Organizational Structure,” “Use of Proceeds,” and “Unaudited Pro Forma Consolidated Financial Information” included elsewhere in this prospectus and “Part II—Item 7—Management’s Discussion and Analysis of Financial Condition and Results of Operations” and the historical financial statements and related notes thereto included in our 2025 Form 10-K, which are incorporated by reference in this prospectus.</w:t>
      </w:r>
    </w:p>
    <w:p>
      <w:pPr>
        <w:spacing w:after="0" w:line="15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1"/>
          <w:szCs w:val="11"/>
          <w:b w:val="1"/>
          <w:bCs w:val="1"/>
          <w:color w:val="auto"/>
        </w:rPr>
        <w:t>As of</w:t>
      </w:r>
    </w:p>
    <w:p>
      <w:pPr>
        <w:spacing w:after="0" w:line="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1"/>
          <w:szCs w:val="11"/>
          <w:b w:val="1"/>
          <w:bCs w:val="1"/>
          <w:color w:val="auto"/>
        </w:rPr>
        <w:t>December 31, 2025</w:t>
      </w:r>
    </w:p>
    <w:tbl>
      <w:tblPr>
        <w:tblLayout w:type="fixed"/>
        <w:tblInd w:w="1260" w:type="dxa"/>
        <w:tblCellMar>
          <w:top w:w="0" w:type="dxa"/>
          <w:left w:w="0" w:type="dxa"/>
          <w:bottom w:w="0" w:type="dxa"/>
          <w:right w:w="0" w:type="dxa"/>
        </w:tblCellMar>
      </w:tblPr>
      <w:tr>
        <w:trPr>
          <w:trHeight w:val="109"/>
        </w:trPr>
        <w:tc>
          <w:tcPr>
            <w:tcW w:w="73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280" w:type="dxa"/>
            <w:vAlign w:val="bottom"/>
            <w:tcBorders>
              <w:top w:val="single" w:sz="8" w:color="auto"/>
              <w:bottom w:val="single" w:sz="8" w:color="auto"/>
            </w:tcBorders>
            <w:gridSpan w:val="4"/>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Medline Inc.</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7320" w:type="dxa"/>
            <w:vAlign w:val="bottom"/>
          </w:tcPr>
          <w:p>
            <w:pPr>
              <w:spacing w:after="0"/>
              <w:rPr>
                <w:sz w:val="7"/>
                <w:szCs w:val="7"/>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54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73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90"/>
        </w:trPr>
        <w:tc>
          <w:tcPr>
            <w:tcW w:w="73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4"/>
          </w:tcPr>
          <w:p>
            <w:pPr>
              <w:jc w:val="center"/>
              <w:ind w:right="8"/>
              <w:spacing w:after="0" w:line="90" w:lineRule="exact"/>
              <w:rPr>
                <w:sz w:val="20"/>
                <w:szCs w:val="20"/>
                <w:color w:val="auto"/>
              </w:rPr>
            </w:pPr>
            <w:r>
              <w:rPr>
                <w:rFonts w:ascii="Times New Roman" w:cs="Times New Roman" w:eastAsia="Times New Roman" w:hAnsi="Times New Roman"/>
                <w:sz w:val="10"/>
                <w:szCs w:val="10"/>
                <w:b w:val="1"/>
                <w:bCs w:val="1"/>
                <w:color w:val="auto"/>
              </w:rPr>
              <w:t>(in millions, except per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7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share amounts)</w:t>
            </w:r>
          </w:p>
        </w:tc>
        <w:tc>
          <w:tcPr>
            <w:tcW w:w="0" w:type="dxa"/>
            <w:vAlign w:val="bottom"/>
          </w:tcPr>
          <w:p>
            <w:pPr>
              <w:spacing w:after="0"/>
              <w:rPr>
                <w:sz w:val="1"/>
                <w:szCs w:val="1"/>
                <w:color w:val="auto"/>
              </w:rPr>
            </w:pPr>
          </w:p>
        </w:tc>
      </w:tr>
      <w:tr>
        <w:trPr>
          <w:trHeight w:val="16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1,939</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debt (including current maturities):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32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4"/>
                <w:szCs w:val="14"/>
                <w:color w:val="auto"/>
              </w:rPr>
              <w:t>New Dollar Term Loan Facility</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4,255</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4,255</w:t>
            </w:r>
          </w:p>
        </w:tc>
        <w:tc>
          <w:tcPr>
            <w:tcW w:w="0" w:type="dxa"/>
            <w:vAlign w:val="bottom"/>
          </w:tcPr>
          <w:p>
            <w:pPr>
              <w:spacing w:after="0"/>
              <w:rPr>
                <w:sz w:val="1"/>
                <w:szCs w:val="1"/>
                <w:color w:val="auto"/>
              </w:rPr>
            </w:pPr>
          </w:p>
        </w:tc>
      </w:tr>
      <w:tr>
        <w:trPr>
          <w:trHeight w:val="172"/>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3.875% Senior Secured Notes due 2029</w:t>
            </w:r>
          </w:p>
        </w:tc>
        <w:tc>
          <w:tcPr>
            <w:tcW w:w="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4,500</w:t>
            </w:r>
          </w:p>
        </w:tc>
        <w:tc>
          <w:tcPr>
            <w:tcW w:w="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5.250% Senior Notes due 2029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72"/>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6.250% Senior Secured Notes due 2029</w:t>
            </w:r>
          </w:p>
        </w:tc>
        <w:tc>
          <w:tcPr>
            <w:tcW w:w="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22"/>
        </w:trPr>
        <w:tc>
          <w:tcPr>
            <w:tcW w:w="7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3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Total debt (including current maturities)</w:t>
            </w:r>
            <w:r>
              <w:rPr>
                <w:rFonts w:ascii="Times New Roman" w:cs="Times New Roman" w:eastAsia="Times New Roman" w:hAnsi="Times New Roman"/>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8"/>
              </w:rPr>
              <w:t>12,755</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12,755</w:t>
            </w:r>
          </w:p>
        </w:tc>
        <w:tc>
          <w:tcPr>
            <w:tcW w:w="0" w:type="dxa"/>
            <w:vAlign w:val="bottom"/>
          </w:tcPr>
          <w:p>
            <w:pPr>
              <w:spacing w:after="0"/>
              <w:rPr>
                <w:sz w:val="1"/>
                <w:szCs w:val="1"/>
                <w:color w:val="auto"/>
              </w:rPr>
            </w:pPr>
          </w:p>
        </w:tc>
      </w:tr>
      <w:tr>
        <w:trPr>
          <w:trHeight w:val="172"/>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ind w:left="280"/>
              <w:spacing w:after="0" w:line="157" w:lineRule="exact"/>
              <w:rPr>
                <w:sz w:val="20"/>
                <w:szCs w:val="20"/>
                <w:color w:val="auto"/>
              </w:rPr>
            </w:pPr>
            <w:r>
              <w:rPr>
                <w:rFonts w:ascii="Times New Roman" w:cs="Times New Roman" w:eastAsia="Times New Roman" w:hAnsi="Times New Roman"/>
                <w:sz w:val="14"/>
                <w:szCs w:val="14"/>
                <w:color w:val="auto"/>
              </w:rPr>
              <w:t>Class A common stock, par value $0.0001 per share, 50,000 shares authorized and 812 shares issued and outstanding,</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actual; and 841 shares issued and outstanding on a pro forma basis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7"/>
        </w:trPr>
        <w:tc>
          <w:tcPr>
            <w:tcW w:w="732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Class B common stock, par value $0.0001 per share, 50,000 shares authorized and 502 shares issued and outstanding,</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actual; and 473 shares issued and outstanding on a pro forma basis</w:t>
            </w:r>
          </w:p>
        </w:tc>
        <w:tc>
          <w:tcPr>
            <w:tcW w:w="80" w:type="dxa"/>
            <w:vAlign w:val="bottom"/>
          </w:tcPr>
          <w:p>
            <w:pPr>
              <w:spacing w:after="0"/>
              <w:rPr>
                <w:sz w:val="16"/>
                <w:szCs w:val="16"/>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73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Preferred stock, par value $0.0001 per share, 5,000 shares authorized and no shares issued and outstanding, actual;</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and no shares issued and outstanding on a pro forma basis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8"/>
              </w:rPr>
              <w:t>10,717</w:t>
            </w:r>
          </w:p>
        </w:tc>
        <w:tc>
          <w:tcPr>
            <w:tcW w:w="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11,047</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8,549</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8,048</w:t>
            </w:r>
          </w:p>
        </w:tc>
        <w:tc>
          <w:tcPr>
            <w:tcW w:w="0" w:type="dxa"/>
            <w:vAlign w:val="bottom"/>
          </w:tcPr>
          <w:p>
            <w:pPr>
              <w:spacing w:after="0"/>
              <w:rPr>
                <w:sz w:val="1"/>
                <w:szCs w:val="1"/>
                <w:color w:val="auto"/>
              </w:rPr>
            </w:pPr>
          </w:p>
        </w:tc>
      </w:tr>
      <w:tr>
        <w:trPr>
          <w:trHeight w:val="175"/>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Total Medline Inc. stockholders’ equity</w:t>
            </w: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19,286</w:t>
            </w:r>
          </w:p>
        </w:tc>
        <w:tc>
          <w:tcPr>
            <w:tcW w:w="3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8"/>
              </w:rPr>
              <w:t>32,041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31,868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74930</wp:posOffset>
            </wp:positionV>
            <wp:extent cx="61468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24" w:lineRule="exact"/>
        <w:rPr>
          <w:sz w:val="20"/>
          <w:szCs w:val="20"/>
          <w:color w:val="auto"/>
        </w:rPr>
      </w:pPr>
    </w:p>
    <w:p>
      <w:pPr>
        <w:ind w:left="1260"/>
        <w:spacing w:after="0"/>
        <w:tabs>
          <w:tab w:leader="none" w:pos="1580" w:val="left"/>
        </w:tabs>
        <w:rPr>
          <w:sz w:val="20"/>
          <w:szCs w:val="20"/>
          <w:color w:val="auto"/>
        </w:rPr>
      </w:pP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1"/>
          <w:szCs w:val="11"/>
          <w:color w:val="auto"/>
        </w:rPr>
        <w:t>On July 31, 2025, the New Dollar Term Loan Facility was refinanced into the 2025 Refinancing Dollar Term Facility.</w:t>
      </w:r>
    </w:p>
    <w:p>
      <w:pPr>
        <w:spacing w:after="0" w:line="4" w:lineRule="exact"/>
        <w:rPr>
          <w:sz w:val="20"/>
          <w:szCs w:val="20"/>
          <w:color w:val="auto"/>
        </w:rPr>
      </w:pPr>
    </w:p>
    <w:p>
      <w:pPr>
        <w:ind w:left="1260"/>
        <w:spacing w:after="0"/>
        <w:tabs>
          <w:tab w:leader="none" w:pos="1580" w:val="left"/>
        </w:tabs>
        <w:rPr>
          <w:sz w:val="20"/>
          <w:szCs w:val="20"/>
          <w:color w:val="auto"/>
        </w:rPr>
      </w:pPr>
      <w:r>
        <w:rPr>
          <w:rFonts w:ascii="Times New Roman" w:cs="Times New Roman" w:eastAsia="Times New Roman" w:hAnsi="Times New Roman"/>
          <w:sz w:val="11"/>
          <w:szCs w:val="11"/>
          <w:color w:val="auto"/>
        </w:rPr>
        <w:t>(2)</w:t>
      </w:r>
      <w:r>
        <w:rPr>
          <w:sz w:val="20"/>
          <w:szCs w:val="20"/>
          <w:color w:val="auto"/>
        </w:rPr>
        <w:tab/>
      </w:r>
      <w:r>
        <w:rPr>
          <w:rFonts w:ascii="Times New Roman" w:cs="Times New Roman" w:eastAsia="Times New Roman" w:hAnsi="Times New Roman"/>
          <w:sz w:val="11"/>
          <w:szCs w:val="11"/>
          <w:color w:val="auto"/>
        </w:rPr>
        <w:t>Excludes embedded derivative related to the Dollar Term Loans and deferred finance costs of $195 million as of December 31, 2025.</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92"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UNAUDITED PRO FORMA CONSOLIDATED FINANCIAL INFORMATION</w:t>
      </w:r>
    </w:p>
    <w:p>
      <w:pPr>
        <w:spacing w:after="0" w:line="185" w:lineRule="exact"/>
        <w:rPr>
          <w:sz w:val="20"/>
          <w:szCs w:val="20"/>
          <w:color w:val="auto"/>
        </w:rPr>
      </w:pPr>
    </w:p>
    <w:p>
      <w:pPr>
        <w:jc w:val="both"/>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The unaudited pro forma consolidated balance sheet as of December 31, 2025 and the unaudited pro forma consolidated statements of income for the year ended December 31, 2025 present our consolidated financial position and results of operations after giving effect to the following transactions (collectively, the “Transactions”):</w:t>
      </w:r>
    </w:p>
    <w:p>
      <w:pPr>
        <w:spacing w:after="0" w:line="60" w:lineRule="exact"/>
        <w:rPr>
          <w:sz w:val="20"/>
          <w:szCs w:val="20"/>
          <w:color w:val="auto"/>
        </w:rPr>
      </w:pPr>
    </w:p>
    <w:p>
      <w:pPr>
        <w:ind w:left="2020" w:right="579" w:hanging="335"/>
        <w:spacing w:after="0" w:line="293" w:lineRule="auto"/>
        <w:tabs>
          <w:tab w:leader="none" w:pos="2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Reorganization Transactions, as described and defined under “Organizational Structure,” and the IPO Transactions (collectively referred to as the “IPO Transactions Adjustments”); and</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Transactions.</w:t>
      </w:r>
    </w:p>
    <w:p>
      <w:pPr>
        <w:spacing w:after="0" w:line="183" w:lineRule="exact"/>
        <w:rPr>
          <w:sz w:val="20"/>
          <w:szCs w:val="20"/>
          <w:color w:val="auto"/>
        </w:rPr>
      </w:pPr>
    </w:p>
    <w:p>
      <w:pPr>
        <w:ind w:left="1260" w:right="219" w:firstLine="351"/>
        <w:spacing w:after="0" w:line="268" w:lineRule="auto"/>
        <w:rPr>
          <w:sz w:val="20"/>
          <w:szCs w:val="20"/>
          <w:color w:val="auto"/>
        </w:rPr>
      </w:pPr>
      <w:r>
        <w:rPr>
          <w:rFonts w:ascii="Times New Roman" w:cs="Times New Roman" w:eastAsia="Times New Roman" w:hAnsi="Times New Roman"/>
          <w:sz w:val="14"/>
          <w:szCs w:val="14"/>
          <w:color w:val="auto"/>
        </w:rPr>
        <w:t>The following unaudited pro forma consolidated financial information is derived from the audited historical consolidated financial statements of the Company. The unaudited pro forma consolidated balance sheet as of December 31, 2025, gives effect to the Transactions as if they had occurred on December 31, 2025. The unaudited pro forma consolidated statement of income for the year ended December 31, 2025, gives pro forma effect to the Transactions as if they had occurred on January 1, 2025.</w:t>
      </w:r>
    </w:p>
    <w:p>
      <w:pPr>
        <w:spacing w:after="0" w:line="142"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was prepared in accordance with Article 11 of Regulation S-X, using the assumptions set forth in the notes to the unaudited pro forma consolidated financial information. The unaudited pro forma consolidated financial information has been adjusted to include transaction accounting adjustments, which reflect the application of the accounting required by GAAP, linking the effects of the Transactions listed above to the Company’s historical consolidated financial statements.</w:t>
      </w:r>
    </w:p>
    <w:p>
      <w:pPr>
        <w:spacing w:after="0" w:line="142" w:lineRule="exact"/>
        <w:rPr>
          <w:sz w:val="20"/>
          <w:szCs w:val="20"/>
          <w:color w:val="auto"/>
        </w:rPr>
      </w:pPr>
    </w:p>
    <w:p>
      <w:pPr>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the Company. Further, pro forma adjustments represent management’s best estimates based on information available as of the date of this prospectus and are subject to change as additional information becomes available.</w:t>
      </w:r>
    </w:p>
    <w:p>
      <w:pPr>
        <w:spacing w:after="0" w:line="142" w:lineRule="exact"/>
        <w:rPr>
          <w:sz w:val="20"/>
          <w:szCs w:val="20"/>
          <w:color w:val="auto"/>
        </w:rPr>
      </w:pPr>
    </w:p>
    <w:p>
      <w:pPr>
        <w:ind w:left="1260" w:right="359" w:firstLine="351"/>
        <w:spacing w:after="0" w:line="268"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should be read together with “Organizational Structure,” “Use of Proceeds,” “Capitalization,” and “Certain Relationships and Related Person Transactions” included elsewhere in this prospectus and “Part II—Item 6—Selected Financial Data,” “Part II—Item 7—Management’s Discussion and Analysis of Financial Condition and Results of Operations,” and the historical consolidated financial statements and related notes thereto included in our 2025 Form 10-K, which are incorporated by reference in this prospectus.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9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 BALANCE SHEET</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38"/>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78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1,939</w:t>
            </w:r>
          </w:p>
        </w:tc>
        <w:tc>
          <w:tcPr>
            <w:tcW w:w="0" w:type="dxa"/>
            <w:vAlign w:val="bottom"/>
          </w:tcPr>
          <w:p>
            <w:pPr>
              <w:spacing w:after="0"/>
              <w:rPr>
                <w:sz w:val="1"/>
                <w:szCs w:val="1"/>
                <w:color w:val="auto"/>
              </w:rPr>
            </w:pPr>
          </w:p>
        </w:tc>
      </w:tr>
      <w:tr>
        <w:trPr>
          <w:trHeight w:val="172"/>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 accounts receivable, net of allowance for credit losses of $152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3,533</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4,769</w:t>
            </w:r>
          </w:p>
        </w:tc>
        <w:tc>
          <w:tcPr>
            <w:tcW w:w="0" w:type="dxa"/>
            <w:vAlign w:val="bottom"/>
          </w:tcPr>
          <w:p>
            <w:pPr>
              <w:spacing w:after="0"/>
              <w:rPr>
                <w:sz w:val="1"/>
                <w:szCs w:val="1"/>
                <w:color w:val="auto"/>
              </w:rPr>
            </w:pPr>
          </w:p>
        </w:tc>
      </w:tr>
      <w:tr>
        <w:trPr>
          <w:trHeight w:val="174"/>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8"/>
              </w:rPr>
              <w:t>10,679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10,679</w:t>
            </w:r>
          </w:p>
        </w:tc>
        <w:tc>
          <w:tcPr>
            <w:tcW w:w="0" w:type="dxa"/>
            <w:vAlign w:val="bottom"/>
          </w:tcPr>
          <w:p>
            <w:pPr>
              <w:spacing w:after="0"/>
              <w:rPr>
                <w:sz w:val="1"/>
                <w:szCs w:val="1"/>
                <w:color w:val="auto"/>
              </w:rPr>
            </w:pPr>
          </w:p>
        </w:tc>
      </w:tr>
      <w:tr>
        <w:trPr>
          <w:trHeight w:val="172"/>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4,778</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8,079</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8"/>
              </w:rPr>
              <w:t>13,893</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13,893</w:t>
            </w:r>
          </w:p>
        </w:tc>
        <w:tc>
          <w:tcPr>
            <w:tcW w:w="0" w:type="dxa"/>
            <w:vAlign w:val="bottom"/>
          </w:tcPr>
          <w:p>
            <w:pPr>
              <w:spacing w:after="0"/>
              <w:rPr>
                <w:sz w:val="1"/>
                <w:szCs w:val="1"/>
                <w:color w:val="auto"/>
              </w:rPr>
            </w:pPr>
          </w:p>
        </w:tc>
      </w:tr>
      <w:tr>
        <w:trPr>
          <w:trHeight w:val="183"/>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5"/>
                <w:szCs w:val="15"/>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265</w:t>
            </w:r>
          </w:p>
        </w:tc>
        <w:tc>
          <w:tcPr>
            <w:tcW w:w="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long-term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75"/>
        </w:trPr>
        <w:tc>
          <w:tcPr>
            <w:tcW w:w="5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other non-current assets</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23,027</w:t>
            </w:r>
          </w:p>
        </w:tc>
        <w:tc>
          <w:tcPr>
            <w:tcW w:w="2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95"/>
              </w:rPr>
              <w:t>265</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8"/>
              </w:rPr>
              <w:t>38,484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265</w:t>
            </w:r>
          </w:p>
        </w:tc>
        <w:tc>
          <w:tcPr>
            <w:tcW w:w="5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38,749</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Current portion of long-term borrowings and other short-term borrowings</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172"/>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4</w:t>
            </w:r>
          </w:p>
        </w:tc>
        <w:tc>
          <w:tcPr>
            <w:tcW w:w="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22"/>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4</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72"/>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borrowings, less current portion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8"/>
              </w:rPr>
              <w:t>12,484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12,484</w:t>
            </w:r>
          </w:p>
        </w:tc>
        <w:tc>
          <w:tcPr>
            <w:tcW w:w="0" w:type="dxa"/>
            <w:vAlign w:val="bottom"/>
          </w:tcPr>
          <w:p>
            <w:pPr>
              <w:spacing w:after="0"/>
              <w:rPr>
                <w:sz w:val="1"/>
                <w:szCs w:val="1"/>
                <w:color w:val="auto"/>
              </w:rPr>
            </w:pPr>
          </w:p>
        </w:tc>
      </w:tr>
      <w:tr>
        <w:trPr>
          <w:trHeight w:val="172"/>
        </w:trPr>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434</w:t>
            </w:r>
          </w:p>
        </w:tc>
        <w:tc>
          <w:tcPr>
            <w:tcW w:w="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3,976</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75"/>
        </w:trPr>
        <w:tc>
          <w:tcPr>
            <w:tcW w:w="5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16,708</w:t>
            </w:r>
          </w:p>
        </w:tc>
        <w:tc>
          <w:tcPr>
            <w:tcW w:w="2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95"/>
              </w:rPr>
              <w:t>434</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8"/>
              </w:rPr>
              <w:t>19,198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438</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19,636</w:t>
            </w:r>
          </w:p>
        </w:tc>
        <w:tc>
          <w:tcPr>
            <w:tcW w:w="0" w:type="dxa"/>
            <w:vAlign w:val="bottom"/>
          </w:tcPr>
          <w:p>
            <w:pPr>
              <w:spacing w:after="0"/>
              <w:rPr>
                <w:sz w:val="1"/>
                <w:szCs w:val="1"/>
                <w:color w:val="auto"/>
              </w:rPr>
            </w:pPr>
          </w:p>
        </w:tc>
      </w:tr>
      <w:tr>
        <w:trPr>
          <w:trHeight w:val="172"/>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8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Class A common stock, par value $0.0001 per share; 50,000 shares authorized; 812 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issued and outstanding as of December 31, 2025; 841 shares issued and outstanding on 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 forma basis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578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Class B common stock, par value $0.0001 per share; 50,000 shares authorized; 502 shares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issued and outstanding as of December 31, 2025; 473 shares issued and outstanding on 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pro forma basis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7"/>
        </w:trPr>
        <w:tc>
          <w:tcPr>
            <w:tcW w:w="578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Preferred stock, par value $0.0001; 5,000 shares authorized, no shares issued and outstanding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as of December 31, 2025 and on a pro forma basis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91"/>
        </w:trPr>
        <w:tc>
          <w:tcPr>
            <w:tcW w:w="578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3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5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4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82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8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10,717</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ind w:left="160"/>
              <w:spacing w:after="0" w:line="120" w:lineRule="exact"/>
              <w:rPr>
                <w:sz w:val="20"/>
                <w:szCs w:val="20"/>
                <w:color w:val="auto"/>
              </w:rPr>
            </w:pPr>
            <w:r>
              <w:rPr>
                <w:rFonts w:ascii="Times New Roman" w:cs="Times New Roman" w:eastAsia="Times New Roman" w:hAnsi="Times New Roman"/>
                <w:sz w:val="11"/>
                <w:szCs w:val="11"/>
                <w:color w:val="auto"/>
              </w:rPr>
              <w:t>(b )(c)(d)</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2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 )(d)</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 )</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4"/>
        </w:trPr>
        <w:tc>
          <w:tcPr>
            <w:tcW w:w="35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Medline Inc. stockholders’ equity</w:t>
            </w:r>
          </w:p>
        </w:tc>
        <w:tc>
          <w:tcPr>
            <w:tcW w:w="210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8,549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(501)</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 )</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8,048</w:t>
            </w:r>
          </w:p>
        </w:tc>
        <w:tc>
          <w:tcPr>
            <w:tcW w:w="0" w:type="dxa"/>
            <w:vAlign w:val="bottom"/>
          </w:tcPr>
          <w:p>
            <w:pPr>
              <w:spacing w:after="0"/>
              <w:rPr>
                <w:sz w:val="1"/>
                <w:szCs w:val="1"/>
                <w:color w:val="auto"/>
              </w:rPr>
            </w:pPr>
          </w:p>
        </w:tc>
      </w:tr>
      <w:tr>
        <w:trPr>
          <w:trHeight w:val="175"/>
        </w:trPr>
        <w:tc>
          <w:tcPr>
            <w:tcW w:w="35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19,286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38,484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265</w:t>
            </w:r>
          </w:p>
        </w:tc>
        <w:tc>
          <w:tcPr>
            <w:tcW w:w="8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$ 38,749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100" w:type="dxa"/>
            <w:vAlign w:val="bottom"/>
            <w:vMerge w:val="restart"/>
          </w:tcPr>
          <w:p>
            <w:pPr>
              <w:jc w:val="right"/>
              <w:ind w:right="1148"/>
              <w:spacing w:after="0"/>
              <w:rPr>
                <w:sz w:val="20"/>
                <w:szCs w:val="20"/>
                <w:color w:val="auto"/>
              </w:rPr>
            </w:pPr>
            <w:r>
              <w:rPr>
                <w:rFonts w:ascii="Times New Roman" w:cs="Times New Roman" w:eastAsia="Times New Roman" w:hAnsi="Times New Roman"/>
                <w:sz w:val="14"/>
                <w:szCs w:val="14"/>
                <w:color w:val="auto"/>
              </w:rPr>
              <w:t>49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580" w:type="dxa"/>
            <w:vAlign w:val="bottom"/>
          </w:tcPr>
          <w:p>
            <w:pPr>
              <w:spacing w:after="0"/>
              <w:rPr>
                <w:sz w:val="23"/>
                <w:szCs w:val="23"/>
                <w:color w:val="auto"/>
              </w:rPr>
            </w:pPr>
          </w:p>
        </w:tc>
        <w:tc>
          <w:tcPr>
            <w:tcW w:w="210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2"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 STATEMENT OF INCOME</w:t>
      </w:r>
    </w:p>
    <w:p>
      <w:pPr>
        <w:spacing w:after="0" w:line="1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(in millions, except per share earnings)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4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IPO</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78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54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44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54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28,432</w:t>
            </w: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28,432</w:t>
            </w: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20,914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20,914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7,518</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4,524</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w:t>
            </w:r>
          </w:p>
        </w:tc>
        <w:tc>
          <w:tcPr>
            <w:tcW w:w="540" w:type="dxa"/>
            <w:vAlign w:val="bottom"/>
            <w:shd w:val="clear" w:color="auto" w:fill="CCEEFF"/>
          </w:tcPr>
          <w:p>
            <w:pPr>
              <w:jc w:val="center"/>
              <w:ind w:right="26"/>
              <w:spacing w:after="0"/>
              <w:rPr>
                <w:sz w:val="20"/>
                <w:szCs w:val="20"/>
                <w:color w:val="auto"/>
              </w:rPr>
            </w:pPr>
            <w:r>
              <w:rPr>
                <w:rFonts w:ascii="Times New Roman" w:cs="Times New Roman" w:eastAsia="Times New Roman" w:hAnsi="Times New Roman"/>
                <w:sz w:val="11"/>
                <w:szCs w:val="11"/>
                <w:color w:val="auto"/>
                <w:w w:val="94"/>
              </w:rPr>
              <w:t>(e)(f)</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4,627</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704</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2,212</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2,109</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(812)</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298</w:t>
            </w:r>
          </w:p>
        </w:tc>
        <w:tc>
          <w:tcPr>
            <w:tcW w:w="540" w:type="dxa"/>
            <w:vAlign w:val="bottom"/>
            <w:shd w:val="clear" w:color="auto" w:fill="CCEEFF"/>
          </w:tcPr>
          <w:p>
            <w:pPr>
              <w:jc w:val="center"/>
              <w:ind w:right="46"/>
              <w:spacing w:after="0"/>
              <w:rPr>
                <w:sz w:val="20"/>
                <w:szCs w:val="20"/>
                <w:color w:val="auto"/>
              </w:rPr>
            </w:pPr>
            <w:r>
              <w:rPr>
                <w:rFonts w:ascii="Times New Roman" w:cs="Times New Roman" w:eastAsia="Times New Roman" w:hAnsi="Times New Roman"/>
                <w:sz w:val="11"/>
                <w:szCs w:val="11"/>
                <w:color w:val="auto"/>
                <w:w w:val="93"/>
              </w:rPr>
              <w:t>(g)</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(514)</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expense, net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3"/>
              </w:rPr>
              <w:t>(g)</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exchange loss, net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1,248</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191</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1,435</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4"/>
                <w:szCs w:val="14"/>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5"/>
              </w:rPr>
              <w:t>(i)</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1,176</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Net (loss) income attributable to noncontrolling interests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color w:val="auto"/>
                <w:w w:val="95"/>
              </w:rPr>
              <w:t>(j)</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(j)</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(loss) attributable to Medline Inc.</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(507)</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674</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income per share: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0.82</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(k)</w:t>
            </w:r>
          </w:p>
        </w:tc>
        <w:tc>
          <w:tcPr>
            <w:tcW w:w="0" w:type="dxa"/>
            <w:vAlign w:val="bottom"/>
          </w:tcPr>
          <w:p>
            <w:pPr>
              <w:spacing w:after="0"/>
              <w:rPr>
                <w:sz w:val="1"/>
                <w:szCs w:val="1"/>
                <w:color w:val="auto"/>
              </w:rPr>
            </w:pPr>
          </w:p>
        </w:tc>
      </w:tr>
      <w:tr>
        <w:trPr>
          <w:trHeight w:val="172"/>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0.79</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(k)</w:t>
            </w: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used to compute net (loss) income per share: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839</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(k)</w:t>
            </w: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1,340</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(k)</w:t>
            </w:r>
          </w:p>
        </w:tc>
        <w:tc>
          <w:tcPr>
            <w:tcW w:w="0" w:type="dxa"/>
            <w:vAlign w:val="bottom"/>
          </w:tcPr>
          <w:p>
            <w:pPr>
              <w:spacing w:after="0"/>
              <w:rPr>
                <w:sz w:val="1"/>
                <w:szCs w:val="1"/>
                <w:color w:val="auto"/>
              </w:rPr>
            </w:pPr>
          </w:p>
        </w:tc>
      </w:tr>
      <w:tr>
        <w:trPr>
          <w:trHeight w:val="289"/>
        </w:trPr>
        <w:tc>
          <w:tcPr>
            <w:tcW w:w="4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2"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NOTES TO THE UNAUDITED PRO FORMA CONSOLIDATED FINANCIAL INFORMATION</w:t>
      </w:r>
    </w:p>
    <w:p>
      <w:pPr>
        <w:spacing w:after="0" w:line="205" w:lineRule="exact"/>
        <w:rPr>
          <w:sz w:val="20"/>
          <w:szCs w:val="20"/>
          <w:color w:val="auto"/>
        </w:rPr>
      </w:pPr>
    </w:p>
    <w:p>
      <w:pPr>
        <w:ind w:left="1600" w:hanging="346"/>
        <w:spacing w:after="0"/>
        <w:tabs>
          <w:tab w:leader="none" w:pos="160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the Transactions</w:t>
      </w:r>
    </w:p>
    <w:p>
      <w:pPr>
        <w:spacing w:after="0" w:line="99"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was prepared in accordance with Article 11 of Regulation S-X and present the pro forma financial condition and results of operations of the Company based upon the historical financial information after giving effect to the Transactions and related adjustments set forth in the notes to the unaudited pro forma consolidated financial information. In addition, the unaudited pro forma consolidated financial information does not reflect any cost savings, operating synergies or revenue enhancements that the consolidated company may achieve as a result of the Transactions.</w:t>
      </w:r>
    </w:p>
    <w:p>
      <w:pPr>
        <w:spacing w:after="0" w:line="144" w:lineRule="exact"/>
        <w:rPr>
          <w:sz w:val="20"/>
          <w:szCs w:val="20"/>
          <w:color w:val="auto"/>
        </w:rPr>
      </w:pPr>
    </w:p>
    <w:p>
      <w:pPr>
        <w:ind w:left="1260" w:right="339" w:firstLine="351"/>
        <w:spacing w:after="0" w:line="275" w:lineRule="auto"/>
        <w:rPr>
          <w:sz w:val="20"/>
          <w:szCs w:val="20"/>
          <w:color w:val="auto"/>
        </w:rPr>
      </w:pPr>
      <w:r>
        <w:rPr>
          <w:rFonts w:ascii="Times New Roman" w:cs="Times New Roman" w:eastAsia="Times New Roman" w:hAnsi="Times New Roman"/>
          <w:sz w:val="14"/>
          <w:szCs w:val="14"/>
          <w:color w:val="auto"/>
        </w:rPr>
        <w:t>The unaudited pro forma consolidated balance sheet as of December 31, 2025 gives pro forma effect to the Offering Transactions as if they had occurred on December 31, 2025. The unaudited pro forma consolidated statement of income for the year ended December 31, 2025 gives pro forma effect to the IPO Transactions and the Offering Transactions as if they had occurred on January 1, 2025.</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Reorganization Transactions and IPO Transactions</w:t>
      </w:r>
    </w:p>
    <w:p>
      <w:pPr>
        <w:spacing w:after="0" w:line="101"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On December 17, 2025, the Company offered shares of Class A common stock in the IPO Transactions at the initial public offering price of $29.00 per share. Medline Inc. used the proceeds (net of underwriting discounts and commissions) from the issuance of 179,000,000 shares ($5,078 million) to acquire an equivalent number of newly-issued Common Units from Medline Holdings, which Medline Holdings in turn used $731 million (including interest of $1 million) to repay in full all outstanding indebtedness under our New Euro Term Loan Facility, $3,292 million (including interest of $11 million) to repay a portion of the outstanding indebtedness under the 2028 Refinancing Term Loan Facility, and the remainder for general corporate purposes and to bear all of the expenses of the IPO Transactions. The offering expenses (excluding underwriting discounts and commissions) were approximately $40 million. Subsequently, Medline Inc. used the proceeds (net of underwriting discounts and commissions) from the issuance of 37,034,482 shares ($1,051 million) and from the issuance of shares pursuant to the exercise in full by the underwriters of their option to purchase up to 32,405,172 additional shares of Class A common stock ($919 million) to purchase or redeem an equivalent aggregate number of shares of Class A common stock and Common Units from our pre-IPO owners, as described under “Organizational Structure—IPO Transactions.”</w:t>
      </w:r>
    </w:p>
    <w:p>
      <w:pPr>
        <w:spacing w:after="0" w:line="150" w:lineRule="exact"/>
        <w:rPr>
          <w:sz w:val="20"/>
          <w:szCs w:val="20"/>
          <w:color w:val="auto"/>
        </w:rPr>
      </w:pPr>
    </w:p>
    <w:p>
      <w:pPr>
        <w:ind w:left="1260" w:right="399" w:firstLine="351"/>
        <w:spacing w:after="0" w:line="266" w:lineRule="auto"/>
        <w:rPr>
          <w:sz w:val="20"/>
          <w:szCs w:val="20"/>
          <w:color w:val="auto"/>
        </w:rPr>
      </w:pPr>
      <w:r>
        <w:rPr>
          <w:rFonts w:ascii="Times New Roman" w:cs="Times New Roman" w:eastAsia="Times New Roman" w:hAnsi="Times New Roman"/>
          <w:sz w:val="14"/>
          <w:szCs w:val="14"/>
          <w:color w:val="auto"/>
        </w:rPr>
        <w:t>As a result of the Reorganization Transactions, Medline Inc. is a holding company, and its sole material asset is a controlling equity interest in Medline Holdings. As a result of the Reorganization Transactions and IPO Transactions, immediately thereafter Medline Inc. owned approximately</w:t>
      </w:r>
    </w:p>
    <w:p>
      <w:pPr>
        <w:spacing w:after="0" w:line="1" w:lineRule="exact"/>
        <w:rPr>
          <w:sz w:val="20"/>
          <w:szCs w:val="20"/>
          <w:color w:val="auto"/>
        </w:rPr>
      </w:pPr>
    </w:p>
    <w:p>
      <w:pPr>
        <w:ind w:left="1260" w:right="219"/>
        <w:spacing w:after="0" w:line="259" w:lineRule="auto"/>
        <w:rPr>
          <w:sz w:val="20"/>
          <w:szCs w:val="20"/>
          <w:color w:val="auto"/>
        </w:rPr>
      </w:pPr>
      <w:r>
        <w:rPr>
          <w:rFonts w:ascii="Times New Roman" w:cs="Times New Roman" w:eastAsia="Times New Roman" w:hAnsi="Times New Roman"/>
          <w:sz w:val="14"/>
          <w:szCs w:val="14"/>
          <w:color w:val="auto"/>
        </w:rPr>
        <w:t>61.7% of the economic interest in Medline Holdings but has 100.0% of the voting power and controls the management of Medline Holdings. As the general partner of Medline Holdings, Medline Inc. operates and controls all of the business and affairs of Medline Holdings and its subsidiaries and has the obligation to absorb losses and receive benefits from Medline Holdings. The Reorganization Transactions, whereby Medline Inc. began to consolidate Medline Holdings in its consolidated financial statements, were accounted for as a reorganization of entities under common control. As a result, the consolidated financial statements of Medline Inc. will include the assets and liabilities received in the Reorganization Transactions at their historical carrying amounts, as reflected in the historical consolidated financial statements of Medline Holdings.</w:t>
      </w:r>
    </w:p>
    <w:p>
      <w:pPr>
        <w:spacing w:after="0" w:line="149" w:lineRule="exact"/>
        <w:rPr>
          <w:sz w:val="20"/>
          <w:szCs w:val="20"/>
          <w:color w:val="auto"/>
        </w:rPr>
      </w:pPr>
    </w:p>
    <w:p>
      <w:pPr>
        <w:ind w:left="1260" w:right="719" w:firstLine="351"/>
        <w:spacing w:after="0" w:line="293" w:lineRule="auto"/>
        <w:rPr>
          <w:sz w:val="20"/>
          <w:szCs w:val="20"/>
          <w:color w:val="auto"/>
        </w:rPr>
      </w:pPr>
      <w:r>
        <w:rPr>
          <w:rFonts w:ascii="Times New Roman" w:cs="Times New Roman" w:eastAsia="Times New Roman" w:hAnsi="Times New Roman"/>
          <w:sz w:val="14"/>
          <w:szCs w:val="14"/>
          <w:color w:val="auto"/>
        </w:rPr>
        <w:t>For a complete description of the Reorganization Transactions, see section entitled “Organizational Structure” included elsewhere in this prospectus.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Offering Transactions</w:t>
      </w:r>
    </w:p>
    <w:p>
      <w:pPr>
        <w:spacing w:after="0" w:line="101" w:lineRule="exact"/>
        <w:rPr>
          <w:sz w:val="20"/>
          <w:szCs w:val="20"/>
          <w:color w:val="auto"/>
        </w:rPr>
      </w:pPr>
    </w:p>
    <w:p>
      <w:pPr>
        <w:jc w:val="both"/>
        <w:ind w:left="1260" w:right="339" w:firstLine="351"/>
        <w:spacing w:after="0" w:line="275" w:lineRule="auto"/>
        <w:rPr>
          <w:sz w:val="20"/>
          <w:szCs w:val="20"/>
          <w:color w:val="auto"/>
        </w:rPr>
      </w:pPr>
      <w:r>
        <w:rPr>
          <w:rFonts w:ascii="Times New Roman" w:cs="Times New Roman" w:eastAsia="Times New Roman" w:hAnsi="Times New Roman"/>
          <w:sz w:val="14"/>
          <w:szCs w:val="14"/>
          <w:color w:val="auto"/>
        </w:rPr>
        <w:t>Prior to the consummation of the Offering Transactions, certain of the selling stockholders will exchange Common Units for shares of Medline Inc. Class A common stock and then sell such shares as part of the Offering Transactions. The selling stockholders are offering 75,000,000 shares of Medline Inc.’s Class A common stock in this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92"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offering at the offering price of $41.00 per share, after deducting estimated underwriter discounts and commissions.</w:t>
      </w:r>
    </w:p>
    <w:p>
      <w:pPr>
        <w:spacing w:after="0" w:line="203" w:lineRule="exact"/>
        <w:rPr>
          <w:sz w:val="20"/>
          <w:szCs w:val="20"/>
          <w:color w:val="auto"/>
        </w:rPr>
      </w:pPr>
    </w:p>
    <w:p>
      <w:pPr>
        <w:ind w:left="1600" w:hanging="346"/>
        <w:spacing w:after="0"/>
        <w:tabs>
          <w:tab w:leader="none" w:pos="160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Notes to Unaudited Pro Forma Consolidated Balance Sheet</w:t>
      </w:r>
    </w:p>
    <w:p>
      <w:pPr>
        <w:spacing w:after="0" w:line="99" w:lineRule="exact"/>
        <w:rPr>
          <w:sz w:val="20"/>
          <w:szCs w:val="20"/>
          <w:color w:val="auto"/>
        </w:rPr>
      </w:pPr>
    </w:p>
    <w:p>
      <w:pPr>
        <w:ind w:left="1260" w:right="639" w:firstLine="351"/>
        <w:spacing w:after="0" w:line="293" w:lineRule="auto"/>
        <w:rPr>
          <w:sz w:val="20"/>
          <w:szCs w:val="20"/>
          <w:color w:val="auto"/>
        </w:rPr>
      </w:pPr>
      <w:r>
        <w:rPr>
          <w:rFonts w:ascii="Times New Roman" w:cs="Times New Roman" w:eastAsia="Times New Roman" w:hAnsi="Times New Roman"/>
          <w:sz w:val="14"/>
          <w:szCs w:val="14"/>
          <w:color w:val="auto"/>
        </w:rPr>
        <w:t>Transaction accounting adjustments include the following adjustments related to the unaudited pro forma consolidated balance sheet as of December 31, 2025.</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Adjustments related to the Offering Transactions</w:t>
      </w:r>
    </w:p>
    <w:p>
      <w:pPr>
        <w:spacing w:after="0" w:line="112" w:lineRule="exact"/>
        <w:rPr>
          <w:sz w:val="20"/>
          <w:szCs w:val="20"/>
          <w:color w:val="auto"/>
        </w:rPr>
      </w:pPr>
    </w:p>
    <w:p>
      <w:pPr>
        <w:ind w:left="2020" w:right="439" w:hanging="422"/>
        <w:spacing w:after="0" w:line="293" w:lineRule="auto"/>
        <w:tabs>
          <w:tab w:leader="none" w:pos="2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accrual of additional non-recurring transaction-related costs in connection with the Offering Transactions that were not reflected in the historical consolidated balance sheet as of December 31, 2025.</w:t>
      </w:r>
    </w:p>
    <w:p>
      <w:pPr>
        <w:spacing w:after="0" w:line="48" w:lineRule="exact"/>
        <w:rPr>
          <w:rFonts w:ascii="Times New Roman" w:cs="Times New Roman" w:eastAsia="Times New Roman" w:hAnsi="Times New Roman"/>
          <w:sz w:val="14"/>
          <w:szCs w:val="14"/>
          <w:color w:val="auto"/>
        </w:rPr>
      </w:pPr>
    </w:p>
    <w:p>
      <w:pPr>
        <w:ind w:left="2020" w:right="299" w:hanging="422"/>
        <w:spacing w:after="0" w:line="266" w:lineRule="auto"/>
        <w:tabs>
          <w:tab w:leader="none" w:pos="2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Reorganization Transactions, Medline Inc. is subject to U.S. federal income taxes, in addition to state and local taxes, as a corporation on its share of Medline Holdings’ taxable income. The presented deferred tax asset is measured based on the following:</w:t>
      </w:r>
    </w:p>
    <w:p>
      <w:pPr>
        <w:spacing w:after="0" w:line="1" w:lineRule="exact"/>
        <w:rPr>
          <w:rFonts w:ascii="Times New Roman" w:cs="Times New Roman" w:eastAsia="Times New Roman" w:hAnsi="Times New Roman"/>
          <w:sz w:val="14"/>
          <w:szCs w:val="14"/>
          <w:color w:val="auto"/>
        </w:rPr>
      </w:pPr>
    </w:p>
    <w:p>
      <w:pPr>
        <w:ind w:left="2020" w:right="319" w:firstLine="9"/>
        <w:spacing w:after="0" w:line="256" w:lineRule="auto"/>
        <w:tabs>
          <w:tab w:leader="none" w:pos="2191"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between financial reporting and tax basis associated with Medline Inc.’s investment in Medline Holdings; (ii) tax benefits from future deductions attributable to payments under the tax receivable agreement (“TRA”) as a result of the IPO Transactions; and</w:t>
      </w:r>
    </w:p>
    <w:p>
      <w:pPr>
        <w:ind w:left="2280" w:hanging="251"/>
        <w:spacing w:after="0"/>
        <w:tabs>
          <w:tab w:leader="none" w:pos="22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tax attributes at Medline Inc. and its subsidiaries.</w:t>
      </w:r>
    </w:p>
    <w:p>
      <w:pPr>
        <w:spacing w:after="0" w:line="84" w:lineRule="exact"/>
        <w:rPr>
          <w:sz w:val="20"/>
          <w:szCs w:val="20"/>
          <w:color w:val="auto"/>
        </w:rPr>
      </w:pPr>
    </w:p>
    <w:p>
      <w:pPr>
        <w:ind w:left="2040" w:right="219"/>
        <w:spacing w:after="0" w:line="265" w:lineRule="auto"/>
        <w:rPr>
          <w:sz w:val="20"/>
          <w:szCs w:val="20"/>
          <w:color w:val="auto"/>
        </w:rPr>
      </w:pPr>
      <w:r>
        <w:rPr>
          <w:rFonts w:ascii="Times New Roman" w:cs="Times New Roman" w:eastAsia="Times New Roman" w:hAnsi="Times New Roman"/>
          <w:sz w:val="14"/>
          <w:szCs w:val="14"/>
          <w:color w:val="auto"/>
        </w:rPr>
        <w:t>Prior to the consummation of this offering, certain of the selling stockholders will exchange Common Units for shares of our Class A common stock. As a result, the pro forma balance sheet reflects an adjustment to our taxes assuming the federal rates currently in effect and the highest statutory rates apportioned to each state, local and foreign jurisdiction. We will record an additional deferred tax asset of $265 million (or $281 million if the underwriters exercise in full their option to purchase additional shares of Class A common stock) and a corresponding adjustment to additional paid-in capital.</w:t>
      </w:r>
    </w:p>
    <w:p>
      <w:pPr>
        <w:spacing w:after="0" w:line="58" w:lineRule="exact"/>
        <w:rPr>
          <w:sz w:val="20"/>
          <w:szCs w:val="20"/>
          <w:color w:val="auto"/>
        </w:rPr>
      </w:pPr>
    </w:p>
    <w:p>
      <w:pPr>
        <w:ind w:left="2040" w:right="179"/>
        <w:spacing w:after="0" w:line="264" w:lineRule="auto"/>
        <w:rPr>
          <w:sz w:val="20"/>
          <w:szCs w:val="20"/>
          <w:color w:val="auto"/>
        </w:rPr>
      </w:pPr>
      <w:r>
        <w:rPr>
          <w:rFonts w:ascii="Times New Roman" w:cs="Times New Roman" w:eastAsia="Times New Roman" w:hAnsi="Times New Roman"/>
          <w:sz w:val="14"/>
          <w:szCs w:val="14"/>
          <w:color w:val="auto"/>
        </w:rPr>
        <w:t>The additional deferred tax asset includes (i) a gross deferred tax asset of $202 million related to Medline Inc.’s investment in Medline Holdings, (ii) a deferred tax asset of $110 million related to tax benefits from future deductions attributable to payments under the TRA, and (iii) a reduction for the partial valuation allowance of $47 million on our investment in Medline Holdings related to the portion of the basis difference that will only reverse upon the sale of our interests, which would result in a capital loss that we do not expect to be able to utilize. To the extent we estimate that we will not realize either a portion or all of our deferred tax assets, based on an analysis of the available sources of taxable income, we will further reduce our deferred tax assets with a valuation allowance.</w:t>
      </w:r>
    </w:p>
    <w:p>
      <w:pPr>
        <w:spacing w:after="0" w:line="67" w:lineRule="exact"/>
        <w:rPr>
          <w:sz w:val="20"/>
          <w:szCs w:val="20"/>
          <w:color w:val="auto"/>
        </w:rPr>
      </w:pPr>
    </w:p>
    <w:p>
      <w:pPr>
        <w:ind w:left="2020" w:right="139" w:hanging="422"/>
        <w:spacing w:after="0" w:line="261" w:lineRule="auto"/>
        <w:tabs>
          <w:tab w:leader="none" w:pos="2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completion of the IPO Transactions, Medline Inc. entered into a TRA with certain of the pre-IPO owners that provides for the payment by Medline Inc. to such pre-IPO owners of 90% of the benefits, if any, that Medline Inc. actually realizes, or is deemed to realize (calculated using certain assumptions), as a result of (i) Medline Inc.’s allocable share of existing tax basis acquired in the IPO, increases in Medline Inc.’s allocable share of existing tax basis and adjustments to the tax basis of the assets of Medline Holdings as a result of sales or exchanges of Common Units (including Common Units issued upon conversion of vested Incentive Units), (iii) Medline Inc.’s utilization of certain tax attributes of the Blocker Companies (including the Blocker Companies’ allocable share of existing tax basis), and (iv) certain other tax benefits related to entering into the tax receivable agreement, including tax benefits attributable to payments under the tax receivable agreement. The TRA was accounted for as a contingent liability, with amounts accrued when considered probable and reasonably estimable.</w:t>
      </w:r>
    </w:p>
    <w:p>
      <w:pPr>
        <w:spacing w:after="0" w:line="234" w:lineRule="exact"/>
        <w:rPr>
          <w:rFonts w:ascii="Times New Roman" w:cs="Times New Roman" w:eastAsia="Times New Roman" w:hAnsi="Times New Roman"/>
          <w:sz w:val="14"/>
          <w:szCs w:val="14"/>
          <w:color w:val="auto"/>
        </w:rPr>
      </w:pPr>
    </w:p>
    <w:p>
      <w:pPr>
        <w:ind w:left="2040" w:right="179"/>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record an additional $434 million liability (or $499 million if the underwriters exercise in full their option to purchase additional shares of Class A common stock) based on our estimate of the aggregate amount that we will pay to the pre-IPO owners under the TRA as a result of the Offering Transactions with a corresponding decrease to additional paid-in capital. This amount is equal to 90.0% of certain tax benefits that the Company estimates that Medline Inc. will realize as a result of (i) $370 million increase in tax benefits related to Medline Inc.’s allocable share of existing tax basis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92"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40" w:right="159"/>
        <w:spacing w:after="0" w:line="275" w:lineRule="auto"/>
        <w:rPr>
          <w:sz w:val="20"/>
          <w:szCs w:val="20"/>
          <w:color w:val="auto"/>
        </w:rPr>
      </w:pPr>
      <w:r>
        <w:rPr>
          <w:rFonts w:ascii="Times New Roman" w:cs="Times New Roman" w:eastAsia="Times New Roman" w:hAnsi="Times New Roman"/>
          <w:sz w:val="14"/>
          <w:szCs w:val="14"/>
          <w:color w:val="auto"/>
        </w:rPr>
        <w:t>and tax basis adjustments to the tangible and intangible assets of Medline Holdings as a result of sales or exchanges of Common Units in connection with the Offering Transactions and (ii) $112 million of certain other tax benefits related to entering into the TRA, including tax benefits attributable to payments under the TRA as a result of the Offering Transactions.</w:t>
      </w:r>
    </w:p>
    <w:p>
      <w:pPr>
        <w:spacing w:after="0" w:line="49" w:lineRule="exact"/>
        <w:rPr>
          <w:sz w:val="20"/>
          <w:szCs w:val="20"/>
          <w:color w:val="auto"/>
        </w:rPr>
      </w:pPr>
    </w:p>
    <w:p>
      <w:pPr>
        <w:ind w:left="2040" w:right="219"/>
        <w:spacing w:after="0" w:line="261" w:lineRule="auto"/>
        <w:rPr>
          <w:sz w:val="20"/>
          <w:szCs w:val="20"/>
          <w:color w:val="auto"/>
        </w:rPr>
      </w:pPr>
      <w:r>
        <w:rPr>
          <w:rFonts w:ascii="Times New Roman" w:cs="Times New Roman" w:eastAsia="Times New Roman" w:hAnsi="Times New Roman"/>
          <w:sz w:val="14"/>
          <w:szCs w:val="14"/>
          <w:color w:val="auto"/>
        </w:rPr>
        <w:t>However, assuming (i) a price of $42.88 per share of our Class A common stock (the closing sales price of our shares of Class A common stock on March 4, 2026 as reported on Nasdaq); (ii) a constant corporate tax rate of 25.7%; (iii) we will have sufficient taxable income to fully utilize the tax benefits; and (iv) no material changes in tax law, if the Continuing Unitholders were to exchange all of the Common Units that they will hold immediately following our IPO and this offering, and, assuming all Incentive Units are converted to Common Units and subsequently exchanged for shares of Class A common stock at a price of $42.88 per share of Class A common stock, we estimate that we would, as a result of such hypothetical exchange, record an additional deferred tax asset of approximately $5,204 million and that increase to the aggregate noncurrent liability we would record based on our estimate of the increase to the aggregate amount that Medline Inc. would pay under the tax receivable agreement is approximately $7,165 million, generally payable over a 15-year period.</w:t>
      </w:r>
    </w:p>
    <w:p>
      <w:pPr>
        <w:spacing w:after="0" w:line="73" w:lineRule="exact"/>
        <w:rPr>
          <w:sz w:val="20"/>
          <w:szCs w:val="20"/>
          <w:color w:val="auto"/>
        </w:rPr>
      </w:pPr>
    </w:p>
    <w:p>
      <w:pPr>
        <w:ind w:left="2020" w:right="239" w:hanging="422"/>
        <w:spacing w:after="0" w:line="293" w:lineRule="auto"/>
        <w:tabs>
          <w:tab w:leader="none" w:pos="2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 to noncontrolling interests related to certain selling stockholders exchanging their Common Units for shares of Medline Inc. Class A common stock.</w:t>
      </w:r>
    </w:p>
    <w:p>
      <w:pPr>
        <w:spacing w:after="0" w:line="37" w:lineRule="exact"/>
        <w:rPr>
          <w:rFonts w:ascii="Times New Roman" w:cs="Times New Roman" w:eastAsia="Times New Roman" w:hAnsi="Times New Roman"/>
          <w:sz w:val="14"/>
          <w:szCs w:val="14"/>
          <w:color w:val="auto"/>
        </w:rPr>
      </w:pPr>
    </w:p>
    <w:p>
      <w:pPr>
        <w:ind w:left="2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is a reconciliation of the adjustments impacting the 36.14% of net assets attributable to the noncontrolling interest:</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26"/>
        </w:trPr>
        <w:tc>
          <w:tcPr>
            <w:tcW w:w="5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18"/>
        </w:trPr>
        <w:tc>
          <w:tcPr>
            <w:tcW w:w="59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millions)</w:t>
            </w:r>
          </w:p>
        </w:tc>
        <w:tc>
          <w:tcPr>
            <w:tcW w:w="20" w:type="dxa"/>
            <w:vAlign w:val="bottom"/>
          </w:tcPr>
          <w:p>
            <w:pPr>
              <w:spacing w:after="0"/>
              <w:rPr>
                <w:sz w:val="10"/>
                <w:szCs w:val="10"/>
                <w:color w:val="auto"/>
              </w:rPr>
            </w:pPr>
          </w:p>
        </w:tc>
        <w:tc>
          <w:tcPr>
            <w:tcW w:w="700" w:type="dxa"/>
            <w:vAlign w:val="bottom"/>
            <w:gridSpan w:val="4"/>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596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of additional paid-in capital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of accumulated 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of accumulated other comprehensive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600" w:hanging="346"/>
        <w:spacing w:after="0"/>
        <w:tabs>
          <w:tab w:leader="none" w:pos="160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Notes to Unaudited Pro Forma Consolidated Statement of Income</w:t>
      </w:r>
    </w:p>
    <w:p>
      <w:pPr>
        <w:spacing w:after="0" w:line="99" w:lineRule="exact"/>
        <w:rPr>
          <w:sz w:val="20"/>
          <w:szCs w:val="20"/>
          <w:color w:val="auto"/>
        </w:rPr>
      </w:pPr>
    </w:p>
    <w:p>
      <w:pPr>
        <w:ind w:left="1260" w:right="299" w:firstLine="351"/>
        <w:spacing w:after="0" w:line="293" w:lineRule="auto"/>
        <w:rPr>
          <w:sz w:val="20"/>
          <w:szCs w:val="20"/>
          <w:color w:val="auto"/>
        </w:rPr>
      </w:pPr>
      <w:r>
        <w:rPr>
          <w:rFonts w:ascii="Times New Roman" w:cs="Times New Roman" w:eastAsia="Times New Roman" w:hAnsi="Times New Roman"/>
          <w:sz w:val="14"/>
          <w:szCs w:val="14"/>
          <w:color w:val="auto"/>
        </w:rPr>
        <w:t>Transaction accounting adjustments include the following adjustments related to the unaudited pro forma consolidated statements of income for the year ended December 31, 2025 as follows: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Adjustments related to the Transactions</w:t>
      </w:r>
    </w:p>
    <w:p>
      <w:pPr>
        <w:spacing w:after="0" w:line="112" w:lineRule="exact"/>
        <w:rPr>
          <w:sz w:val="20"/>
          <w:szCs w:val="20"/>
          <w:color w:val="auto"/>
        </w:rPr>
      </w:pPr>
    </w:p>
    <w:p>
      <w:pPr>
        <w:ind w:left="2020" w:hanging="422"/>
        <w:spacing w:after="0"/>
        <w:tabs>
          <w:tab w:leader="none" w:pos="2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 to stock-based compensation expense related to the following:</w:t>
      </w:r>
    </w:p>
    <w:p>
      <w:pPr>
        <w:spacing w:after="0" w:line="108" w:lineRule="exact"/>
        <w:rPr>
          <w:rFonts w:ascii="Times New Roman" w:cs="Times New Roman" w:eastAsia="Times New Roman" w:hAnsi="Times New Roman"/>
          <w:sz w:val="14"/>
          <w:szCs w:val="14"/>
          <w:color w:val="auto"/>
        </w:rPr>
      </w:pPr>
    </w:p>
    <w:p>
      <w:pPr>
        <w:ind w:left="2380" w:right="739" w:hanging="340"/>
        <w:spacing w:after="0" w:line="293" w:lineRule="auto"/>
        <w:tabs>
          <w:tab w:leader="none" w:pos="23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$4 million of compensation expense associated with the modification of equity awards held by Exchanging Unitholders in connection with the IPO Transactions; and</w:t>
      </w:r>
    </w:p>
    <w:p>
      <w:pPr>
        <w:spacing w:after="0" w:line="48" w:lineRule="exact"/>
        <w:rPr>
          <w:rFonts w:ascii="Times New Roman" w:cs="Times New Roman" w:eastAsia="Times New Roman" w:hAnsi="Times New Roman"/>
          <w:sz w:val="14"/>
          <w:szCs w:val="14"/>
          <w:color w:val="auto"/>
        </w:rPr>
      </w:pPr>
    </w:p>
    <w:p>
      <w:pPr>
        <w:ind w:left="2380" w:right="839" w:hanging="340"/>
        <w:spacing w:after="0" w:line="293" w:lineRule="auto"/>
        <w:tabs>
          <w:tab w:leader="none" w:pos="23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$1 million of compensation expense associated with certain new RSUs issued in connection with the IPO Transactions.</w:t>
      </w:r>
    </w:p>
    <w:p>
      <w:pPr>
        <w:spacing w:after="0" w:line="48" w:lineRule="exact"/>
        <w:rPr>
          <w:rFonts w:ascii="Times New Roman" w:cs="Times New Roman" w:eastAsia="Times New Roman" w:hAnsi="Times New Roman"/>
          <w:sz w:val="14"/>
          <w:szCs w:val="14"/>
          <w:color w:val="auto"/>
        </w:rPr>
      </w:pPr>
    </w:p>
    <w:p>
      <w:pPr>
        <w:ind w:left="2020" w:right="219" w:hanging="422"/>
        <w:spacing w:after="0" w:line="275" w:lineRule="auto"/>
        <w:tabs>
          <w:tab w:leader="none" w:pos="2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compensation expense for the year ended December 31, 2025, related to cash awards incurred in connection with the IPO Transactions. The awards are payable to certain employees on the first anniversary of the IPO and are contingent on continued employment of the awardees through that date.</w:t>
      </w:r>
    </w:p>
    <w:p>
      <w:pPr>
        <w:spacing w:after="0" w:line="59" w:lineRule="exact"/>
        <w:rPr>
          <w:rFonts w:ascii="Times New Roman" w:cs="Times New Roman" w:eastAsia="Times New Roman" w:hAnsi="Times New Roman"/>
          <w:sz w:val="14"/>
          <w:szCs w:val="14"/>
          <w:color w:val="auto"/>
        </w:rPr>
      </w:pPr>
    </w:p>
    <w:p>
      <w:pPr>
        <w:ind w:left="2020" w:right="159" w:hanging="422"/>
        <w:spacing w:after="0" w:line="275" w:lineRule="auto"/>
        <w:tabs>
          <w:tab w:leader="none" w:pos="2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the reduction in contractual interest expense as a result of the repayment of a portion of the outstanding indebtedness under our 2028 Refinancing Term Loan Facility and repayment in full of the outstanding indebtedness under our New Euro Term Loan Facility, as described herein, (ii) the reduction in amortization expense associated with the unamortized debt issuance costs that were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92"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40" w:right="419"/>
        <w:spacing w:after="0" w:line="293" w:lineRule="auto"/>
        <w:rPr>
          <w:sz w:val="20"/>
          <w:szCs w:val="20"/>
          <w:color w:val="auto"/>
        </w:rPr>
      </w:pPr>
      <w:r>
        <w:rPr>
          <w:rFonts w:ascii="Times New Roman" w:cs="Times New Roman" w:eastAsia="Times New Roman" w:hAnsi="Times New Roman"/>
          <w:sz w:val="14"/>
          <w:szCs w:val="14"/>
          <w:color w:val="auto"/>
        </w:rPr>
        <w:t>written-off as a result of the repayment of our 2028 Refinancing Term Loan Facility, and (iii) the recognition of interest expense in the amortization of the bifurcated embedded derivative, as if such repayment occurred on January 1, 2025.</w:t>
      </w:r>
    </w:p>
    <w:p>
      <w:pPr>
        <w:spacing w:after="0" w:line="132" w:lineRule="exact"/>
        <w:rPr>
          <w:sz w:val="20"/>
          <w:szCs w:val="20"/>
          <w:color w:val="auto"/>
        </w:rPr>
      </w:pPr>
    </w:p>
    <w:tbl>
      <w:tblPr>
        <w:tblLayout w:type="fixed"/>
        <w:tblInd w:w="2300" w:type="dxa"/>
        <w:tblCellMar>
          <w:top w:w="0" w:type="dxa"/>
          <w:left w:w="0" w:type="dxa"/>
          <w:bottom w:w="0" w:type="dxa"/>
          <w:right w:w="0" w:type="dxa"/>
        </w:tblCellMar>
      </w:tblPr>
      <w:tr>
        <w:trPr>
          <w:trHeight w:val="126"/>
        </w:trPr>
        <w:tc>
          <w:tcPr>
            <w:tcW w:w="5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8"/>
        </w:trPr>
        <w:tc>
          <w:tcPr>
            <w:tcW w:w="59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millions)</w:t>
            </w:r>
          </w:p>
        </w:tc>
        <w:tc>
          <w:tcPr>
            <w:tcW w:w="20" w:type="dxa"/>
            <w:vAlign w:val="bottom"/>
          </w:tcPr>
          <w:p>
            <w:pPr>
              <w:spacing w:after="0"/>
              <w:rPr>
                <w:sz w:val="10"/>
                <w:szCs w:val="10"/>
                <w:color w:val="auto"/>
              </w:rPr>
            </w:pPr>
          </w:p>
        </w:tc>
        <w:tc>
          <w:tcPr>
            <w:tcW w:w="740" w:type="dxa"/>
            <w:vAlign w:val="bottom"/>
            <w:gridSpan w:val="4"/>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592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in contractual interest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Reduction in amortization expense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Recognition of interest related to amortization of the bifurcated embedded derivatives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4"/>
        </w:trPr>
        <w:tc>
          <w:tcPr>
            <w:tcW w:w="5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020" w:right="139" w:hanging="422"/>
        <w:spacing w:after="0" w:line="268" w:lineRule="auto"/>
        <w:tabs>
          <w:tab w:leader="none" w:pos="2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transaction-related costs in connection with the Offering Transactions that were not reflected in the historical consolidated statement of income for the year ended December 31, 2025. These non-recurring transaction-related costs are reflected as if incurred on January 1, 2025, the date the Offering Transactions occurred for purposes of the unaudited pro forma consolidated statement of income.</w:t>
      </w:r>
    </w:p>
    <w:p>
      <w:pPr>
        <w:spacing w:after="0" w:line="66" w:lineRule="exact"/>
        <w:rPr>
          <w:rFonts w:ascii="Times New Roman" w:cs="Times New Roman" w:eastAsia="Times New Roman" w:hAnsi="Times New Roman"/>
          <w:sz w:val="14"/>
          <w:szCs w:val="14"/>
          <w:color w:val="auto"/>
        </w:rPr>
      </w:pPr>
    </w:p>
    <w:p>
      <w:pPr>
        <w:ind w:left="2020" w:right="139" w:hanging="422"/>
        <w:spacing w:after="0" w:line="268" w:lineRule="auto"/>
        <w:tabs>
          <w:tab w:leader="none" w:pos="2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Reorganization Transactions, Medline Inc. became subject to U.S. federal income taxes, in addition to state, local and foreign taxes. As a result, the unaudited pro forma consolidated statement of income reflects an adjustment to income tax expense to reflect an effective income tax rate of 25.5% for the year ended December 31, 2025, which includes a provision for U.S. federal income taxes and assumes the highest statutory rates apportioned to each state and local jurisdiction.</w:t>
      </w:r>
    </w:p>
    <w:p>
      <w:pPr>
        <w:spacing w:after="0" w:line="66" w:lineRule="exact"/>
        <w:rPr>
          <w:rFonts w:ascii="Times New Roman" w:cs="Times New Roman" w:eastAsia="Times New Roman" w:hAnsi="Times New Roman"/>
          <w:sz w:val="14"/>
          <w:szCs w:val="14"/>
          <w:color w:val="auto"/>
        </w:rPr>
      </w:pPr>
    </w:p>
    <w:p>
      <w:pPr>
        <w:ind w:left="2020" w:right="299" w:hanging="422"/>
        <w:spacing w:after="0" w:line="275" w:lineRule="auto"/>
        <w:tabs>
          <w:tab w:leader="none" w:pos="2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IPO and Offering Transactions, Medline Inc. will own approximately 63.9% of the economic interest in Medline Holdings. The ownership percentage held by noncontrolling interest will be approximately 36.1%. As a result, net income attributable to the noncontrolling interest represented 37.3% of the net income before income taxes.</w:t>
      </w:r>
    </w:p>
    <w:p>
      <w:pPr>
        <w:spacing w:after="0" w:line="59" w:lineRule="exact"/>
        <w:rPr>
          <w:rFonts w:ascii="Times New Roman" w:cs="Times New Roman" w:eastAsia="Times New Roman" w:hAnsi="Times New Roman"/>
          <w:sz w:val="14"/>
          <w:szCs w:val="14"/>
          <w:color w:val="auto"/>
        </w:rPr>
      </w:pPr>
    </w:p>
    <w:p>
      <w:pPr>
        <w:ind w:left="2020" w:right="119" w:hanging="422"/>
        <w:spacing w:after="0" w:line="265" w:lineRule="auto"/>
        <w:tabs>
          <w:tab w:leader="none" w:pos="2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basic and diluted pro forma net income per share of Class A common stock represents pro forma net income attributable to Medline Inc. divided by the weighted average of Class A common stock outstanding. The noncontrolling interest owners own shares of Class B common stock. These shares of Class B common stock are not considered participating securities because they have no right to receive dividends or a distribution on liquidation or winding up of Medline Inc., and no earnings are allocable to such class. Accordingly, basic and diluted income per share of Class B common stock has not been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92"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40" w:right="359"/>
        <w:spacing w:after="0" w:line="293" w:lineRule="auto"/>
        <w:rPr>
          <w:sz w:val="20"/>
          <w:szCs w:val="20"/>
          <w:color w:val="auto"/>
        </w:rPr>
      </w:pPr>
      <w:r>
        <w:rPr>
          <w:rFonts w:ascii="Times New Roman" w:cs="Times New Roman" w:eastAsia="Times New Roman" w:hAnsi="Times New Roman"/>
          <w:sz w:val="14"/>
          <w:szCs w:val="14"/>
          <w:color w:val="auto"/>
        </w:rPr>
        <w:t>presented. The table below presents the computation of pro forma basic and dilutive net income per share for Medline Inc. (in millions, except per share amounts):</w:t>
      </w:r>
    </w:p>
    <w:p>
      <w:pPr>
        <w:sectPr>
          <w:pgSz w:w="11900" w:h="16838" w:orient="portrait"/>
          <w:cols w:equalWidth="0" w:num="1">
            <w:col w:w="10159"/>
          </w:cols>
          <w:pgMar w:left="300" w:top="392"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-88265</wp:posOffset>
            </wp:positionV>
            <wp:extent cx="4236085" cy="102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36085" cy="102235"/>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4"/>
          <w:szCs w:val="14"/>
          <w:color w:val="auto"/>
        </w:rPr>
        <w:t>Net income</w:t>
      </w:r>
    </w:p>
    <w:p>
      <w:pPr>
        <w:ind w:left="230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-99695</wp:posOffset>
            </wp:positionV>
            <wp:extent cx="4236085" cy="102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36085" cy="102235"/>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4"/>
          <w:szCs w:val="14"/>
          <w:color w:val="auto"/>
        </w:rPr>
        <w:t>Net income attributable to Medline Inc.</w:t>
      </w:r>
    </w:p>
    <w:p>
      <w:pPr>
        <w:spacing w:after="0" w:line="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Adjustment to net income attributable to Medline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-99695</wp:posOffset>
            </wp:positionV>
            <wp:extent cx="4236085" cy="1092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36085" cy="109220"/>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4"/>
          <w:szCs w:val="14"/>
          <w:color w:val="auto"/>
        </w:rPr>
        <w:t>Numerator for net income per share (Basic)</w:t>
      </w:r>
    </w:p>
    <w:p>
      <w:pPr>
        <w:spacing w:after="0" w:line="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Net income 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-99695</wp:posOffset>
            </wp:positionV>
            <wp:extent cx="4236085" cy="102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36085" cy="102235"/>
                    </a:xfrm>
                    <a:prstGeom prst="rect">
                      <a:avLst/>
                    </a:prstGeom>
                    <a:noFill/>
                  </pic:spPr>
                </pic:pic>
              </a:graphicData>
            </a:graphic>
          </wp:anchor>
        </w:drawing>
      </w:r>
    </w:p>
    <w:p>
      <w:pPr>
        <w:ind w:left="2580"/>
        <w:spacing w:after="0" w:line="238" w:lineRule="auto"/>
        <w:rPr>
          <w:sz w:val="20"/>
          <w:szCs w:val="20"/>
          <w:color w:val="auto"/>
        </w:rPr>
      </w:pPr>
      <w:r>
        <w:rPr>
          <w:rFonts w:ascii="Times New Roman" w:cs="Times New Roman" w:eastAsia="Times New Roman" w:hAnsi="Times New Roman"/>
          <w:sz w:val="14"/>
          <w:szCs w:val="14"/>
          <w:color w:val="auto"/>
        </w:rPr>
        <w:t>Effect of stock compensation awards</w:t>
      </w:r>
    </w:p>
    <w:p>
      <w:pPr>
        <w:ind w:left="2580"/>
        <w:spacing w:after="0" w:line="193" w:lineRule="auto"/>
        <w:rPr>
          <w:sz w:val="20"/>
          <w:szCs w:val="20"/>
          <w:color w:val="auto"/>
        </w:rPr>
      </w:pPr>
      <w:r>
        <w:rPr>
          <w:rFonts w:ascii="Times New Roman" w:cs="Times New Roman" w:eastAsia="Times New Roman" w:hAnsi="Times New Roman"/>
          <w:sz w:val="14"/>
          <w:szCs w:val="14"/>
          <w:color w:val="auto"/>
        </w:rPr>
        <w:t>Effect of conversion of Class B common stock to Class A common stock</w:t>
      </w:r>
      <w:r>
        <w:rPr>
          <w:rFonts w:ascii="Times New Roman" w:cs="Times New Roman" w:eastAsia="Times New Roman" w:hAnsi="Times New Roman"/>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-113665</wp:posOffset>
            </wp:positionV>
            <wp:extent cx="4236085" cy="102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36085" cy="102235"/>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4"/>
          <w:szCs w:val="14"/>
          <w:color w:val="auto"/>
        </w:rPr>
        <w:t>Numerator for net income per share (Diluted)</w:t>
      </w:r>
    </w:p>
    <w:p>
      <w:pPr>
        <w:ind w:left="2300"/>
        <w:spacing w:after="0"/>
        <w:rPr>
          <w:sz w:val="20"/>
          <w:szCs w:val="20"/>
          <w:color w:val="auto"/>
        </w:rPr>
      </w:pPr>
      <w:r>
        <w:rPr>
          <w:rFonts w:ascii="Times New Roman" w:cs="Times New Roman" w:eastAsia="Times New Roman" w:hAnsi="Times New Roman"/>
          <w:sz w:val="14"/>
          <w:szCs w:val="14"/>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-99695</wp:posOffset>
            </wp:positionV>
            <wp:extent cx="4236085" cy="102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36085" cy="102235"/>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(Basic)</w:t>
      </w:r>
    </w:p>
    <w:p>
      <w:pPr>
        <w:ind w:left="2580"/>
        <w:spacing w:after="0" w:line="238" w:lineRule="auto"/>
        <w:rPr>
          <w:sz w:val="20"/>
          <w:szCs w:val="20"/>
          <w:color w:val="auto"/>
        </w:rPr>
      </w:pPr>
      <w:r>
        <w:rPr>
          <w:rFonts w:ascii="Times New Roman" w:cs="Times New Roman" w:eastAsia="Times New Roman" w:hAnsi="Times New Roman"/>
          <w:sz w:val="14"/>
          <w:szCs w:val="14"/>
          <w:color w:val="auto"/>
        </w:rPr>
        <w:t>Weighted average 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-98425</wp:posOffset>
            </wp:positionV>
            <wp:extent cx="4236085" cy="1022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36085" cy="102235"/>
                    </a:xfrm>
                    <a:prstGeom prst="rect">
                      <a:avLst/>
                    </a:prstGeom>
                    <a:noFill/>
                  </pic:spPr>
                </pic:pic>
              </a:graphicData>
            </a:graphic>
          </wp:anchor>
        </w:drawing>
      </w:r>
    </w:p>
    <w:p>
      <w:pPr>
        <w:ind w:left="2580"/>
        <w:spacing w:after="0" w:line="184" w:lineRule="auto"/>
        <w:rPr>
          <w:sz w:val="20"/>
          <w:szCs w:val="20"/>
          <w:color w:val="auto"/>
        </w:rPr>
      </w:pPr>
      <w:r>
        <w:rPr>
          <w:rFonts w:ascii="Times New Roman" w:cs="Times New Roman" w:eastAsia="Times New Roman" w:hAnsi="Times New Roman"/>
          <w:sz w:val="13"/>
          <w:szCs w:val="13"/>
          <w:color w:val="auto"/>
        </w:rPr>
        <w:t>Effect of stock compensation awards</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0</wp:posOffset>
            </wp:positionV>
            <wp:extent cx="4236085" cy="1092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36085" cy="109220"/>
                    </a:xfrm>
                    <a:prstGeom prst="rect">
                      <a:avLst/>
                    </a:prstGeom>
                    <a:noFill/>
                  </pic:spPr>
                </pic:pic>
              </a:graphicData>
            </a:graphic>
          </wp:anchor>
        </w:drawing>
      </w:r>
    </w:p>
    <w:p>
      <w:pPr>
        <w:ind w:left="2600"/>
        <w:spacing w:after="0" w:line="180" w:lineRule="auto"/>
        <w:rPr>
          <w:sz w:val="20"/>
          <w:szCs w:val="20"/>
          <w:color w:val="auto"/>
        </w:rPr>
      </w:pPr>
      <w:r>
        <w:rPr>
          <w:rFonts w:ascii="Times New Roman" w:cs="Times New Roman" w:eastAsia="Times New Roman" w:hAnsi="Times New Roman"/>
          <w:sz w:val="14"/>
          <w:szCs w:val="14"/>
          <w:color w:val="auto"/>
        </w:rPr>
        <w:t>Effect of conversion of Class B common stock to Class A common stock</w:t>
      </w:r>
      <w:r>
        <w:rPr>
          <w:rFonts w:ascii="Times New Roman" w:cs="Times New Roman" w:eastAsia="Times New Roman" w:hAnsi="Times New Roman"/>
          <w:sz w:val="20"/>
          <w:szCs w:val="20"/>
          <w:color w:val="auto"/>
          <w:vertAlign w:val="superscript"/>
        </w:rPr>
        <w:t>(2)</w:t>
      </w:r>
    </w:p>
    <w:p>
      <w:pPr>
        <w:ind w:left="230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(Diluted)</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Pro Forma Basic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-100965</wp:posOffset>
            </wp:positionV>
            <wp:extent cx="4236085" cy="109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36085" cy="109220"/>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4"/>
          <w:szCs w:val="14"/>
          <w:color w:val="auto"/>
        </w:rPr>
        <w:t>Pro Forma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61468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1219"/>
        <w:spacing w:after="0"/>
        <w:rPr>
          <w:sz w:val="20"/>
          <w:szCs w:val="20"/>
          <w:color w:val="auto"/>
        </w:rPr>
      </w:pPr>
      <w:r>
        <w:rPr>
          <w:rFonts w:ascii="Times New Roman" w:cs="Times New Roman" w:eastAsia="Times New Roman" w:hAnsi="Times New Roman"/>
          <w:sz w:val="11"/>
          <w:szCs w:val="11"/>
          <w:b w:val="1"/>
          <w:bCs w:val="1"/>
          <w:color w:val="auto"/>
        </w:rPr>
        <w:t>Year Ended</w:t>
      </w:r>
    </w:p>
    <w:p>
      <w:pPr>
        <w:jc w:val="center"/>
        <w:ind w:right="1219"/>
        <w:spacing w:after="0" w:line="235" w:lineRule="auto"/>
        <w:rPr>
          <w:sz w:val="20"/>
          <w:szCs w:val="20"/>
          <w:color w:val="auto"/>
        </w:rPr>
      </w:pPr>
      <w:r>
        <w:rPr>
          <w:rFonts w:ascii="Times New Roman" w:cs="Times New Roman" w:eastAsia="Times New Roman" w:hAnsi="Times New Roman"/>
          <w:sz w:val="11"/>
          <w:szCs w:val="11"/>
          <w:b w:val="1"/>
          <w:bCs w:val="1"/>
          <w:color w:val="auto"/>
        </w:rPr>
        <w:t>December 31,</w:t>
      </w:r>
    </w:p>
    <w:p>
      <w:pPr>
        <w:jc w:val="center"/>
        <w:ind w:right="1219"/>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142" w:lineRule="exact"/>
        <w:rPr>
          <w:sz w:val="20"/>
          <w:szCs w:val="20"/>
          <w:color w:val="auto"/>
        </w:rPr>
      </w:pPr>
    </w:p>
    <w:p>
      <w:pPr>
        <w:ind w:left="380" w:hanging="371"/>
        <w:spacing w:after="0"/>
        <w:tabs>
          <w:tab w:leader="none" w:pos="3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1,176</w:t>
      </w:r>
    </w:p>
    <w:p>
      <w:pPr>
        <w:spacing w:after="0" w:line="37"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502</w:t>
      </w:r>
    </w:p>
    <w:p>
      <w:pPr>
        <w:spacing w:after="0" w:line="30"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674</w:t>
      </w:r>
    </w:p>
    <w:p>
      <w:pPr>
        <w:spacing w:after="0" w:line="37" w:lineRule="exact"/>
        <w:rPr>
          <w:rFonts w:ascii="Times New Roman" w:cs="Times New Roman" w:eastAsia="Times New Roman" w:hAnsi="Times New Roman"/>
          <w:sz w:val="12"/>
          <w:szCs w:val="12"/>
          <w:color w:val="auto"/>
        </w:rPr>
      </w:pPr>
    </w:p>
    <w:p>
      <w:pPr>
        <w:ind w:left="5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4235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354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8890</wp:posOffset>
            </wp:positionV>
            <wp:extent cx="42354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3545" cy="6985"/>
                    </a:xfrm>
                    <a:prstGeom prst="rect">
                      <a:avLst/>
                    </a:prstGeom>
                    <a:noFill/>
                  </pic:spPr>
                </pic:pic>
              </a:graphicData>
            </a:graphic>
          </wp:anchor>
        </w:drawing>
      </w:r>
    </w:p>
    <w:p>
      <w:pPr>
        <w:ind w:left="480" w:hanging="471"/>
        <w:spacing w:after="0"/>
        <w:tabs>
          <w:tab w:leader="none" w:pos="4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690</w:t>
      </w:r>
    </w:p>
    <w:p>
      <w:pPr>
        <w:spacing w:after="0" w:line="185"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4"/>
          <w:szCs w:val="14"/>
          <w:color w:val="auto"/>
        </w:rPr>
        <w:t>8</w:t>
      </w:r>
    </w:p>
    <w:p>
      <w:pPr>
        <w:spacing w:after="0" w:line="14"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4"/>
          <w:szCs w:val="14"/>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42354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3545" cy="6985"/>
                    </a:xfrm>
                    <a:prstGeom prst="rect">
                      <a:avLst/>
                    </a:prstGeom>
                    <a:noFill/>
                  </pic:spPr>
                </pic:pic>
              </a:graphicData>
            </a:graphic>
          </wp:anchor>
        </w:drawing>
      </w:r>
    </w:p>
    <w:p>
      <w:pPr>
        <w:ind w:left="380" w:hanging="371"/>
        <w:spacing w:after="0"/>
        <w:tabs>
          <w:tab w:leader="none" w:pos="3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1,052</w:t>
      </w:r>
    </w:p>
    <w:p>
      <w:pPr>
        <w:spacing w:after="0" w:line="184"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839</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28</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473</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1,340</w:t>
      </w:r>
    </w:p>
    <w:p>
      <w:pPr>
        <w:spacing w:after="0" w:line="13" w:lineRule="exact"/>
        <w:rPr>
          <w:sz w:val="20"/>
          <w:szCs w:val="20"/>
          <w:color w:val="auto"/>
        </w:rPr>
      </w:pPr>
    </w:p>
    <w:p>
      <w:pPr>
        <w:ind w:left="420" w:hanging="411"/>
        <w:spacing w:after="0"/>
        <w:tabs>
          <w:tab w:leader="none" w:pos="4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0.82</w:t>
      </w:r>
    </w:p>
    <w:p>
      <w:pPr>
        <w:spacing w:after="0" w:line="11" w:lineRule="exact"/>
        <w:rPr>
          <w:rFonts w:ascii="Times New Roman" w:cs="Times New Roman" w:eastAsia="Times New Roman" w:hAnsi="Times New Roman"/>
          <w:sz w:val="14"/>
          <w:szCs w:val="14"/>
          <w:color w:val="auto"/>
        </w:rPr>
      </w:pPr>
    </w:p>
    <w:p>
      <w:pPr>
        <w:ind w:left="420" w:hanging="411"/>
        <w:spacing w:after="0"/>
        <w:tabs>
          <w:tab w:leader="none" w:pos="4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0.79</w:t>
      </w:r>
    </w:p>
    <w:p>
      <w:pPr>
        <w:spacing w:after="0" w:line="145" w:lineRule="exact"/>
        <w:rPr>
          <w:sz w:val="20"/>
          <w:szCs w:val="20"/>
          <w:color w:val="auto"/>
        </w:rPr>
      </w:pPr>
    </w:p>
    <w:p>
      <w:pPr>
        <w:sectPr>
          <w:pgSz w:w="11900" w:h="16838" w:orient="portrait"/>
          <w:cols w:equalWidth="0" w:num="2">
            <w:col w:w="7540" w:space="720"/>
            <w:col w:w="1899"/>
          </w:cols>
          <w:pgMar w:left="300" w:top="392" w:right="1440" w:bottom="1440" w:gutter="0" w:footer="0" w:header="0"/>
          <w:type w:val="continuous"/>
        </w:sectPr>
      </w:pPr>
    </w:p>
    <w:p>
      <w:pPr>
        <w:ind w:left="1600" w:hanging="346"/>
        <w:spacing w:after="0"/>
        <w:tabs>
          <w:tab w:leader="none" w:pos="16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There were no anti-dilutive securities for the year ended December 31, 2025, on a pro forma basis.</w:t>
      </w:r>
    </w:p>
    <w:p>
      <w:pPr>
        <w:spacing w:after="0" w:line="3" w:lineRule="exact"/>
        <w:rPr>
          <w:rFonts w:ascii="Times New Roman" w:cs="Times New Roman" w:eastAsia="Times New Roman" w:hAnsi="Times New Roman"/>
          <w:sz w:val="11"/>
          <w:szCs w:val="11"/>
          <w:color w:val="auto"/>
        </w:rPr>
      </w:pPr>
    </w:p>
    <w:p>
      <w:pPr>
        <w:ind w:left="1600" w:right="359" w:hanging="346"/>
        <w:spacing w:after="0" w:line="242" w:lineRule="auto"/>
        <w:tabs>
          <w:tab w:leader="none" w:pos="160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holders of Class B common stock have exchange rights which enable the holders of Class B common stock to exchange Class B common stock for shares of Class A common stock on a one-for-one basis. The exchange rights cause the Class B common stock to be considered dilutive shares for purposes of dilutive income per share calculations.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92" w:right="1440"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99" w:lineRule="exact"/>
        <w:rPr>
          <w:sz w:val="20"/>
          <w:szCs w:val="20"/>
          <w:color w:val="auto"/>
        </w:rPr>
      </w:pPr>
    </w:p>
    <w:p>
      <w:pPr>
        <w:ind w:left="1260" w:right="159" w:firstLine="351"/>
        <w:spacing w:after="0" w:line="293" w:lineRule="auto"/>
        <w:rPr>
          <w:sz w:val="20"/>
          <w:szCs w:val="20"/>
          <w:color w:val="auto"/>
        </w:rPr>
      </w:pPr>
      <w:r>
        <w:rPr>
          <w:rFonts w:ascii="Times New Roman" w:cs="Times New Roman" w:eastAsia="Times New Roman" w:hAnsi="Times New Roman"/>
          <w:sz w:val="14"/>
          <w:szCs w:val="14"/>
          <w:color w:val="auto"/>
        </w:rPr>
        <w:t>Set forth below is a list of the names, ages (as of March 3, 2026) and positions of all directors and executive officers of Medline Inc. at the time of this offering.</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48"/>
        </w:trPr>
        <w:tc>
          <w:tcPr>
            <w:tcW w:w="3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5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63"/>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Boyle</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top w:val="single" w:sz="8" w:color="CCEEFF"/>
            </w:tcBorders>
            <w:shd w:val="clear" w:color="auto" w:fill="CCEEFF"/>
          </w:tcPr>
          <w:p>
            <w:pPr>
              <w:spacing w:after="0"/>
              <w:rPr>
                <w:sz w:val="14"/>
                <w:szCs w:val="14"/>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Alex M. Liberman</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Commercial Officer</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Christopher P. Shryock</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Chief Human Resources Officer</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Amanda H. Laabs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Product Officer</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J. Abrams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Supply Chain Solutions</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Charles N. Mills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Chair of the Board of Directors</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Joseph P. Baratta</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Jacob D. Best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Todd M. Bluedorn</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A. Galanti</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Patrick J. Healy</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J. Mills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R. Schmidt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Anushka M. Sunder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W. Sweet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H. Wise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53"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James M. Boyle </w:t>
      </w:r>
      <w:r>
        <w:rPr>
          <w:rFonts w:ascii="Times New Roman" w:cs="Times New Roman" w:eastAsia="Times New Roman" w:hAnsi="Times New Roman"/>
          <w:sz w:val="14"/>
          <w:szCs w:val="14"/>
          <w:color w:val="auto"/>
        </w:rPr>
        <w:t>has served as our Chief Executive Officer since 2023 and as a member of our board of directors since 2023. Prior to his current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role, 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w:t>
      </w:r>
    </w:p>
    <w:p>
      <w:pPr>
        <w:ind w:left="1260"/>
        <w:spacing w:after="0"/>
        <w:rPr>
          <w:sz w:val="20"/>
          <w:szCs w:val="20"/>
          <w:color w:val="auto"/>
        </w:rPr>
      </w:pPr>
      <w:r>
        <w:rPr>
          <w:rFonts w:ascii="Times New Roman" w:cs="Times New Roman" w:eastAsia="Times New Roman" w:hAnsi="Times New Roman"/>
          <w:sz w:val="14"/>
          <w:szCs w:val="14"/>
          <w:color w:val="auto"/>
        </w:rPr>
        <w:t>Mr. Boyle received his B.S. in Industrial Distribution from Texas A&amp;M University.</w:t>
      </w:r>
    </w:p>
    <w:p>
      <w:pPr>
        <w:spacing w:after="0" w:line="166" w:lineRule="exact"/>
        <w:rPr>
          <w:sz w:val="20"/>
          <w:szCs w:val="20"/>
          <w:color w:val="auto"/>
        </w:rPr>
      </w:pPr>
    </w:p>
    <w:p>
      <w:pPr>
        <w:ind w:left="1260" w:right="219" w:firstLine="351"/>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Michael B. Drazin </w:t>
      </w:r>
      <w:r>
        <w:rPr>
          <w:rFonts w:ascii="Times New Roman" w:cs="Times New Roman" w:eastAsia="Times New Roman" w:hAnsi="Times New Roman"/>
          <w:sz w:val="14"/>
          <w:szCs w:val="14"/>
          <w:color w:val="auto"/>
        </w:rPr>
        <w:t>joined Medline in 2018 as Chief Financial Officer. Prior to joining Medline, Mr. Drazin served as Vice President, Global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FP&amp;A 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 Inc., he served as Group Controller at Click Commerce, Inc., Chief Financial Officer at Presutti Laboratories, Controller at CloudShield Technologies, Inc., Chief Financial Officer at Silicon Valley Internet Capital, and Senior Auditor at Arthur Anderson LLP. Mr. Drazin received his B.S. from Gies College of Business at the University of Illinois at Urbana-Champaign and his M.B.A. from the Kellogg School of Management at Northwestern University.</w:t>
      </w:r>
    </w:p>
    <w:p>
      <w:pPr>
        <w:spacing w:after="0" w:line="315" w:lineRule="exact"/>
        <w:rPr>
          <w:sz w:val="20"/>
          <w:szCs w:val="20"/>
          <w:color w:val="auto"/>
        </w:rPr>
      </w:pPr>
    </w:p>
    <w:p>
      <w:pPr>
        <w:ind w:left="1260" w:right="539" w:firstLine="351"/>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Stephen L. Miller </w:t>
      </w:r>
      <w:r>
        <w:rPr>
          <w:rFonts w:ascii="Times New Roman" w:cs="Times New Roman" w:eastAsia="Times New Roman" w:hAnsi="Times New Roman"/>
          <w:sz w:val="14"/>
          <w:szCs w:val="14"/>
          <w:color w:val="auto"/>
        </w:rPr>
        <w:t>has served as our Chief Operating Officer since January 1, 2025. Mr. Miller joined Medline in 2022 as Executive Vice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President, Supply Chain, a role he held through 2024. Prior to joining Medline, Mr. Miller served as Walmart’s Senior Vice President, Fulfillment Operations from 2020 to 2022 and Vice President, People (U.S. Supply Chain) from 2018 to 2020. Prior to that, he served in various supply chain</w:t>
      </w:r>
    </w:p>
    <w:p>
      <w:pPr>
        <w:spacing w:after="0" w:line="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92"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59"/>
        <w:spacing w:after="0" w:line="293" w:lineRule="auto"/>
        <w:rPr>
          <w:sz w:val="20"/>
          <w:szCs w:val="20"/>
          <w:color w:val="auto"/>
        </w:rPr>
      </w:pPr>
      <w:r>
        <w:rPr>
          <w:rFonts w:ascii="Times New Roman" w:cs="Times New Roman" w:eastAsia="Times New Roman" w:hAnsi="Times New Roman"/>
          <w:sz w:val="14"/>
          <w:szCs w:val="14"/>
          <w:color w:val="auto"/>
        </w:rPr>
        <w:t>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19" w:lineRule="exact"/>
        <w:rPr>
          <w:sz w:val="20"/>
          <w:szCs w:val="20"/>
          <w:color w:val="auto"/>
        </w:rPr>
      </w:pPr>
    </w:p>
    <w:p>
      <w:pPr>
        <w:ind w:left="1260" w:right="119" w:firstLine="351"/>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Alex M. Liberman </w:t>
      </w:r>
      <w:r>
        <w:rPr>
          <w:rFonts w:ascii="Times New Roman" w:cs="Times New Roman" w:eastAsia="Times New Roman" w:hAnsi="Times New Roman"/>
          <w:sz w:val="14"/>
          <w:szCs w:val="14"/>
          <w:color w:val="auto"/>
        </w:rPr>
        <w:t>joined Medline in 1999 as General Counsel and was retitled Chief Legal Officer in 2023. In this role, he oversees several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teams responsible for counseling, dispute resolution, compliance, governance, risk, and regulatory. Mr. Liberman additionally held the title of Assistant Secretary from 1999 to 2023 and Secretary from 2023 to 2024, responsible for enterprise risk management at both the board and operational levels. He built several functions within Medline’s corporate office, including legal, compliance, privacy, sustainability, legal operations, and global secretarial—all of which he oversees—and also was instrumental in developing other corporate functions, including medical affairs and information governance. Prior to joining Medline, Mr. Liberman worked as a partner at Hedlund Hanley &amp; John from 1997 to 1998, where he was previously a Senior Associate from 1992 to 1996. Before Hedlund Hanley &amp; John, he was an associate at Sidley Austin. Mr. Liberman received his B.A. in English from the University of Iowa and his J.D. from the University of Michigan.</w:t>
      </w:r>
    </w:p>
    <w:p>
      <w:pPr>
        <w:spacing w:after="0" w:line="143" w:lineRule="exact"/>
        <w:rPr>
          <w:sz w:val="20"/>
          <w:szCs w:val="20"/>
          <w:color w:val="auto"/>
        </w:rPr>
      </w:pPr>
    </w:p>
    <w:p>
      <w:pPr>
        <w:ind w:left="1260" w:right="199" w:firstLine="351"/>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 xml:space="preserve">Douglas P. Golwas </w:t>
      </w:r>
      <w:r>
        <w:rPr>
          <w:rFonts w:ascii="Times New Roman" w:cs="Times New Roman" w:eastAsia="Times New Roman" w:hAnsi="Times New Roman"/>
          <w:sz w:val="14"/>
          <w:szCs w:val="14"/>
          <w:color w:val="auto"/>
        </w:rPr>
        <w:t>has served as our Chief Commercial Officer since 2023. Mr. Golwas joined Medline in 2008 as a Vice President; during 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career at the Company, he has held various roles, including most recently as Executive Vice President, Acute Care Sales from 2020 to 2023 and Senior Vice President, Corporate Sales from 2015 to 2019.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37" w:lineRule="exact"/>
        <w:rPr>
          <w:sz w:val="20"/>
          <w:szCs w:val="20"/>
          <w:color w:val="auto"/>
        </w:rPr>
      </w:pPr>
    </w:p>
    <w:p>
      <w:pPr>
        <w:jc w:val="both"/>
        <w:ind w:left="1260" w:right="279" w:firstLine="351"/>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Christopher P. Shryock </w:t>
      </w:r>
      <w:r>
        <w:rPr>
          <w:rFonts w:ascii="Times New Roman" w:cs="Times New Roman" w:eastAsia="Times New Roman" w:hAnsi="Times New Roman"/>
          <w:sz w:val="14"/>
          <w:szCs w:val="14"/>
          <w:color w:val="auto"/>
        </w:rPr>
        <w:t>has served as our Chief Human Resources Officer since joining Medline in 2024. Prior to joining Medline, Mr. Shryock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w:t>
      </w:r>
    </w:p>
    <w:p>
      <w:pPr>
        <w:spacing w:after="0" w:line="1" w:lineRule="exact"/>
        <w:rPr>
          <w:sz w:val="20"/>
          <w:szCs w:val="20"/>
          <w:color w:val="auto"/>
        </w:rPr>
      </w:pPr>
    </w:p>
    <w:p>
      <w:pPr>
        <w:ind w:left="1260" w:right="299"/>
        <w:spacing w:after="0" w:line="273" w:lineRule="auto"/>
        <w:rPr>
          <w:sz w:val="20"/>
          <w:szCs w:val="20"/>
          <w:color w:val="auto"/>
        </w:rPr>
      </w:pPr>
      <w:r>
        <w:rPr>
          <w:rFonts w:ascii="Times New Roman" w:cs="Times New Roman" w:eastAsia="Times New Roman" w:hAnsi="Times New Roman"/>
          <w:sz w:val="14"/>
          <w:szCs w:val="14"/>
          <w:color w:val="auto"/>
        </w:rPr>
        <w:t>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33" w:lineRule="exact"/>
        <w:rPr>
          <w:sz w:val="20"/>
          <w:szCs w:val="20"/>
          <w:color w:val="auto"/>
        </w:rPr>
      </w:pPr>
    </w:p>
    <w:p>
      <w:pPr>
        <w:ind w:left="1260" w:right="159" w:firstLine="351"/>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Amanda H. Laabs </w:t>
      </w:r>
      <w:r>
        <w:rPr>
          <w:rFonts w:ascii="Times New Roman" w:cs="Times New Roman" w:eastAsia="Times New Roman" w:hAnsi="Times New Roman"/>
          <w:sz w:val="14"/>
          <w:szCs w:val="14"/>
          <w:color w:val="auto"/>
        </w:rPr>
        <w:t>has served as our Chief Product Officer since January 1, 2025. Ms. Laabs joined Medline in 2006 as part of our medical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textiles 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314"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William J. Abrams </w:t>
      </w:r>
      <w:r>
        <w:rPr>
          <w:rFonts w:ascii="Times New Roman" w:cs="Times New Roman" w:eastAsia="Times New Roman" w:hAnsi="Times New Roman"/>
          <w:sz w:val="14"/>
          <w:szCs w:val="14"/>
          <w:color w:val="auto"/>
        </w:rPr>
        <w:t>has served as our Executive Vice President, Supply Chain Solutions since 2023. Mr. Abrams joined Medline in 2009 as Vice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President of Preferred Healthcare and Executive Vice President of Real Estate &amp; Assets and was promoted to President of the Distributed Products Division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92"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7" w:lineRule="exact"/>
        <w:rPr>
          <w:sz w:val="20"/>
          <w:szCs w:val="20"/>
          <w:color w:val="auto"/>
        </w:rPr>
      </w:pPr>
    </w:p>
    <w:p>
      <w:pPr>
        <w:ind w:left="1260" w:right="419" w:firstLine="351"/>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Charles N. Mills </w:t>
      </w:r>
      <w:r>
        <w:rPr>
          <w:rFonts w:ascii="Times New Roman" w:cs="Times New Roman" w:eastAsia="Times New Roman" w:hAnsi="Times New Roman"/>
          <w:sz w:val="14"/>
          <w:szCs w:val="14"/>
          <w:color w:val="auto"/>
        </w:rPr>
        <w:t>has served as the Chair of our board of directors since 2018 and as a member of our board of directors since 1985. Mr. Mills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our Chief Executive Officer from 1997 to 2023. He joined Medline in 1986 as a sales representative and has since held various positions within the company, including sales management, Vice President of Marketing, and Vice President of Manufacturing. Prior to joining Medline,</w:t>
      </w:r>
    </w:p>
    <w:p>
      <w:pPr>
        <w:spacing w:after="0" w:line="1" w:lineRule="exact"/>
        <w:rPr>
          <w:sz w:val="20"/>
          <w:szCs w:val="20"/>
          <w:color w:val="auto"/>
        </w:rPr>
      </w:pPr>
    </w:p>
    <w:p>
      <w:pPr>
        <w:ind w:left="1260" w:right="179"/>
        <w:spacing w:after="0" w:line="264" w:lineRule="auto"/>
        <w:rPr>
          <w:sz w:val="20"/>
          <w:szCs w:val="20"/>
          <w:color w:val="auto"/>
        </w:rPr>
      </w:pPr>
      <w:r>
        <w:rPr>
          <w:rFonts w:ascii="Times New Roman" w:cs="Times New Roman" w:eastAsia="Times New Roman" w:hAnsi="Times New Roman"/>
          <w:sz w:val="14"/>
          <w:szCs w:val="14"/>
          <w:color w:val="auto"/>
        </w:rPr>
        <w:t>Mr. Mills was a sales representative with IBM. Mr. Mills 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40" w:lineRule="exact"/>
        <w:rPr>
          <w:sz w:val="20"/>
          <w:szCs w:val="20"/>
          <w:color w:val="auto"/>
        </w:rPr>
      </w:pPr>
    </w:p>
    <w:p>
      <w:pPr>
        <w:ind w:left="1260" w:right="259" w:firstLine="351"/>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Joseph P. Baratta </w:t>
      </w:r>
      <w:r>
        <w:rPr>
          <w:rFonts w:ascii="Times New Roman" w:cs="Times New Roman" w:eastAsia="Times New Roman" w:hAnsi="Times New Roman"/>
          <w:sz w:val="14"/>
          <w:szCs w:val="14"/>
          <w:color w:val="auto"/>
        </w:rPr>
        <w:t>has served as a member of our board of directors since 2021. Mr. Baratta is the Global Head of Blackstone Private Equity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Strategies and a member of 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or observer on the boards of Ancestry, Candle Media, Merlin Entertainments Group, and SESAC.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40" w:lineRule="exact"/>
        <w:rPr>
          <w:sz w:val="20"/>
          <w:szCs w:val="20"/>
          <w:color w:val="auto"/>
        </w:rPr>
      </w:pPr>
    </w:p>
    <w:p>
      <w:pPr>
        <w:ind w:left="1260" w:right="259" w:firstLine="351"/>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Jacob D. Best </w:t>
      </w:r>
      <w:r>
        <w:rPr>
          <w:rFonts w:ascii="Times New Roman" w:cs="Times New Roman" w:eastAsia="Times New Roman" w:hAnsi="Times New Roman"/>
          <w:sz w:val="14"/>
          <w:szCs w:val="14"/>
          <w:color w:val="auto"/>
        </w:rPr>
        <w:t>has served as a member of our board of directors since 2021. Mr. Best is a Partner at H&amp;F, where he leads Healthcare investing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activities in North America. Mr. Best joined H&amp;F in 2009 and re-joined the firm in 2016. He is active in H&amp;F’s investments in PointClickCare and athenahealth. Mr. Best was formerly a Director of Associated Materials, Goodman Global, Snap One, and Ellucian, and was active in H&amp;F’s investments in Verisure. Prior to re-joining H&amp;F, Mr. Best worked as the Chief of Staff at Change Healthcare (formerly Emdeon) and the Head of Medical Networks at Grand Rounds. Prior to H&amp;F, Mr. Best worked at Bain &amp; Company in New York. Mr. Best received his B.A. from the University of Virginia and his M.B.A. from the Stanford University Graduate School of Business, where he was an Arjay Miller Scholar.</w:t>
      </w:r>
    </w:p>
    <w:p>
      <w:pPr>
        <w:spacing w:after="0" w:line="139" w:lineRule="exact"/>
        <w:rPr>
          <w:sz w:val="20"/>
          <w:szCs w:val="20"/>
          <w:color w:val="auto"/>
        </w:rPr>
      </w:pPr>
    </w:p>
    <w:p>
      <w:pPr>
        <w:ind w:left="1260" w:right="139" w:firstLine="351"/>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Todd M. Bluedorn </w:t>
      </w:r>
      <w:r>
        <w:rPr>
          <w:rFonts w:ascii="Times New Roman" w:cs="Times New Roman" w:eastAsia="Times New Roman" w:hAnsi="Times New Roman"/>
          <w:sz w:val="14"/>
          <w:szCs w:val="14"/>
          <w:color w:val="auto"/>
        </w:rPr>
        <w:t>has served as a member of our board of directors since 2025. Mr. Bluedorn served as Vice Chair of Madison Industries,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privately held industrial company, from 2022 to 2023. Prior to that, he was Chief Executive Officer of Lennox International Inc. (“Lennox”), a climate control solutions provider, from 2007 to 2022 and served as chair of the board of Lennox from 2012 to 2022. Prior to Lennox, Mr. Bluedorn held several senior management positions at United Technologies Corporation from 1995 to 2007 and started his career with McKinsey &amp; Company, where he worked from 1992 to 1995. Mr. Bluedorn served on the board of directors of Eaton Corporation, a global power management company, from 2010 to April 2020. He has served on the board of directors of Texas Instruments, a global semiconductor company, since 2017, where he is the chair of the governance and stockholder relations committee, and Samsara Inc., a connected cloud operations software company, since 2023, where he is a member of the compensation committee and the nominating and corporate governance committee. Mr. Bluedorn received his B.S. in electrical engineering from The United States Military Academy at West Point and his M.B.A from Harvard Business School.</w:t>
      </w:r>
    </w:p>
    <w:p>
      <w:pPr>
        <w:spacing w:after="0" w:line="140" w:lineRule="exact"/>
        <w:rPr>
          <w:sz w:val="20"/>
          <w:szCs w:val="20"/>
          <w:color w:val="auto"/>
        </w:rPr>
      </w:pPr>
    </w:p>
    <w:p>
      <w:pPr>
        <w:ind w:left="1260" w:right="299" w:firstLine="351"/>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Richard A. Galanti </w:t>
      </w:r>
      <w:r>
        <w:rPr>
          <w:rFonts w:ascii="Times New Roman" w:cs="Times New Roman" w:eastAsia="Times New Roman" w:hAnsi="Times New Roman"/>
          <w:sz w:val="14"/>
          <w:szCs w:val="14"/>
          <w:color w:val="auto"/>
        </w:rPr>
        <w:t>has served as a member of our board of directors since 2025. Mr. Galanti was Executive Vice President and Chief Financial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Officer of Costco Wholesale Corporation, a multibillion-dollar global retailer, from October 1993 to March 2024, and Executive Vice President of Costco Wholesale from March 2024 to January 2025. Mr. Galanti joined Costco Wholesale in March 1984 as Vice President of Finance. Mr. Galanti currently serves on the board of directors of Affirm Holdings, Inc., and he served on the board of directors of Costco Wholesale from January 1995 to January 2025. Mr. Galanti received his B.S. in economics from The Wharton School at the University of Pennsylvania and his M.B.A. from Stanford University.</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92"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7"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Patrick J. Healy </w:t>
      </w:r>
      <w:r>
        <w:rPr>
          <w:rFonts w:ascii="Times New Roman" w:cs="Times New Roman" w:eastAsia="Times New Roman" w:hAnsi="Times New Roman"/>
          <w:sz w:val="14"/>
          <w:szCs w:val="14"/>
          <w:color w:val="auto"/>
        </w:rPr>
        <w:t>has served as a member of our board of directors since 2025. Mr. Healy is the Chief Executive Officer of H&amp;F. He is also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member of H&amp;F’s Investment Committee and the Chairman of its Compensation Committee. Mr. Healy joined H&amp;F in 1994. He is currently a Director of Verisure (Securitas Direct) and Global Music Rights (GMR). His previous investment activities include: Action, Allfunds, AutoScout24, Axel Springer, CarProof, Digitas, DoubleClick, Formula One, Gartmore Investment Management, Gaztransport &amp; Technigaz, Hostelworld (Web Reservations), Iris Software, Mondrian Investment Partners, Nasdaq, National Information Consortium, Nets, Neverfail Springwater, Nielsen, PowerBar, ProSiebenSat.1 Media SE, Scout24, SimpliSafe, TeamSystem, VoiceStream Wireless, Wood Mackenzie, and Young &amp; Rubicam. Prior to H&amp;F, Mr. Healy was employed by James D. Wolfensohn Incorporated in New York and Consolidated Press Holdings in Australia. Mr. Healy started his career stocking paint and sundries at Schoening’s Paint and Wallpaper in Rockford, IL. Mr. Healy received his B.A. from Harvard College and his M.B.A. from Harvard Business School.</w:t>
      </w:r>
    </w:p>
    <w:p>
      <w:pPr>
        <w:spacing w:after="0" w:line="316" w:lineRule="exact"/>
        <w:rPr>
          <w:sz w:val="20"/>
          <w:szCs w:val="20"/>
          <w:color w:val="auto"/>
        </w:rPr>
      </w:pPr>
    </w:p>
    <w:p>
      <w:pPr>
        <w:ind w:left="1260" w:right="139" w:firstLine="351"/>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Andrew J. Mills </w:t>
      </w:r>
      <w:r>
        <w:rPr>
          <w:rFonts w:ascii="Times New Roman" w:cs="Times New Roman" w:eastAsia="Times New Roman" w:hAnsi="Times New Roman"/>
          <w:sz w:val="14"/>
          <w:szCs w:val="14"/>
          <w:color w:val="auto"/>
        </w:rPr>
        <w:t>has served as a member of our board of directors since 1985 and served as our President from 1997 to 2023. Mr. Mills is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Chief 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in 2023. Mr. Mills holds 22 granted patents and has three pending. Before joining Medline, he worked in brand management for Procter &amp; Gamble. Mr. Mills received his B.S. from Tulane University and his M.B.A. from the Kellogg School of Management at Northwestern University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314" w:lineRule="exact"/>
        <w:rPr>
          <w:sz w:val="20"/>
          <w:szCs w:val="20"/>
          <w:color w:val="auto"/>
        </w:rPr>
      </w:pPr>
    </w:p>
    <w:p>
      <w:pPr>
        <w:ind w:left="1260" w:right="259" w:firstLine="351"/>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Robert R. Schmidt </w:t>
      </w:r>
      <w:r>
        <w:rPr>
          <w:rFonts w:ascii="Times New Roman" w:cs="Times New Roman" w:eastAsia="Times New Roman" w:hAnsi="Times New Roman"/>
          <w:sz w:val="14"/>
          <w:szCs w:val="14"/>
          <w:color w:val="auto"/>
        </w:rPr>
        <w:t>has served as a member of our board of directors since 2021. Mr. Schmidt is a Partner and Global Co-Head of Healthcare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Carlyle. He joined Carlyle in 2011 and has been involved in a number of the firm’s investments globally. He is currently a member of the Board of Directors of Included Health, MedRisk, Resonetics, Unchained Labs, and Vantive,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 Mr. Schmidt received his B.S. in economics from The Wharton School at the University of Pennsylvania and his M.B.A. from Harvard Business School. He currently serves as a member of the University of Pennsylvania’s External Advisory Board at the Leonard Davis Institute of Health Economics.</w:t>
      </w:r>
    </w:p>
    <w:p>
      <w:pPr>
        <w:spacing w:after="0" w:line="142" w:lineRule="exact"/>
        <w:rPr>
          <w:sz w:val="20"/>
          <w:szCs w:val="20"/>
          <w:color w:val="auto"/>
        </w:rPr>
      </w:pPr>
    </w:p>
    <w:p>
      <w:pPr>
        <w:ind w:left="1260" w:right="239" w:firstLine="351"/>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Anushka M. Sunder </w:t>
      </w:r>
      <w:r>
        <w:rPr>
          <w:rFonts w:ascii="Times New Roman" w:cs="Times New Roman" w:eastAsia="Times New Roman" w:hAnsi="Times New Roman"/>
          <w:sz w:val="14"/>
          <w:szCs w:val="14"/>
          <w:color w:val="auto"/>
        </w:rPr>
        <w:t>has served as a member of our board of directors since 2021. Ms. Sunder is a Senior Managing Director at Blackstone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Head of Healthcare Private Equity North America. She leads investments in the Business Services and Healthcare sectors and previously spent time in technology and consumer. Ms. Sunder joined Blackstone in 2013 and is a Director of Advarra, Allied, CoreTrust, Precision Medicine Group, TeamHealth, and Optiv and previously served as a Director of Blue Yonder and HealthEdge. She has also been actively involved in Blackstone’s investments in Signature Aviation and NCR. She is Executive Sponsor of Blackstone’s Women’s Initiative. Before joining Blackstone, Ms. Sunder was at TPG Capital and at Goldman Sachs in the Financial Institutions Group. Ms. Sunder received her B.A. from Harvard College, where she graduated magna cum laude and Phi Beta Kappa, and her M.B.A. from Harvard Business School.</w:t>
      </w:r>
    </w:p>
    <w:p>
      <w:pPr>
        <w:spacing w:after="0" w:line="142" w:lineRule="exact"/>
        <w:rPr>
          <w:sz w:val="20"/>
          <w:szCs w:val="20"/>
          <w:color w:val="auto"/>
        </w:rPr>
      </w:pPr>
    </w:p>
    <w:p>
      <w:pPr>
        <w:ind w:left="1260" w:right="179" w:firstLine="351"/>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Thomas W. Sweet </w:t>
      </w:r>
      <w:r>
        <w:rPr>
          <w:rFonts w:ascii="Times New Roman" w:cs="Times New Roman" w:eastAsia="Times New Roman" w:hAnsi="Times New Roman"/>
          <w:sz w:val="14"/>
          <w:szCs w:val="14"/>
          <w:color w:val="auto"/>
        </w:rPr>
        <w:t>has served as a member of our board of directors since 2024. Mr. Sweet was Chief Financial Officer of Dell Technologies,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global 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 2014. Prior to joining Dell, Mr. Sweet was vice president of accounting and finance for Telos Corporation, a cyber, cloud, and enterprise security company, and before that he spent 13 years with Pricewaterhouse providing</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9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99"/>
        <w:spacing w:after="0" w:line="275" w:lineRule="auto"/>
        <w:rPr>
          <w:sz w:val="20"/>
          <w:szCs w:val="20"/>
          <w:color w:val="auto"/>
        </w:rPr>
      </w:pPr>
      <w:r>
        <w:rPr>
          <w:rFonts w:ascii="Times New Roman" w:cs="Times New Roman" w:eastAsia="Times New Roman" w:hAnsi="Times New Roman"/>
          <w:sz w:val="14"/>
          <w:szCs w:val="14"/>
          <w:color w:val="auto"/>
        </w:rPr>
        <w:t>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31"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Stephen H. Wise </w:t>
      </w:r>
      <w:r>
        <w:rPr>
          <w:rFonts w:ascii="Times New Roman" w:cs="Times New Roman" w:eastAsia="Times New Roman" w:hAnsi="Times New Roman"/>
          <w:sz w:val="14"/>
          <w:szCs w:val="14"/>
          <w:color w:val="auto"/>
        </w:rPr>
        <w:t>has served as a member of our board of directors since 2021. Mr. Wise is a Partner and Co-Head of Americas Corporate Private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Sedgwick, and Vantive. He serves on the Board of Dean’s Advisors for Harvard Business School, the Board of Dean’s Advisors for the Harvard School of Public Health, and the Board of Trustees for Bucknell University.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Boston-based private equity firm, and prior to that, in the leveraged finance group of Credit Suisse. Mr. Wise earned a B.A. in economics and finance from Bucknell University and received his M.B.A. from Harvard Business School.</w:t>
      </w: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Composition of the Board of Directors</w:t>
      </w:r>
    </w:p>
    <w:p>
      <w:pPr>
        <w:spacing w:after="0" w:line="99"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Our business and affairs are managed under the direction of our board of directors. In addition, we entered into separate director nomination agreements with the Designating Stockholders in connection with our IPO. These agreements grant the Designating Stockholders the right to designate an agreed number of individuals to our board of directors subject to the maintenance of certain ownership requirements in us. See “Certain Relationships and Related Person Transactions—Director Nomination Agreements.”</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9" w:lineRule="exact"/>
        <w:rPr>
          <w:sz w:val="20"/>
          <w:szCs w:val="20"/>
          <w:color w:val="auto"/>
        </w:rPr>
      </w:pPr>
    </w:p>
    <w:p>
      <w:pPr>
        <w:ind w:left="1260" w:right="579" w:firstLine="351"/>
        <w:spacing w:after="0" w:line="293" w:lineRule="auto"/>
        <w:rPr>
          <w:sz w:val="20"/>
          <w:szCs w:val="20"/>
          <w:color w:val="auto"/>
        </w:rPr>
      </w:pPr>
      <w:r>
        <w:rPr>
          <w:rFonts w:ascii="Times New Roman" w:cs="Times New Roman" w:eastAsia="Times New Roman" w:hAnsi="Times New Roman"/>
          <w:sz w:val="14"/>
          <w:szCs w:val="14"/>
          <w:color w:val="auto"/>
        </w:rPr>
        <w:t>Our board of directors has affirmatively determined that each of Mr. Baratta, Mr. Best, Mr. Bluedorn, Mr. Galanti, Mr. Healy, Mr. Schmidt, Ms. Sunder, Mr. Sweet, and Mr. Wise qualify as independent directors under Nasdaq listing standards.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Background and Experience of Directors</w:t>
      </w:r>
    </w:p>
    <w:p>
      <w:pPr>
        <w:spacing w:after="0" w:line="99" w:lineRule="exact"/>
        <w:rPr>
          <w:sz w:val="20"/>
          <w:szCs w:val="20"/>
          <w:color w:val="auto"/>
        </w:rPr>
      </w:pPr>
    </w:p>
    <w:p>
      <w:pPr>
        <w:ind w:left="1260" w:right="179" w:firstLine="351"/>
        <w:spacing w:after="0" w:line="265" w:lineRule="auto"/>
        <w:rPr>
          <w:sz w:val="20"/>
          <w:szCs w:val="20"/>
          <w:color w:val="auto"/>
        </w:rPr>
      </w:pPr>
      <w:r>
        <w:rPr>
          <w:rFonts w:ascii="Times New Roman" w:cs="Times New Roman" w:eastAsia="Times New Roman" w:hAnsi="Times New Roman"/>
          <w:sz w:val="14"/>
          <w:szCs w:val="14"/>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69" w:lineRule="exact"/>
        <w:rPr>
          <w:sz w:val="20"/>
          <w:szCs w:val="20"/>
          <w:color w:val="auto"/>
        </w:rPr>
      </w:pPr>
    </w:p>
    <w:p>
      <w:pPr>
        <w:ind w:left="2020" w:right="279" w:hanging="335"/>
        <w:spacing w:after="0" w:line="293" w:lineRule="auto"/>
        <w:tabs>
          <w:tab w:leader="none" w:pos="2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Boyle—our board of directors considered Mr. Boyle’s perspective, experience, and thorough knowledge of our industry as our Chief Executive Officer.</w:t>
      </w:r>
    </w:p>
    <w:p>
      <w:pPr>
        <w:spacing w:after="0" w:line="48" w:lineRule="exact"/>
        <w:rPr>
          <w:rFonts w:ascii="Times New Roman" w:cs="Times New Roman" w:eastAsia="Times New Roman" w:hAnsi="Times New Roman"/>
          <w:sz w:val="14"/>
          <w:szCs w:val="14"/>
          <w:color w:val="auto"/>
        </w:rPr>
      </w:pPr>
    </w:p>
    <w:p>
      <w:pPr>
        <w:ind w:left="2020" w:right="199" w:hanging="335"/>
        <w:spacing w:after="0" w:line="275" w:lineRule="auto"/>
        <w:tabs>
          <w:tab w:leader="none" w:pos="2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 Mills—our board of directors considered Mr. C. Mills’ extensive industry knowledge, management expertise, and business experience, particularly from his former role as Medline’s Chief Executive Officer. The Mills Family designated Mr. C. Mills to our board of directors pursuant to its director nomination agreement.</w:t>
      </w:r>
    </w:p>
    <w:p>
      <w:pPr>
        <w:spacing w:after="0" w:line="59" w:lineRule="exact"/>
        <w:rPr>
          <w:rFonts w:ascii="Times New Roman" w:cs="Times New Roman" w:eastAsia="Times New Roman" w:hAnsi="Times New Roman"/>
          <w:sz w:val="14"/>
          <w:szCs w:val="14"/>
          <w:color w:val="auto"/>
        </w:rPr>
      </w:pPr>
    </w:p>
    <w:p>
      <w:pPr>
        <w:ind w:left="2020" w:right="599" w:hanging="335"/>
        <w:spacing w:after="0" w:line="293" w:lineRule="auto"/>
        <w:tabs>
          <w:tab w:leader="none" w:pos="2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Baratta—our board of directors considered Mr. Baratta’s extensive financial, management, and investment experience from his involvement at Blackstone, including as the Global Head of Private</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92"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40" w:right="479"/>
        <w:spacing w:after="0" w:line="293" w:lineRule="auto"/>
        <w:rPr>
          <w:sz w:val="20"/>
          <w:szCs w:val="20"/>
          <w:color w:val="auto"/>
        </w:rPr>
      </w:pPr>
      <w:r>
        <w:rPr>
          <w:rFonts w:ascii="Times New Roman" w:cs="Times New Roman" w:eastAsia="Times New Roman" w:hAnsi="Times New Roman"/>
          <w:sz w:val="14"/>
          <w:szCs w:val="14"/>
          <w:color w:val="auto"/>
        </w:rPr>
        <w:t>Equity, and his service on the boards of various companies across multiple sectors. Blackstone designated Mr. Baratta to our board of directors pursuant to its director nomination agreement.</w:t>
      </w:r>
    </w:p>
    <w:p>
      <w:pPr>
        <w:spacing w:after="0" w:line="48" w:lineRule="exact"/>
        <w:rPr>
          <w:sz w:val="20"/>
          <w:szCs w:val="20"/>
          <w:color w:val="auto"/>
        </w:rPr>
      </w:pPr>
    </w:p>
    <w:p>
      <w:pPr>
        <w:ind w:left="2020" w:right="279" w:hanging="335"/>
        <w:spacing w:after="0" w:line="275"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Best—our board of directors considered Mr. Best’s significant financial, management, and investment experience from his involvement at H&amp;F, including as a Partner, as well as his thorough knowledge of our industry. H&amp;F designated Mr. Best to our board of directors pursuant to its director nomination agreement.</w:t>
      </w:r>
    </w:p>
    <w:p>
      <w:pPr>
        <w:spacing w:after="0" w:line="59" w:lineRule="exact"/>
        <w:rPr>
          <w:rFonts w:ascii="Times New Roman" w:cs="Times New Roman" w:eastAsia="Times New Roman" w:hAnsi="Times New Roman"/>
          <w:sz w:val="14"/>
          <w:szCs w:val="14"/>
          <w:color w:val="auto"/>
        </w:rPr>
      </w:pPr>
    </w:p>
    <w:p>
      <w:pPr>
        <w:ind w:left="2020" w:right="199" w:hanging="335"/>
        <w:spacing w:after="0" w:line="293"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Bluedorn—our board of directors considered Mr. Bluedorn’s significant management expertise and business experience, including his time as Chief Executive Officer of Lennox and his service on the boards of multiple companies.</w:t>
      </w:r>
    </w:p>
    <w:p>
      <w:pPr>
        <w:spacing w:after="0" w:line="48" w:lineRule="exact"/>
        <w:rPr>
          <w:rFonts w:ascii="Times New Roman" w:cs="Times New Roman" w:eastAsia="Times New Roman" w:hAnsi="Times New Roman"/>
          <w:sz w:val="14"/>
          <w:szCs w:val="14"/>
          <w:color w:val="auto"/>
        </w:rPr>
      </w:pPr>
    </w:p>
    <w:p>
      <w:pPr>
        <w:ind w:left="2020" w:right="299" w:hanging="335"/>
        <w:spacing w:after="0" w:line="293"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Galanti—our board of directors considered Mr. Galanti’s significant finance and financial reporting experience, specifically as Chief Financial Officer of Costco Wholesale.</w:t>
      </w:r>
    </w:p>
    <w:p>
      <w:pPr>
        <w:spacing w:after="0" w:line="48" w:lineRule="exact"/>
        <w:rPr>
          <w:rFonts w:ascii="Times New Roman" w:cs="Times New Roman" w:eastAsia="Times New Roman" w:hAnsi="Times New Roman"/>
          <w:sz w:val="14"/>
          <w:szCs w:val="14"/>
          <w:color w:val="auto"/>
        </w:rPr>
      </w:pPr>
    </w:p>
    <w:p>
      <w:pPr>
        <w:ind w:left="2020" w:right="219" w:hanging="335"/>
        <w:spacing w:after="0" w:line="275"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Healy—our board of directors considered Mr. Healy’s extensive financial, management, and investment experience, particularly from his role as Chief Executive Officer of H&amp;F and his service on the boards of various companies across multiple sectors. H&amp;F designated Mr. Healy to our board of directors pursuant to its director nomination agreement.</w:t>
      </w:r>
    </w:p>
    <w:p>
      <w:pPr>
        <w:spacing w:after="0" w:line="59" w:lineRule="exact"/>
        <w:rPr>
          <w:rFonts w:ascii="Times New Roman" w:cs="Times New Roman" w:eastAsia="Times New Roman" w:hAnsi="Times New Roman"/>
          <w:sz w:val="14"/>
          <w:szCs w:val="14"/>
          <w:color w:val="auto"/>
        </w:rPr>
      </w:pPr>
    </w:p>
    <w:p>
      <w:pPr>
        <w:ind w:left="2020" w:right="279" w:hanging="335"/>
        <w:spacing w:after="0" w:line="275"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 Mills—our board of directors considered Mr. A. Mills’ extensive industry knowledge, management expertise, and business experience, particularly from his former role as President of Medline. The Mills Family designated Mr. A. Mills to our board of directors pursuant to its director nomination agreement.</w:t>
      </w:r>
    </w:p>
    <w:p>
      <w:pPr>
        <w:spacing w:after="0" w:line="59" w:lineRule="exact"/>
        <w:rPr>
          <w:rFonts w:ascii="Times New Roman" w:cs="Times New Roman" w:eastAsia="Times New Roman" w:hAnsi="Times New Roman"/>
          <w:sz w:val="14"/>
          <w:szCs w:val="14"/>
          <w:color w:val="auto"/>
        </w:rPr>
      </w:pPr>
    </w:p>
    <w:p>
      <w:pPr>
        <w:ind w:left="2020" w:right="139" w:hanging="335"/>
        <w:spacing w:after="0" w:line="275"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Schmidt—our board of directors considered Mr. Schmidt’s significant financial, management, and investment experience from his involvement at Carlyle, including as Partner and Global Co-Head of Healthcare, as well as his thorough knowledge of our industry. Carlyle designated Mr. Schmidt to our board of directors pursuant to its director nomination agreement.</w:t>
      </w:r>
    </w:p>
    <w:p>
      <w:pPr>
        <w:spacing w:after="0" w:line="59" w:lineRule="exact"/>
        <w:rPr>
          <w:rFonts w:ascii="Times New Roman" w:cs="Times New Roman" w:eastAsia="Times New Roman" w:hAnsi="Times New Roman"/>
          <w:sz w:val="14"/>
          <w:szCs w:val="14"/>
          <w:color w:val="auto"/>
        </w:rPr>
      </w:pPr>
    </w:p>
    <w:p>
      <w:pPr>
        <w:ind w:left="2020" w:right="279" w:hanging="335"/>
        <w:spacing w:after="0" w:line="268"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 Blackstone designated Ms. Sunder to the board of directors pursuant to its director nomination agreement.</w:t>
      </w:r>
    </w:p>
    <w:p>
      <w:pPr>
        <w:spacing w:after="0" w:line="66" w:lineRule="exact"/>
        <w:rPr>
          <w:rFonts w:ascii="Times New Roman" w:cs="Times New Roman" w:eastAsia="Times New Roman" w:hAnsi="Times New Roman"/>
          <w:sz w:val="14"/>
          <w:szCs w:val="14"/>
          <w:color w:val="auto"/>
        </w:rPr>
      </w:pPr>
    </w:p>
    <w:p>
      <w:pPr>
        <w:ind w:left="2020" w:right="179" w:hanging="335"/>
        <w:spacing w:after="0" w:line="293"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Sweet—our board of directors considered Mr. Sweet’s significant financial and audit experience, including his time as Chief Financial Officer at Dell and his service on the boards of a diverse group of companies.</w:t>
      </w:r>
    </w:p>
    <w:p>
      <w:pPr>
        <w:spacing w:after="0" w:line="48" w:lineRule="exact"/>
        <w:rPr>
          <w:rFonts w:ascii="Times New Roman" w:cs="Times New Roman" w:eastAsia="Times New Roman" w:hAnsi="Times New Roman"/>
          <w:sz w:val="14"/>
          <w:szCs w:val="14"/>
          <w:color w:val="auto"/>
        </w:rPr>
      </w:pPr>
    </w:p>
    <w:p>
      <w:pPr>
        <w:ind w:left="2020" w:right="159" w:hanging="335"/>
        <w:spacing w:after="0" w:line="275" w:lineRule="auto"/>
        <w:tabs>
          <w:tab w:leader="none" w:pos="2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 Carlyle designated Mr. Wise to our board of directors pursuant to its director nomination agreement.</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99" w:lineRule="exact"/>
        <w:rPr>
          <w:sz w:val="20"/>
          <w:szCs w:val="20"/>
          <w:color w:val="auto"/>
        </w:rPr>
      </w:pPr>
    </w:p>
    <w:p>
      <w:pPr>
        <w:ind w:left="1260" w:right="279" w:firstLine="351"/>
        <w:spacing w:after="0" w:line="268" w:lineRule="auto"/>
        <w:rPr>
          <w:sz w:val="20"/>
          <w:szCs w:val="20"/>
          <w:color w:val="auto"/>
        </w:rPr>
      </w:pPr>
      <w:r>
        <w:rPr>
          <w:rFonts w:ascii="Times New Roman" w:cs="Times New Roman" w:eastAsia="Times New Roman" w:hAnsi="Times New Roman"/>
          <w:sz w:val="14"/>
          <w:szCs w:val="14"/>
          <w:color w:val="auto"/>
        </w:rPr>
        <w:t>Our board of directors has the following committees: an audit committee; a compensation committee; a nominating and corporate governance committee; and a risk and compliance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9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01" w:lineRule="exact"/>
        <w:rPr>
          <w:sz w:val="20"/>
          <w:szCs w:val="20"/>
          <w:color w:val="auto"/>
        </w:rPr>
      </w:pPr>
    </w:p>
    <w:p>
      <w:pPr>
        <w:ind w:left="1260" w:right="319" w:firstLine="351"/>
        <w:spacing w:after="0" w:line="293" w:lineRule="auto"/>
        <w:rPr>
          <w:sz w:val="20"/>
          <w:szCs w:val="20"/>
          <w:color w:val="auto"/>
        </w:rPr>
      </w:pPr>
      <w:r>
        <w:rPr>
          <w:rFonts w:ascii="Times New Roman" w:cs="Times New Roman" w:eastAsia="Times New Roman" w:hAnsi="Times New Roman"/>
          <w:sz w:val="14"/>
          <w:szCs w:val="14"/>
          <w:color w:val="auto"/>
        </w:rPr>
        <w:t>Our audit committee consists of Mr. Bluedorn, Mr. Galanti, and Mr. Sweet, with Mr. Sweet serving as chair. Our audit committee is responsible for, among other things:</w:t>
      </w:r>
    </w:p>
    <w:p>
      <w:pPr>
        <w:spacing w:after="0" w:line="48" w:lineRule="exact"/>
        <w:rPr>
          <w:sz w:val="20"/>
          <w:szCs w:val="20"/>
          <w:color w:val="auto"/>
        </w:rPr>
      </w:pPr>
    </w:p>
    <w:p>
      <w:pPr>
        <w:ind w:left="2020" w:hanging="335"/>
        <w:spacing w:after="0"/>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selecting and hiring our independent auditors, and approving the audit and non-audit services to be performed by our independent auditors;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evaluating the qualifications, performance, and independence of our independent auditors;</w:t>
      </w:r>
    </w:p>
    <w:p>
      <w:pPr>
        <w:spacing w:after="0" w:line="108" w:lineRule="exact"/>
        <w:rPr>
          <w:rFonts w:ascii="Times New Roman" w:cs="Times New Roman" w:eastAsia="Times New Roman" w:hAnsi="Times New Roman"/>
          <w:sz w:val="14"/>
          <w:szCs w:val="14"/>
          <w:color w:val="auto"/>
        </w:rPr>
      </w:pPr>
    </w:p>
    <w:p>
      <w:pPr>
        <w:ind w:left="2020" w:right="659" w:hanging="335"/>
        <w:spacing w:after="0" w:line="293" w:lineRule="auto"/>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monitoring the quality and integrity of our financial statements and our accounting and financial reporting;</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monitoring our compliance with legal and regulatory requirements;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adequacy and effectiveness of our internal controls over financial reporting processes;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monitoring the performance of our internal audit function;</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and our independent auditors our annual and quarterly financial statements;</w:t>
      </w:r>
    </w:p>
    <w:p>
      <w:pPr>
        <w:spacing w:after="0" w:line="107" w:lineRule="exact"/>
        <w:rPr>
          <w:rFonts w:ascii="Times New Roman" w:cs="Times New Roman" w:eastAsia="Times New Roman" w:hAnsi="Times New Roman"/>
          <w:sz w:val="14"/>
          <w:szCs w:val="14"/>
          <w:color w:val="auto"/>
        </w:rPr>
      </w:pPr>
    </w:p>
    <w:p>
      <w:pPr>
        <w:ind w:left="2020" w:right="159" w:hanging="335"/>
        <w:spacing w:after="0" w:line="275" w:lineRule="auto"/>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59"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the audit committee report required per SEC rules and regulations to be included in our annual proxy statement.</w:t>
      </w:r>
    </w:p>
    <w:p>
      <w:pPr>
        <w:spacing w:after="0" w:line="183" w:lineRule="exact"/>
        <w:rPr>
          <w:sz w:val="20"/>
          <w:szCs w:val="20"/>
          <w:color w:val="auto"/>
        </w:rPr>
      </w:pPr>
    </w:p>
    <w:p>
      <w:pPr>
        <w:ind w:left="1260" w:right="339" w:firstLine="351"/>
        <w:spacing w:after="0" w:line="264" w:lineRule="auto"/>
        <w:rPr>
          <w:sz w:val="20"/>
          <w:szCs w:val="20"/>
          <w:color w:val="auto"/>
        </w:rPr>
      </w:pPr>
      <w:r>
        <w:rPr>
          <w:rFonts w:ascii="Times New Roman" w:cs="Times New Roman" w:eastAsia="Times New Roman" w:hAnsi="Times New Roman"/>
          <w:sz w:val="14"/>
          <w:szCs w:val="14"/>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IPO registration statement. Mr. Bluedorn, Mr. Galanti, and Mr. Sweet qualify as independent directors under Nasdaq listing standards and the independence standards of Rule 10A-3 of the Exchange Act. In addition, our board of directors has determined that Mr. Galanti and Mr. Sweet are audit committee financial experts within the meaning of Item 407(d) of Regulation S-K under the Securities Act.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01" w:lineRule="exact"/>
        <w:rPr>
          <w:sz w:val="20"/>
          <w:szCs w:val="20"/>
          <w:color w:val="auto"/>
        </w:rPr>
      </w:pPr>
    </w:p>
    <w:p>
      <w:pPr>
        <w:ind w:left="1260" w:right="199" w:firstLine="351"/>
        <w:spacing w:after="0" w:line="293" w:lineRule="auto"/>
        <w:rPr>
          <w:sz w:val="20"/>
          <w:szCs w:val="20"/>
          <w:color w:val="auto"/>
        </w:rPr>
      </w:pPr>
      <w:r>
        <w:rPr>
          <w:rFonts w:ascii="Times New Roman" w:cs="Times New Roman" w:eastAsia="Times New Roman" w:hAnsi="Times New Roman"/>
          <w:sz w:val="14"/>
          <w:szCs w:val="14"/>
          <w:color w:val="auto"/>
        </w:rPr>
        <w:t>Our compensation committee consists of Mr. Best, Mr. Schmidt, and Ms. Sunder, with Ms. Sunder serving as chair. Our compensation committee is responsible for, among other things:</w:t>
      </w:r>
    </w:p>
    <w:p>
      <w:pPr>
        <w:spacing w:after="0" w:line="48" w:lineRule="exact"/>
        <w:rPr>
          <w:sz w:val="20"/>
          <w:szCs w:val="20"/>
          <w:color w:val="auto"/>
        </w:rPr>
      </w:pPr>
    </w:p>
    <w:p>
      <w:pPr>
        <w:ind w:left="2020" w:right="219" w:hanging="335"/>
        <w:spacing w:after="0" w:line="268" w:lineRule="auto"/>
        <w:tabs>
          <w:tab w:leader="none" w:pos="2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66" w:lineRule="exact"/>
        <w:rPr>
          <w:rFonts w:ascii="Times New Roman" w:cs="Times New Roman" w:eastAsia="Times New Roman" w:hAnsi="Times New Roman"/>
          <w:sz w:val="14"/>
          <w:szCs w:val="14"/>
          <w:color w:val="auto"/>
        </w:rPr>
      </w:pPr>
    </w:p>
    <w:p>
      <w:pPr>
        <w:ind w:left="2020" w:right="319" w:hanging="335"/>
        <w:spacing w:after="0" w:line="293" w:lineRule="auto"/>
        <w:tabs>
          <w:tab w:leader="none" w:pos="2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the compensation of our directors;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annually with management our “Compensation Discussion and Analysis” disclosure required by SEC rules;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the compensation committee report required by the SEC to be included in our annual proxy statement; and</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with respect to our equity compensation plans.</w:t>
      </w:r>
    </w:p>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92"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101" w:lineRule="exact"/>
        <w:rPr>
          <w:sz w:val="20"/>
          <w:szCs w:val="20"/>
          <w:color w:val="auto"/>
        </w:rPr>
      </w:pPr>
    </w:p>
    <w:p>
      <w:pPr>
        <w:ind w:left="1260" w:right="239" w:firstLine="351"/>
        <w:spacing w:after="0" w:line="293" w:lineRule="auto"/>
        <w:rPr>
          <w:sz w:val="20"/>
          <w:szCs w:val="20"/>
          <w:color w:val="auto"/>
        </w:rPr>
      </w:pPr>
      <w:r>
        <w:rPr>
          <w:rFonts w:ascii="Times New Roman" w:cs="Times New Roman" w:eastAsia="Times New Roman" w:hAnsi="Times New Roman"/>
          <w:sz w:val="14"/>
          <w:szCs w:val="14"/>
          <w:color w:val="auto"/>
        </w:rPr>
        <w:t>Our nominating and corporate governance committee consists of Mr. Best, Mr. Schmidt, and Ms. Sunder, with Mr. Schmidt serving as chair. The nominating and corporate governance committee is responsible for, among other things:</w:t>
      </w:r>
    </w:p>
    <w:p>
      <w:pPr>
        <w:spacing w:after="0" w:line="48" w:lineRule="exact"/>
        <w:rPr>
          <w:sz w:val="20"/>
          <w:szCs w:val="20"/>
          <w:color w:val="auto"/>
        </w:rPr>
      </w:pPr>
    </w:p>
    <w:p>
      <w:pPr>
        <w:ind w:left="2020" w:hanging="335"/>
        <w:spacing w:after="0"/>
        <w:tabs>
          <w:tab w:leader="none" w:pos="2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our board of directors in identifying prospective director nominees and recommending nominees to the board of directors;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evaluation of the board of directors;</w:t>
      </w:r>
    </w:p>
    <w:p>
      <w:pPr>
        <w:spacing w:after="0" w:line="107" w:lineRule="exact"/>
        <w:rPr>
          <w:rFonts w:ascii="Times New Roman" w:cs="Times New Roman" w:eastAsia="Times New Roman" w:hAnsi="Times New Roman"/>
          <w:sz w:val="14"/>
          <w:szCs w:val="14"/>
          <w:color w:val="auto"/>
        </w:rPr>
      </w:pPr>
    </w:p>
    <w:p>
      <w:pPr>
        <w:ind w:left="2020" w:right="319" w:hanging="335"/>
        <w:spacing w:after="0" w:line="293" w:lineRule="auto"/>
        <w:tabs>
          <w:tab w:leader="none" w:pos="2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developments in corporate governance practices and developing and recommending a set of corporate governance guidelines; and</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members for each committee of our board of directors.</w:t>
      </w:r>
    </w:p>
    <w:p>
      <w:pPr>
        <w:spacing w:after="0" w:line="2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Risk and Compliance Committee</w:t>
      </w:r>
    </w:p>
    <w:p>
      <w:pPr>
        <w:spacing w:after="0" w:line="10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risk and compliance committee consists of Mr. Best, Mr. C. Mills, Mr. Schmidt, Ms. Sunder, and Mr. Sweet, with Mr. Best serving as chair.</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risk and compliance committee is responsible for, among other things:</w:t>
      </w:r>
    </w:p>
    <w:p>
      <w:pPr>
        <w:spacing w:after="0" w:line="94" w:lineRule="exact"/>
        <w:rPr>
          <w:sz w:val="20"/>
          <w:szCs w:val="20"/>
          <w:color w:val="auto"/>
        </w:rPr>
      </w:pPr>
    </w:p>
    <w:p>
      <w:pPr>
        <w:ind w:left="2020" w:right="439" w:hanging="335"/>
        <w:spacing w:after="0" w:line="293" w:lineRule="auto"/>
        <w:tabs>
          <w:tab w:leader="none" w:pos="2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Company’s risk management framework and compliance program as well as infrastructure designed to identify, assess, manage, and monitor the Company’s risks;</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risk management and compliance program policies, guidelines and practices implemented by management;</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allocation of risk oversight responsibilities to the board of directors and its committees; and</w:t>
      </w:r>
    </w:p>
    <w:p>
      <w:pPr>
        <w:spacing w:after="0" w:line="108" w:lineRule="exact"/>
        <w:rPr>
          <w:rFonts w:ascii="Times New Roman" w:cs="Times New Roman" w:eastAsia="Times New Roman" w:hAnsi="Times New Roman"/>
          <w:sz w:val="14"/>
          <w:szCs w:val="14"/>
          <w:color w:val="auto"/>
        </w:rPr>
      </w:pPr>
    </w:p>
    <w:p>
      <w:pPr>
        <w:ind w:left="2020" w:right="439" w:hanging="335"/>
        <w:spacing w:after="0" w:line="293" w:lineRule="auto"/>
        <w:tabs>
          <w:tab w:leader="none" w:pos="2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management’s exercise of its responsibility to manage legal and regulatory compliance and material government and other investigations.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9" w:lineRule="exact"/>
        <w:rPr>
          <w:sz w:val="20"/>
          <w:szCs w:val="20"/>
          <w:color w:val="auto"/>
        </w:rPr>
      </w:pPr>
    </w:p>
    <w:p>
      <w:pPr>
        <w:ind w:left="1260" w:right="339" w:firstLine="351"/>
        <w:spacing w:after="0" w:line="264" w:lineRule="auto"/>
        <w:rPr>
          <w:sz w:val="20"/>
          <w:szCs w:val="20"/>
          <w:color w:val="auto"/>
        </w:rPr>
      </w:pPr>
      <w:r>
        <w:rPr>
          <w:rFonts w:ascii="Times New Roman" w:cs="Times New Roman" w:eastAsia="Times New Roman" w:hAnsi="Times New Roman"/>
          <w:sz w:val="14"/>
          <w:szCs w:val="14"/>
          <w:color w:val="auto"/>
        </w:rPr>
        <w:t>Other than Mr. J.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99"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color w:val="auto"/>
        </w:rPr>
        <w:t>Our Code of Conduct and Ethics applies to all of our officers, directors, and employees, including our principal executive officer, principal financial officer, principal accounting officer, and controller, or persons performing similar functions, and is posted on our website. Our Code of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9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Compensation Discussion and Analysis</w:t>
      </w:r>
    </w:p>
    <w:p>
      <w:pPr>
        <w:spacing w:after="0" w:line="101" w:lineRule="exact"/>
        <w:rPr>
          <w:sz w:val="20"/>
          <w:szCs w:val="20"/>
          <w:color w:val="auto"/>
        </w:rPr>
      </w:pPr>
    </w:p>
    <w:p>
      <w:pPr>
        <w:ind w:left="1260" w:right="199" w:firstLine="351"/>
        <w:spacing w:after="0" w:line="268" w:lineRule="auto"/>
        <w:rPr>
          <w:sz w:val="20"/>
          <w:szCs w:val="20"/>
          <w:color w:val="auto"/>
        </w:rPr>
      </w:pPr>
      <w:r>
        <w:rPr>
          <w:rFonts w:ascii="Times New Roman" w:cs="Times New Roman" w:eastAsia="Times New Roman" w:hAnsi="Times New Roman"/>
          <w:sz w:val="14"/>
          <w:szCs w:val="14"/>
          <w:color w:val="auto"/>
        </w:rPr>
        <w:t>This Compensation Discussion and Analysis provides an overview of our executive compensation philosophy, the overall objectives of our executive compensation program, and each material element of compensation for the fiscal year ended December 31, 2025 that we provided to the following executive officers (whom we refer to as our “Named Executive Officers”), who served in the following principal capacities during fiscal year 2025:</w:t>
      </w:r>
    </w:p>
    <w:p>
      <w:pPr>
        <w:spacing w:after="0" w:line="159" w:lineRule="exact"/>
        <w:rPr>
          <w:sz w:val="20"/>
          <w:szCs w:val="20"/>
          <w:color w:val="auto"/>
        </w:rPr>
      </w:pPr>
    </w:p>
    <w:tbl>
      <w:tblPr>
        <w:tblLayout w:type="fixed"/>
        <w:tblInd w:w="2660" w:type="dxa"/>
        <w:tblCellMar>
          <w:top w:w="0" w:type="dxa"/>
          <w:left w:w="0" w:type="dxa"/>
          <w:bottom w:w="0" w:type="dxa"/>
          <w:right w:w="0" w:type="dxa"/>
        </w:tblCellMar>
      </w:tblPr>
      <w:tr>
        <w:trPr>
          <w:trHeight w:val="138"/>
        </w:trPr>
        <w:tc>
          <w:tcPr>
            <w:tcW w:w="2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780" w:type="dxa"/>
            <w:vAlign w:val="bottom"/>
            <w:gridSpan w:val="3"/>
          </w:tcPr>
          <w:p>
            <w:pPr>
              <w:ind w:left="1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Boyle</w:t>
            </w:r>
          </w:p>
        </w:tc>
        <w:tc>
          <w:tcPr>
            <w:tcW w:w="37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378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3780" w:type="dxa"/>
            <w:vAlign w:val="bottom"/>
            <w:gridSpan w:val="3"/>
            <w:shd w:val="clear" w:color="auto" w:fill="CCEEFF"/>
          </w:tcPr>
          <w:p>
            <w:pPr>
              <w:ind w:left="1100"/>
              <w:spacing w:after="0" w:line="173" w:lineRule="exact"/>
              <w:rPr>
                <w:sz w:val="20"/>
                <w:szCs w:val="20"/>
                <w:color w:val="auto"/>
              </w:rPr>
            </w:pPr>
            <w:r>
              <w:rPr>
                <w:rFonts w:ascii="Times New Roman" w:cs="Times New Roman" w:eastAsia="Times New Roman" w:hAnsi="Times New Roman"/>
                <w:sz w:val="13"/>
                <w:szCs w:val="13"/>
                <w:color w:val="auto"/>
              </w:rPr>
              <w:t>President</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378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Chief Commercial Officer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37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Chief Operating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68580</wp:posOffset>
            </wp:positionV>
            <wp:extent cx="61468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13" w:lineRule="exact"/>
        <w:rPr>
          <w:sz w:val="20"/>
          <w:szCs w:val="20"/>
          <w:color w:val="auto"/>
        </w:rPr>
      </w:pPr>
    </w:p>
    <w:p>
      <w:pPr>
        <w:ind w:left="1600" w:hanging="346"/>
        <w:spacing w:after="0"/>
        <w:tabs>
          <w:tab w:leader="none" w:pos="160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Pigott retired as President of Medline on December 31, 2025.</w:t>
      </w:r>
    </w:p>
    <w:p>
      <w:pPr>
        <w:spacing w:after="0" w:line="167" w:lineRule="exact"/>
        <w:rPr>
          <w:sz w:val="20"/>
          <w:szCs w:val="20"/>
          <w:color w:val="auto"/>
        </w:rPr>
      </w:pPr>
    </w:p>
    <w:p>
      <w:pPr>
        <w:ind w:left="1260" w:right="159" w:firstLine="351"/>
        <w:spacing w:after="0" w:line="260" w:lineRule="auto"/>
        <w:rPr>
          <w:sz w:val="20"/>
          <w:szCs w:val="20"/>
          <w:color w:val="auto"/>
        </w:rPr>
      </w:pPr>
      <w:r>
        <w:rPr>
          <w:rFonts w:ascii="Times New Roman" w:cs="Times New Roman" w:eastAsia="Times New Roman" w:hAnsi="Times New Roman"/>
          <w:sz w:val="14"/>
          <w:szCs w:val="14"/>
          <w:color w:val="auto"/>
        </w:rPr>
        <w:t>The compensation committee of our board of directors (the “Compensation Committee”)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Executive Compensation Objectives and Philosophy</w:t>
      </w:r>
    </w:p>
    <w:p>
      <w:pPr>
        <w:spacing w:after="0" w:line="101" w:lineRule="exact"/>
        <w:rPr>
          <w:sz w:val="20"/>
          <w:szCs w:val="20"/>
          <w:color w:val="auto"/>
        </w:rPr>
      </w:pPr>
    </w:p>
    <w:p>
      <w:pPr>
        <w:ind w:left="1260" w:right="279" w:firstLine="351"/>
        <w:spacing w:after="0" w:line="264" w:lineRule="auto"/>
        <w:rPr>
          <w:sz w:val="20"/>
          <w:szCs w:val="20"/>
          <w:color w:val="auto"/>
        </w:rPr>
      </w:pPr>
      <w:r>
        <w:rPr>
          <w:rFonts w:ascii="Times New Roman" w:cs="Times New Roman" w:eastAsia="Times New Roman" w:hAnsi="Times New Roman"/>
          <w:sz w:val="14"/>
          <w:szCs w:val="14"/>
          <w:color w:val="auto"/>
        </w:rPr>
        <w:t>The goal of our executive compensation program is to create long-term value for our investors while at the same time rewarding our executives for superior financial and operating performance and to support retention in a competitive market environment. We believe the most effective way to achieve these objectives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67" w:lineRule="exact"/>
        <w:rPr>
          <w:sz w:val="20"/>
          <w:szCs w:val="20"/>
          <w:color w:val="auto"/>
        </w:rPr>
      </w:pPr>
    </w:p>
    <w:p>
      <w:pPr>
        <w:jc w:val="both"/>
        <w:ind w:left="2020" w:right="519" w:hanging="335"/>
        <w:spacing w:after="0" w:line="275" w:lineRule="auto"/>
        <w:tabs>
          <w:tab w:leader="none" w:pos="2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Market Competitive</w:t>
      </w:r>
      <w:r>
        <w:rPr>
          <w:rFonts w:ascii="Times New Roman" w:cs="Times New Roman" w:eastAsia="Times New Roman" w:hAnsi="Times New Roman"/>
          <w:sz w:val="14"/>
          <w:szCs w:val="14"/>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59" w:lineRule="exact"/>
        <w:rPr>
          <w:rFonts w:ascii="Times New Roman" w:cs="Times New Roman" w:eastAsia="Times New Roman" w:hAnsi="Times New Roman"/>
          <w:sz w:val="14"/>
          <w:szCs w:val="14"/>
          <w:color w:val="auto"/>
        </w:rPr>
      </w:pPr>
    </w:p>
    <w:p>
      <w:pPr>
        <w:ind w:left="2020" w:right="339" w:hanging="335"/>
        <w:spacing w:after="0" w:line="293" w:lineRule="auto"/>
        <w:tabs>
          <w:tab w:leader="none" w:pos="2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Performance-Based</w:t>
      </w:r>
      <w:r>
        <w:rPr>
          <w:rFonts w:ascii="Times New Roman" w:cs="Times New Roman" w:eastAsia="Times New Roman" w:hAnsi="Times New Roman"/>
          <w:sz w:val="14"/>
          <w:szCs w:val="14"/>
          <w:color w:val="auto"/>
        </w:rPr>
        <w:t>: A significant portion of executive compensation should be performance-based pay that is “at risk,” based on short-term and long-term goals, which reward both organizational and individual performance; and</w:t>
      </w:r>
    </w:p>
    <w:p>
      <w:pPr>
        <w:spacing w:after="0" w:line="48" w:lineRule="exact"/>
        <w:rPr>
          <w:rFonts w:ascii="Times New Roman" w:cs="Times New Roman" w:eastAsia="Times New Roman" w:hAnsi="Times New Roman"/>
          <w:sz w:val="14"/>
          <w:szCs w:val="14"/>
          <w:color w:val="auto"/>
        </w:rPr>
      </w:pPr>
    </w:p>
    <w:p>
      <w:pPr>
        <w:ind w:left="2020" w:right="179" w:hanging="335"/>
        <w:spacing w:after="0" w:line="293" w:lineRule="auto"/>
        <w:tabs>
          <w:tab w:leader="none" w:pos="2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Investor Aligned</w:t>
      </w:r>
      <w:r>
        <w:rPr>
          <w:rFonts w:ascii="Times New Roman" w:cs="Times New Roman" w:eastAsia="Times New Roman" w:hAnsi="Times New Roman"/>
          <w:sz w:val="14"/>
          <w:szCs w:val="14"/>
          <w:color w:val="auto"/>
        </w:rPr>
        <w:t>: Incentives should be structured to create a strong alignment between executives and investors on both a short-term and a long-term basis.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92"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39" w:firstLine="351"/>
        <w:spacing w:after="0" w:line="293" w:lineRule="auto"/>
        <w:rPr>
          <w:sz w:val="20"/>
          <w:szCs w:val="20"/>
          <w:color w:val="auto"/>
        </w:rPr>
      </w:pPr>
      <w:r>
        <w:rPr>
          <w:rFonts w:ascii="Times New Roman" w:cs="Times New Roman" w:eastAsia="Times New Roman" w:hAnsi="Times New Roman"/>
          <w:sz w:val="14"/>
          <w:szCs w:val="14"/>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Process for Determining 2025 Compensation</w:t>
      </w:r>
    </w:p>
    <w:p>
      <w:pPr>
        <w:spacing w:after="0" w:line="101" w:lineRule="exact"/>
        <w:rPr>
          <w:sz w:val="20"/>
          <w:szCs w:val="20"/>
          <w:color w:val="auto"/>
        </w:rPr>
      </w:pPr>
    </w:p>
    <w:p>
      <w:pPr>
        <w:ind w:left="1260" w:right="159" w:firstLine="351"/>
        <w:spacing w:after="0" w:line="264" w:lineRule="auto"/>
        <w:rPr>
          <w:sz w:val="20"/>
          <w:szCs w:val="20"/>
          <w:color w:val="auto"/>
        </w:rPr>
      </w:pPr>
      <w:r>
        <w:rPr>
          <w:rFonts w:ascii="Times New Roman" w:cs="Times New Roman" w:eastAsia="Times New Roman" w:hAnsi="Times New Roman"/>
          <w:sz w:val="14"/>
          <w:szCs w:val="14"/>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43"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of all of our Named Executive Officers (other than the Chief Executive Officer), and the Compensation Committee determines each Named Executive Officer’s compensation at least annually.</w:t>
      </w:r>
    </w:p>
    <w:p>
      <w:pPr>
        <w:spacing w:after="0" w:line="144"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Beginning on August 27, 2024 and with respect to 2025 compensation, the Compensation Committee also reviewed and considered survey and benchmarking data of a comparator group of companies prepared by the Compensation Committee’s compensation consultant, Korn Ferry. The Compensation Committee reviews peer company information and market data to better assess the range of compensation needed to attract, retain, and motivate executive talent in our highly competitive industry.</w:t>
      </w:r>
    </w:p>
    <w:p>
      <w:pPr>
        <w:spacing w:after="0" w:line="149" w:lineRule="exact"/>
        <w:rPr>
          <w:sz w:val="20"/>
          <w:szCs w:val="20"/>
          <w:color w:val="auto"/>
        </w:rPr>
      </w:pPr>
    </w:p>
    <w:p>
      <w:pPr>
        <w:ind w:left="1260" w:right="179" w:firstLine="351"/>
        <w:spacing w:after="0" w:line="264" w:lineRule="auto"/>
        <w:rPr>
          <w:sz w:val="20"/>
          <w:szCs w:val="20"/>
          <w:color w:val="auto"/>
        </w:rPr>
      </w:pPr>
      <w:r>
        <w:rPr>
          <w:rFonts w:ascii="Times New Roman" w:cs="Times New Roman" w:eastAsia="Times New Roman" w:hAnsi="Times New Roman"/>
          <w:sz w:val="14"/>
          <w:szCs w:val="14"/>
          <w:color w:val="auto"/>
        </w:rPr>
        <w:t>For fiscal year 2025, Korn Ferry provided benchmarking data for compensation planning and worked with management and the Compensation Committee on the overall compensation structure for our senior leadership team. As part of its work, Korn Ferry recommended, and the Compensation Committee approved, a peer group that places greater weight on the peer group’s size and performance profile, with a focus on revenue, revenue growth and market performance. In selecting the peer group, the aim was to select the most appropriate companies against which our compensation-related performance should be measured. The peer group for 2025 consisted of sixteen publicly traded companies with revenues between approximately 0.5 to 1.8 times those of Medline.</w:t>
      </w:r>
    </w:p>
    <w:p>
      <w:pPr>
        <w:spacing w:after="0" w:line="164" w:lineRule="exact"/>
        <w:rPr>
          <w:sz w:val="20"/>
          <w:szCs w:val="20"/>
          <w:color w:val="auto"/>
        </w:rPr>
      </w:pPr>
    </w:p>
    <w:tbl>
      <w:tblPr>
        <w:tblLayout w:type="fixed"/>
        <w:tblInd w:w="1620" w:type="dxa"/>
        <w:tblCellMar>
          <w:top w:w="0" w:type="dxa"/>
          <w:left w:w="0" w:type="dxa"/>
          <w:bottom w:w="0" w:type="dxa"/>
          <w:right w:w="0" w:type="dxa"/>
        </w:tblCellMar>
      </w:tblPr>
      <w:tr>
        <w:trPr>
          <w:trHeight w:val="172"/>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3M Company</w:t>
            </w:r>
          </w:p>
        </w:tc>
        <w:tc>
          <w:tcPr>
            <w:tcW w:w="17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Honeywell International Inc.</w:t>
            </w:r>
          </w:p>
        </w:tc>
      </w:tr>
      <w:tr>
        <w:trPr>
          <w:trHeight w:val="172"/>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Abbott Laboratories</w:t>
            </w:r>
          </w:p>
        </w:tc>
        <w:tc>
          <w:tcPr>
            <w:tcW w:w="352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  Illinois Tool Works, Inc.</w:t>
            </w:r>
          </w:p>
        </w:tc>
      </w:tr>
      <w:tr>
        <w:trPr>
          <w:trHeight w:val="172"/>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Baxter International Inc.</w:t>
            </w:r>
          </w:p>
        </w:tc>
        <w:tc>
          <w:tcPr>
            <w:tcW w:w="17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Kimberly-Clark Corporation</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Becton, Dickinson and Company</w:t>
            </w:r>
          </w:p>
        </w:tc>
        <w:tc>
          <w:tcPr>
            <w:tcW w:w="17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Medtronic plc</w:t>
            </w:r>
          </w:p>
        </w:tc>
      </w:tr>
      <w:tr>
        <w:trPr>
          <w:trHeight w:val="172"/>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Colgate-Palmolive Company</w:t>
            </w:r>
          </w:p>
        </w:tc>
        <w:tc>
          <w:tcPr>
            <w:tcW w:w="352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  Owens &amp; Minor, Inc.</w:t>
            </w:r>
          </w:p>
        </w:tc>
      </w:tr>
      <w:tr>
        <w:trPr>
          <w:trHeight w:val="172"/>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Danaher Corporation</w:t>
            </w:r>
          </w:p>
        </w:tc>
        <w:tc>
          <w:tcPr>
            <w:tcW w:w="17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Stryker Corporation</w:t>
            </w: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GE HealthCare Technologies Inc.</w:t>
            </w:r>
          </w:p>
        </w:tc>
        <w:tc>
          <w:tcPr>
            <w:tcW w:w="352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  Thermo Fisher Scientific Inc.</w:t>
            </w:r>
          </w:p>
        </w:tc>
      </w:tr>
      <w:tr>
        <w:trPr>
          <w:trHeight w:val="186"/>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Henry Schein, Inc.</w:t>
            </w:r>
          </w:p>
        </w:tc>
        <w:tc>
          <w:tcPr>
            <w:tcW w:w="17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W.W. Grainger, Inc.</w:t>
            </w:r>
          </w:p>
        </w:tc>
      </w:tr>
      <w:tr>
        <w:trPr>
          <w:trHeight w:val="291"/>
        </w:trPr>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7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65</w:t>
            </w:r>
          </w:p>
        </w:tc>
        <w:tc>
          <w:tcPr>
            <w:tcW w:w="1780" w:type="dxa"/>
            <w:vAlign w:val="bottom"/>
          </w:tcPr>
          <w:p>
            <w:pPr>
              <w:spacing w:after="0"/>
              <w:rPr>
                <w:sz w:val="24"/>
                <w:szCs w:val="24"/>
                <w:color w:val="auto"/>
              </w:rPr>
            </w:pPr>
          </w:p>
        </w:tc>
      </w:tr>
    </w:tbl>
    <w:p>
      <w:pPr>
        <w:sectPr>
          <w:pgSz w:w="11900" w:h="16838" w:orient="portrait"/>
          <w:cols w:equalWidth="0" w:num="1">
            <w:col w:w="10159"/>
          </w:cols>
          <w:pgMar w:left="300" w:top="392"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19" w:firstLine="351"/>
        <w:spacing w:after="0" w:line="268" w:lineRule="auto"/>
        <w:rPr>
          <w:sz w:val="20"/>
          <w:szCs w:val="20"/>
          <w:color w:val="auto"/>
        </w:rPr>
      </w:pPr>
      <w:r>
        <w:rPr>
          <w:rFonts w:ascii="Times New Roman" w:cs="Times New Roman" w:eastAsia="Times New Roman" w:hAnsi="Times New Roman"/>
          <w:sz w:val="14"/>
          <w:szCs w:val="14"/>
          <w:color w:val="auto"/>
        </w:rPr>
        <w:t>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Relationship of Compensation Practices to Risk Management</w:t>
      </w:r>
    </w:p>
    <w:p>
      <w:pPr>
        <w:spacing w:after="0" w:line="101" w:lineRule="exact"/>
        <w:rPr>
          <w:sz w:val="20"/>
          <w:szCs w:val="20"/>
          <w:color w:val="auto"/>
        </w:rPr>
      </w:pPr>
    </w:p>
    <w:p>
      <w:pPr>
        <w:ind w:left="1260" w:right="439" w:firstLine="351"/>
        <w:spacing w:after="0" w:line="293" w:lineRule="auto"/>
        <w:rPr>
          <w:sz w:val="20"/>
          <w:szCs w:val="20"/>
          <w:color w:val="auto"/>
        </w:rPr>
      </w:pPr>
      <w:r>
        <w:rPr>
          <w:rFonts w:ascii="Times New Roman" w:cs="Times New Roman" w:eastAsia="Times New Roman" w:hAnsi="Times New Roman"/>
          <w:sz w:val="14"/>
          <w:szCs w:val="14"/>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48" w:lineRule="exact"/>
        <w:rPr>
          <w:sz w:val="20"/>
          <w:szCs w:val="20"/>
          <w:color w:val="auto"/>
        </w:rPr>
      </w:pPr>
    </w:p>
    <w:p>
      <w:pPr>
        <w:ind w:left="2020" w:hanging="335"/>
        <w:spacing w:after="0"/>
        <w:tabs>
          <w:tab w:leader="none" w:pos="2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Challenging, but attainable goals that are well-defined and communicated;</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variable compensation tied to a mix of financial and operational objectives;</w:t>
      </w:r>
    </w:p>
    <w:p>
      <w:pPr>
        <w:spacing w:after="0" w:line="108" w:lineRule="exact"/>
        <w:rPr>
          <w:rFonts w:ascii="Times New Roman" w:cs="Times New Roman" w:eastAsia="Times New Roman" w:hAnsi="Times New Roman"/>
          <w:sz w:val="14"/>
          <w:szCs w:val="14"/>
          <w:color w:val="auto"/>
        </w:rPr>
      </w:pPr>
    </w:p>
    <w:p>
      <w:pPr>
        <w:ind w:left="2020" w:right="499" w:hanging="335"/>
        <w:spacing w:after="0" w:line="293" w:lineRule="auto"/>
        <w:tabs>
          <w:tab w:leader="none" w:pos="2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Multi-year, overlapping vesting terms for equity awards, and for the Chief Executive Officer, President, and Chief Operating Officer, financial objectives for a portion of outstanding equity awards; and</w:t>
      </w:r>
    </w:p>
    <w:p>
      <w:pPr>
        <w:spacing w:after="0" w:line="48" w:lineRule="exact"/>
        <w:rPr>
          <w:rFonts w:ascii="Times New Roman" w:cs="Times New Roman" w:eastAsia="Times New Roman" w:hAnsi="Times New Roman"/>
          <w:sz w:val="14"/>
          <w:szCs w:val="14"/>
          <w:color w:val="auto"/>
        </w:rPr>
      </w:pPr>
    </w:p>
    <w:p>
      <w:pPr>
        <w:ind w:left="2020" w:right="379" w:hanging="335"/>
        <w:spacing w:after="0" w:line="293" w:lineRule="auto"/>
        <w:tabs>
          <w:tab w:leader="none" w:pos="2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controls in the administration of our plans to ensure performance against established company performance metrics is objectively and independently determined.</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Considerations in Setting 2025 Compensation</w:t>
      </w:r>
    </w:p>
    <w:p>
      <w:pPr>
        <w:spacing w:after="0" w:line="101" w:lineRule="exact"/>
        <w:rPr>
          <w:sz w:val="20"/>
          <w:szCs w:val="20"/>
          <w:color w:val="auto"/>
        </w:rPr>
      </w:pPr>
    </w:p>
    <w:p>
      <w:pPr>
        <w:ind w:left="1260" w:right="159" w:firstLine="351"/>
        <w:spacing w:after="0" w:line="264" w:lineRule="auto"/>
        <w:rPr>
          <w:sz w:val="20"/>
          <w:szCs w:val="20"/>
          <w:color w:val="auto"/>
        </w:rPr>
      </w:pPr>
      <w:r>
        <w:rPr>
          <w:rFonts w:ascii="Times New Roman" w:cs="Times New Roman" w:eastAsia="Times New Roman" w:hAnsi="Times New Roman"/>
          <w:sz w:val="14"/>
          <w:szCs w:val="14"/>
          <w:color w:val="auto"/>
        </w:rPr>
        <w:t>The 2025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2025 compensation of our Named Executive Officers was competitive while at the same time being responsible to our stockholders because a significant percentage of total compensation in 2025 was allocated to variable compensation. This variable compensation is paid only upon achievement of Company performance objectives and individual Named Executive Officer goals that contribute to the creation of stockholder value.</w:t>
      </w:r>
    </w:p>
    <w:p>
      <w:pPr>
        <w:spacing w:after="0" w:line="143" w:lineRule="exact"/>
        <w:rPr>
          <w:sz w:val="20"/>
          <w:szCs w:val="20"/>
          <w:color w:val="auto"/>
        </w:rPr>
      </w:pPr>
    </w:p>
    <w:p>
      <w:pPr>
        <w:ind w:left="1260" w:right="579" w:firstLine="351"/>
        <w:spacing w:after="0" w:line="293" w:lineRule="auto"/>
        <w:rPr>
          <w:sz w:val="20"/>
          <w:szCs w:val="20"/>
          <w:color w:val="auto"/>
        </w:rPr>
      </w:pPr>
      <w:r>
        <w:rPr>
          <w:rFonts w:ascii="Times New Roman" w:cs="Times New Roman" w:eastAsia="Times New Roman" w:hAnsi="Times New Roman"/>
          <w:sz w:val="14"/>
          <w:szCs w:val="14"/>
          <w:color w:val="auto"/>
        </w:rPr>
        <w:t>The following is a summary of key considerations that affected the development of 2025 compensation decisions for our Named Executive Officers, and which the Compensation Committee believes will continue to affect its compensation decisions in future fiscal years:</w:t>
      </w:r>
    </w:p>
    <w:p>
      <w:pPr>
        <w:spacing w:after="0" w:line="121" w:lineRule="exact"/>
        <w:rPr>
          <w:sz w:val="20"/>
          <w:szCs w:val="20"/>
          <w:color w:val="auto"/>
        </w:rPr>
      </w:pPr>
    </w:p>
    <w:p>
      <w:pPr>
        <w:ind w:left="1260" w:right="1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Use of Market Data</w:t>
      </w:r>
      <w:r>
        <w:rPr>
          <w:rFonts w:ascii="Times New Roman" w:cs="Times New Roman" w:eastAsia="Times New Roman" w:hAnsi="Times New Roman"/>
          <w:sz w:val="14"/>
          <w:szCs w:val="14"/>
          <w:color w:val="auto"/>
        </w:rPr>
        <w:t>. We establish target compensation levels that are consistent with market practice and internal equity considerations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41" w:lineRule="exact"/>
        <w:rPr>
          <w:sz w:val="20"/>
          <w:szCs w:val="20"/>
          <w:color w:val="auto"/>
        </w:rPr>
      </w:pPr>
    </w:p>
    <w:p>
      <w:pPr>
        <w:ind w:left="1260" w:right="25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Emphasis on Performance</w:t>
      </w:r>
      <w:r>
        <w:rPr>
          <w:rFonts w:ascii="Times New Roman" w:cs="Times New Roman" w:eastAsia="Times New Roman" w:hAnsi="Times New Roman"/>
          <w:sz w:val="14"/>
          <w:szCs w:val="14"/>
          <w:color w:val="auto"/>
        </w:rPr>
        <w:t>. Our compensation program provides increased pay opportunities upon achievement of goals correlated with superior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39" w:lineRule="exact"/>
        <w:rPr>
          <w:sz w:val="20"/>
          <w:szCs w:val="20"/>
          <w:color w:val="auto"/>
        </w:rPr>
      </w:pPr>
    </w:p>
    <w:p>
      <w:pPr>
        <w:ind w:left="1260" w:right="23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Importance of Company Results</w:t>
      </w:r>
      <w:r>
        <w:rPr>
          <w:rFonts w:ascii="Times New Roman" w:cs="Times New Roman" w:eastAsia="Times New Roman" w:hAnsi="Times New Roman"/>
          <w:sz w:val="14"/>
          <w:szCs w:val="14"/>
          <w:color w:val="auto"/>
        </w:rPr>
        <w:t>. In determining the amount of cash bonus for each Named Executive Officer, we consider, among other things,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with respect to our success in implementing our business strategies that yield long-term benefits and align our Named Executive Officers’ interests with those of our</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92"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59"/>
        <w:spacing w:after="0" w:line="275" w:lineRule="auto"/>
        <w:rPr>
          <w:sz w:val="20"/>
          <w:szCs w:val="20"/>
          <w:color w:val="auto"/>
        </w:rPr>
      </w:pPr>
      <w:r>
        <w:rPr>
          <w:rFonts w:ascii="Times New Roman" w:cs="Times New Roman" w:eastAsia="Times New Roman" w:hAnsi="Times New Roman"/>
          <w:sz w:val="14"/>
          <w:szCs w:val="14"/>
          <w:color w:val="auto"/>
        </w:rPr>
        <w:t>investors. The Compensation Committee believes it is important to hold our Named Executive Officers accountable for overall Company results. For a discussion of the individual and Company performance measures considered by the Committee (as defined below) in connection with 2025 bonus payments, see “—Compensation Elements—Annual Incentive Compensation” below.</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Compensation Elements</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There are three key components of our executive compensation program for our senior leadership team, including our Named Executive Officers:</w:t>
      </w:r>
    </w:p>
    <w:p>
      <w:pPr>
        <w:spacing w:after="0" w:line="108" w:lineRule="exact"/>
        <w:rPr>
          <w:sz w:val="20"/>
          <w:szCs w:val="20"/>
          <w:color w:val="auto"/>
        </w:rPr>
      </w:pPr>
    </w:p>
    <w:p>
      <w:pPr>
        <w:ind w:left="2020" w:hanging="335"/>
        <w:spacing w:after="0"/>
        <w:tabs>
          <w:tab w:leader="none" w:pos="2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salary;</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incentive bonus; and</w:t>
      </w:r>
    </w:p>
    <w:p>
      <w:pPr>
        <w:spacing w:after="0" w:line="107" w:lineRule="exact"/>
        <w:rPr>
          <w:rFonts w:ascii="Times New Roman" w:cs="Times New Roman" w:eastAsia="Times New Roman" w:hAnsi="Times New Roman"/>
          <w:sz w:val="14"/>
          <w:szCs w:val="14"/>
          <w:color w:val="auto"/>
        </w:rPr>
      </w:pPr>
    </w:p>
    <w:p>
      <w:pPr>
        <w:ind w:left="2020" w:right="419" w:hanging="335"/>
        <w:spacing w:after="0" w:line="293" w:lineRule="auto"/>
        <w:tabs>
          <w:tab w:leader="none" w:pos="2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equity incentive compensation in the form of Incentive Units, which are intended to be profits interests for U.S. income tax purposes.</w:t>
      </w:r>
    </w:p>
    <w:p>
      <w:pPr>
        <w:spacing w:after="0" w:line="123" w:lineRule="exact"/>
        <w:rPr>
          <w:sz w:val="20"/>
          <w:szCs w:val="20"/>
          <w:color w:val="auto"/>
        </w:rPr>
      </w:pPr>
    </w:p>
    <w:p>
      <w:pPr>
        <w:ind w:left="1260" w:right="819" w:firstLine="351"/>
        <w:spacing w:after="0" w:line="293" w:lineRule="auto"/>
        <w:rPr>
          <w:sz w:val="20"/>
          <w:szCs w:val="20"/>
          <w:color w:val="auto"/>
        </w:rPr>
      </w:pPr>
      <w:r>
        <w:rPr>
          <w:rFonts w:ascii="Times New Roman" w:cs="Times New Roman" w:eastAsia="Times New Roman" w:hAnsi="Times New Roman"/>
          <w:sz w:val="14"/>
          <w:szCs w:val="14"/>
          <w:color w:val="auto"/>
        </w:rPr>
        <w:t>In addition to these key compensation elements, the Named Executive Officers are provided certain other compensation. See “—Other Compensation.”</w:t>
      </w:r>
    </w:p>
    <w:p>
      <w:pPr>
        <w:spacing w:after="0" w:line="123" w:lineRule="exact"/>
        <w:rPr>
          <w:sz w:val="20"/>
          <w:szCs w:val="20"/>
          <w:color w:val="auto"/>
        </w:rPr>
      </w:pPr>
    </w:p>
    <w:p>
      <w:pPr>
        <w:ind w:left="1260" w:right="359" w:firstLine="351"/>
        <w:spacing w:after="0" w:line="268" w:lineRule="auto"/>
        <w:rPr>
          <w:sz w:val="20"/>
          <w:szCs w:val="20"/>
          <w:color w:val="auto"/>
        </w:rPr>
      </w:pPr>
      <w:r>
        <w:rPr>
          <w:rFonts w:ascii="Times New Roman" w:cs="Times New Roman" w:eastAsia="Times New Roman" w:hAnsi="Times New Roman"/>
          <w:sz w:val="14"/>
          <w:szCs w:val="14"/>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42" w:lineRule="exact"/>
        <w:rPr>
          <w:sz w:val="20"/>
          <w:szCs w:val="20"/>
          <w:color w:val="auto"/>
        </w:rPr>
      </w:pPr>
    </w:p>
    <w:p>
      <w:pPr>
        <w:ind w:left="1260" w:right="299" w:firstLine="351"/>
        <w:spacing w:after="0" w:line="265" w:lineRule="auto"/>
        <w:rPr>
          <w:sz w:val="20"/>
          <w:szCs w:val="20"/>
          <w:color w:val="auto"/>
        </w:rPr>
      </w:pPr>
      <w:r>
        <w:rPr>
          <w:rFonts w:ascii="Times New Roman" w:cs="Times New Roman" w:eastAsia="Times New Roman" w:hAnsi="Times New Roman"/>
          <w:sz w:val="14"/>
          <w:szCs w:val="14"/>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101" w:lineRule="exact"/>
        <w:rPr>
          <w:sz w:val="20"/>
          <w:szCs w:val="20"/>
          <w:color w:val="auto"/>
        </w:rPr>
      </w:pPr>
    </w:p>
    <w:p>
      <w:pPr>
        <w:ind w:left="1260" w:right="199" w:firstLine="351"/>
        <w:spacing w:after="0" w:line="261" w:lineRule="auto"/>
        <w:rPr>
          <w:sz w:val="20"/>
          <w:szCs w:val="20"/>
          <w:color w:val="auto"/>
        </w:rPr>
      </w:pPr>
      <w:r>
        <w:rPr>
          <w:rFonts w:ascii="Times New Roman" w:cs="Times New Roman" w:eastAsia="Times New Roman" w:hAnsi="Times New Roman"/>
          <w:sz w:val="14"/>
          <w:szCs w:val="14"/>
          <w:color w:val="auto"/>
        </w:rPr>
        <w:t>The Compensation Committee believes that base salaries are an important component of our executive compensation program and are critical in attracting and retaining executive talent. The Compensation Committee typically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company-wide target for base salary increases for all employees, its members’ assessment of market and competitive salary information within our peer group,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also considers any feedback from the Chief Executive Officer regarding that person’s performance. No formulaic base salary increases are provided to the Named Executive Officers.</w:t>
      </w:r>
    </w:p>
    <w:p>
      <w:pPr>
        <w:spacing w:after="0" w:line="146" w:lineRule="exact"/>
        <w:rPr>
          <w:sz w:val="20"/>
          <w:szCs w:val="20"/>
          <w:color w:val="auto"/>
        </w:rPr>
      </w:pPr>
    </w:p>
    <w:p>
      <w:pPr>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Based on its review of peer data and each Named Executive Officer’s individual performance, the Compensation Committee approved an increase to the base salary of Mr. Golwas, whose base salary increased from $700,000 to $800,000 for fiscal year 2025. No changes were made to the base salaries of our other Named Executive Officers for fiscal year 2025.</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92"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The base salary for each of our Named Executive Officers during the fiscal year ended December 31, 2025 was as follows:</w:t>
      </w:r>
    </w:p>
    <w:p>
      <w:pPr>
        <w:spacing w:after="0" w:line="192" w:lineRule="exact"/>
        <w:rPr>
          <w:sz w:val="20"/>
          <w:szCs w:val="20"/>
          <w:color w:val="auto"/>
        </w:rPr>
      </w:pPr>
    </w:p>
    <w:tbl>
      <w:tblPr>
        <w:tblLayout w:type="fixed"/>
        <w:tblInd w:w="266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8"/>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740" w:type="dxa"/>
            <w:vAlign w:val="bottom"/>
            <w:vMerge w:val="restart"/>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55"/>
              <w:spacing w:after="0" w:line="11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Base Salary</w:t>
            </w:r>
          </w:p>
        </w:tc>
        <w:tc>
          <w:tcPr>
            <w:tcW w:w="0" w:type="dxa"/>
            <w:vAlign w:val="bottom"/>
          </w:tcPr>
          <w:p>
            <w:pPr>
              <w:spacing w:after="0"/>
              <w:rPr>
                <w:sz w:val="1"/>
                <w:szCs w:val="1"/>
                <w:color w:val="auto"/>
              </w:rPr>
            </w:pPr>
          </w:p>
        </w:tc>
      </w:tr>
      <w:tr>
        <w:trPr>
          <w:trHeight w:val="154"/>
        </w:trPr>
        <w:tc>
          <w:tcPr>
            <w:tcW w:w="304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James M. Boyle</w:t>
            </w:r>
          </w:p>
        </w:tc>
        <w:tc>
          <w:tcPr>
            <w:tcW w:w="1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   1,250,000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810,000</w:t>
            </w:r>
          </w:p>
        </w:tc>
        <w:tc>
          <w:tcPr>
            <w:tcW w:w="0" w:type="dxa"/>
            <w:vAlign w:val="bottom"/>
          </w:tcPr>
          <w:p>
            <w:pPr>
              <w:spacing w:after="0"/>
              <w:rPr>
                <w:sz w:val="1"/>
                <w:szCs w:val="1"/>
                <w:color w:val="auto"/>
              </w:rPr>
            </w:pPr>
          </w:p>
        </w:tc>
      </w:tr>
      <w:tr>
        <w:trPr>
          <w:trHeight w:val="172"/>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172"/>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72"/>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Annual Incentive Compensation</w:t>
      </w:r>
    </w:p>
    <w:p>
      <w:pPr>
        <w:spacing w:after="0" w:line="101" w:lineRule="exact"/>
        <w:rPr>
          <w:sz w:val="20"/>
          <w:szCs w:val="20"/>
          <w:color w:val="auto"/>
        </w:rPr>
      </w:pPr>
    </w:p>
    <w:p>
      <w:pPr>
        <w:ind w:left="1260" w:right="139" w:firstLine="351"/>
        <w:spacing w:after="0" w:line="262" w:lineRule="auto"/>
        <w:rPr>
          <w:sz w:val="20"/>
          <w:szCs w:val="20"/>
          <w:color w:val="auto"/>
        </w:rPr>
      </w:pPr>
      <w:r>
        <w:rPr>
          <w:rFonts w:ascii="Times New Roman" w:cs="Times New Roman" w:eastAsia="Times New Roman" w:hAnsi="Times New Roman"/>
          <w:sz w:val="14"/>
          <w:szCs w:val="14"/>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 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47"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Under our AIP, each Named Executive Officer has threshold, target and maximum bonus opportunities expressed as a percentage of the Named Executive Officer’s base salary. As described further below, the 2025 AIP bonus opportunity for Mr. Golwas includes an “expense modifier” and a “bad debt modifier.” The expense modifier provided for certain increases or decreases to Mr. Golwas’s AIP payout, which would be lowered or raised by $3,000 for each 10 basis point increase or decrease in total selling expense growth above or below 85% of sales growth, respectively. Adjustments attributable to the modifier are subject to a cap of $25,000, although the modifier cannot result in Mr. Golwas’s actual AIP payout being less than threshold payout nor greater than maximum payout. The bad debt modifier provided that net bad debt amounts exceeding 0.6% Acute Care sales and 0.8% for Post Acute sales would be attributable to cost of goods sold for purposes of calculating the growth performance metric applicable to Mr. Golwas’s AIP award.</w:t>
      </w:r>
    </w:p>
    <w:p>
      <w:pPr>
        <w:spacing w:after="0" w:line="3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2025 AIP payout opportunities for Messrs. Boyle, Drazin, Pigott, and Miller included no such modifiers.</w:t>
      </w:r>
    </w:p>
    <w:p>
      <w:pPr>
        <w:spacing w:after="0" w:line="1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For fiscal year 2025, our Named Executive Officers had target and maximum bonus opportunities under the AIP as follows:</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560" w:type="dxa"/>
            <w:vAlign w:val="bottom"/>
            <w:gridSpan w:val="2"/>
          </w:tcPr>
          <w:p>
            <w:pPr>
              <w:jc w:val="center"/>
              <w:ind w:right="920"/>
              <w:spacing w:after="0"/>
              <w:rPr>
                <w:sz w:val="20"/>
                <w:szCs w:val="20"/>
                <w:color w:val="auto"/>
              </w:rPr>
            </w:pPr>
            <w:r>
              <w:rPr>
                <w:rFonts w:ascii="Times New Roman" w:cs="Times New Roman" w:eastAsia="Times New Roman" w:hAnsi="Times New Roman"/>
                <w:sz w:val="11"/>
                <w:szCs w:val="11"/>
                <w:b w:val="1"/>
                <w:bCs w:val="1"/>
                <w:color w:val="auto"/>
              </w:rPr>
              <w:t>AIP</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AIP</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560" w:type="dxa"/>
            <w:vAlign w:val="bottom"/>
            <w:gridSpan w:val="2"/>
          </w:tcPr>
          <w:p>
            <w:pPr>
              <w:jc w:val="center"/>
              <w:ind w:right="920"/>
              <w:spacing w:after="0" w:line="119" w:lineRule="exact"/>
              <w:rPr>
                <w:sz w:val="20"/>
                <w:szCs w:val="20"/>
                <w:color w:val="auto"/>
              </w:rPr>
            </w:pPr>
            <w:r>
              <w:rPr>
                <w:rFonts w:ascii="Times New Roman" w:cs="Times New Roman" w:eastAsia="Times New Roman" w:hAnsi="Times New Roman"/>
                <w:sz w:val="11"/>
                <w:szCs w:val="11"/>
                <w:b w:val="1"/>
                <w:bCs w:val="1"/>
                <w:color w:val="auto"/>
              </w:rPr>
              <w:t>Target</w:t>
            </w:r>
          </w:p>
        </w:tc>
        <w:tc>
          <w:tcPr>
            <w:tcW w:w="8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560" w:type="dxa"/>
            <w:vAlign w:val="bottom"/>
            <w:gridSpan w:val="2"/>
          </w:tcPr>
          <w:p>
            <w:pPr>
              <w:jc w:val="center"/>
              <w:ind w:right="920"/>
              <w:spacing w:after="0" w:line="119" w:lineRule="exact"/>
              <w:rPr>
                <w:sz w:val="20"/>
                <w:szCs w:val="20"/>
                <w:color w:val="auto"/>
              </w:rPr>
            </w:pPr>
            <w:r>
              <w:rPr>
                <w:rFonts w:ascii="Times New Roman" w:cs="Times New Roman" w:eastAsia="Times New Roman" w:hAnsi="Times New Roman"/>
                <w:sz w:val="11"/>
                <w:szCs w:val="11"/>
                <w:b w:val="1"/>
                <w:bCs w:val="1"/>
                <w:color w:val="auto"/>
              </w:rPr>
              <w:t>Annual</w:t>
            </w:r>
          </w:p>
        </w:tc>
        <w:tc>
          <w:tcPr>
            <w:tcW w:w="8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Annual</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560" w:type="dxa"/>
            <w:vAlign w:val="bottom"/>
            <w:gridSpan w:val="2"/>
          </w:tcPr>
          <w:p>
            <w:pPr>
              <w:jc w:val="center"/>
              <w:ind w:right="920"/>
              <w:spacing w:after="0" w:line="119" w:lineRule="exact"/>
              <w:rPr>
                <w:sz w:val="20"/>
                <w:szCs w:val="20"/>
                <w:color w:val="auto"/>
              </w:rPr>
            </w:pPr>
            <w:r>
              <w:rPr>
                <w:rFonts w:ascii="Times New Roman" w:cs="Times New Roman" w:eastAsia="Times New Roman" w:hAnsi="Times New Roman"/>
                <w:sz w:val="11"/>
                <w:szCs w:val="11"/>
                <w:b w:val="1"/>
                <w:bCs w:val="1"/>
                <w:color w:val="auto"/>
              </w:rPr>
              <w:t>Bonus as a</w:t>
            </w:r>
          </w:p>
        </w:tc>
        <w:tc>
          <w:tcPr>
            <w:tcW w:w="8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Bonus as a</w:t>
            </w:r>
          </w:p>
        </w:tc>
        <w:tc>
          <w:tcPr>
            <w:tcW w:w="0" w:type="dxa"/>
            <w:vAlign w:val="bottom"/>
          </w:tcPr>
          <w:p>
            <w:pPr>
              <w:spacing w:after="0"/>
              <w:rPr>
                <w:sz w:val="1"/>
                <w:szCs w:val="1"/>
                <w:color w:val="auto"/>
              </w:rPr>
            </w:pPr>
          </w:p>
        </w:tc>
      </w:tr>
      <w:tr>
        <w:trPr>
          <w:trHeight w:val="118"/>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80" w:type="dxa"/>
            <w:vAlign w:val="bottom"/>
            <w:vMerge w:val="restart"/>
          </w:tcPr>
          <w:p>
            <w:pPr>
              <w:spacing w:after="0"/>
              <w:rPr>
                <w:sz w:val="10"/>
                <w:szCs w:val="10"/>
                <w:color w:val="auto"/>
              </w:rPr>
            </w:pPr>
          </w:p>
        </w:tc>
        <w:tc>
          <w:tcPr>
            <w:tcW w:w="2120" w:type="dxa"/>
            <w:vAlign w:val="bottom"/>
          </w:tcPr>
          <w:p>
            <w:pPr>
              <w:spacing w:after="0"/>
              <w:rPr>
                <w:sz w:val="10"/>
                <w:szCs w:val="10"/>
                <w:color w:val="auto"/>
              </w:rPr>
            </w:pPr>
          </w:p>
        </w:tc>
        <w:tc>
          <w:tcPr>
            <w:tcW w:w="1560" w:type="dxa"/>
            <w:vAlign w:val="bottom"/>
            <w:gridSpan w:val="2"/>
          </w:tcPr>
          <w:p>
            <w:pPr>
              <w:jc w:val="center"/>
              <w:ind w:right="900"/>
              <w:spacing w:after="0" w:line="119"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8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32"/>
        </w:trPr>
        <w:tc>
          <w:tcPr>
            <w:tcW w:w="300" w:type="dxa"/>
            <w:vAlign w:val="bottom"/>
            <w:tcBorders>
              <w:bottom w:val="single" w:sz="8" w:color="auto"/>
            </w:tcBorders>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560" w:type="dxa"/>
            <w:vAlign w:val="bottom"/>
            <w:gridSpan w:val="2"/>
          </w:tcPr>
          <w:p>
            <w:pPr>
              <w:jc w:val="center"/>
              <w:ind w:right="900"/>
              <w:spacing w:after="0"/>
              <w:rPr>
                <w:sz w:val="20"/>
                <w:szCs w:val="20"/>
                <w:color w:val="auto"/>
              </w:rPr>
            </w:pPr>
            <w:r>
              <w:rPr>
                <w:rFonts w:ascii="Times New Roman" w:cs="Times New Roman" w:eastAsia="Times New Roman" w:hAnsi="Times New Roman"/>
                <w:sz w:val="11"/>
                <w:szCs w:val="11"/>
                <w:b w:val="1"/>
                <w:bCs w:val="1"/>
                <w:color w:val="auto"/>
              </w:rPr>
              <w:t>Base Salary</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Base Salary</w:t>
            </w:r>
          </w:p>
        </w:tc>
        <w:tc>
          <w:tcPr>
            <w:tcW w:w="0" w:type="dxa"/>
            <w:vAlign w:val="bottom"/>
          </w:tcPr>
          <w:p>
            <w:pPr>
              <w:spacing w:after="0"/>
              <w:rPr>
                <w:sz w:val="1"/>
                <w:szCs w:val="1"/>
                <w:color w:val="auto"/>
              </w:rPr>
            </w:pPr>
          </w:p>
        </w:tc>
      </w:tr>
      <w:tr>
        <w:trPr>
          <w:trHeight w:val="20"/>
        </w:trPr>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Boyle</w:t>
            </w:r>
          </w:p>
        </w:tc>
        <w:tc>
          <w:tcPr>
            <w:tcW w:w="2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180" w:type="dxa"/>
            <w:vAlign w:val="bottom"/>
            <w:gridSpan w:val="2"/>
            <w:vMerge w:val="continue"/>
            <w:shd w:val="clear" w:color="auto" w:fill="CCEEFF"/>
          </w:tcPr>
          <w:p>
            <w:pPr>
              <w:spacing w:after="0"/>
              <w:rPr>
                <w:sz w:val="13"/>
                <w:szCs w:val="13"/>
                <w:color w:val="auto"/>
              </w:rPr>
            </w:pPr>
          </w:p>
        </w:tc>
        <w:tc>
          <w:tcPr>
            <w:tcW w:w="2120" w:type="dxa"/>
            <w:vAlign w:val="bottom"/>
            <w:vMerge w:val="continue"/>
            <w:shd w:val="clear" w:color="auto" w:fill="CCEEFF"/>
          </w:tcPr>
          <w:p>
            <w:pPr>
              <w:spacing w:after="0"/>
              <w:rPr>
                <w:sz w:val="13"/>
                <w:szCs w:val="13"/>
                <w:color w:val="auto"/>
              </w:rPr>
            </w:pPr>
          </w:p>
        </w:tc>
        <w:tc>
          <w:tcPr>
            <w:tcW w:w="1560" w:type="dxa"/>
            <w:vAlign w:val="bottom"/>
            <w:gridSpan w:val="2"/>
            <w:shd w:val="clear" w:color="auto" w:fill="CCEEFF"/>
          </w:tcPr>
          <w:p>
            <w:pPr>
              <w:jc w:val="right"/>
              <w:ind w:right="780"/>
              <w:spacing w:after="0" w:line="154" w:lineRule="exact"/>
              <w:rPr>
                <w:sz w:val="20"/>
                <w:szCs w:val="20"/>
                <w:color w:val="auto"/>
              </w:rPr>
            </w:pPr>
            <w:r>
              <w:rPr>
                <w:rFonts w:ascii="Times New Roman" w:cs="Times New Roman" w:eastAsia="Times New Roman" w:hAnsi="Times New Roman"/>
                <w:sz w:val="14"/>
                <w:szCs w:val="14"/>
                <w:color w:val="auto"/>
              </w:rPr>
              <w:t>133%</w:t>
            </w:r>
          </w:p>
        </w:tc>
        <w:tc>
          <w:tcPr>
            <w:tcW w:w="82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36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72"/>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3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7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36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72"/>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3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89"/>
        </w:trPr>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68</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2"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59" w:firstLine="351"/>
        <w:spacing w:after="0" w:line="293" w:lineRule="auto"/>
        <w:rPr>
          <w:sz w:val="20"/>
          <w:szCs w:val="20"/>
          <w:color w:val="auto"/>
        </w:rPr>
      </w:pPr>
      <w:r>
        <w:rPr>
          <w:rFonts w:ascii="Times New Roman" w:cs="Times New Roman" w:eastAsia="Times New Roman" w:hAnsi="Times New Roman"/>
          <w:sz w:val="14"/>
          <w:szCs w:val="14"/>
          <w:color w:val="auto"/>
        </w:rPr>
        <w:t>For each performance objective, there is a threshold achievement level at or below which the Named Executive Officer will receive no payout in respect of that performance objective.</w:t>
      </w:r>
    </w:p>
    <w:p>
      <w:pPr>
        <w:spacing w:after="0" w:line="123" w:lineRule="exact"/>
        <w:rPr>
          <w:sz w:val="20"/>
          <w:szCs w:val="20"/>
          <w:color w:val="auto"/>
        </w:rPr>
      </w:pPr>
    </w:p>
    <w:p>
      <w:pPr>
        <w:ind w:left="1260" w:right="899" w:firstLine="351"/>
        <w:spacing w:after="0" w:line="293" w:lineRule="auto"/>
        <w:rPr>
          <w:sz w:val="20"/>
          <w:szCs w:val="20"/>
          <w:color w:val="auto"/>
        </w:rPr>
      </w:pPr>
      <w:r>
        <w:rPr>
          <w:rFonts w:ascii="Times New Roman" w:cs="Times New Roman" w:eastAsia="Times New Roman" w:hAnsi="Times New Roman"/>
          <w:sz w:val="14"/>
          <w:szCs w:val="14"/>
          <w:color w:val="auto"/>
        </w:rPr>
        <w:t>The actual 2025 AIP bonus amounts are calculated formulaically based on actual achievement against certain individual performance considerations and financial or operational performance goals, as follows:</w:t>
      </w:r>
    </w:p>
    <w:p>
      <w:pPr>
        <w:spacing w:after="0" w:line="1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 xml:space="preserve">First, </w:t>
      </w:r>
      <w:r>
        <w:rPr>
          <w:rFonts w:ascii="Times New Roman" w:cs="Times New Roman" w:eastAsia="Times New Roman" w:hAnsi="Times New Roman"/>
          <w:sz w:val="14"/>
          <w:szCs w:val="14"/>
          <w:color w:val="auto"/>
        </w:rPr>
        <w:t>the weight applied to each specific objective is multiplied by the Named Executive Officer’s AIP maximum annual bonus percentage.</w:t>
      </w:r>
    </w:p>
    <w:p>
      <w:pPr>
        <w:spacing w:after="0" w:line="183" w:lineRule="exact"/>
        <w:rPr>
          <w:sz w:val="20"/>
          <w:szCs w:val="20"/>
          <w:color w:val="auto"/>
        </w:rPr>
      </w:pPr>
    </w:p>
    <w:p>
      <w:pPr>
        <w:ind w:left="1260" w:right="15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the resulting percentage from the first step is multiplied by the Named Executive Officer’s base salary to determine the maximum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payable in respect of each performance metric;</w:t>
      </w:r>
    </w:p>
    <w:p>
      <w:pPr>
        <w:spacing w:after="0" w:line="119" w:lineRule="exact"/>
        <w:rPr>
          <w:sz w:val="20"/>
          <w:szCs w:val="20"/>
          <w:color w:val="auto"/>
        </w:rPr>
      </w:pPr>
    </w:p>
    <w:p>
      <w:pPr>
        <w:ind w:left="1260" w:right="45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the dollar amount from the second step is multiplied by the actual attainment percentage of each applicable performance objective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modifiers measured against a pre-established scale to determine the amount payable; and</w:t>
      </w:r>
    </w:p>
    <w:p>
      <w:pPr>
        <w:spacing w:after="0" w:line="1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Fourth</w:t>
      </w:r>
      <w:r>
        <w:rPr>
          <w:rFonts w:ascii="Times New Roman" w:cs="Times New Roman" w:eastAsia="Times New Roman" w:hAnsi="Times New Roman"/>
          <w:sz w:val="14"/>
          <w:szCs w:val="14"/>
          <w:color w:val="auto"/>
        </w:rPr>
        <w:t>, the sum of the amounts calculated in the third step for each performance objective is the Named Executive Officer’s AIP Bonus.</w:t>
      </w:r>
    </w:p>
    <w:p>
      <w:pPr>
        <w:spacing w:after="0" w:line="185" w:lineRule="exact"/>
        <w:rPr>
          <w:sz w:val="20"/>
          <w:szCs w:val="20"/>
          <w:color w:val="auto"/>
        </w:rPr>
      </w:pPr>
    </w:p>
    <w:p>
      <w:pPr>
        <w:ind w:left="1260" w:right="339" w:firstLine="351"/>
        <w:spacing w:after="0" w:line="268" w:lineRule="auto"/>
        <w:rPr>
          <w:sz w:val="20"/>
          <w:szCs w:val="20"/>
          <w:color w:val="auto"/>
        </w:rPr>
      </w:pPr>
      <w:r>
        <w:rPr>
          <w:rFonts w:ascii="Times New Roman" w:cs="Times New Roman" w:eastAsia="Times New Roman" w:hAnsi="Times New Roman"/>
          <w:sz w:val="14"/>
          <w:szCs w:val="14"/>
          <w:color w:val="auto"/>
        </w:rPr>
        <w:t>For fiscal year 2025,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 year 2025. In the event actual achievement of a performance objective is between levels, the achievement percentage is calculated using linear interpolation.</w:t>
      </w:r>
    </w:p>
    <w:p>
      <w:pPr>
        <w:spacing w:after="0" w:line="142" w:lineRule="exact"/>
        <w:rPr>
          <w:sz w:val="20"/>
          <w:szCs w:val="20"/>
          <w:color w:val="auto"/>
        </w:rPr>
      </w:pPr>
    </w:p>
    <w:p>
      <w:pPr>
        <w:ind w:left="1260" w:right="239" w:firstLine="351"/>
        <w:spacing w:after="0" w:line="264" w:lineRule="auto"/>
        <w:rPr>
          <w:sz w:val="20"/>
          <w:szCs w:val="20"/>
          <w:color w:val="auto"/>
        </w:rPr>
      </w:pPr>
      <w:r>
        <w:rPr>
          <w:rFonts w:ascii="Times New Roman" w:cs="Times New Roman" w:eastAsia="Times New Roman" w:hAnsi="Times New Roman"/>
          <w:sz w:val="14"/>
          <w:szCs w:val="14"/>
          <w:color w:val="auto"/>
        </w:rPr>
        <w:t>For purposes of the AIP, 2025 Plan Adjusted EBITDA is generally calculated as set forth in the section titled “Part II—Item 7—Management’s Discussion and Analysis of Financial Condition and Results of Operations—Non-GAAP Financial Information—Adjusted EBITDA and Adjusted EBITDA Margin” in our 2025 Form 10-K incorporated by reference in this prospectus, less the impact of divestitures and acquisitions and gross tariff-related adjustments. However, for 2025 Plan Adjusted EBITDA, tariff-related adjustments cannot cause a Named Executive Officer’s actual bonus payout to increase above 100% of target and no tariff-related adjustment will be applied if the actual bonus payout, for the respective component, is above 100% of target without the tariff-related adjustment.</w:t>
      </w:r>
    </w:p>
    <w:p>
      <w:pPr>
        <w:spacing w:after="0" w:line="1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Mr. Boyle</w:t>
      </w: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40" w:type="dxa"/>
            <w:vAlign w:val="bottom"/>
            <w:gridSpan w:val="8"/>
          </w:tcPr>
          <w:p>
            <w:pPr>
              <w:jc w:val="right"/>
              <w:spacing w:after="0" w:line="100" w:lineRule="exact"/>
              <w:rPr>
                <w:sz w:val="20"/>
                <w:szCs w:val="20"/>
                <w:color w:val="auto"/>
              </w:rPr>
            </w:pPr>
            <w:r>
              <w:rPr>
                <w:rFonts w:ascii="Times New Roman" w:cs="Times New Roman" w:eastAsia="Times New Roman" w:hAnsi="Times New Roman"/>
                <w:sz w:val="11"/>
                <w:szCs w:val="11"/>
                <w:color w:val="auto"/>
              </w:rPr>
              <w:t xml:space="preserve">Performance Period: January 1, 2025 - December 31, 2025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w:t>
            </w:r>
          </w:p>
        </w:tc>
        <w:tc>
          <w:tcPr>
            <w:tcW w:w="760" w:type="dxa"/>
            <w:vAlign w:val="bottom"/>
            <w:gridSpan w:val="3"/>
          </w:tcPr>
          <w:p>
            <w:pPr>
              <w:spacing w:after="0" w:line="100" w:lineRule="exact"/>
              <w:rPr>
                <w:sz w:val="20"/>
                <w:szCs w:val="20"/>
                <w:color w:val="auto"/>
              </w:rPr>
            </w:pPr>
            <w:r>
              <w:rPr>
                <w:rFonts w:ascii="Times New Roman" w:cs="Times New Roman" w:eastAsia="Times New Roman" w:hAnsi="Times New Roman"/>
                <w:sz w:val="11"/>
                <w:szCs w:val="11"/>
                <w:color w:val="auto"/>
              </w:rPr>
              <w:t>in millions)</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Performance Goals</w:t>
            </w:r>
          </w:p>
        </w:tc>
        <w:tc>
          <w:tcPr>
            <w:tcW w:w="176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9"/>
              </w:rPr>
              <w:t>Weight</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32"/>
        </w:trPr>
        <w:tc>
          <w:tcPr>
            <w:tcW w:w="940" w:type="dxa"/>
            <w:vAlign w:val="bottom"/>
            <w:tcBorders>
              <w:bottom w:val="single" w:sz="8" w:color="auto"/>
            </w:tcBorders>
            <w:gridSpan w:val="2"/>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Attainment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27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700" w:type="dxa"/>
            <w:vAlign w:val="bottom"/>
            <w:gridSpan w:val="3"/>
            <w:vMerge w:val="continue"/>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line="154" w:lineRule="exact"/>
              <w:rPr>
                <w:sz w:val="20"/>
                <w:szCs w:val="20"/>
                <w:color w:val="auto"/>
              </w:rPr>
            </w:pPr>
            <w:r>
              <w:rPr>
                <w:rFonts w:ascii="Times New Roman" w:cs="Times New Roman" w:eastAsia="Times New Roman" w:hAnsi="Times New Roman"/>
                <w:sz w:val="14"/>
                <w:szCs w:val="14"/>
                <w:color w:val="auto"/>
              </w:rPr>
              <w:t>66.5%</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133%</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4"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 Adjusted EBITDA</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3,428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3,732</w:t>
            </w:r>
          </w:p>
        </w:tc>
        <w:tc>
          <w:tcPr>
            <w:tcW w:w="2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3,844</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2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72"/>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Medline Net Sales</w:t>
            </w:r>
          </w:p>
        </w:tc>
        <w:tc>
          <w:tcPr>
            <w:tcW w:w="1880" w:type="dxa"/>
            <w:vAlign w:val="bottom"/>
            <w:tcBorders>
              <w:right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w w:val="98"/>
              </w:rPr>
              <w:t>26,017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28,442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28,726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28,432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99.79%</w:t>
            </w:r>
          </w:p>
        </w:tc>
        <w:tc>
          <w:tcPr>
            <w:tcW w:w="0" w:type="dxa"/>
            <w:vAlign w:val="bottom"/>
          </w:tcPr>
          <w:p>
            <w:pPr>
              <w:spacing w:after="0"/>
              <w:rPr>
                <w:sz w:val="1"/>
                <w:szCs w:val="1"/>
                <w:color w:val="auto"/>
              </w:rPr>
            </w:pPr>
          </w:p>
        </w:tc>
      </w:tr>
      <w:tr>
        <w:trPr>
          <w:trHeight w:val="186"/>
        </w:trPr>
        <w:tc>
          <w:tcPr>
            <w:tcW w:w="45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Actual Attainment Percentage Performance Period</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r>
        <w:trPr>
          <w:trHeight w:val="276"/>
        </w:trPr>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2"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Mr. Drazin</w:t>
      </w:r>
    </w:p>
    <w:p>
      <w:pPr>
        <w:spacing w:after="0" w:line="2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u w:val="single" w:color="auto"/>
          <w:color w:val="auto"/>
        </w:rPr>
        <w:t>Performance Period: January 1, 2025 - December 31, 2025 ($ in millions)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8"/>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Performance Goals</w:t>
            </w:r>
          </w:p>
        </w:tc>
        <w:tc>
          <w:tcPr>
            <w:tcW w:w="2560" w:type="dxa"/>
            <w:vAlign w:val="bottom"/>
            <w:vMerge w:val="restart"/>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9"/>
              </w:rPr>
              <w:t>Weight</w:t>
            </w:r>
          </w:p>
        </w:tc>
        <w:tc>
          <w:tcPr>
            <w:tcW w:w="160" w:type="dxa"/>
            <w:vAlign w:val="bottom"/>
          </w:tcPr>
          <w:p>
            <w:pPr>
              <w:spacing w:after="0"/>
              <w:rPr>
                <w:sz w:val="10"/>
                <w:szCs w:val="10"/>
                <w:color w:val="auto"/>
              </w:rPr>
            </w:pPr>
          </w:p>
        </w:tc>
        <w:tc>
          <w:tcPr>
            <w:tcW w:w="102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1"/>
                <w:szCs w:val="11"/>
                <w:b w:val="1"/>
                <w:bCs w:val="1"/>
                <w:color w:val="auto"/>
              </w:rPr>
              <w:t>Threshold</w:t>
            </w:r>
            <w:r>
              <w:rPr>
                <w:rFonts w:ascii="Times New Roman" w:cs="Times New Roman" w:eastAsia="Times New Roman" w:hAnsi="Times New Roman"/>
                <w:sz w:val="8"/>
                <w:szCs w:val="8"/>
                <w:b w:val="1"/>
                <w:bCs w:val="1"/>
                <w:color w:val="auto"/>
              </w:rPr>
              <w:t>(3)</w:t>
            </w: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980" w:type="dxa"/>
            <w:vAlign w:val="bottom"/>
            <w:gridSpan w:val="2"/>
            <w:vMerge w:val="continue"/>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32"/>
        </w:trPr>
        <w:tc>
          <w:tcPr>
            <w:tcW w:w="940" w:type="dxa"/>
            <w:vAlign w:val="bottom"/>
            <w:tcBorders>
              <w:bottom w:val="single" w:sz="8" w:color="auto"/>
            </w:tcBorders>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Attainment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3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0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6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continue"/>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4"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vMerge w:val="continue"/>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4" w:lineRule="exact"/>
              <w:rPr>
                <w:sz w:val="20"/>
                <w:szCs w:val="20"/>
                <w:color w:val="auto"/>
              </w:rPr>
            </w:pPr>
            <w:r>
              <w:rPr>
                <w:rFonts w:ascii="Times New Roman" w:cs="Times New Roman" w:eastAsia="Times New Roman" w:hAnsi="Times New Roman"/>
                <w:sz w:val="14"/>
                <w:szCs w:val="14"/>
                <w:color w:val="auto"/>
              </w:rPr>
              <w:t>150%</w:t>
            </w:r>
          </w:p>
        </w:tc>
        <w:tc>
          <w:tcPr>
            <w:tcW w:w="5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2025 Plan Adjusted EBITDA</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70%</w:t>
            </w:r>
          </w:p>
        </w:tc>
        <w:tc>
          <w:tcPr>
            <w:tcW w:w="11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color w:val="auto"/>
              </w:rPr>
              <w:t>$   3,428</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$3,732</w:t>
            </w:r>
          </w:p>
        </w:tc>
        <w:tc>
          <w:tcPr>
            <w:tcW w:w="260" w:type="dxa"/>
            <w:vAlign w:val="bottom"/>
          </w:tcPr>
          <w:p>
            <w:pPr>
              <w:spacing w:after="0"/>
              <w:rPr>
                <w:sz w:val="14"/>
                <w:szCs w:val="14"/>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  3,844</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3,599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57"/>
        </w:trPr>
        <w:tc>
          <w:tcPr>
            <w:tcW w:w="35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Finance Expense as a Percentage of Sales (excl. Bad</w:t>
            </w: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00" w:type="dxa"/>
            <w:vAlign w:val="bottom"/>
            <w:gridSpan w:val="2"/>
            <w:shd w:val="clear" w:color="auto" w:fill="CCEEFF"/>
          </w:tcPr>
          <w:p>
            <w:pPr>
              <w:ind w:left="140"/>
              <w:spacing w:after="0" w:line="187" w:lineRule="exact"/>
              <w:rPr>
                <w:sz w:val="20"/>
                <w:szCs w:val="20"/>
                <w:color w:val="auto"/>
              </w:rPr>
            </w:pPr>
            <w:r>
              <w:rPr>
                <w:rFonts w:ascii="Times New Roman" w:cs="Times New Roman" w:eastAsia="Times New Roman" w:hAnsi="Times New Roman"/>
                <w:sz w:val="14"/>
                <w:szCs w:val="14"/>
                <w:color w:val="auto"/>
              </w:rPr>
              <w:t>Debt &amp; Interest)</w:t>
            </w:r>
            <w:r>
              <w:rPr>
                <w:rFonts w:ascii="Times New Roman" w:cs="Times New Roman" w:eastAsia="Times New Roman" w:hAnsi="Times New Roman"/>
                <w:sz w:val="21"/>
                <w:szCs w:val="21"/>
                <w:color w:val="auto"/>
                <w:vertAlign w:val="superscript"/>
              </w:rPr>
              <w:t>(1)</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w:t>
            </w:r>
          </w:p>
        </w:tc>
        <w:tc>
          <w:tcPr>
            <w:tcW w:w="118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0.42%</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0.39%</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0.36%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0.38%</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122.75%</w:t>
            </w:r>
          </w:p>
        </w:tc>
        <w:tc>
          <w:tcPr>
            <w:tcW w:w="0" w:type="dxa"/>
            <w:vAlign w:val="bottom"/>
          </w:tcPr>
          <w:p>
            <w:pPr>
              <w:spacing w:after="0"/>
              <w:rPr>
                <w:sz w:val="1"/>
                <w:szCs w:val="1"/>
                <w:color w:val="auto"/>
              </w:rPr>
            </w:pPr>
          </w:p>
        </w:tc>
      </w:tr>
      <w:tr>
        <w:trPr>
          <w:trHeight w:val="157"/>
        </w:trPr>
        <w:tc>
          <w:tcPr>
            <w:tcW w:w="35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Percentage of Accounts Receivable over 30 days past</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00" w:type="dxa"/>
            <w:vAlign w:val="bottom"/>
            <w:gridSpan w:val="2"/>
          </w:tcPr>
          <w:p>
            <w:pPr>
              <w:ind w:left="140"/>
              <w:spacing w:after="0" w:line="187" w:lineRule="exact"/>
              <w:rPr>
                <w:sz w:val="20"/>
                <w:szCs w:val="20"/>
                <w:color w:val="auto"/>
              </w:rPr>
            </w:pPr>
            <w:r>
              <w:rPr>
                <w:rFonts w:ascii="Times New Roman" w:cs="Times New Roman" w:eastAsia="Times New Roman" w:hAnsi="Times New Roman"/>
                <w:sz w:val="21"/>
                <w:szCs w:val="21"/>
                <w:color w:val="auto"/>
                <w:vertAlign w:val="subscript"/>
              </w:rPr>
              <w:t>due</w:t>
            </w:r>
            <w:r>
              <w:rPr>
                <w:rFonts w:ascii="Times New Roman" w:cs="Times New Roman" w:eastAsia="Times New Roman" w:hAnsi="Times New Roman"/>
                <w:sz w:val="9"/>
                <w:szCs w:val="9"/>
                <w:color w:val="auto"/>
              </w:rPr>
              <w:t>(2)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118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4.00%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3.00%</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2.50%</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2.11%</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72"/>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Actual Attainment Percentage Performance Period</w:t>
            </w: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68580</wp:posOffset>
            </wp:positionV>
            <wp:extent cx="61468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13" w:lineRule="exact"/>
        <w:rPr>
          <w:sz w:val="20"/>
          <w:szCs w:val="20"/>
          <w:color w:val="auto"/>
        </w:rPr>
      </w:pPr>
    </w:p>
    <w:p>
      <w:pPr>
        <w:ind w:left="1600" w:hanging="346"/>
        <w:spacing w:after="0"/>
        <w:tabs>
          <w:tab w:leader="none" w:pos="16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Finance Expense as a Percent of Sales (excl. Bad Debt &amp; Interest) measures the performance of controllable U.S. finance expenses .</w:t>
      </w:r>
    </w:p>
    <w:p>
      <w:pPr>
        <w:spacing w:after="0" w:line="3" w:lineRule="exact"/>
        <w:rPr>
          <w:rFonts w:ascii="Times New Roman" w:cs="Times New Roman" w:eastAsia="Times New Roman" w:hAnsi="Times New Roman"/>
          <w:sz w:val="11"/>
          <w:szCs w:val="11"/>
          <w:color w:val="auto"/>
        </w:rPr>
      </w:pPr>
    </w:p>
    <w:p>
      <w:pPr>
        <w:ind w:left="1600" w:hanging="346"/>
        <w:spacing w:after="0" w:line="224" w:lineRule="auto"/>
        <w:tabs>
          <w:tab w:leader="none" w:pos="16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Percentage of Accounts Receivable over 30 days past due measures the amount of invoice dollars that are outstanding for more than 30 days from their due date.</w:t>
      </w:r>
    </w:p>
    <w:p>
      <w:pPr>
        <w:ind w:left="1600" w:right="319" w:hanging="346"/>
        <w:spacing w:after="0" w:line="242" w:lineRule="auto"/>
        <w:tabs>
          <w:tab w:leader="none" w:pos="16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threshold performance for 2025 Plan Adjusted EBITDA results in 50% payout for that metric, while threshold performance for Finance Expense as a Percentage of Sales (excl. Bad Debt &amp; Interest) and Percentage of Accounts Receivable over 30 days past due results in 0% payout for those metrics.</w:t>
      </w:r>
    </w:p>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Mr. Pigott</w:t>
      </w:r>
    </w:p>
    <w:p>
      <w:pPr>
        <w:spacing w:after="0" w:line="2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u w:val="single" w:color="auto"/>
          <w:color w:val="auto"/>
        </w:rPr>
        <w:t>Performance Period: January 1, 2025 - December 31, 2025 ($ in millions)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8"/>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Performance Goals</w:t>
            </w:r>
          </w:p>
        </w:tc>
        <w:tc>
          <w:tcPr>
            <w:tcW w:w="2600" w:type="dxa"/>
            <w:vAlign w:val="bottom"/>
            <w:gridSpan w:val="2"/>
            <w:vMerge w:val="restart"/>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gridSpan w:val="4"/>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87"/>
              </w:rPr>
              <w:t>Weight</w:t>
            </w:r>
          </w:p>
        </w:tc>
        <w:tc>
          <w:tcPr>
            <w:tcW w:w="100" w:type="dxa"/>
            <w:vAlign w:val="bottom"/>
          </w:tcPr>
          <w:p>
            <w:pPr>
              <w:spacing w:after="0"/>
              <w:rPr>
                <w:sz w:val="10"/>
                <w:szCs w:val="10"/>
                <w:color w:val="auto"/>
              </w:rPr>
            </w:pPr>
          </w:p>
        </w:tc>
        <w:tc>
          <w:tcPr>
            <w:tcW w:w="68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60" w:type="dxa"/>
            <w:vAlign w:val="bottom"/>
          </w:tcPr>
          <w:p>
            <w:pPr>
              <w:spacing w:after="0"/>
              <w:rPr>
                <w:sz w:val="10"/>
                <w:szCs w:val="10"/>
                <w:color w:val="auto"/>
              </w:rPr>
            </w:pPr>
          </w:p>
        </w:tc>
        <w:tc>
          <w:tcPr>
            <w:tcW w:w="7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32"/>
        </w:trPr>
        <w:tc>
          <w:tcPr>
            <w:tcW w:w="940" w:type="dxa"/>
            <w:vAlign w:val="bottom"/>
            <w:tcBorders>
              <w:bottom w:val="single" w:sz="8" w:color="auto"/>
            </w:tcBorders>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Attainment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35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40" w:type="dxa"/>
            <w:vAlign w:val="bottom"/>
            <w:gridSpan w:val="3"/>
            <w:vMerge w:val="continue"/>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60"/>
              <w:spacing w:after="0" w:line="154"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80" w:type="dxa"/>
            <w:vAlign w:val="bottom"/>
            <w:tcBorders>
              <w:right w:val="single" w:sz="8" w:color="CCEEFF"/>
            </w:tcBorders>
            <w:gridSpan w:val="3"/>
            <w:shd w:val="clear" w:color="auto" w:fill="CCEEFF"/>
          </w:tcPr>
          <w:p>
            <w:pPr>
              <w:jc w:val="right"/>
              <w:ind w:right="80"/>
              <w:spacing w:after="0" w:line="154"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vMerge w:val="continue"/>
            <w:shd w:val="clear" w:color="auto" w:fill="CCEEFF"/>
          </w:tcPr>
          <w:p>
            <w:pPr>
              <w:spacing w:after="0"/>
              <w:rPr>
                <w:sz w:val="13"/>
                <w:szCs w:val="13"/>
                <w:color w:val="auto"/>
              </w:rPr>
            </w:pPr>
          </w:p>
        </w:tc>
        <w:tc>
          <w:tcPr>
            <w:tcW w:w="780" w:type="dxa"/>
            <w:vAlign w:val="bottom"/>
            <w:tcBorders>
              <w:right w:val="single" w:sz="8" w:color="CCEEFF"/>
            </w:tcBorders>
            <w:gridSpan w:val="3"/>
            <w:shd w:val="clear" w:color="auto" w:fill="CCEEFF"/>
          </w:tcPr>
          <w:p>
            <w:pPr>
              <w:jc w:val="right"/>
              <w:ind w:right="140"/>
              <w:spacing w:after="0" w:line="154"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2025 Plan Adjusted EBITDA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3"/>
          </w:tcPr>
          <w:p>
            <w:pPr>
              <w:jc w:val="right"/>
              <w:ind w:right="103"/>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3,428</w:t>
            </w:r>
          </w:p>
        </w:tc>
        <w:tc>
          <w:tcPr>
            <w:tcW w:w="8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$ 3,732</w:t>
            </w: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  3,844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2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72"/>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 Total Medline Net Sales</w:t>
            </w:r>
          </w:p>
        </w:tc>
        <w:tc>
          <w:tcPr>
            <w:tcW w:w="3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26,017</w:t>
            </w:r>
          </w:p>
        </w:tc>
        <w:tc>
          <w:tcPr>
            <w:tcW w:w="8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$28,442</w:t>
            </w:r>
          </w:p>
        </w:tc>
        <w:tc>
          <w:tcPr>
            <w:tcW w:w="9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$ 28,726</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28,432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99.79%</w:t>
            </w:r>
          </w:p>
        </w:tc>
        <w:tc>
          <w:tcPr>
            <w:tcW w:w="0" w:type="dxa"/>
            <w:vAlign w:val="bottom"/>
          </w:tcPr>
          <w:p>
            <w:pPr>
              <w:spacing w:after="0"/>
              <w:rPr>
                <w:sz w:val="1"/>
                <w:szCs w:val="1"/>
                <w:color w:val="auto"/>
              </w:rPr>
            </w:pPr>
          </w:p>
        </w:tc>
      </w:tr>
      <w:tr>
        <w:trPr>
          <w:trHeight w:val="186"/>
        </w:trPr>
        <w:tc>
          <w:tcPr>
            <w:tcW w:w="3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Actual Attainment Percentage Performance Period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r>
        <w:trPr>
          <w:trHeight w:val="298"/>
        </w:trPr>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Mr. Golwas</w:t>
            </w:r>
          </w:p>
        </w:tc>
        <w:tc>
          <w:tcPr>
            <w:tcW w:w="5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40" w:type="dxa"/>
            <w:vAlign w:val="bottom"/>
            <w:gridSpan w:val="17"/>
          </w:tcPr>
          <w:p>
            <w:pPr>
              <w:jc w:val="center"/>
              <w:ind w:right="60"/>
              <w:spacing w:after="0" w:line="120" w:lineRule="exact"/>
              <w:rPr>
                <w:sz w:val="20"/>
                <w:szCs w:val="20"/>
                <w:color w:val="auto"/>
              </w:rPr>
            </w:pPr>
            <w:r>
              <w:rPr>
                <w:rFonts w:ascii="Times New Roman" w:cs="Times New Roman" w:eastAsia="Times New Roman" w:hAnsi="Times New Roman"/>
                <w:sz w:val="11"/>
                <w:szCs w:val="11"/>
                <w:color w:val="auto"/>
              </w:rPr>
              <w:t xml:space="preserve">Performance Period: January 1, 2025 - December 31, 2025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in millions)</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8"/>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Performance Goals</w:t>
            </w:r>
          </w:p>
        </w:tc>
        <w:tc>
          <w:tcPr>
            <w:tcW w:w="2600" w:type="dxa"/>
            <w:vAlign w:val="bottom"/>
            <w:gridSpan w:val="2"/>
            <w:vMerge w:val="restart"/>
          </w:tcPr>
          <w:p>
            <w:pPr>
              <w:spacing w:after="0"/>
              <w:rPr>
                <w:sz w:val="10"/>
                <w:szCs w:val="10"/>
                <w:color w:val="auto"/>
              </w:rPr>
            </w:pPr>
          </w:p>
        </w:tc>
        <w:tc>
          <w:tcPr>
            <w:tcW w:w="48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93"/>
              </w:rPr>
              <w:t>Weight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7"/>
            <w:vMerge w:val="restart"/>
          </w:tcPr>
          <w:p>
            <w:pPr>
              <w:spacing w:after="0"/>
              <w:rPr>
                <w:sz w:val="20"/>
                <w:szCs w:val="20"/>
                <w:color w:val="auto"/>
              </w:rPr>
            </w:pPr>
            <w:r>
              <w:rPr>
                <w:rFonts w:ascii="Times New Roman" w:cs="Times New Roman" w:eastAsia="Times New Roman" w:hAnsi="Times New Roman"/>
                <w:sz w:val="11"/>
                <w:szCs w:val="11"/>
                <w:b w:val="1"/>
                <w:bCs w:val="1"/>
                <w:color w:val="auto"/>
              </w:rPr>
              <w:t>Threshold</w:t>
            </w:r>
            <w:r>
              <w:rPr>
                <w:rFonts w:ascii="Times New Roman" w:cs="Times New Roman" w:eastAsia="Times New Roman" w:hAnsi="Times New Roman"/>
                <w:sz w:val="8"/>
                <w:szCs w:val="8"/>
                <w:b w:val="1"/>
                <w:bCs w:val="1"/>
                <w:color w:val="auto"/>
              </w:rPr>
              <w:t>(2)</w:t>
            </w:r>
          </w:p>
        </w:tc>
        <w:tc>
          <w:tcPr>
            <w:tcW w:w="80" w:type="dxa"/>
            <w:vAlign w:val="bottom"/>
          </w:tcPr>
          <w:p>
            <w:pPr>
              <w:spacing w:after="0"/>
              <w:rPr>
                <w:sz w:val="10"/>
                <w:szCs w:val="10"/>
                <w:color w:val="auto"/>
              </w:rPr>
            </w:pPr>
          </w:p>
        </w:tc>
        <w:tc>
          <w:tcPr>
            <w:tcW w:w="80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94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960" w:type="dxa"/>
            <w:vAlign w:val="bottom"/>
            <w:gridSpan w:val="5"/>
            <w:vMerge w:val="continue"/>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32"/>
        </w:trPr>
        <w:tc>
          <w:tcPr>
            <w:tcW w:w="940" w:type="dxa"/>
            <w:vAlign w:val="bottom"/>
            <w:tcBorders>
              <w:bottom w:val="single" w:sz="8" w:color="auto"/>
            </w:tcBorders>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attainment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35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40" w:type="dxa"/>
            <w:vAlign w:val="bottom"/>
            <w:gridSpan w:val="3"/>
            <w:vMerge w:val="continue"/>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3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150%</w:t>
            </w:r>
          </w:p>
        </w:tc>
        <w:tc>
          <w:tcPr>
            <w:tcW w:w="2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color w:val="auto"/>
              </w:rPr>
              <w:t>Adjusted Gross Margin less Expense Year over Year</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40" w:type="dxa"/>
            <w:vAlign w:val="bottom"/>
            <w:gridSpan w:val="3"/>
          </w:tcPr>
          <w:p>
            <w:pPr>
              <w:ind w:left="140"/>
              <w:spacing w:after="0" w:line="187" w:lineRule="exact"/>
              <w:rPr>
                <w:sz w:val="20"/>
                <w:szCs w:val="20"/>
                <w:color w:val="auto"/>
              </w:rPr>
            </w:pPr>
            <w:r>
              <w:rPr>
                <w:rFonts w:ascii="Times New Roman" w:cs="Times New Roman" w:eastAsia="Times New Roman" w:hAnsi="Times New Roman"/>
                <w:sz w:val="14"/>
                <w:szCs w:val="14"/>
                <w:color w:val="auto"/>
              </w:rPr>
              <w:t>Growth Commercial</w:t>
            </w:r>
            <w:r>
              <w:rPr>
                <w:rFonts w:ascii="Times New Roman" w:cs="Times New Roman" w:eastAsia="Times New Roman" w:hAnsi="Times New Roman"/>
                <w:sz w:val="21"/>
                <w:szCs w:val="21"/>
                <w:color w:val="auto"/>
                <w:vertAlign w:val="superscript"/>
              </w:rPr>
              <w:t>(1)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2.75%</w:t>
            </w:r>
          </w:p>
        </w:tc>
        <w:tc>
          <w:tcPr>
            <w:tcW w:w="180" w:type="dxa"/>
            <w:vAlign w:val="bottom"/>
          </w:tcPr>
          <w:p>
            <w:pPr>
              <w:spacing w:after="0"/>
              <w:rPr>
                <w:sz w:val="16"/>
                <w:szCs w:val="16"/>
                <w:color w:val="auto"/>
              </w:rPr>
            </w:pP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8.75%</w:t>
            </w:r>
          </w:p>
        </w:tc>
        <w:tc>
          <w:tcPr>
            <w:tcW w:w="20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15.75%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12.46%</w:t>
            </w:r>
          </w:p>
        </w:tc>
        <w:tc>
          <w:tcPr>
            <w:tcW w:w="2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103.13%</w:t>
            </w:r>
          </w:p>
        </w:tc>
        <w:tc>
          <w:tcPr>
            <w:tcW w:w="0" w:type="dxa"/>
            <w:vAlign w:val="bottom"/>
          </w:tcPr>
          <w:p>
            <w:pPr>
              <w:spacing w:after="0"/>
              <w:rPr>
                <w:sz w:val="1"/>
                <w:szCs w:val="1"/>
                <w:color w:val="auto"/>
              </w:rPr>
            </w:pPr>
          </w:p>
        </w:tc>
      </w:tr>
      <w:tr>
        <w:trPr>
          <w:trHeight w:val="172"/>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 Plan Adjusted EBITDA</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$3,732</w:t>
            </w:r>
          </w:p>
        </w:tc>
        <w:tc>
          <w:tcPr>
            <w:tcW w:w="20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3,844</w:t>
            </w:r>
          </w:p>
        </w:tc>
        <w:tc>
          <w:tcPr>
            <w:tcW w:w="2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3,599</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88"/>
        </w:trPr>
        <w:tc>
          <w:tcPr>
            <w:tcW w:w="3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Actual Attainment Percentage Performance Period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65405</wp:posOffset>
            </wp:positionV>
            <wp:extent cx="61468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98" w:lineRule="exact"/>
        <w:rPr>
          <w:sz w:val="20"/>
          <w:szCs w:val="20"/>
          <w:color w:val="auto"/>
        </w:rPr>
      </w:pPr>
    </w:p>
    <w:p>
      <w:pPr>
        <w:ind w:left="1600" w:right="639" w:hanging="346"/>
        <w:spacing w:after="0" w:line="235" w:lineRule="auto"/>
        <w:tabs>
          <w:tab w:leader="none" w:pos="160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Golwas, Adjusted Gross Margin less Expense Year over Year Growth Commercial measures U.S. sales office contribution margin excluding retail growth measures, inventoriable costs and controllable expenses.</w:t>
      </w:r>
    </w:p>
    <w:p>
      <w:pPr>
        <w:ind w:left="1600" w:right="139" w:hanging="346"/>
        <w:spacing w:after="0" w:line="242" w:lineRule="auto"/>
        <w:tabs>
          <w:tab w:leader="none" w:pos="160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Golwas, threshold performance for Adjusted Gross Margin less Expense Year over Year Growth Commercial results in 0% payout for that metric, while threshold performance for 2025 Plan Adjusted EBITDA results in 50% payout for that metric.</w:t>
      </w:r>
    </w:p>
    <w:p>
      <w:pPr>
        <w:spacing w:after="0" w:line="144" w:lineRule="exact"/>
        <w:rPr>
          <w:sz w:val="20"/>
          <w:szCs w:val="20"/>
          <w:color w:val="auto"/>
        </w:rPr>
      </w:pPr>
    </w:p>
    <w:p>
      <w:pPr>
        <w:jc w:val="both"/>
        <w:ind w:left="1260" w:right="219" w:firstLine="351"/>
        <w:spacing w:after="0" w:line="275" w:lineRule="auto"/>
        <w:rPr>
          <w:sz w:val="20"/>
          <w:szCs w:val="20"/>
          <w:color w:val="auto"/>
        </w:rPr>
      </w:pPr>
      <w:r>
        <w:rPr>
          <w:rFonts w:ascii="Times New Roman" w:cs="Times New Roman" w:eastAsia="Times New Roman" w:hAnsi="Times New Roman"/>
          <w:sz w:val="14"/>
          <w:szCs w:val="14"/>
          <w:color w:val="auto"/>
        </w:rPr>
        <w:t>Mr. Golwas’s 2025 AIP opportunity included a “net bad debt” modifier, pursuant to which net bad debt in excess of 0.6% of sales for Acute Care and/or 0.8% for Post-Acute Care is charged to cost of goods sold for purposes of calculating the growth performance metric applicable to Mr. Golwas. In addition, Mr. Golwas’s AIP opportunity also included an “expense modifier,” which provided that Mr. Golwas’s AIP bonus payout would be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92"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179"/>
        <w:spacing w:after="0" w:line="275" w:lineRule="auto"/>
        <w:rPr>
          <w:sz w:val="20"/>
          <w:szCs w:val="20"/>
          <w:color w:val="auto"/>
        </w:rPr>
      </w:pPr>
      <w:r>
        <w:rPr>
          <w:rFonts w:ascii="Times New Roman" w:cs="Times New Roman" w:eastAsia="Times New Roman" w:hAnsi="Times New Roman"/>
          <w:sz w:val="14"/>
          <w:szCs w:val="14"/>
          <w:color w:val="auto"/>
        </w:rPr>
        <w:t>lowered or raised $3,000 for each 10 basis point increase or decrease in total selling expense growth above or below 85% of Commercial Sales Expense Growth, respectively, subject to a cap of $25,000. However, the modifier cannot cause Mr. Golwas’s AIP bonus payout to exceed his maximum payout opportunity, which is set at 150% of his base salary.</w:t>
      </w:r>
    </w:p>
    <w:p>
      <w:pPr>
        <w:spacing w:after="0" w:line="3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Mr. Miller</w:t>
      </w: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40" w:type="dxa"/>
            <w:vAlign w:val="bottom"/>
            <w:gridSpan w:val="9"/>
          </w:tcPr>
          <w:p>
            <w:pPr>
              <w:jc w:val="right"/>
              <w:spacing w:after="0" w:line="100" w:lineRule="exact"/>
              <w:rPr>
                <w:sz w:val="20"/>
                <w:szCs w:val="20"/>
                <w:color w:val="auto"/>
              </w:rPr>
            </w:pPr>
            <w:r>
              <w:rPr>
                <w:rFonts w:ascii="Times New Roman" w:cs="Times New Roman" w:eastAsia="Times New Roman" w:hAnsi="Times New Roman"/>
                <w:sz w:val="11"/>
                <w:szCs w:val="11"/>
                <w:color w:val="auto"/>
              </w:rPr>
              <w:t xml:space="preserve">Performance Period: January 1, 2025 - December 31, 2025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w:t>
            </w:r>
          </w:p>
        </w:tc>
        <w:tc>
          <w:tcPr>
            <w:tcW w:w="760" w:type="dxa"/>
            <w:vAlign w:val="bottom"/>
            <w:gridSpan w:val="3"/>
          </w:tcPr>
          <w:p>
            <w:pPr>
              <w:spacing w:after="0" w:line="100" w:lineRule="exact"/>
              <w:rPr>
                <w:sz w:val="20"/>
                <w:szCs w:val="20"/>
                <w:color w:val="auto"/>
              </w:rPr>
            </w:pPr>
            <w:r>
              <w:rPr>
                <w:rFonts w:ascii="Times New Roman" w:cs="Times New Roman" w:eastAsia="Times New Roman" w:hAnsi="Times New Roman"/>
                <w:sz w:val="11"/>
                <w:szCs w:val="11"/>
                <w:color w:val="auto"/>
              </w:rPr>
              <w:t>in millions)</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Performance Goals</w:t>
            </w:r>
          </w:p>
        </w:tc>
        <w:tc>
          <w:tcPr>
            <w:tcW w:w="176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Weight</w:t>
            </w:r>
          </w:p>
        </w:tc>
        <w:tc>
          <w:tcPr>
            <w:tcW w:w="140" w:type="dxa"/>
            <w:vAlign w:val="bottom"/>
          </w:tcPr>
          <w:p>
            <w:pPr>
              <w:spacing w:after="0"/>
              <w:rPr>
                <w:sz w:val="10"/>
                <w:szCs w:val="10"/>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32"/>
        </w:trPr>
        <w:tc>
          <w:tcPr>
            <w:tcW w:w="940" w:type="dxa"/>
            <w:vAlign w:val="bottom"/>
            <w:tcBorders>
              <w:bottom w:val="single" w:sz="8" w:color="auto"/>
            </w:tcBorders>
            <w:gridSpan w:val="2"/>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Attainment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27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700" w:type="dxa"/>
            <w:vAlign w:val="bottom"/>
            <w:gridSpan w:val="3"/>
            <w:vMerge w:val="continue"/>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line="154"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4"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 Adjusted EBITDA</w:t>
            </w:r>
          </w:p>
        </w:tc>
        <w:tc>
          <w:tcPr>
            <w:tcW w:w="17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3,428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3,732</w:t>
            </w:r>
          </w:p>
        </w:tc>
        <w:tc>
          <w:tcPr>
            <w:tcW w:w="2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3,844</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2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72"/>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Medline Net Sales</w:t>
            </w:r>
          </w:p>
        </w:tc>
        <w:tc>
          <w:tcPr>
            <w:tcW w:w="1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w w:val="93"/>
              </w:rPr>
              <w:t>26,017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28,442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28,726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28,432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99.79%</w:t>
            </w:r>
          </w:p>
        </w:tc>
        <w:tc>
          <w:tcPr>
            <w:tcW w:w="0" w:type="dxa"/>
            <w:vAlign w:val="bottom"/>
          </w:tcPr>
          <w:p>
            <w:pPr>
              <w:spacing w:after="0"/>
              <w:rPr>
                <w:sz w:val="1"/>
                <w:szCs w:val="1"/>
                <w:color w:val="auto"/>
              </w:rPr>
            </w:pPr>
          </w:p>
        </w:tc>
      </w:tr>
      <w:tr>
        <w:trPr>
          <w:trHeight w:val="188"/>
        </w:trPr>
        <w:tc>
          <w:tcPr>
            <w:tcW w:w="44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Actual Attainment Percentage Performance Period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260" w:right="139" w:firstLine="351"/>
        <w:spacing w:after="0" w:line="275" w:lineRule="auto"/>
        <w:rPr>
          <w:sz w:val="20"/>
          <w:szCs w:val="20"/>
          <w:color w:val="auto"/>
        </w:rPr>
      </w:pPr>
      <w:r>
        <w:rPr>
          <w:rFonts w:ascii="Times New Roman" w:cs="Times New Roman" w:eastAsia="Times New Roman" w:hAnsi="Times New Roman"/>
          <w:sz w:val="14"/>
          <w:szCs w:val="14"/>
          <w:color w:val="auto"/>
        </w:rPr>
        <w:t>Actual amounts paid under the AIP are calculated by multiplying each named executive officer’s base salary earned and paid in fiscal year 2025 by (i) his AIP target annual cash incentive opportunity (which is reflected as a percentage of eligible base salary), and (ii) the executive’s AIP attainment percentage. The following table illustrates the calculations of the AIP awards under the 2025 AIP based on 2025 performance.</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Target AIP</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AIP</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Eligible Base</w:t>
            </w:r>
          </w:p>
        </w:tc>
        <w:tc>
          <w:tcPr>
            <w:tcW w:w="84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Award (%</w:t>
            </w:r>
          </w:p>
        </w:tc>
        <w:tc>
          <w:tcPr>
            <w:tcW w:w="180" w:type="dxa"/>
            <w:vAlign w:val="bottom"/>
          </w:tcPr>
          <w:p>
            <w:pPr>
              <w:spacing w:after="0"/>
              <w:rPr>
                <w:sz w:val="10"/>
                <w:szCs w:val="10"/>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Target AIP</w:t>
            </w:r>
          </w:p>
        </w:tc>
        <w:tc>
          <w:tcPr>
            <w:tcW w:w="8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8"/>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20" w:type="dxa"/>
            <w:vAlign w:val="bottom"/>
            <w:gridSpan w:val="3"/>
            <w:vMerge w:val="continue"/>
          </w:tcPr>
          <w:p>
            <w:pPr>
              <w:spacing w:after="0"/>
              <w:rPr>
                <w:sz w:val="10"/>
                <w:szCs w:val="10"/>
                <w:color w:val="auto"/>
              </w:rPr>
            </w:pPr>
          </w:p>
        </w:tc>
        <w:tc>
          <w:tcPr>
            <w:tcW w:w="84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of Base</w:t>
            </w:r>
          </w:p>
        </w:tc>
        <w:tc>
          <w:tcPr>
            <w:tcW w:w="1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86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Salary ($)</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18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Opportunity</w:t>
            </w: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Payout ($)</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8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James M. Boyle</w:t>
            </w:r>
          </w:p>
        </w:tc>
        <w:tc>
          <w:tcPr>
            <w:tcW w:w="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99"/>
              </w:rPr>
              <w:t>1,250,000</w:t>
            </w:r>
          </w:p>
        </w:tc>
        <w:tc>
          <w:tcPr>
            <w:tcW w:w="3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4" w:lineRule="exact"/>
              <w:rPr>
                <w:sz w:val="20"/>
                <w:szCs w:val="20"/>
                <w:color w:val="auto"/>
              </w:rPr>
            </w:pPr>
            <w:r>
              <w:rPr>
                <w:rFonts w:ascii="Times New Roman" w:cs="Times New Roman" w:eastAsia="Times New Roman" w:hAnsi="Times New Roman"/>
                <w:sz w:val="14"/>
                <w:szCs w:val="14"/>
                <w:color w:val="auto"/>
              </w:rPr>
              <w:t>133%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w w:val="99"/>
              </w:rPr>
              <w:t>1,662,500</w:t>
            </w: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4" w:lineRule="exact"/>
              <w:rPr>
                <w:sz w:val="20"/>
                <w:szCs w:val="20"/>
                <w:color w:val="auto"/>
              </w:rPr>
            </w:pPr>
            <w:r>
              <w:rPr>
                <w:rFonts w:ascii="Times New Roman" w:cs="Times New Roman" w:eastAsia="Times New Roman" w:hAnsi="Times New Roman"/>
                <w:sz w:val="14"/>
                <w:szCs w:val="14"/>
                <w:color w:val="auto"/>
              </w:rPr>
              <w:t>84.60%</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1,409,960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3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810,000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94.21%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763,117</w:t>
            </w:r>
          </w:p>
        </w:tc>
        <w:tc>
          <w:tcPr>
            <w:tcW w:w="0" w:type="dxa"/>
            <w:vAlign w:val="bottom"/>
          </w:tcPr>
          <w:p>
            <w:pPr>
              <w:spacing w:after="0"/>
              <w:rPr>
                <w:sz w:val="1"/>
                <w:szCs w:val="1"/>
                <w:color w:val="auto"/>
              </w:rPr>
            </w:pPr>
          </w:p>
        </w:tc>
      </w:tr>
      <w:tr>
        <w:trPr>
          <w:trHeight w:val="172"/>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1,100,000</w:t>
            </w: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w w:val="99"/>
              </w:rPr>
              <w:t>1,100,000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930,573</w:t>
            </w:r>
          </w:p>
        </w:tc>
        <w:tc>
          <w:tcPr>
            <w:tcW w:w="0" w:type="dxa"/>
            <w:vAlign w:val="bottom"/>
          </w:tcPr>
          <w:p>
            <w:pPr>
              <w:spacing w:after="0"/>
              <w:rPr>
                <w:sz w:val="1"/>
                <w:szCs w:val="1"/>
                <w:color w:val="auto"/>
              </w:rPr>
            </w:pP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3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800,000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772,410</w:t>
            </w:r>
          </w:p>
        </w:tc>
        <w:tc>
          <w:tcPr>
            <w:tcW w:w="0" w:type="dxa"/>
            <w:vAlign w:val="bottom"/>
          </w:tcPr>
          <w:p>
            <w:pPr>
              <w:spacing w:after="0"/>
              <w:rPr>
                <w:sz w:val="1"/>
                <w:szCs w:val="1"/>
                <w:color w:val="auto"/>
              </w:rPr>
            </w:pPr>
          </w:p>
        </w:tc>
      </w:tr>
      <w:tr>
        <w:trPr>
          <w:trHeight w:val="172"/>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800,000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676,781</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Long-Term Equity Incentive Compensation</w:t>
      </w:r>
    </w:p>
    <w:p>
      <w:pPr>
        <w:spacing w:after="0" w:line="101" w:lineRule="exact"/>
        <w:rPr>
          <w:sz w:val="20"/>
          <w:szCs w:val="20"/>
          <w:color w:val="auto"/>
        </w:rPr>
      </w:pPr>
    </w:p>
    <w:p>
      <w:pPr>
        <w:ind w:left="1260" w:right="199" w:firstLine="351"/>
        <w:spacing w:after="0" w:line="261" w:lineRule="auto"/>
        <w:rPr>
          <w:sz w:val="20"/>
          <w:szCs w:val="20"/>
          <w:color w:val="auto"/>
        </w:rPr>
      </w:pPr>
      <w:r>
        <w:rPr>
          <w:rFonts w:ascii="Times New Roman" w:cs="Times New Roman" w:eastAsia="Times New Roman" w:hAnsi="Times New Roman"/>
          <w:sz w:val="14"/>
          <w:szCs w:val="14"/>
          <w:color w:val="auto"/>
        </w:rPr>
        <w:t>In 2021, following our acquisition by Blackstone, Carlyle, and H&amp;F (our “Sponsors”), certain key executives, including the Named Executive Officers, were granted long-term equity incentive awards designed to promote our interests and incentivize them to remain in our service. These long-term equity incentive awards were initially granted in the form of Class B Units in Medline Management Aggregator LLC (the “Aggregator”) under the Medline Management Aggregator LLC Equity Incentive Plan, which we refer to as the “MIP.” In connection with Medline’s initial public offering, the Class B Units in the Aggregator were reclassified into a new class of units called “Incentive Units.” The Incentive Units are “profits interests” under U.S. federal income tax law having economic characteristics similar to stock appreciation rights (i.e., representing the right to share in any increase in the equity value of the Aggregator that exceeds a specified threshold). Unvested Incentive Units are not entitled to distributions from the Aggregator other than tax distributions.</w:t>
      </w:r>
    </w:p>
    <w:p>
      <w:pPr>
        <w:spacing w:after="0" w:line="149" w:lineRule="exact"/>
        <w:rPr>
          <w:sz w:val="20"/>
          <w:szCs w:val="20"/>
          <w:color w:val="auto"/>
        </w:rPr>
      </w:pPr>
    </w:p>
    <w:p>
      <w:pPr>
        <w:ind w:left="1260" w:right="359" w:firstLine="351"/>
        <w:spacing w:after="0" w:line="275" w:lineRule="auto"/>
        <w:rPr>
          <w:sz w:val="20"/>
          <w:szCs w:val="20"/>
          <w:color w:val="auto"/>
        </w:rPr>
      </w:pPr>
      <w:r>
        <w:rPr>
          <w:rFonts w:ascii="Times New Roman" w:cs="Times New Roman" w:eastAsia="Times New Roman" w:hAnsi="Times New Roman"/>
          <w:sz w:val="14"/>
          <w:szCs w:val="14"/>
          <w:color w:val="auto"/>
        </w:rPr>
        <w:t>The specific sizes of awards under our MIP and Incentive Unit grants made thereunder to our Named Executive Officers are determined in consideration of our Sponsors’ practices with respect to management equity programs at other companies in their respective portfolios, the executive officer’s position and level of responsibilities with us, and market data.</w:t>
      </w:r>
    </w:p>
    <w:p>
      <w:pPr>
        <w:spacing w:after="0" w:line="2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2025 MIP Awards</w:t>
      </w:r>
    </w:p>
    <w:p>
      <w:pPr>
        <w:spacing w:after="0" w:line="99"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Under our MIP, each of our Named Executive Officers (other than Mr. Pigott, who was not eligible for an award under our MIP in 2025 due to his planned retirement) was eligible to earn an equity-based award based on</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92"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spacing w:after="0" w:line="260" w:lineRule="auto"/>
        <w:rPr>
          <w:sz w:val="20"/>
          <w:szCs w:val="20"/>
          <w:color w:val="auto"/>
        </w:rPr>
      </w:pPr>
      <w:r>
        <w:rPr>
          <w:rFonts w:ascii="Times New Roman" w:cs="Times New Roman" w:eastAsia="Times New Roman" w:hAnsi="Times New Roman"/>
          <w:sz w:val="14"/>
          <w:szCs w:val="14"/>
          <w:color w:val="auto"/>
        </w:rPr>
        <w:t>fiscal year 2025 performance (the “2025 Awards”). The 2025 Awards were initially expressed as “dollars at work” as of the award date (or “service inception date”). The actual dollar value of equity-based awards to be granted to our participating Named Executive Officers in respect of the 2025 Awards depends on Company performance relative to the 2025 performance measures reflected in the tables below. Following completion of fiscal year 2025, the earned “dollars at work” will be converted into a number of time-vesting restricted stock units (“RSUs”) under the Medline Inc. 2025 Omnibus Incentive Plan (the “Omnibus Plan”) based on the grant date fair market value of the award, which is expected to occur in the first quarter of 2026. In the event actual achievement of a performance objective is between levels, the earned “dollars at work” is calculated using linear interpolation. The number of RSUs to be delivered in 2026 will be determined by dividing the earned “dollars at work” (based on applicable fair market value) by the initial public offering price of Medline Inc. common stock, which was $29.00. Such RSUs will vest 25% on June 15, 2026 and 25% on each of the first three anniversaries of the vesting commencement date identified in the applicable grant agreement, subject to the Named Executive Officer’s continued employment with us through each applicable vesting date.</w:t>
      </w:r>
    </w:p>
    <w:p>
      <w:pPr>
        <w:spacing w:after="0" w:line="150" w:lineRule="exact"/>
        <w:rPr>
          <w:sz w:val="20"/>
          <w:szCs w:val="20"/>
          <w:color w:val="auto"/>
        </w:rPr>
      </w:pPr>
    </w:p>
    <w:p>
      <w:pPr>
        <w:ind w:left="1260" w:right="279" w:firstLine="351"/>
        <w:spacing w:after="0" w:line="268" w:lineRule="auto"/>
        <w:rPr>
          <w:sz w:val="20"/>
          <w:szCs w:val="20"/>
          <w:color w:val="auto"/>
        </w:rPr>
      </w:pPr>
      <w:r>
        <w:rPr>
          <w:rFonts w:ascii="Times New Roman" w:cs="Times New Roman" w:eastAsia="Times New Roman" w:hAnsi="Times New Roman"/>
          <w:sz w:val="14"/>
          <w:szCs w:val="14"/>
          <w:color w:val="auto"/>
        </w:rPr>
        <w:t>The 2025 performance measures and the corresponding threshold, target and maximum “dollars at work” opportunities under the MIP for our Named Executive Officers are summarized in the tables below. For each Named Executive Officer, no 2025 Award is earned, and no RSUs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42" w:lineRule="exact"/>
        <w:rPr>
          <w:sz w:val="20"/>
          <w:szCs w:val="20"/>
          <w:color w:val="auto"/>
        </w:rPr>
      </w:pPr>
    </w:p>
    <w:p>
      <w:pPr>
        <w:ind w:left="1260" w:right="419" w:firstLine="351"/>
        <w:spacing w:after="0" w:line="293" w:lineRule="auto"/>
        <w:rPr>
          <w:sz w:val="20"/>
          <w:szCs w:val="20"/>
          <w:color w:val="auto"/>
        </w:rPr>
      </w:pPr>
      <w:r>
        <w:rPr>
          <w:rFonts w:ascii="Times New Roman" w:cs="Times New Roman" w:eastAsia="Times New Roman" w:hAnsi="Times New Roman"/>
          <w:sz w:val="14"/>
          <w:szCs w:val="14"/>
          <w:color w:val="auto"/>
        </w:rPr>
        <w:t>The performance measures for the 2025 Awards for each participating Named Executive Officer were 2025 Plan Adjusted EBITDA and 2025 Total Medline Net Sales Year-Over-Year Growth and Sales Year-Over-Year growth.</w:t>
      </w:r>
    </w:p>
    <w:p>
      <w:pPr>
        <w:spacing w:after="0" w:line="123" w:lineRule="exact"/>
        <w:rPr>
          <w:sz w:val="20"/>
          <w:szCs w:val="20"/>
          <w:color w:val="auto"/>
        </w:rPr>
      </w:pPr>
    </w:p>
    <w:p>
      <w:pPr>
        <w:ind w:left="1260" w:right="459" w:firstLine="351"/>
        <w:spacing w:after="0" w:line="293" w:lineRule="auto"/>
        <w:rPr>
          <w:sz w:val="20"/>
          <w:szCs w:val="20"/>
          <w:color w:val="auto"/>
        </w:rPr>
      </w:pPr>
      <w:r>
        <w:rPr>
          <w:rFonts w:ascii="Times New Roman" w:cs="Times New Roman" w:eastAsia="Times New Roman" w:hAnsi="Times New Roman"/>
          <w:sz w:val="14"/>
          <w:szCs w:val="14"/>
          <w:color w:val="auto"/>
        </w:rPr>
        <w:t>The 2025 target “dollars at work” for each participating Named Executive Officer were $4,000,000 for Mr. Boyle and $3,250,000 for each of Messrs. Drazin, Golwas and Miller.</w:t>
      </w:r>
    </w:p>
    <w:p>
      <w:pPr>
        <w:spacing w:after="0" w:line="123" w:lineRule="exact"/>
        <w:rPr>
          <w:sz w:val="20"/>
          <w:szCs w:val="20"/>
          <w:color w:val="auto"/>
        </w:rPr>
      </w:pPr>
    </w:p>
    <w:p>
      <w:pPr>
        <w:ind w:left="1260" w:right="759" w:firstLine="351"/>
        <w:spacing w:after="0" w:line="293" w:lineRule="auto"/>
        <w:rPr>
          <w:sz w:val="20"/>
          <w:szCs w:val="20"/>
          <w:color w:val="auto"/>
        </w:rPr>
      </w:pPr>
      <w:r>
        <w:rPr>
          <w:rFonts w:ascii="Times New Roman" w:cs="Times New Roman" w:eastAsia="Times New Roman" w:hAnsi="Times New Roman"/>
          <w:sz w:val="14"/>
          <w:szCs w:val="14"/>
          <w:color w:val="auto"/>
        </w:rPr>
        <w:t>The threshold, target and maximum “dollars at work” amounts upon which the number of RSUs actually to be delivered in 2026 will be determined, and the corresponding earned amount of “dollars at work” at each performance level, are shown in the tables below.</w:t>
      </w:r>
    </w:p>
    <w:p>
      <w:pPr>
        <w:spacing w:after="0" w:line="29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u w:val="single" w:color="auto"/>
          <w:color w:val="auto"/>
        </w:rPr>
        <w:t>Adjusted EBITDA – 70% of Target Dollars at Work</w:t>
      </w:r>
    </w:p>
    <w:p>
      <w:pPr>
        <w:spacing w:after="0" w:line="202" w:lineRule="exact"/>
        <w:rPr>
          <w:sz w:val="20"/>
          <w:szCs w:val="20"/>
          <w:color w:val="auto"/>
        </w:rPr>
      </w:pPr>
    </w:p>
    <w:tbl>
      <w:tblPr>
        <w:tblLayout w:type="fixed"/>
        <w:tblInd w:w="1960" w:type="dxa"/>
        <w:tblCellMar>
          <w:top w:w="0" w:type="dxa"/>
          <w:left w:w="0" w:type="dxa"/>
          <w:bottom w:w="0" w:type="dxa"/>
          <w:right w:w="0" w:type="dxa"/>
        </w:tblCellMar>
      </w:tblPr>
      <w:tr>
        <w:trPr>
          <w:trHeight w:val="158"/>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Achievement Level</w:t>
            </w: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54"/>
        </w:trPr>
        <w:tc>
          <w:tcPr>
            <w:tcW w:w="94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Goal</w:t>
            </w:r>
          </w:p>
        </w:tc>
        <w:tc>
          <w:tcPr>
            <w:tcW w:w="26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3,428,000,00</w:t>
            </w: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3,732,000,000</w:t>
            </w: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3,844,000,000</w:t>
            </w:r>
          </w:p>
        </w:tc>
        <w:tc>
          <w:tcPr>
            <w:tcW w:w="60" w:type="dxa"/>
            <w:vAlign w:val="bottom"/>
            <w:tcBorders>
              <w:top w:val="single" w:sz="8" w:color="CCEEFF"/>
            </w:tcBorders>
            <w:shd w:val="clear" w:color="auto" w:fill="CCEEFF"/>
          </w:tcPr>
          <w:p>
            <w:pPr>
              <w:spacing w:after="0"/>
              <w:rPr>
                <w:sz w:val="13"/>
                <w:szCs w:val="13"/>
                <w:color w:val="auto"/>
              </w:rPr>
            </w:pPr>
          </w:p>
        </w:tc>
      </w:tr>
      <w:tr>
        <w:trPr>
          <w:trHeight w:val="257"/>
        </w:trPr>
        <w:tc>
          <w:tcPr>
            <w:tcW w:w="940" w:type="dxa"/>
            <w:vAlign w:val="bottom"/>
          </w:tcPr>
          <w:p>
            <w:pPr>
              <w:spacing w:after="0"/>
              <w:rPr>
                <w:sz w:val="22"/>
                <w:szCs w:val="22"/>
                <w:color w:val="auto"/>
              </w:rPr>
            </w:pPr>
          </w:p>
        </w:tc>
        <w:tc>
          <w:tcPr>
            <w:tcW w:w="356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Earned Dollars at Work</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73"/>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Boyle</w:t>
            </w:r>
          </w:p>
        </w:tc>
        <w:tc>
          <w:tcPr>
            <w:tcW w:w="27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4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2,800,000</w:t>
            </w:r>
          </w:p>
        </w:tc>
        <w:tc>
          <w:tcPr>
            <w:tcW w:w="5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4,200,000</w:t>
            </w:r>
          </w:p>
        </w:tc>
        <w:tc>
          <w:tcPr>
            <w:tcW w:w="60" w:type="dxa"/>
            <w:vAlign w:val="bottom"/>
            <w:shd w:val="clear" w:color="auto" w:fill="CCEEFF"/>
          </w:tcPr>
          <w:p>
            <w:pPr>
              <w:spacing w:after="0"/>
              <w:rPr>
                <w:sz w:val="15"/>
                <w:szCs w:val="15"/>
                <w:color w:val="auto"/>
              </w:rPr>
            </w:pPr>
          </w:p>
        </w:tc>
      </w:tr>
      <w:tr>
        <w:trPr>
          <w:trHeight w:val="17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Mr. Drazin</w:t>
            </w:r>
          </w:p>
        </w:tc>
        <w:tc>
          <w:tcPr>
            <w:tcW w:w="27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1,137,500</w:t>
            </w:r>
          </w:p>
        </w:tc>
        <w:tc>
          <w:tcPr>
            <w:tcW w:w="4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2,275,000</w:t>
            </w:r>
          </w:p>
        </w:tc>
        <w:tc>
          <w:tcPr>
            <w:tcW w:w="5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3,412,500</w:t>
            </w:r>
          </w:p>
        </w:tc>
        <w:tc>
          <w:tcPr>
            <w:tcW w:w="60" w:type="dxa"/>
            <w:vAlign w:val="bottom"/>
          </w:tcPr>
          <w:p>
            <w:pPr>
              <w:spacing w:after="0"/>
              <w:rPr>
                <w:sz w:val="14"/>
                <w:szCs w:val="14"/>
                <w:color w:val="auto"/>
              </w:rPr>
            </w:pPr>
          </w:p>
        </w:tc>
      </w:tr>
      <w:tr>
        <w:trPr>
          <w:trHeight w:val="172"/>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Golwas</w:t>
            </w:r>
          </w:p>
        </w:tc>
        <w:tc>
          <w:tcPr>
            <w:tcW w:w="27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1,137,500</w:t>
            </w:r>
          </w:p>
        </w:tc>
        <w:tc>
          <w:tcPr>
            <w:tcW w:w="4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2,275,000</w:t>
            </w:r>
          </w:p>
        </w:tc>
        <w:tc>
          <w:tcPr>
            <w:tcW w:w="5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3,412,500</w:t>
            </w:r>
          </w:p>
        </w:tc>
        <w:tc>
          <w:tcPr>
            <w:tcW w:w="60" w:type="dxa"/>
            <w:vAlign w:val="bottom"/>
            <w:shd w:val="clear" w:color="auto" w:fill="CCEEFF"/>
          </w:tcPr>
          <w:p>
            <w:pPr>
              <w:spacing w:after="0"/>
              <w:rPr>
                <w:sz w:val="14"/>
                <w:szCs w:val="14"/>
                <w:color w:val="auto"/>
              </w:rPr>
            </w:pPr>
          </w:p>
        </w:tc>
      </w:tr>
      <w:tr>
        <w:trPr>
          <w:trHeight w:val="186"/>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Mr. Miller</w:t>
            </w:r>
          </w:p>
        </w:tc>
        <w:tc>
          <w:tcPr>
            <w:tcW w:w="27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1,137,500</w:t>
            </w:r>
          </w:p>
        </w:tc>
        <w:tc>
          <w:tcPr>
            <w:tcW w:w="4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2,275,000</w:t>
            </w:r>
          </w:p>
        </w:tc>
        <w:tc>
          <w:tcPr>
            <w:tcW w:w="5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3,412,500</w:t>
            </w:r>
          </w:p>
        </w:tc>
        <w:tc>
          <w:tcPr>
            <w:tcW w:w="60" w:type="dxa"/>
            <w:vAlign w:val="bottom"/>
          </w:tcPr>
          <w:p>
            <w:pPr>
              <w:spacing w:after="0"/>
              <w:rPr>
                <w:sz w:val="16"/>
                <w:szCs w:val="16"/>
                <w:color w:val="auto"/>
              </w:rPr>
            </w:pPr>
          </w:p>
        </w:tc>
      </w:tr>
    </w:tbl>
    <w:p>
      <w:pPr>
        <w:spacing w:after="0" w:line="31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u w:val="single" w:color="auto"/>
          <w:color w:val="auto"/>
        </w:rPr>
        <w:t>Net Sales – 30% of Target Dollars at Work</w:t>
      </w:r>
    </w:p>
    <w:p>
      <w:pPr>
        <w:spacing w:after="0" w:line="202" w:lineRule="exact"/>
        <w:rPr>
          <w:sz w:val="20"/>
          <w:szCs w:val="20"/>
          <w:color w:val="auto"/>
        </w:rPr>
      </w:pPr>
    </w:p>
    <w:tbl>
      <w:tblPr>
        <w:tblLayout w:type="fixed"/>
        <w:tblInd w:w="1960" w:type="dxa"/>
        <w:tblCellMar>
          <w:top w:w="0" w:type="dxa"/>
          <w:left w:w="0" w:type="dxa"/>
          <w:bottom w:w="0" w:type="dxa"/>
          <w:right w:w="0" w:type="dxa"/>
        </w:tblCellMar>
      </w:tblPr>
      <w:tr>
        <w:trPr>
          <w:trHeight w:val="158"/>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Achievement Level</w:t>
            </w: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9"/>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Goal</w:t>
            </w:r>
          </w:p>
        </w:tc>
        <w:tc>
          <w:tcPr>
            <w:tcW w:w="2100" w:type="dxa"/>
            <w:vAlign w:val="bottom"/>
          </w:tcPr>
          <w:p>
            <w:pPr>
              <w:spacing w:after="0"/>
              <w:rPr>
                <w:sz w:val="14"/>
                <w:szCs w:val="14"/>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$26,017,000,000</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$28,442,000,000</w:t>
            </w:r>
          </w:p>
        </w:tc>
        <w:tc>
          <w:tcPr>
            <w:tcW w:w="680" w:type="dxa"/>
            <w:vAlign w:val="bottom"/>
          </w:tcPr>
          <w:p>
            <w:pPr>
              <w:spacing w:after="0"/>
              <w:rPr>
                <w:sz w:val="14"/>
                <w:szCs w:val="14"/>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$28,726,000,000</w:t>
            </w:r>
          </w:p>
        </w:tc>
        <w:tc>
          <w:tcPr>
            <w:tcW w:w="40" w:type="dxa"/>
            <w:vAlign w:val="bottom"/>
          </w:tcPr>
          <w:p>
            <w:pPr>
              <w:spacing w:after="0"/>
              <w:rPr>
                <w:sz w:val="14"/>
                <w:szCs w:val="14"/>
                <w:color w:val="auto"/>
              </w:rPr>
            </w:pPr>
          </w:p>
        </w:tc>
      </w:tr>
      <w:tr>
        <w:trPr>
          <w:trHeight w:val="242"/>
        </w:trPr>
        <w:tc>
          <w:tcPr>
            <w:tcW w:w="940" w:type="dxa"/>
            <w:vAlign w:val="bottom"/>
          </w:tcPr>
          <w:p>
            <w:pPr>
              <w:spacing w:after="0"/>
              <w:rPr>
                <w:sz w:val="21"/>
                <w:szCs w:val="21"/>
                <w:color w:val="auto"/>
              </w:rPr>
            </w:pPr>
          </w:p>
        </w:tc>
        <w:tc>
          <w:tcPr>
            <w:tcW w:w="3620" w:type="dxa"/>
            <w:vAlign w:val="bottom"/>
            <w:gridSpan w:val="4"/>
          </w:tcPr>
          <w:p>
            <w:pPr>
              <w:ind w:left="1980"/>
              <w:spacing w:after="0"/>
              <w:rPr>
                <w:sz w:val="20"/>
                <w:szCs w:val="20"/>
                <w:color w:val="auto"/>
              </w:rPr>
            </w:pPr>
            <w:r>
              <w:rPr>
                <w:rFonts w:ascii="Times New Roman" w:cs="Times New Roman" w:eastAsia="Times New Roman" w:hAnsi="Times New Roman"/>
                <w:sz w:val="14"/>
                <w:szCs w:val="14"/>
                <w:b w:val="1"/>
                <w:bCs w:val="1"/>
                <w:color w:val="auto"/>
              </w:rPr>
              <w:t>Earned Dollars at Work</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3"/>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Boyle</w:t>
            </w:r>
          </w:p>
        </w:tc>
        <w:tc>
          <w:tcPr>
            <w:tcW w:w="2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5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40" w:type="dxa"/>
            <w:vAlign w:val="bottom"/>
            <w:shd w:val="clear" w:color="auto" w:fill="CCEEFF"/>
          </w:tcPr>
          <w:p>
            <w:pPr>
              <w:spacing w:after="0"/>
              <w:rPr>
                <w:sz w:val="15"/>
                <w:szCs w:val="15"/>
                <w:color w:val="auto"/>
              </w:rPr>
            </w:pPr>
          </w:p>
        </w:tc>
      </w:tr>
      <w:tr>
        <w:trPr>
          <w:trHeight w:val="17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Mr. Drazin</w:t>
            </w:r>
          </w:p>
        </w:tc>
        <w:tc>
          <w:tcPr>
            <w:tcW w:w="2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487,500</w:t>
            </w:r>
          </w:p>
        </w:tc>
        <w:tc>
          <w:tcPr>
            <w:tcW w:w="540" w:type="dxa"/>
            <w:vAlign w:val="bottom"/>
          </w:tcPr>
          <w:p>
            <w:pPr>
              <w:spacing w:after="0"/>
              <w:rPr>
                <w:sz w:val="14"/>
                <w:szCs w:val="14"/>
                <w:color w:val="auto"/>
              </w:rPr>
            </w:pP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975,000</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1,462,500</w:t>
            </w:r>
          </w:p>
        </w:tc>
        <w:tc>
          <w:tcPr>
            <w:tcW w:w="40" w:type="dxa"/>
            <w:vAlign w:val="bottom"/>
          </w:tcPr>
          <w:p>
            <w:pPr>
              <w:spacing w:after="0"/>
              <w:rPr>
                <w:sz w:val="14"/>
                <w:szCs w:val="14"/>
                <w:color w:val="auto"/>
              </w:rPr>
            </w:pPr>
          </w:p>
        </w:tc>
      </w:tr>
      <w:tr>
        <w:trPr>
          <w:trHeight w:val="172"/>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Golwas</w:t>
            </w:r>
          </w:p>
        </w:tc>
        <w:tc>
          <w:tcPr>
            <w:tcW w:w="2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487,500</w:t>
            </w:r>
          </w:p>
        </w:tc>
        <w:tc>
          <w:tcPr>
            <w:tcW w:w="5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975,000</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1,462,500</w:t>
            </w:r>
          </w:p>
        </w:tc>
        <w:tc>
          <w:tcPr>
            <w:tcW w:w="40" w:type="dxa"/>
            <w:vAlign w:val="bottom"/>
            <w:shd w:val="clear" w:color="auto" w:fill="CCEEFF"/>
          </w:tcPr>
          <w:p>
            <w:pPr>
              <w:spacing w:after="0"/>
              <w:rPr>
                <w:sz w:val="14"/>
                <w:szCs w:val="14"/>
                <w:color w:val="auto"/>
              </w:rPr>
            </w:pPr>
          </w:p>
        </w:tc>
      </w:tr>
      <w:tr>
        <w:trPr>
          <w:trHeight w:val="186"/>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Mr. Miller</w:t>
            </w:r>
          </w:p>
        </w:tc>
        <w:tc>
          <w:tcPr>
            <w:tcW w:w="2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487,500</w:t>
            </w:r>
          </w:p>
        </w:tc>
        <w:tc>
          <w:tcPr>
            <w:tcW w:w="540" w:type="dxa"/>
            <w:vAlign w:val="bottom"/>
          </w:tcPr>
          <w:p>
            <w:pPr>
              <w:spacing w:after="0"/>
              <w:rPr>
                <w:sz w:val="16"/>
                <w:szCs w:val="16"/>
                <w:color w:val="auto"/>
              </w:rPr>
            </w:pP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975,000</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1,462,500</w:t>
            </w:r>
          </w:p>
        </w:tc>
        <w:tc>
          <w:tcPr>
            <w:tcW w:w="40" w:type="dxa"/>
            <w:vAlign w:val="bottom"/>
          </w:tcPr>
          <w:p>
            <w:pPr>
              <w:spacing w:after="0"/>
              <w:rPr>
                <w:sz w:val="16"/>
                <w:szCs w:val="16"/>
                <w:color w:val="auto"/>
              </w:rPr>
            </w:pPr>
          </w:p>
        </w:tc>
      </w:tr>
      <w:tr>
        <w:trPr>
          <w:trHeight w:val="276"/>
        </w:trPr>
        <w:tc>
          <w:tcPr>
            <w:tcW w:w="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72</w:t>
            </w: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92"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Other Compensation</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Sign-on, Retention and Discretionary Bonuses</w:t>
      </w:r>
    </w:p>
    <w:p>
      <w:pPr>
        <w:spacing w:after="0" w:line="101" w:lineRule="exact"/>
        <w:rPr>
          <w:sz w:val="20"/>
          <w:szCs w:val="20"/>
          <w:color w:val="auto"/>
        </w:rPr>
      </w:pPr>
    </w:p>
    <w:p>
      <w:pPr>
        <w:jc w:val="both"/>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None of our Named Executive Officers received any sign-on, retention or discretionary bonuses during fiscal year 2025.</w:t>
      </w:r>
    </w:p>
    <w:p>
      <w:pPr>
        <w:spacing w:after="0" w:line="2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Benefits</w:t>
      </w:r>
    </w:p>
    <w:p>
      <w:pPr>
        <w:spacing w:after="0" w:line="101" w:lineRule="exact"/>
        <w:rPr>
          <w:sz w:val="20"/>
          <w:szCs w:val="20"/>
          <w:color w:val="auto"/>
        </w:rPr>
      </w:pPr>
    </w:p>
    <w:p>
      <w:pPr>
        <w:ind w:left="1260" w:right="139" w:firstLine="351"/>
        <w:spacing w:after="0" w:line="262" w:lineRule="auto"/>
        <w:rPr>
          <w:sz w:val="20"/>
          <w:szCs w:val="20"/>
          <w:color w:val="auto"/>
        </w:rPr>
      </w:pPr>
      <w:r>
        <w:rPr>
          <w:rFonts w:ascii="Times New Roman" w:cs="Times New Roman" w:eastAsia="Times New Roman" w:hAnsi="Times New Roman"/>
          <w:sz w:val="14"/>
          <w:szCs w:val="14"/>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available to all of our salaried U.S.-based employees. In addition, pursuant to our executive security program, we may provide personal security services to certain executive officers. These protections are provided due to the range of security issues and threats encountered by our senior executives. We view the security services provided to our executive officers as an integral part of our risk management program and as necessary and appropriate business expenses. However, because such services may be viewed as conveying a personal benefit to our executive officers, we have reported the aggregate incremental costs of such services in the “All Other Compensation” column of the Summary Compensation Table as required by Item 402 of Regulation S-K.</w:t>
      </w:r>
    </w:p>
    <w:p>
      <w:pPr>
        <w:spacing w:after="0" w:line="319" w:lineRule="exact"/>
        <w:rPr>
          <w:sz w:val="20"/>
          <w:szCs w:val="20"/>
          <w:color w:val="auto"/>
        </w:rPr>
      </w:pPr>
    </w:p>
    <w:p>
      <w:pPr>
        <w:ind w:left="1260" w:right="499" w:firstLine="351"/>
        <w:spacing w:after="0" w:line="293" w:lineRule="auto"/>
        <w:rPr>
          <w:sz w:val="20"/>
          <w:szCs w:val="20"/>
          <w:color w:val="auto"/>
        </w:rPr>
      </w:pPr>
      <w:r>
        <w:rPr>
          <w:rFonts w:ascii="Times New Roman" w:cs="Times New Roman" w:eastAsia="Times New Roman" w:hAnsi="Times New Roman"/>
          <w:sz w:val="14"/>
          <w:szCs w:val="14"/>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Retirement Benefits</w:t>
      </w:r>
    </w:p>
    <w:p>
      <w:pPr>
        <w:spacing w:after="0" w:line="101"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color w:val="auto"/>
        </w:rPr>
        <w:t>We maintain a defined contribution plan that is tax-qualified under Section 401(k) of the U.S. Internal Revenue Code of 1986, as amended (the “Code”) and that we refer to as the “Medline Industries, LP Retirement Plan” or the “401(k) Plan.” The 401(k) Plan is offered on a nondiscriminatory basis to our full-time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44" w:lineRule="exact"/>
        <w:rPr>
          <w:sz w:val="20"/>
          <w:szCs w:val="20"/>
          <w:color w:val="auto"/>
        </w:rPr>
      </w:pPr>
    </w:p>
    <w:p>
      <w:pPr>
        <w:ind w:left="1260" w:right="459" w:firstLine="351"/>
        <w:spacing w:after="0" w:line="293" w:lineRule="auto"/>
        <w:rPr>
          <w:sz w:val="20"/>
          <w:szCs w:val="20"/>
          <w:color w:val="auto"/>
        </w:rPr>
      </w:pPr>
      <w:r>
        <w:rPr>
          <w:rFonts w:ascii="Times New Roman" w:cs="Times New Roman" w:eastAsia="Times New Roman" w:hAnsi="Times New Roman"/>
          <w:sz w:val="14"/>
          <w:szCs w:val="14"/>
          <w:color w:val="auto"/>
        </w:rPr>
        <w:t>We provide matching contributions to the 401(k) Plan in an amount equal to 50% of each participant’s first 8% of deferrals, subject to certain other limits. Participants are 100% vested in both their individual contributions and the matching contributions.</w:t>
      </w:r>
    </w:p>
    <w:p>
      <w:pPr>
        <w:spacing w:after="0" w:line="123" w:lineRule="exact"/>
        <w:rPr>
          <w:sz w:val="20"/>
          <w:szCs w:val="20"/>
          <w:color w:val="auto"/>
        </w:rPr>
      </w:pPr>
    </w:p>
    <w:p>
      <w:pPr>
        <w:ind w:left="1260" w:right="559" w:firstLine="351"/>
        <w:spacing w:after="0" w:line="293" w:lineRule="auto"/>
        <w:rPr>
          <w:sz w:val="20"/>
          <w:szCs w:val="20"/>
          <w:color w:val="auto"/>
        </w:rPr>
      </w:pPr>
      <w:r>
        <w:rPr>
          <w:rFonts w:ascii="Times New Roman" w:cs="Times New Roman" w:eastAsia="Times New Roman" w:hAnsi="Times New Roman"/>
          <w:sz w:val="14"/>
          <w:szCs w:val="14"/>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Severance Arrangements</w:t>
      </w:r>
    </w:p>
    <w:p>
      <w:pPr>
        <w:spacing w:after="0" w:line="101" w:lineRule="exact"/>
        <w:rPr>
          <w:sz w:val="20"/>
          <w:szCs w:val="20"/>
          <w:color w:val="auto"/>
        </w:rPr>
      </w:pPr>
    </w:p>
    <w:p>
      <w:pPr>
        <w:ind w:left="1260" w:right="219" w:firstLine="351"/>
        <w:spacing w:after="0" w:line="265" w:lineRule="auto"/>
        <w:rPr>
          <w:sz w:val="20"/>
          <w:szCs w:val="20"/>
          <w:color w:val="auto"/>
        </w:rPr>
      </w:pPr>
      <w:r>
        <w:rPr>
          <w:rFonts w:ascii="Times New Roman" w:cs="Times New Roman" w:eastAsia="Times New Roman" w:hAnsi="Times New Roman"/>
          <w:sz w:val="14"/>
          <w:szCs w:val="14"/>
          <w:color w:val="auto"/>
        </w:rPr>
        <w:t>We believe that reasonable and appropriate severance benefits are necessary in order to be competitive in Medline’s executive attraction and retention efforts. As discussed below, our Named Executive Officers, other than Mr. Pigott, were eligible to participate in our Amended and Restated Executive Severance Plan, which provides for certain payments, rights, and benefits upon certain qualifying terminations from Medline. Mr. Pigott was entitled to certain payments, rights, and benefits in connection with his transition pursuant to the Pigott Transition Agreement. See “—Potential Payments Upon Termination or Change in Control” below for a description of these benefits.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92"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Clawback Policy</w:t>
      </w:r>
    </w:p>
    <w:p>
      <w:pPr>
        <w:spacing w:after="0" w:line="101"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We have adopted a compensation recovery policy as required by Rule 10D-1 under the Exchange Act and the corresponding listing standard adopted by Nasdaq (the “Incentive Compensation Clawback Policy”). The policy generally provides that if we are required to prepare an accounting 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47" w:lineRule="exact"/>
        <w:rPr>
          <w:sz w:val="20"/>
          <w:szCs w:val="20"/>
          <w:color w:val="auto"/>
        </w:rPr>
      </w:pPr>
    </w:p>
    <w:p>
      <w:pPr>
        <w:ind w:left="1260" w:right="219" w:firstLine="351"/>
        <w:spacing w:after="0" w:line="260" w:lineRule="auto"/>
        <w:rPr>
          <w:sz w:val="20"/>
          <w:szCs w:val="20"/>
          <w:color w:val="auto"/>
        </w:rPr>
      </w:pPr>
      <w:r>
        <w:rPr>
          <w:rFonts w:ascii="Times New Roman" w:cs="Times New Roman" w:eastAsia="Times New Roman" w:hAnsi="Times New Roman"/>
          <w:sz w:val="14"/>
          <w:szCs w:val="14"/>
          <w:color w:val="auto"/>
        </w:rPr>
        <w:t>In addition, all Incentive Units under the MIP obligate the recipient to repay any after-tax proceeds received in respect of Incentive Units if the recipient is terminated for cause (or we discover within one year following termination that grounds to terminate the recipient’s employment for cause existed at the time of termination) or violates restrictive covenants. Awards under the Omnibus Plan also require repayment of after-tax proceeds received in respect of awards if the participant engages in detrimental activity, which generally includes (i) unauthorized disclosure or use of any confidential or proprietary information of Medline; (ii) any activity that would be grounds to terminate the recipient’s employment or service for cause;</w:t>
      </w:r>
    </w:p>
    <w:p>
      <w:pPr>
        <w:spacing w:after="0" w:line="2" w:lineRule="exact"/>
        <w:rPr>
          <w:sz w:val="20"/>
          <w:szCs w:val="20"/>
          <w:color w:val="auto"/>
        </w:rPr>
      </w:pPr>
    </w:p>
    <w:p>
      <w:pPr>
        <w:ind w:left="1260" w:right="159" w:hanging="6"/>
        <w:spacing w:after="0" w:line="264" w:lineRule="auto"/>
        <w:tabs>
          <w:tab w:leader="none" w:pos="1511"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by the recipient of any restrictive covenant by which such recipient is bound, including, without limitation, any covenant not to compete or not to solicit, in any agreement with Medline, or (iv) fraud or conduct contributing to any financial restatements or irregularities, in each case, as determined by the Compensation Committee in its sole discretion.</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Tax and Accounting Implications</w:t>
      </w:r>
    </w:p>
    <w:p>
      <w:pPr>
        <w:spacing w:after="0" w:line="99" w:lineRule="exact"/>
        <w:rPr>
          <w:sz w:val="20"/>
          <w:szCs w:val="20"/>
          <w:color w:val="auto"/>
        </w:rPr>
      </w:pPr>
    </w:p>
    <w:p>
      <w:pPr>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Agreements with Named Executive Officers</w:t>
      </w:r>
    </w:p>
    <w:p>
      <w:pPr>
        <w:spacing w:after="0" w:line="99"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In October 2023, we entered into employment agreements with Messrs. Boyle and Pigott in connection with their promotion to the roles of Chief Executive Officer and President and Chief Operating Officer, respectively. These agreements provide for certain payments, rights and benefits upon certain qualifying terminations from Medline. However, in May 2025, we adopted our Executive Severance Plan, pursuant to which our Named Executive Officers, other than Mr. Pigott, are eligible to receive certain payments, rights and benefits upon certain qualifying terminations from Medline. In connection with becoming a participant in our Executive Severance Plan, Mr. Boyle waived the severance payments and benefits provided under his employment agreement in connection with a termination without cause or resignation for good reason. In October 2024, we entered into a transition and separation agreement with Mr. Pigott that sets forth the payments and benefits Mr. Pigott became entitled to receive in connection with his retirement on December 31, 2025. The material terms of Mr. Boyle’s employment agreement and Mr. Pigott’s transition and separation agreement are described below under the headings “Narrative Disclosure to Summary Compensation Table and Grants of Plan-Based Awards Table—Agreements with Named Executive Officers.”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9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99" w:lineRule="exact"/>
        <w:rPr>
          <w:sz w:val="20"/>
          <w:szCs w:val="20"/>
          <w:color w:val="auto"/>
        </w:rPr>
      </w:pPr>
    </w:p>
    <w:p>
      <w:pPr>
        <w:ind w:left="1260" w:right="27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provides summary information concerning compensation earned by our Named Executive Officers for services rendered for the fiscal year ended December 31, 2025.</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1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Pension Value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and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900" w:type="dxa"/>
            <w:vAlign w:val="bottom"/>
            <w:gridSpan w:val="2"/>
            <w:vMerge w:val="continue"/>
          </w:tcPr>
          <w:p>
            <w:pPr>
              <w:spacing w:after="0"/>
              <w:rPr>
                <w:sz w:val="10"/>
                <w:szCs w:val="10"/>
                <w:color w:val="auto"/>
              </w:rPr>
            </w:pPr>
          </w:p>
        </w:tc>
        <w:tc>
          <w:tcPr>
            <w:tcW w:w="90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Non-Qualified</w:t>
            </w: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Bonus</w:t>
            </w:r>
          </w:p>
        </w:tc>
        <w:tc>
          <w:tcPr>
            <w:tcW w:w="820" w:type="dxa"/>
            <w:vAlign w:val="bottom"/>
            <w:gridSpan w:val="2"/>
            <w:vMerge w:val="continue"/>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Deferred</w:t>
            </w:r>
          </w:p>
        </w:tc>
        <w:tc>
          <w:tcPr>
            <w:tcW w:w="9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82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2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90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47"/>
        </w:trPr>
        <w:tc>
          <w:tcPr>
            <w:tcW w:w="1400" w:type="dxa"/>
            <w:vAlign w:val="bottom"/>
            <w:tcBorders>
              <w:bottom w:val="single" w:sz="8" w:color="auto"/>
            </w:tcBorders>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(1)</w:t>
            </w:r>
          </w:p>
        </w:tc>
        <w:tc>
          <w:tcPr>
            <w:tcW w:w="180" w:type="dxa"/>
            <w:vAlign w:val="bottom"/>
          </w:tcPr>
          <w:p>
            <w:pPr>
              <w:spacing w:after="0"/>
              <w:rPr>
                <w:sz w:val="12"/>
                <w:szCs w:val="12"/>
                <w:color w:val="auto"/>
              </w:rPr>
            </w:pP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(2)</w:t>
            </w:r>
          </w:p>
        </w:tc>
        <w:tc>
          <w:tcPr>
            <w:tcW w:w="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Earnings ($)</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(3)</w:t>
            </w:r>
          </w:p>
        </w:tc>
        <w:tc>
          <w:tcPr>
            <w:tcW w:w="2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2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James M. Boyle</w:t>
            </w: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ind w:left="40"/>
              <w:spacing w:after="0" w:line="154" w:lineRule="exact"/>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1,250,000</w:t>
            </w:r>
          </w:p>
        </w:tc>
        <w:tc>
          <w:tcPr>
            <w:tcW w:w="1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1,177,665</w:t>
            </w: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1,409,960</w:t>
            </w: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23,347</w:t>
            </w: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3,860,972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1,250,000</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1,201,111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1,847,186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4,305,297</w:t>
            </w:r>
          </w:p>
        </w:tc>
        <w:tc>
          <w:tcPr>
            <w:tcW w:w="0" w:type="dxa"/>
            <w:vAlign w:val="bottom"/>
          </w:tcPr>
          <w:p>
            <w:pPr>
              <w:spacing w:after="0"/>
              <w:rPr>
                <w:sz w:val="1"/>
                <w:szCs w:val="1"/>
                <w:color w:val="auto"/>
              </w:rPr>
            </w:pPr>
          </w:p>
        </w:tc>
      </w:tr>
      <w:tr>
        <w:trPr>
          <w:trHeight w:val="155"/>
        </w:trPr>
        <w:tc>
          <w:tcPr>
            <w:tcW w:w="2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Michael B. Drazin</w:t>
            </w:r>
          </w:p>
        </w:tc>
        <w:tc>
          <w:tcPr>
            <w:tcW w:w="48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810,000</w:t>
            </w:r>
          </w:p>
        </w:tc>
        <w:tc>
          <w:tcPr>
            <w:tcW w:w="5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956,853</w:t>
            </w:r>
          </w:p>
        </w:tc>
        <w:tc>
          <w:tcPr>
            <w:tcW w:w="9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763,117</w:t>
            </w:r>
          </w:p>
        </w:tc>
        <w:tc>
          <w:tcPr>
            <w:tcW w:w="9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27,289</w:t>
            </w:r>
          </w:p>
        </w:tc>
        <w:tc>
          <w:tcPr>
            <w:tcW w:w="7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2,557,259</w:t>
            </w:r>
          </w:p>
        </w:tc>
        <w:tc>
          <w:tcPr>
            <w:tcW w:w="0" w:type="dxa"/>
            <w:vAlign w:val="bottom"/>
          </w:tcPr>
          <w:p>
            <w:pPr>
              <w:spacing w:after="0"/>
              <w:rPr>
                <w:sz w:val="1"/>
                <w:szCs w:val="1"/>
                <w:color w:val="auto"/>
              </w:rPr>
            </w:pPr>
          </w:p>
        </w:tc>
      </w:tr>
      <w:tr>
        <w:trPr>
          <w:trHeight w:val="188"/>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810,000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1,009,630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933,014</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7,000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2,759,644</w:t>
            </w:r>
          </w:p>
        </w:tc>
        <w:tc>
          <w:tcPr>
            <w:tcW w:w="0" w:type="dxa"/>
            <w:vAlign w:val="bottom"/>
          </w:tcPr>
          <w:p>
            <w:pPr>
              <w:spacing w:after="0"/>
              <w:rPr>
                <w:sz w:val="1"/>
                <w:szCs w:val="1"/>
                <w:color w:val="auto"/>
              </w:rPr>
            </w:pPr>
          </w:p>
        </w:tc>
      </w:tr>
      <w:tr>
        <w:trPr>
          <w:trHeight w:val="17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1,100,000</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930,573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8,876,504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10,907,077</w:t>
            </w:r>
          </w:p>
        </w:tc>
        <w:tc>
          <w:tcPr>
            <w:tcW w:w="0" w:type="dxa"/>
            <w:vAlign w:val="bottom"/>
          </w:tcPr>
          <w:p>
            <w:pPr>
              <w:spacing w:after="0"/>
              <w:rPr>
                <w:sz w:val="1"/>
                <w:szCs w:val="1"/>
                <w:color w:val="auto"/>
              </w:rPr>
            </w:pPr>
          </w:p>
        </w:tc>
      </w:tr>
      <w:tr>
        <w:trPr>
          <w:trHeight w:val="172"/>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President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1,100,000</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1,201,111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1,625,523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30,644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3,957,278</w:t>
            </w:r>
          </w:p>
        </w:tc>
        <w:tc>
          <w:tcPr>
            <w:tcW w:w="0" w:type="dxa"/>
            <w:vAlign w:val="bottom"/>
          </w:tcPr>
          <w:p>
            <w:pPr>
              <w:spacing w:after="0"/>
              <w:rPr>
                <w:sz w:val="1"/>
                <w:szCs w:val="1"/>
                <w:color w:val="auto"/>
              </w:rPr>
            </w:pPr>
          </w:p>
        </w:tc>
      </w:tr>
      <w:tr>
        <w:trPr>
          <w:trHeight w:val="155"/>
        </w:trPr>
        <w:tc>
          <w:tcPr>
            <w:tcW w:w="2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Douglas P. Golwas</w:t>
            </w:r>
          </w:p>
        </w:tc>
        <w:tc>
          <w:tcPr>
            <w:tcW w:w="48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800,000</w:t>
            </w:r>
          </w:p>
        </w:tc>
        <w:tc>
          <w:tcPr>
            <w:tcW w:w="5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956,853</w:t>
            </w:r>
          </w:p>
        </w:tc>
        <w:tc>
          <w:tcPr>
            <w:tcW w:w="9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772,410</w:t>
            </w:r>
          </w:p>
        </w:tc>
        <w:tc>
          <w:tcPr>
            <w:tcW w:w="9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25,030</w:t>
            </w:r>
          </w:p>
        </w:tc>
        <w:tc>
          <w:tcPr>
            <w:tcW w:w="7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2,554,293</w:t>
            </w:r>
          </w:p>
        </w:tc>
        <w:tc>
          <w:tcPr>
            <w:tcW w:w="0" w:type="dxa"/>
            <w:vAlign w:val="bottom"/>
          </w:tcPr>
          <w:p>
            <w:pPr>
              <w:spacing w:after="0"/>
              <w:rPr>
                <w:sz w:val="1"/>
                <w:szCs w:val="1"/>
                <w:color w:val="auto"/>
              </w:rPr>
            </w:pPr>
          </w:p>
        </w:tc>
      </w:tr>
      <w:tr>
        <w:trPr>
          <w:trHeight w:val="188"/>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Commercial Officer</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700,000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957,407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1,093,750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7,000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2,758,157</w:t>
            </w:r>
          </w:p>
        </w:tc>
        <w:tc>
          <w:tcPr>
            <w:tcW w:w="0" w:type="dxa"/>
            <w:vAlign w:val="bottom"/>
          </w:tcPr>
          <w:p>
            <w:pPr>
              <w:spacing w:after="0"/>
              <w:rPr>
                <w:sz w:val="1"/>
                <w:szCs w:val="1"/>
                <w:color w:val="auto"/>
              </w:rPr>
            </w:pPr>
          </w:p>
        </w:tc>
      </w:tr>
      <w:tr>
        <w:trPr>
          <w:trHeight w:val="17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800,000</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956,853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676,781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9,140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2,442,774</w:t>
            </w:r>
          </w:p>
        </w:tc>
        <w:tc>
          <w:tcPr>
            <w:tcW w:w="0" w:type="dxa"/>
            <w:vAlign w:val="bottom"/>
          </w:tcPr>
          <w:p>
            <w:pPr>
              <w:spacing w:after="0"/>
              <w:rPr>
                <w:sz w:val="1"/>
                <w:szCs w:val="1"/>
                <w:color w:val="auto"/>
              </w:rPr>
            </w:pPr>
          </w:p>
        </w:tc>
      </w:tr>
      <w:tr>
        <w:trPr>
          <w:trHeight w:val="172"/>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724,000</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2,680,741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903,404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4,315,145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68580</wp:posOffset>
            </wp:positionV>
            <wp:extent cx="61468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13" w:lineRule="exact"/>
        <w:rPr>
          <w:sz w:val="20"/>
          <w:szCs w:val="20"/>
          <w:color w:val="auto"/>
        </w:rPr>
      </w:pPr>
    </w:p>
    <w:p>
      <w:pPr>
        <w:ind w:left="1600" w:hanging="346"/>
        <w:spacing w:after="0"/>
        <w:tabs>
          <w:tab w:leader="none" w:pos="160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represent the Named Executive Officer’s base salary earned during the 2025 fiscal year.</w:t>
      </w:r>
    </w:p>
    <w:p>
      <w:pPr>
        <w:spacing w:after="0" w:line="3" w:lineRule="exact"/>
        <w:rPr>
          <w:rFonts w:ascii="Times New Roman" w:cs="Times New Roman" w:eastAsia="Times New Roman" w:hAnsi="Times New Roman"/>
          <w:sz w:val="11"/>
          <w:szCs w:val="11"/>
          <w:color w:val="auto"/>
        </w:rPr>
      </w:pPr>
    </w:p>
    <w:p>
      <w:pPr>
        <w:ind w:left="1600" w:right="119" w:hanging="346"/>
        <w:spacing w:after="0" w:line="229" w:lineRule="auto"/>
        <w:tabs>
          <w:tab w:leader="none" w:pos="160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reflect the fair value of each participating Named Executive Officer’s 2025 Award under the MIP at the service inception date for the award computed in accordance with ASC Topic 718. The 2025 Awards are initially expressed as “dollars at work,” which are earned based on Company and individual performance against the performance goals specified for 2025 Awards. At the time the MIP for 2025 was established, it was expected that the earned dollars at work would be converted into Incentive Units if Medline Inc.’s initial public offering did not occur by the date that the 2025 Awards were expected to be granted. However, given the completion of Medline Inc.’s initial public offering in December, the Compensation Committee expects to grant time-based RSUs to each Named Executive Officer (other than Mr. Pigott) in respect of the Named Executive Officer’s earned dollars at work. The earned dollars at work will be converted into a number of RSUs in the first quarter of 2026 by dividing the earned dollars at work (based on fair market value) by the initial public offering price of Medline Inc. common stock, which was $29.00.</w:t>
      </w:r>
    </w:p>
    <w:p>
      <w:pPr>
        <w:spacing w:after="0" w:line="68" w:lineRule="exact"/>
        <w:rPr>
          <w:sz w:val="20"/>
          <w:szCs w:val="20"/>
          <w:color w:val="auto"/>
        </w:rPr>
      </w:pPr>
    </w:p>
    <w:p>
      <w:pPr>
        <w:ind w:left="1600" w:right="159" w:hanging="346"/>
        <w:spacing w:after="0" w:line="228" w:lineRule="auto"/>
        <w:tabs>
          <w:tab w:leader="none" w:pos="160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the date of this prospectus, no time-based RSUs have been granted in respect of the 2025 Awards. It is expected that the accounting grant date for the 2025 Awards will occur in the first quarter of 2026. Since the service inception date precedes the grant date, the Company recognizes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2025 Awards reflected in the table, amounts were computed based on the probable outcome of the performance conditions applicable to each award on the service inception date. Assuming maximum achievement of the applicable performance conditions, the fair values of the 2025 Awards granted to eligible Named Executive Officers in fiscal year 2025 were as follows: Mr. Boyle: $1,766,497;</w:t>
      </w:r>
    </w:p>
    <w:p>
      <w:pPr>
        <w:spacing w:after="0" w:line="1" w:lineRule="exact"/>
        <w:rPr>
          <w:rFonts w:ascii="Times New Roman" w:cs="Times New Roman" w:eastAsia="Times New Roman" w:hAnsi="Times New Roman"/>
          <w:sz w:val="11"/>
          <w:szCs w:val="11"/>
          <w:color w:val="auto"/>
        </w:rPr>
      </w:pPr>
    </w:p>
    <w:p>
      <w:pPr>
        <w:ind w:left="1600" w:right="339"/>
        <w:spacing w:after="0" w:line="242"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Drazin: $1,435,279; Mr. Golwas: $1,435,279; and Mr. Miller $1,435,279. For information regarding the assumptions used in determining the fair value of these awards, please refer to “Note 17—Stock-Based Compensation” of our audited consolidated financial statements included in our 2025 Form 10-K incorporated by reference in this prospectus.</w:t>
      </w:r>
    </w:p>
    <w:p>
      <w:pPr>
        <w:spacing w:after="0" w:line="66" w:lineRule="exact"/>
        <w:rPr>
          <w:sz w:val="20"/>
          <w:szCs w:val="20"/>
          <w:color w:val="auto"/>
        </w:rPr>
      </w:pPr>
    </w:p>
    <w:p>
      <w:pPr>
        <w:jc w:val="both"/>
        <w:ind w:left="1600" w:right="139" w:hanging="346"/>
        <w:spacing w:after="0" w:line="245" w:lineRule="auto"/>
        <w:tabs>
          <w:tab w:leader="none" w:pos="160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for Messrs. Boyle, Drazin, Pigott, Golwas, and Miller include employer contributions to our 401(k) plan in the fiscal year ended December 31, 2025. Amounts for Messrs. Boyle, Drazin, Golwas and Miller also include costs related to personal security services. Amount for Mr. Pigott also includes the value of the accelerated vesting of his time-vesting Incentive Units in the amount of $8,868,337 in accordance with the Pigott Transition Agreement, which is described below under “Narrative Disclosure to</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92"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8" w:lineRule="exact"/>
        <w:rPr>
          <w:sz w:val="20"/>
          <w:szCs w:val="20"/>
          <w:color w:val="auto"/>
        </w:rPr>
      </w:pPr>
    </w:p>
    <w:p>
      <w:pPr>
        <w:ind w:left="1600" w:right="479"/>
        <w:spacing w:after="0" w:line="265" w:lineRule="auto"/>
        <w:rPr>
          <w:sz w:val="20"/>
          <w:szCs w:val="20"/>
          <w:color w:val="auto"/>
        </w:rPr>
      </w:pPr>
      <w:r>
        <w:rPr>
          <w:rFonts w:ascii="Times New Roman" w:cs="Times New Roman" w:eastAsia="Times New Roman" w:hAnsi="Times New Roman"/>
          <w:sz w:val="11"/>
          <w:szCs w:val="11"/>
          <w:color w:val="auto"/>
        </w:rPr>
        <w:t>Summary Compensation Table and Grants of Plan-Based Awards Table—Agreements with Named Executive Officers—Employment Agreement and Transition and Separation Agreement with Mr. Pigott.” The actual amounts of these compensations are listed in the chart below.</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401(k)</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Personal</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Accelerated</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980" w:type="dxa"/>
            <w:vAlign w:val="bottom"/>
            <w:gridSpan w:val="2"/>
          </w:tcPr>
          <w:p>
            <w:pPr>
              <w:jc w:val="right"/>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Employer</w:t>
            </w:r>
          </w:p>
        </w:tc>
        <w:tc>
          <w:tcPr>
            <w:tcW w:w="76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Security</w:t>
            </w:r>
          </w:p>
        </w:tc>
        <w:tc>
          <w:tcPr>
            <w:tcW w:w="9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300" w:type="dxa"/>
            <w:vAlign w:val="bottom"/>
            <w:vMerge w:val="restart"/>
          </w:tcPr>
          <w:p>
            <w:pPr>
              <w:spacing w:after="0"/>
              <w:rPr>
                <w:sz w:val="10"/>
                <w:szCs w:val="10"/>
                <w:color w:val="auto"/>
              </w:rPr>
            </w:pPr>
          </w:p>
        </w:tc>
        <w:tc>
          <w:tcPr>
            <w:tcW w:w="980" w:type="dxa"/>
            <w:vAlign w:val="bottom"/>
            <w:gridSpan w:val="2"/>
          </w:tcPr>
          <w:p>
            <w:pPr>
              <w:jc w:val="right"/>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Contribution</w:t>
            </w:r>
          </w:p>
        </w:tc>
        <w:tc>
          <w:tcPr>
            <w:tcW w:w="76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Services</w:t>
            </w:r>
          </w:p>
        </w:tc>
        <w:tc>
          <w:tcPr>
            <w:tcW w:w="9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Units Value</w:t>
            </w: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4300" w:type="dxa"/>
            <w:vAlign w:val="bottom"/>
            <w:vMerge w:val="continue"/>
          </w:tcPr>
          <w:p>
            <w:pPr>
              <w:spacing w:after="0"/>
              <w:rPr>
                <w:sz w:val="12"/>
                <w:szCs w:val="12"/>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2"/>
                <w:szCs w:val="12"/>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0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James M. Boyle</w:t>
            </w: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6,646</w:t>
            </w: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16,701</w:t>
            </w:r>
          </w:p>
        </w:tc>
        <w:tc>
          <w:tcPr>
            <w:tcW w:w="2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23,347</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14,000</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13,289</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27,289</w:t>
            </w:r>
          </w:p>
        </w:tc>
        <w:tc>
          <w:tcPr>
            <w:tcW w:w="0" w:type="dxa"/>
            <w:vAlign w:val="bottom"/>
          </w:tcPr>
          <w:p>
            <w:pPr>
              <w:spacing w:after="0"/>
              <w:rPr>
                <w:sz w:val="1"/>
                <w:szCs w:val="1"/>
                <w:color w:val="auto"/>
              </w:rPr>
            </w:pPr>
          </w:p>
        </w:tc>
      </w:tr>
      <w:tr>
        <w:trPr>
          <w:trHeight w:val="172"/>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8,167</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8,868,337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8,876,504</w:t>
            </w:r>
          </w:p>
        </w:tc>
        <w:tc>
          <w:tcPr>
            <w:tcW w:w="0" w:type="dxa"/>
            <w:vAlign w:val="bottom"/>
          </w:tcPr>
          <w:p>
            <w:pPr>
              <w:spacing w:after="0"/>
              <w:rPr>
                <w:sz w:val="1"/>
                <w:szCs w:val="1"/>
                <w:color w:val="auto"/>
              </w:rPr>
            </w:pPr>
          </w:p>
        </w:tc>
      </w:tr>
      <w:tr>
        <w:trPr>
          <w:trHeight w:val="172"/>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12,589</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12,441</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25,030</w:t>
            </w:r>
          </w:p>
        </w:tc>
        <w:tc>
          <w:tcPr>
            <w:tcW w:w="0" w:type="dxa"/>
            <w:vAlign w:val="bottom"/>
          </w:tcPr>
          <w:p>
            <w:pPr>
              <w:spacing w:after="0"/>
              <w:rPr>
                <w:sz w:val="1"/>
                <w:szCs w:val="1"/>
                <w:color w:val="auto"/>
              </w:rPr>
            </w:pPr>
          </w:p>
        </w:tc>
      </w:tr>
      <w:tr>
        <w:trPr>
          <w:trHeight w:val="172"/>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7,667</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1,473</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9,140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Grants of Plan-Based Awards in 2025</w:t>
      </w:r>
    </w:p>
    <w:p>
      <w:pPr>
        <w:spacing w:after="0" w:line="99"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grants of plan-based awards to our Named Executive Officers during the 2025 fiscal</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year.</w:t>
      </w:r>
    </w:p>
    <w:p>
      <w:pPr>
        <w:sectPr>
          <w:pgSz w:w="11900" w:h="16838" w:orient="portrait"/>
          <w:cols w:equalWidth="0" w:num="1">
            <w:col w:w="10159"/>
          </w:cols>
          <w:pgMar w:left="300" w:top="39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Estimated Future</w:t>
            </w:r>
          </w:p>
        </w:tc>
        <w:tc>
          <w:tcPr>
            <w:tcW w:w="1680" w:type="dxa"/>
            <w:vAlign w:val="bottom"/>
            <w:gridSpan w:val="6"/>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Estimated Future</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40" w:type="dxa"/>
            <w:vAlign w:val="bottom"/>
            <w:gridSpan w:val="6"/>
            <w:vMerge w:val="continue"/>
          </w:tcPr>
          <w:p>
            <w:pPr>
              <w:spacing w:after="0"/>
              <w:rPr>
                <w:sz w:val="10"/>
                <w:szCs w:val="10"/>
                <w:color w:val="auto"/>
              </w:rPr>
            </w:pPr>
          </w:p>
        </w:tc>
        <w:tc>
          <w:tcPr>
            <w:tcW w:w="1680" w:type="dxa"/>
            <w:vAlign w:val="bottom"/>
            <w:gridSpan w:val="6"/>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Payouts Under Equity</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40" w:type="dxa"/>
            <w:vAlign w:val="bottom"/>
            <w:gridSpan w:val="6"/>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Payouts Under Non-Equity</w:t>
            </w:r>
          </w:p>
        </w:tc>
        <w:tc>
          <w:tcPr>
            <w:tcW w:w="500" w:type="dxa"/>
            <w:vAlign w:val="bottom"/>
          </w:tcPr>
          <w:p>
            <w:pPr>
              <w:spacing w:after="0"/>
              <w:rPr>
                <w:sz w:val="10"/>
                <w:szCs w:val="10"/>
                <w:color w:val="auto"/>
              </w:rPr>
            </w:pPr>
          </w:p>
        </w:tc>
        <w:tc>
          <w:tcPr>
            <w:tcW w:w="64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Incentive Plan Awards</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Plan Awards</w:t>
            </w:r>
          </w:p>
        </w:tc>
        <w:tc>
          <w:tcPr>
            <w:tcW w:w="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Threshold</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9"/>
              </w:rPr>
              <w:t>Threshold</w:t>
            </w:r>
          </w:p>
        </w:tc>
        <w:tc>
          <w:tcPr>
            <w:tcW w:w="140" w:type="dxa"/>
            <w:vAlign w:val="bottom"/>
          </w:tcPr>
          <w:p>
            <w:pPr>
              <w:spacing w:after="0"/>
              <w:rPr>
                <w:sz w:val="18"/>
                <w:szCs w:val="18"/>
                <w:color w:val="auto"/>
              </w:rPr>
            </w:pP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47"/>
        </w:trPr>
        <w:tc>
          <w:tcPr>
            <w:tcW w:w="1880" w:type="dxa"/>
            <w:vAlign w:val="bottom"/>
            <w:gridSpan w:val="2"/>
            <w:vMerge w:val="continue"/>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8"/>
                <w:szCs w:val="8"/>
                <w:b w:val="1"/>
                <w:bCs w:val="1"/>
                <w:color w:val="auto"/>
              </w:rPr>
              <w:t>(1)</w:t>
            </w:r>
          </w:p>
        </w:tc>
        <w:tc>
          <w:tcPr>
            <w:tcW w:w="50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2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Pr>
          <w:p>
            <w:pPr>
              <w:spacing w:after="0"/>
              <w:rPr>
                <w:sz w:val="12"/>
                <w:szCs w:val="12"/>
                <w:color w:val="auto"/>
              </w:rPr>
            </w:pPr>
          </w:p>
        </w:tc>
        <w:tc>
          <w:tcPr>
            <w:tcW w:w="52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80" w:type="dxa"/>
            <w:vAlign w:val="bottom"/>
            <w:tcBorders>
              <w:top w:val="single" w:sz="8" w:color="auto"/>
            </w:tcBorders>
          </w:tcPr>
          <w:p>
            <w:pPr>
              <w:spacing w:after="0" w:line="83" w:lineRule="exact"/>
              <w:rPr>
                <w:sz w:val="20"/>
                <w:szCs w:val="20"/>
                <w:color w:val="auto"/>
              </w:rPr>
            </w:pPr>
            <w:r>
              <w:rPr>
                <w:rFonts w:ascii="Times New Roman" w:cs="Times New Roman" w:eastAsia="Times New Roman" w:hAnsi="Times New Roman"/>
                <w:sz w:val="9"/>
                <w:szCs w:val="9"/>
                <w:color w:val="auto"/>
              </w:rPr>
              <w:t>James</w:t>
            </w:r>
          </w:p>
        </w:tc>
        <w:tc>
          <w:tcPr>
            <w:tcW w:w="1600" w:type="dxa"/>
            <w:vAlign w:val="bottom"/>
          </w:tcPr>
          <w:p>
            <w:pPr>
              <w:ind w:left="20"/>
              <w:spacing w:after="0" w:line="83" w:lineRule="exact"/>
              <w:rPr>
                <w:sz w:val="20"/>
                <w:szCs w:val="20"/>
                <w:color w:val="auto"/>
              </w:rPr>
            </w:pPr>
            <w:r>
              <w:rPr>
                <w:rFonts w:ascii="Times New Roman" w:cs="Times New Roman" w:eastAsia="Times New Roman" w:hAnsi="Times New Roman"/>
                <w:sz w:val="9"/>
                <w:szCs w:val="9"/>
                <w:color w:val="auto"/>
              </w:rPr>
              <w:t>M. Boyle</w:t>
            </w:r>
          </w:p>
        </w:tc>
        <w:tc>
          <w:tcPr>
            <w:tcW w:w="500" w:type="dxa"/>
            <w:vAlign w:val="bottom"/>
            <w:tcBorders>
              <w:top w:val="single" w:sz="8" w:color="auto"/>
            </w:tcBorders>
          </w:tcPr>
          <w:p>
            <w:pPr>
              <w:ind w:left="40"/>
              <w:spacing w:after="0" w:line="83" w:lineRule="exact"/>
              <w:rPr>
                <w:sz w:val="20"/>
                <w:szCs w:val="20"/>
                <w:color w:val="auto"/>
              </w:rPr>
            </w:pPr>
            <w:r>
              <w:rPr>
                <w:rFonts w:ascii="Times New Roman" w:cs="Times New Roman" w:eastAsia="Times New Roman" w:hAnsi="Times New Roman"/>
                <w:sz w:val="9"/>
                <w:szCs w:val="9"/>
                <w:color w:val="auto"/>
              </w:rPr>
              <w:t>4/11/2025</w:t>
            </w:r>
          </w:p>
        </w:tc>
        <w:tc>
          <w:tcPr>
            <w:tcW w:w="260" w:type="dxa"/>
            <w:vAlign w:val="bottom"/>
          </w:tcPr>
          <w:p>
            <w:pPr>
              <w:jc w:val="right"/>
              <w:ind w:right="117"/>
              <w:spacing w:after="0" w:line="83" w:lineRule="exact"/>
              <w:rPr>
                <w:sz w:val="20"/>
                <w:szCs w:val="20"/>
                <w:color w:val="auto"/>
              </w:rPr>
            </w:pPr>
            <w:r>
              <w:rPr>
                <w:rFonts w:ascii="Times New Roman" w:cs="Times New Roman" w:eastAsia="Times New Roman" w:hAnsi="Times New Roman"/>
                <w:sz w:val="9"/>
                <w:szCs w:val="9"/>
                <w:color w:val="auto"/>
                <w:w w:val="75"/>
              </w:rPr>
              <w:t>(3)</w:t>
            </w:r>
          </w:p>
        </w:tc>
        <w:tc>
          <w:tcPr>
            <w:tcW w:w="50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0</w:t>
            </w:r>
          </w:p>
        </w:tc>
        <w:tc>
          <w:tcPr>
            <w:tcW w:w="140" w:type="dxa"/>
            <w:vAlign w:val="bottom"/>
          </w:tcPr>
          <w:p>
            <w:pPr>
              <w:spacing w:after="0"/>
              <w:rPr>
                <w:sz w:val="7"/>
                <w:szCs w:val="7"/>
                <w:color w:val="auto"/>
              </w:rPr>
            </w:pPr>
          </w:p>
        </w:tc>
        <w:tc>
          <w:tcPr>
            <w:tcW w:w="50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1,662,500</w:t>
            </w:r>
          </w:p>
        </w:tc>
        <w:tc>
          <w:tcPr>
            <w:tcW w:w="140" w:type="dxa"/>
            <w:vAlign w:val="bottom"/>
          </w:tcPr>
          <w:p>
            <w:pPr>
              <w:spacing w:after="0"/>
              <w:rPr>
                <w:sz w:val="7"/>
                <w:szCs w:val="7"/>
                <w:color w:val="auto"/>
              </w:rPr>
            </w:pPr>
          </w:p>
        </w:tc>
        <w:tc>
          <w:tcPr>
            <w:tcW w:w="5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2,500,000</w:t>
            </w:r>
          </w:p>
        </w:tc>
        <w:tc>
          <w:tcPr>
            <w:tcW w:w="140" w:type="dxa"/>
            <w:vAlign w:val="bottom"/>
          </w:tcPr>
          <w:p>
            <w:pPr>
              <w:spacing w:after="0"/>
              <w:rPr>
                <w:sz w:val="7"/>
                <w:szCs w:val="7"/>
                <w:color w:val="auto"/>
              </w:rPr>
            </w:pPr>
          </w:p>
        </w:tc>
        <w:tc>
          <w:tcPr>
            <w:tcW w:w="500" w:type="dxa"/>
            <w:vAlign w:val="bottom"/>
            <w:tcBorders>
              <w:top w:val="single" w:sz="8" w:color="auto"/>
            </w:tcBorders>
          </w:tcPr>
          <w:p>
            <w:pPr>
              <w:ind w:left="180"/>
              <w:spacing w:after="0" w:line="83" w:lineRule="exact"/>
              <w:rPr>
                <w:sz w:val="20"/>
                <w:szCs w:val="20"/>
                <w:color w:val="auto"/>
              </w:rPr>
            </w:pPr>
            <w:r>
              <w:rPr>
                <w:rFonts w:ascii="Times New Roman" w:cs="Times New Roman" w:eastAsia="Times New Roman" w:hAnsi="Times New Roman"/>
                <w:sz w:val="9"/>
                <w:szCs w:val="9"/>
                <w:color w:val="auto"/>
              </w:rPr>
              <w:t>20,305</w:t>
            </w:r>
          </w:p>
        </w:tc>
        <w:tc>
          <w:tcPr>
            <w:tcW w:w="140" w:type="dxa"/>
            <w:vAlign w:val="bottom"/>
          </w:tcPr>
          <w:p>
            <w:pPr>
              <w:spacing w:after="0"/>
              <w:rPr>
                <w:sz w:val="7"/>
                <w:szCs w:val="7"/>
                <w:color w:val="auto"/>
              </w:rPr>
            </w:pPr>
          </w:p>
        </w:tc>
        <w:tc>
          <w:tcPr>
            <w:tcW w:w="360" w:type="dxa"/>
            <w:vAlign w:val="bottom"/>
            <w:tcBorders>
              <w:top w:val="single" w:sz="8" w:color="auto"/>
            </w:tcBorders>
          </w:tcPr>
          <w:p>
            <w:pPr>
              <w:jc w:val="center"/>
              <w:spacing w:after="0" w:line="83" w:lineRule="exact"/>
              <w:rPr>
                <w:sz w:val="20"/>
                <w:szCs w:val="20"/>
                <w:color w:val="auto"/>
              </w:rPr>
            </w:pPr>
            <w:r>
              <w:rPr>
                <w:rFonts w:ascii="Times New Roman" w:cs="Times New Roman" w:eastAsia="Times New Roman" w:hAnsi="Times New Roman"/>
                <w:sz w:val="9"/>
                <w:szCs w:val="9"/>
                <w:color w:val="auto"/>
              </w:rPr>
              <w:t>40,609</w:t>
            </w:r>
          </w:p>
        </w:tc>
        <w:tc>
          <w:tcPr>
            <w:tcW w:w="140" w:type="dxa"/>
            <w:vAlign w:val="bottom"/>
          </w:tcPr>
          <w:p>
            <w:pPr>
              <w:spacing w:after="0"/>
              <w:rPr>
                <w:sz w:val="7"/>
                <w:szCs w:val="7"/>
                <w:color w:val="auto"/>
              </w:rPr>
            </w:pPr>
          </w:p>
        </w:tc>
        <w:tc>
          <w:tcPr>
            <w:tcW w:w="5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60,914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Michael B. Drazin</w:t>
            </w:r>
          </w:p>
        </w:tc>
        <w:tc>
          <w:tcPr>
            <w:tcW w:w="760" w:type="dxa"/>
            <w:vAlign w:val="bottom"/>
            <w:gridSpan w:val="2"/>
          </w:tcPr>
          <w:p>
            <w:pPr>
              <w:ind w:left="40"/>
              <w:spacing w:after="0" w:line="119" w:lineRule="exact"/>
              <w:rPr>
                <w:sz w:val="20"/>
                <w:szCs w:val="20"/>
                <w:color w:val="auto"/>
              </w:rPr>
            </w:pPr>
            <w:r>
              <w:rPr>
                <w:rFonts w:ascii="Times New Roman" w:cs="Times New Roman" w:eastAsia="Times New Roman" w:hAnsi="Times New Roman"/>
                <w:sz w:val="11"/>
                <w:szCs w:val="11"/>
                <w:color w:val="auto"/>
              </w:rPr>
              <w:t xml:space="preserve">4/11/2025 </w:t>
            </w:r>
            <w:r>
              <w:rPr>
                <w:rFonts w:ascii="Times New Roman" w:cs="Times New Roman" w:eastAsia="Times New Roman" w:hAnsi="Times New Roman"/>
                <w:sz w:val="8"/>
                <w:szCs w:val="8"/>
                <w:color w:val="auto"/>
              </w:rPr>
              <w:t>(3)</w:t>
            </w:r>
          </w:p>
        </w:tc>
        <w:tc>
          <w:tcPr>
            <w:tcW w:w="5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0</w:t>
            </w:r>
          </w:p>
        </w:tc>
        <w:tc>
          <w:tcPr>
            <w:tcW w:w="140" w:type="dxa"/>
            <w:vAlign w:val="bottom"/>
          </w:tcPr>
          <w:p>
            <w:pPr>
              <w:spacing w:after="0"/>
              <w:rPr>
                <w:sz w:val="10"/>
                <w:szCs w:val="10"/>
                <w:color w:val="auto"/>
              </w:rPr>
            </w:pPr>
          </w:p>
        </w:tc>
        <w:tc>
          <w:tcPr>
            <w:tcW w:w="6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810,000</w:t>
            </w:r>
          </w:p>
        </w:tc>
        <w:tc>
          <w:tcPr>
            <w:tcW w:w="66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1,215,000</w:t>
            </w:r>
          </w:p>
        </w:tc>
        <w:tc>
          <w:tcPr>
            <w:tcW w:w="500" w:type="dxa"/>
            <w:vAlign w:val="bottom"/>
          </w:tcPr>
          <w:p>
            <w:pPr>
              <w:ind w:left="180"/>
              <w:spacing w:after="0" w:line="119" w:lineRule="exact"/>
              <w:rPr>
                <w:sz w:val="20"/>
                <w:szCs w:val="20"/>
                <w:color w:val="auto"/>
              </w:rPr>
            </w:pPr>
            <w:r>
              <w:rPr>
                <w:rFonts w:ascii="Times New Roman" w:cs="Times New Roman" w:eastAsia="Times New Roman" w:hAnsi="Times New Roman"/>
                <w:sz w:val="11"/>
                <w:szCs w:val="11"/>
                <w:color w:val="auto"/>
                <w:w w:val="99"/>
              </w:rPr>
              <w:t>16,497</w:t>
            </w:r>
          </w:p>
        </w:tc>
        <w:tc>
          <w:tcPr>
            <w:tcW w:w="64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1"/>
                <w:szCs w:val="11"/>
                <w:color w:val="auto"/>
              </w:rPr>
              <w:t>32,995</w:t>
            </w:r>
          </w:p>
        </w:tc>
        <w:tc>
          <w:tcPr>
            <w:tcW w:w="54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49,492</w:t>
            </w: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James M. Pigott</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4/11/2025</w:t>
            </w:r>
            <w:r>
              <w:rPr>
                <w:rFonts w:ascii="Times New Roman" w:cs="Times New Roman" w:eastAsia="Times New Roman" w:hAnsi="Times New Roman"/>
                <w:sz w:val="8"/>
                <w:szCs w:val="8"/>
                <w:color w:val="auto"/>
              </w:rPr>
              <w:t>(3)</w:t>
            </w:r>
          </w:p>
        </w:tc>
        <w:tc>
          <w:tcPr>
            <w:tcW w:w="5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0</w:t>
            </w:r>
          </w:p>
        </w:tc>
        <w:tc>
          <w:tcPr>
            <w:tcW w:w="14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1,100,000</w:t>
            </w:r>
          </w:p>
        </w:tc>
        <w:tc>
          <w:tcPr>
            <w:tcW w:w="140" w:type="dxa"/>
            <w:vAlign w:val="bottom"/>
          </w:tcPr>
          <w:p>
            <w:pPr>
              <w:spacing w:after="0"/>
              <w:rPr>
                <w:sz w:val="10"/>
                <w:szCs w:val="10"/>
                <w:color w:val="auto"/>
              </w:rPr>
            </w:pPr>
          </w:p>
        </w:tc>
        <w:tc>
          <w:tcPr>
            <w:tcW w:w="66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1,650,000</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auto"/>
                <w:w w:val="99"/>
              </w:rPr>
              <w:t>16,497</w:t>
            </w: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color w:val="auto"/>
              </w:rPr>
              <w:t>32,995</w:t>
            </w: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49,492</w:t>
            </w: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Douglas P. Golwas</w:t>
            </w:r>
          </w:p>
        </w:tc>
        <w:tc>
          <w:tcPr>
            <w:tcW w:w="760" w:type="dxa"/>
            <w:vAlign w:val="bottom"/>
            <w:gridSpan w:val="2"/>
            <w:vMerge w:val="continue"/>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0</w:t>
            </w:r>
          </w:p>
        </w:tc>
        <w:tc>
          <w:tcPr>
            <w:tcW w:w="140" w:type="dxa"/>
            <w:vAlign w:val="bottom"/>
          </w:tcPr>
          <w:p>
            <w:pPr>
              <w:spacing w:after="0"/>
              <w:rPr>
                <w:sz w:val="10"/>
                <w:szCs w:val="10"/>
                <w:color w:val="auto"/>
              </w:rPr>
            </w:pPr>
          </w:p>
        </w:tc>
        <w:tc>
          <w:tcPr>
            <w:tcW w:w="6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800,000</w:t>
            </w:r>
          </w:p>
        </w:tc>
        <w:tc>
          <w:tcPr>
            <w:tcW w:w="66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1,200,000</w:t>
            </w:r>
          </w:p>
        </w:tc>
        <w:tc>
          <w:tcPr>
            <w:tcW w:w="500" w:type="dxa"/>
            <w:vAlign w:val="bottom"/>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Stephen L. Miller</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xml:space="preserve">4/11/2025 </w:t>
            </w:r>
            <w:r>
              <w:rPr>
                <w:rFonts w:ascii="Times New Roman" w:cs="Times New Roman" w:eastAsia="Times New Roman" w:hAnsi="Times New Roman"/>
                <w:sz w:val="8"/>
                <w:szCs w:val="8"/>
                <w:color w:val="auto"/>
              </w:rPr>
              <w:t>(3)</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800,000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1,200,000</w:t>
            </w:r>
          </w:p>
        </w:tc>
        <w:tc>
          <w:tcPr>
            <w:tcW w:w="50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9"/>
              </w:rPr>
              <w:t>16,497</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32,995</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49,492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-389890</wp:posOffset>
            </wp:positionV>
            <wp:extent cx="5575300" cy="81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75300" cy="8191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-233045</wp:posOffset>
            </wp:positionV>
            <wp:extent cx="5575300" cy="749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75300" cy="7493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-82550</wp:posOffset>
            </wp:positionV>
            <wp:extent cx="5575300" cy="749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5300" cy="7493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60325</wp:posOffset>
            </wp:positionV>
            <wp:extent cx="61468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0" w:type="dxa"/>
            <w:vAlign w:val="bottom"/>
          </w:tcPr>
          <w:p>
            <w:pPr>
              <w:spacing w:after="0"/>
              <w:rPr>
                <w:sz w:val="1"/>
                <w:szCs w:val="1"/>
                <w:color w:val="auto"/>
              </w:rPr>
            </w:pPr>
          </w:p>
        </w:tc>
      </w:tr>
      <w:tr>
        <w:trPr>
          <w:trHeight w:val="118"/>
        </w:trPr>
        <w:tc>
          <w:tcPr>
            <w:tcW w:w="600" w:type="dxa"/>
            <w:vAlign w:val="bottom"/>
            <w:gridSpan w:val="2"/>
            <w:vMerge w:val="continue"/>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18"/>
        </w:trPr>
        <w:tc>
          <w:tcPr>
            <w:tcW w:w="60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700" w:type="dxa"/>
            <w:vAlign w:val="bottom"/>
            <w:gridSpan w:val="2"/>
            <w:vMerge w:val="continue"/>
          </w:tcPr>
          <w:p>
            <w:pPr>
              <w:spacing w:after="0"/>
              <w:rPr>
                <w:sz w:val="10"/>
                <w:szCs w:val="10"/>
                <w:color w:val="auto"/>
              </w:rPr>
            </w:pPr>
          </w:p>
        </w:tc>
        <w:tc>
          <w:tcPr>
            <w:tcW w:w="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52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18"/>
        </w:trPr>
        <w:tc>
          <w:tcPr>
            <w:tcW w:w="60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7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Option</w:t>
            </w:r>
          </w:p>
        </w:tc>
        <w:tc>
          <w:tcPr>
            <w:tcW w:w="560" w:type="dxa"/>
            <w:vAlign w:val="bottom"/>
            <w:gridSpan w:val="2"/>
            <w:vMerge w:val="continue"/>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8"/>
        </w:trPr>
        <w:tc>
          <w:tcPr>
            <w:tcW w:w="60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Number</w:t>
            </w:r>
          </w:p>
        </w:tc>
        <w:tc>
          <w:tcPr>
            <w:tcW w:w="7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5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or Base</w:t>
            </w:r>
          </w:p>
        </w:tc>
        <w:tc>
          <w:tcPr>
            <w:tcW w:w="52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0" w:type="dxa"/>
            <w:vAlign w:val="bottom"/>
          </w:tcPr>
          <w:p>
            <w:pPr>
              <w:spacing w:after="0"/>
              <w:rPr>
                <w:sz w:val="1"/>
                <w:szCs w:val="1"/>
                <w:color w:val="auto"/>
              </w:rPr>
            </w:pPr>
          </w:p>
        </w:tc>
      </w:tr>
      <w:tr>
        <w:trPr>
          <w:trHeight w:val="118"/>
        </w:trPr>
        <w:tc>
          <w:tcPr>
            <w:tcW w:w="60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7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5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Price of</w:t>
            </w:r>
          </w:p>
        </w:tc>
        <w:tc>
          <w:tcPr>
            <w:tcW w:w="52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18"/>
        </w:trPr>
        <w:tc>
          <w:tcPr>
            <w:tcW w:w="6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of Stock</w:t>
            </w:r>
          </w:p>
        </w:tc>
        <w:tc>
          <w:tcPr>
            <w:tcW w:w="70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5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Option</w:t>
            </w:r>
          </w:p>
        </w:tc>
        <w:tc>
          <w:tcPr>
            <w:tcW w:w="52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8"/>
        </w:trPr>
        <w:tc>
          <w:tcPr>
            <w:tcW w:w="6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or Units</w:t>
            </w:r>
          </w:p>
        </w:tc>
        <w:tc>
          <w:tcPr>
            <w:tcW w:w="7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56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52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0" w:type="dxa"/>
            <w:vAlign w:val="bottom"/>
          </w:tcPr>
          <w:p>
            <w:pPr>
              <w:spacing w:after="0"/>
              <w:rPr>
                <w:sz w:val="1"/>
                <w:szCs w:val="1"/>
                <w:color w:val="auto"/>
              </w:rPr>
            </w:pPr>
          </w:p>
        </w:tc>
      </w:tr>
      <w:tr>
        <w:trPr>
          <w:trHeight w:val="138"/>
        </w:trPr>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($/Sh)</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color w:val="auto"/>
              </w:rPr>
              <w:t>1,177,665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956,853</w:t>
            </w: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956,853</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956,853</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7500" w:space="140"/>
            <w:col w:w="2519"/>
          </w:cols>
          <w:pgMar w:left="300" w:top="392" w:right="1440" w:bottom="1440" w:gutter="0" w:footer="0" w:header="0"/>
          <w:type w:val="continuous"/>
        </w:sectPr>
      </w:pPr>
    </w:p>
    <w:p>
      <w:pPr>
        <w:ind w:left="1600" w:hanging="346"/>
        <w:spacing w:after="0"/>
        <w:tabs>
          <w:tab w:leader="none" w:pos="160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purposes of this column, the grant date for the awards is the service inception date determined under ASC Topic 718.</w:t>
      </w:r>
    </w:p>
    <w:p>
      <w:pPr>
        <w:spacing w:after="0" w:line="3" w:lineRule="exact"/>
        <w:rPr>
          <w:rFonts w:ascii="Times New Roman" w:cs="Times New Roman" w:eastAsia="Times New Roman" w:hAnsi="Times New Roman"/>
          <w:sz w:val="11"/>
          <w:szCs w:val="11"/>
          <w:color w:val="auto"/>
        </w:rPr>
      </w:pPr>
    </w:p>
    <w:p>
      <w:pPr>
        <w:ind w:left="1600" w:right="139" w:hanging="346"/>
        <w:spacing w:after="0" w:line="224" w:lineRule="auto"/>
        <w:tabs>
          <w:tab w:leader="none" w:pos="160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reported in this column reflect the cash incentive award opportunity range under our AIP, the terms of which are summarized under “—Compensation Elements—Annual Incentive Compensation” above.</w:t>
      </w:r>
    </w:p>
    <w:p>
      <w:pPr>
        <w:ind w:left="1600" w:right="139" w:hanging="346"/>
        <w:spacing w:after="0" w:line="230" w:lineRule="auto"/>
        <w:tabs>
          <w:tab w:leader="none" w:pos="160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2025 MIP Awards were initially expressed as “dollars at work” prior to the completion of our initial public offering. The 2025 MIP Awards will be delivered as RSUs in the first quarter of 2026 based upon Company performance relative to the 2025 MIP performance goals, as summarized under “ —Compensation Elements—Long-Term Equity Incentive Compensation—2025 Management Incentive Plan” and in footnote 2 to the Summary Compensation Table. Grant date fair value amounts for each Named Executive Officer represent achievement of the 2025 MIP performance goals at target, and the number of RSUs reflect the conversion of the dollars at work at target into a number of RSUs based on the initial public offering price of Medline Inc. common stock, which was $29.00. The number of RSUs expected to be issued to each Named Executive Officer in the first quarter of 2026 are set forth in the Outstanding Equity Awards at Fiscal Year End Table below.</w:t>
      </w:r>
    </w:p>
    <w:p>
      <w:pPr>
        <w:spacing w:after="0" w:line="230" w:lineRule="exact"/>
        <w:rPr>
          <w:sz w:val="20"/>
          <w:szCs w:val="20"/>
          <w:color w:val="auto"/>
        </w:rPr>
      </w:pPr>
    </w:p>
    <w:p>
      <w:pPr>
        <w:ind w:left="1260" w:right="3059"/>
        <w:spacing w:after="0" w:line="386" w:lineRule="auto"/>
        <w:rPr>
          <w:sz w:val="20"/>
          <w:szCs w:val="20"/>
          <w:color w:val="auto"/>
        </w:rPr>
      </w:pPr>
      <w:r>
        <w:rPr>
          <w:rFonts w:ascii="Times New Roman" w:cs="Times New Roman" w:eastAsia="Times New Roman" w:hAnsi="Times New Roman"/>
          <w:sz w:val="14"/>
          <w:szCs w:val="14"/>
          <w:b w:val="1"/>
          <w:bCs w:val="1"/>
          <w:color w:val="auto"/>
        </w:rPr>
        <w:t xml:space="preserve">Narrative Disclosure to Summary Compensation Table and Grants of Plan-Based Awards Table </w:t>
      </w:r>
      <w:r>
        <w:rPr>
          <w:rFonts w:ascii="Times New Roman" w:cs="Times New Roman" w:eastAsia="Times New Roman" w:hAnsi="Times New Roman"/>
          <w:sz w:val="14"/>
          <w:szCs w:val="14"/>
          <w:b w:val="1"/>
          <w:bCs w:val="1"/>
          <w:i w:val="1"/>
          <w:iCs w:val="1"/>
          <w:color w:val="auto"/>
        </w:rPr>
        <w:t>Agreements with Named Executive Officers</w:t>
      </w:r>
    </w:p>
    <w:p>
      <w:pPr>
        <w:spacing w:after="0" w:line="1" w:lineRule="exact"/>
        <w:rPr>
          <w:sz w:val="20"/>
          <w:szCs w:val="20"/>
          <w:color w:val="auto"/>
        </w:rPr>
      </w:pPr>
    </w:p>
    <w:p>
      <w:pPr>
        <w:ind w:left="1260" w:right="459" w:firstLine="351"/>
        <w:spacing w:after="0" w:line="293" w:lineRule="auto"/>
        <w:rPr>
          <w:sz w:val="20"/>
          <w:szCs w:val="20"/>
          <w:color w:val="auto"/>
        </w:rPr>
      </w:pPr>
      <w:r>
        <w:rPr>
          <w:rFonts w:ascii="Times New Roman" w:cs="Times New Roman" w:eastAsia="Times New Roman" w:hAnsi="Times New Roman"/>
          <w:sz w:val="14"/>
          <w:szCs w:val="14"/>
          <w:color w:val="auto"/>
        </w:rPr>
        <w:t>The following descriptions of the employment agreements and other agreements with certain Named Executive Officers are qualified in their entirety by the full terms and conditions thereof.</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Employment Agreement with Mr. Boyle</w:t>
      </w:r>
    </w:p>
    <w:p>
      <w:pPr>
        <w:spacing w:after="0" w:line="99"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provided for (i) an initial</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92" w:right="1440"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spacing w:after="0" w:line="268" w:lineRule="auto"/>
        <w:rPr>
          <w:sz w:val="20"/>
          <w:szCs w:val="20"/>
          <w:color w:val="auto"/>
        </w:rPr>
      </w:pPr>
      <w:r>
        <w:rPr>
          <w:rFonts w:ascii="Times New Roman" w:cs="Times New Roman" w:eastAsia="Times New Roman" w:hAnsi="Times New Roman"/>
          <w:sz w:val="14"/>
          <w:szCs w:val="14"/>
          <w:color w:val="auto"/>
        </w:rPr>
        <w:t>salary of $1,250,000, subject to periodic review for increase, (ii) eligibility to receive an annual bonus, with a target bonus equal to 100% of base salary, and (iii) for each service year during the employment term, eligibility to receive annual equity award grant (initially consisting of Incentive Units of the Aggregator) having a target value of approximately $3,450,000. Mr. Boyle is also entitled to participate in our employee benefit arrangements and to receive reimbursement for business expense in accordance with our business expense policy.</w:t>
      </w:r>
    </w:p>
    <w:p>
      <w:pPr>
        <w:spacing w:after="0" w:line="142" w:lineRule="exact"/>
        <w:rPr>
          <w:sz w:val="20"/>
          <w:szCs w:val="20"/>
          <w:color w:val="auto"/>
        </w:rPr>
      </w:pPr>
    </w:p>
    <w:p>
      <w:pPr>
        <w:ind w:left="1260" w:right="539" w:firstLine="351"/>
        <w:spacing w:after="0" w:line="293" w:lineRule="auto"/>
        <w:rPr>
          <w:sz w:val="20"/>
          <w:szCs w:val="20"/>
          <w:color w:val="auto"/>
        </w:rPr>
      </w:pPr>
      <w:r>
        <w:rPr>
          <w:rFonts w:ascii="Times New Roman" w:cs="Times New Roman" w:eastAsia="Times New Roman" w:hAnsi="Times New Roman"/>
          <w:sz w:val="14"/>
          <w:szCs w:val="14"/>
          <w:color w:val="auto"/>
        </w:rPr>
        <w:t>Mr. Boyle has waived the severance payments and benefits set forth in the Boyle Employment Agreement and will instead be entitled to the severance payments and benefits set forth in the Executive Severance Plan described below.</w:t>
      </w:r>
    </w:p>
    <w:p>
      <w:pPr>
        <w:spacing w:after="0" w:line="1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Upon a termination of Mr. Boyle’s employment due to his death or as a result of his disability, Mr. Boyle will be entitled to any prior year bonus.</w:t>
      </w:r>
    </w:p>
    <w:p>
      <w:pPr>
        <w:spacing w:after="0" w:line="1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Boyle Employment Agreement contains restrictive covenants, including confidentiality of information, assignment of intellectual</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property, non-competition, employee no-hire, employee non-solicitation, client and customer non-solicitation, and mutual non-disparagement covenants.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confidentiality covenant and the mutual non-disparagement provision have indefinite terms. The non-competition and non-solicitation covenants are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effective both during Mr. Boyle’s employment with us and until the 18-month anniversary of termination of employment for any reason.</w:t>
      </w:r>
    </w:p>
    <w:p>
      <w:pPr>
        <w:spacing w:after="0" w:line="2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Employment Agreement and Transition and Separation Agreement with Mr. Pigott</w:t>
      </w:r>
    </w:p>
    <w:p>
      <w:pPr>
        <w:spacing w:after="0" w:line="99" w:lineRule="exact"/>
        <w:rPr>
          <w:sz w:val="20"/>
          <w:szCs w:val="20"/>
          <w:color w:val="auto"/>
        </w:rPr>
      </w:pPr>
    </w:p>
    <w:p>
      <w:pPr>
        <w:ind w:left="1260" w:right="219" w:firstLine="351"/>
        <w:spacing w:after="0" w:line="264" w:lineRule="auto"/>
        <w:rPr>
          <w:sz w:val="20"/>
          <w:szCs w:val="20"/>
          <w:color w:val="auto"/>
        </w:rPr>
      </w:pPr>
      <w:r>
        <w:rPr>
          <w:rFonts w:ascii="Times New Roman" w:cs="Times New Roman" w:eastAsia="Times New Roman" w:hAnsi="Times New Roman"/>
          <w:sz w:val="14"/>
          <w:szCs w:val="14"/>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which we refer to as the “Pigott Transition Agreement,” relating to Mr. Pigott’s departure from Medline. Mr. Pigott’s retired as President of Medline effective December 31, 2025, and such departure is not the result of any disagreement with management or our board of directors on any matter relating to our operations, policies, or practices.</w:t>
      </w:r>
    </w:p>
    <w:p>
      <w:pPr>
        <w:spacing w:after="0" w:line="143" w:lineRule="exact"/>
        <w:rPr>
          <w:sz w:val="20"/>
          <w:szCs w:val="20"/>
          <w:color w:val="auto"/>
        </w:rPr>
      </w:pPr>
    </w:p>
    <w:p>
      <w:pPr>
        <w:ind w:left="1260" w:right="659" w:firstLine="351"/>
        <w:spacing w:after="0" w:line="293" w:lineRule="auto"/>
        <w:rPr>
          <w:sz w:val="20"/>
          <w:szCs w:val="20"/>
          <w:color w:val="auto"/>
        </w:rPr>
      </w:pPr>
      <w:r>
        <w:rPr>
          <w:rFonts w:ascii="Times New Roman" w:cs="Times New Roman" w:eastAsia="Times New Roman" w:hAnsi="Times New Roman"/>
          <w:sz w:val="14"/>
          <w:szCs w:val="14"/>
          <w:color w:val="auto"/>
        </w:rPr>
        <w:t>Pursuant to the terms of the Pigott Transition Agreement, in connection with Mr. Pigott’s departure, he is entitled to receive the following severance payments and benefits, in addition to certain accrued obligations:</w:t>
      </w:r>
    </w:p>
    <w:p>
      <w:pPr>
        <w:spacing w:after="0" w:line="48" w:lineRule="exact"/>
        <w:rPr>
          <w:sz w:val="20"/>
          <w:szCs w:val="20"/>
          <w:color w:val="auto"/>
        </w:rPr>
      </w:pPr>
    </w:p>
    <w:p>
      <w:pPr>
        <w:ind w:left="2020" w:right="179" w:hanging="335"/>
        <w:spacing w:after="0" w:line="275" w:lineRule="auto"/>
        <w:tabs>
          <w:tab w:leader="none" w:pos="2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$4,125,000, representing 1.5 times the sum of Mr. Pigott’s base salary ($1,100,000) and estimated target annual bonus for 2025 ($1,650,000, at the time the Pigott Transition Agreement was entered into), payable in monthly installments in accordance with our standard payroll practices over a period of 18 months;</w:t>
      </w:r>
    </w:p>
    <w:p>
      <w:pPr>
        <w:spacing w:after="0" w:line="59"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earned annual bonus for calendar year 2025, payable at the same time we generally pay annual bonuses to active employees;</w:t>
      </w:r>
    </w:p>
    <w:p>
      <w:pPr>
        <w:spacing w:after="0" w:line="108" w:lineRule="exact"/>
        <w:rPr>
          <w:rFonts w:ascii="Times New Roman" w:cs="Times New Roman" w:eastAsia="Times New Roman" w:hAnsi="Times New Roman"/>
          <w:sz w:val="14"/>
          <w:szCs w:val="14"/>
          <w:color w:val="auto"/>
        </w:rPr>
      </w:pPr>
    </w:p>
    <w:p>
      <w:pPr>
        <w:ind w:left="2020" w:right="159" w:hanging="335"/>
        <w:spacing w:after="0" w:line="275" w:lineRule="auto"/>
        <w:tabs>
          <w:tab w:leader="none" w:pos="2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timely enrollment in continuation coverage, continued participation in our medical and dental benefit plans at the premium contribution rate for active employees, for 18 months following termination of employment or, if earlier, until the date on which Mr. Pigott becomes eligible for medical and dental benefits from a subsequent employer; and</w:t>
      </w:r>
    </w:p>
    <w:p>
      <w:pPr>
        <w:spacing w:after="0" w:line="59" w:lineRule="exact"/>
        <w:rPr>
          <w:rFonts w:ascii="Times New Roman" w:cs="Times New Roman" w:eastAsia="Times New Roman" w:hAnsi="Times New Roman"/>
          <w:sz w:val="14"/>
          <w:szCs w:val="14"/>
          <w:color w:val="auto"/>
        </w:rPr>
      </w:pPr>
    </w:p>
    <w:p>
      <w:pPr>
        <w:ind w:left="2020" w:right="239" w:hanging="335"/>
        <w:spacing w:after="0" w:line="268" w:lineRule="auto"/>
        <w:tabs>
          <w:tab w:leader="none" w:pos="2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vesting on the termination date with respect to the following time-vested Incentive Units held by Mr. Pigott: (i) 10% of the Incentive Units granted on October 21, 2021 (i.e., 225,889 Incentive Units), (ii) 15% of the Incentive Units granted on April 1, 2023 (i.e., 51,061 Incentive Units), (iii) 5% of the Incentive Units granted on October 1, 2023 (i.e., 24,565 Incentive Units), and (iv) 15% of the Incentive Units granted on March 29, 2024 (i.e., 37,872 Incentive Units).</w:t>
      </w:r>
    </w:p>
    <w:p>
      <w:pPr>
        <w:spacing w:after="0" w:line="142" w:lineRule="exact"/>
        <w:rPr>
          <w:sz w:val="20"/>
          <w:szCs w:val="20"/>
          <w:color w:val="auto"/>
        </w:rPr>
      </w:pPr>
    </w:p>
    <w:p>
      <w:pPr>
        <w:ind w:left="1260" w:right="359" w:firstLine="351"/>
        <w:spacing w:after="0" w:line="293" w:lineRule="auto"/>
        <w:rPr>
          <w:sz w:val="20"/>
          <w:szCs w:val="20"/>
          <w:color w:val="auto"/>
        </w:rPr>
      </w:pPr>
      <w:r>
        <w:rPr>
          <w:rFonts w:ascii="Times New Roman" w:cs="Times New Roman" w:eastAsia="Times New Roman" w:hAnsi="Times New Roman"/>
          <w:sz w:val="14"/>
          <w:szCs w:val="14"/>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92"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Pigott’s employment with us and until the 18-month anniversary of his termination.</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Executive Severance Plan</w:t>
      </w:r>
    </w:p>
    <w:p>
      <w:pPr>
        <w:spacing w:after="0" w:line="101" w:lineRule="exact"/>
        <w:rPr>
          <w:sz w:val="20"/>
          <w:szCs w:val="20"/>
          <w:color w:val="auto"/>
        </w:rPr>
      </w:pPr>
    </w:p>
    <w:p>
      <w:pPr>
        <w:ind w:left="1260" w:right="219" w:firstLine="351"/>
        <w:spacing w:after="0" w:line="264" w:lineRule="auto"/>
        <w:rPr>
          <w:sz w:val="20"/>
          <w:szCs w:val="20"/>
          <w:color w:val="auto"/>
        </w:rPr>
      </w:pPr>
      <w:r>
        <w:rPr>
          <w:rFonts w:ascii="Times New Roman" w:cs="Times New Roman" w:eastAsia="Times New Roman" w:hAnsi="Times New Roman"/>
          <w:sz w:val="14"/>
          <w:szCs w:val="14"/>
          <w:color w:val="auto"/>
        </w:rPr>
        <w:t>In May 2025, we adopted the Medline Industries L.P. Executive Severance Plan (the “Severance Plan”). The purpose of the Severance Plan is to provide severance benefits to certain eligible employees of Medline and its affiliates who experience a termination of employment under the conditions described in the Severance Plan. Each of our Named Executive Officers other than Mr. Pigott participates in the Severance Plan. Participants in the Severance Plan are not entitled to severance benefits under any other agreement, plan, program, or policy of Medline, including for Mr. Boyle, the severance payments and benefits set forth in the Boyle Employment Agreement. We amended and restated the Executive Severance Plan in connection with Medline Inc.’s initial public offering.</w:t>
      </w:r>
    </w:p>
    <w:p>
      <w:pPr>
        <w:spacing w:after="0" w:line="143" w:lineRule="exact"/>
        <w:rPr>
          <w:sz w:val="20"/>
          <w:szCs w:val="20"/>
          <w:color w:val="auto"/>
        </w:rPr>
      </w:pPr>
    </w:p>
    <w:p>
      <w:pPr>
        <w:ind w:left="1260" w:right="159" w:firstLine="351"/>
        <w:spacing w:after="0" w:line="293" w:lineRule="auto"/>
        <w:rPr>
          <w:sz w:val="20"/>
          <w:szCs w:val="20"/>
          <w:color w:val="auto"/>
        </w:rPr>
      </w:pPr>
      <w:r>
        <w:rPr>
          <w:rFonts w:ascii="Times New Roman" w:cs="Times New Roman" w:eastAsia="Times New Roman" w:hAnsi="Times New Roman"/>
          <w:sz w:val="14"/>
          <w:szCs w:val="14"/>
          <w:color w:val="auto"/>
        </w:rPr>
        <w:t>Under the Severance Plan, participants will be eligible to receive severance payments and benefits in connection with a termination without Cause or resignation for Good Reason, each as defined in the Severance Plan (a “Qualifying Separation”).</w:t>
      </w:r>
    </w:p>
    <w:p>
      <w:pPr>
        <w:spacing w:after="0" w:line="123" w:lineRule="exact"/>
        <w:rPr>
          <w:sz w:val="20"/>
          <w:szCs w:val="20"/>
          <w:color w:val="auto"/>
        </w:rPr>
      </w:pPr>
    </w:p>
    <w:p>
      <w:pPr>
        <w:ind w:left="1260" w:right="259" w:firstLine="351"/>
        <w:spacing w:after="0" w:line="293" w:lineRule="auto"/>
        <w:rPr>
          <w:sz w:val="20"/>
          <w:szCs w:val="20"/>
          <w:color w:val="auto"/>
        </w:rPr>
      </w:pPr>
      <w:r>
        <w:rPr>
          <w:rFonts w:ascii="Times New Roman" w:cs="Times New Roman" w:eastAsia="Times New Roman" w:hAnsi="Times New Roman"/>
          <w:sz w:val="14"/>
          <w:szCs w:val="14"/>
          <w:color w:val="auto"/>
        </w:rPr>
        <w:t>In connection with a Qualifying Separation prior to a Change in Control (as defined in the Severance Plan), the severance payments and benefits consist of the following:</w:t>
      </w:r>
    </w:p>
    <w:p>
      <w:pPr>
        <w:spacing w:after="0" w:line="48" w:lineRule="exact"/>
        <w:rPr>
          <w:sz w:val="20"/>
          <w:szCs w:val="20"/>
          <w:color w:val="auto"/>
        </w:rPr>
      </w:pPr>
    </w:p>
    <w:p>
      <w:pPr>
        <w:ind w:left="2020" w:hanging="335"/>
        <w:spacing w:after="0"/>
        <w:tabs>
          <w:tab w:leader="none" w:pos="20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(i) a lump sum cash payment equal to two (2) times the sum of his then-current base salary plus target annual bonus;</w:t>
      </w:r>
    </w:p>
    <w:p>
      <w:pPr>
        <w:spacing w:after="0" w:line="24" w:lineRule="exact"/>
        <w:rPr>
          <w:rFonts w:ascii="Times New Roman" w:cs="Times New Roman" w:eastAsia="Times New Roman" w:hAnsi="Times New Roman"/>
          <w:sz w:val="14"/>
          <w:szCs w:val="14"/>
          <w:color w:val="auto"/>
        </w:rPr>
      </w:pPr>
    </w:p>
    <w:p>
      <w:pPr>
        <w:ind w:left="2020" w:right="19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any earned but unpaid prior year bonus, paid when bonuses are paid to executives (a “Prior Year Bonus”); (iii) a pro-rata annual bonus for the year in which the Qualifying Separation occurs, based on actual achievement of applicable performance goals and pro-rated for the period of service during the year in which the Qualifying Separation occurs, paid in a lump sum (a “Pro-Rata Bonus”); (iv) a lump sum cash payment equal to the product of 21 times the monthly employer contribution towards the cost of participation in the Company’s employer-subsidized health plans in which he participates in as of the date of the Qualifying Separation; and (v) outplacement services for up to 12 months (the “Outplacement Benefit”).</w:t>
      </w:r>
    </w:p>
    <w:p>
      <w:pPr>
        <w:spacing w:after="0" w:line="73" w:lineRule="exact"/>
        <w:rPr>
          <w:rFonts w:ascii="Times New Roman" w:cs="Times New Roman" w:eastAsia="Times New Roman" w:hAnsi="Times New Roman"/>
          <w:sz w:val="14"/>
          <w:szCs w:val="14"/>
          <w:color w:val="auto"/>
        </w:rPr>
      </w:pPr>
    </w:p>
    <w:p>
      <w:pPr>
        <w:ind w:left="2020" w:right="179" w:hanging="335"/>
        <w:spacing w:after="0" w:line="268" w:lineRule="auto"/>
        <w:tabs>
          <w:tab w:leader="none" w:pos="20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Messrs. Drazin, Golwas, and Miller: (i) a lump sum cash payment equal to one and one-half (1.5) times the sum of his then-current base salary plus target annual bonus; (ii) the Prior 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p>
    <w:p>
      <w:pPr>
        <w:spacing w:after="0" w:line="14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In connection with a Qualifying Separation occurring upon or within 24 months (for Mr. Boyle) or 18 months (for Messrs. Drazin, Golwas, and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Miller) following a Change in Control, the severance benefits and payments consist of the following:</w:t>
      </w:r>
    </w:p>
    <w:p>
      <w:pPr>
        <w:spacing w:after="0" w:line="94" w:lineRule="exact"/>
        <w:rPr>
          <w:sz w:val="20"/>
          <w:szCs w:val="20"/>
          <w:color w:val="auto"/>
        </w:rPr>
      </w:pPr>
    </w:p>
    <w:p>
      <w:pPr>
        <w:ind w:left="2020" w:right="199" w:hanging="335"/>
        <w:spacing w:after="0" w:line="268" w:lineRule="auto"/>
        <w:tabs>
          <w:tab w:leader="none" w:pos="2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(i) a lump sum cash payment equal to three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health plans in which he participates in as of the date of the Qualifying Separation (the “CIC COBRA Benefit”); and (v) the Outplacement Benefit.</w:t>
      </w:r>
    </w:p>
    <w:p>
      <w:pPr>
        <w:spacing w:after="0" w:line="66" w:lineRule="exact"/>
        <w:rPr>
          <w:rFonts w:ascii="Times New Roman" w:cs="Times New Roman" w:eastAsia="Times New Roman" w:hAnsi="Times New Roman"/>
          <w:sz w:val="14"/>
          <w:szCs w:val="14"/>
          <w:color w:val="auto"/>
        </w:rPr>
      </w:pPr>
    </w:p>
    <w:p>
      <w:pPr>
        <w:ind w:left="2020" w:right="119" w:hanging="335"/>
        <w:spacing w:after="0" w:line="286" w:lineRule="auto"/>
        <w:tabs>
          <w:tab w:leader="none" w:pos="2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Messrs. Drazin, Golwas, and Miller: (i) a lump sum cash payment equal to two (2) times the sum of his then-current base salary plus target annual bonus; (ii) the Prior Year Bonus; (iii) the Pro-Rata Bonus; (iv) the CIC COBRA Benefit; and (v) the Outplacement Benefit.</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92"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As a condition to receiving severance benefits under the Severance Plan (other than any accrued obligations), the participant must execute, deliver and not revoke a separation agreement and release of claims in favor of Medline and continue to comply with any applicable restrictive covenant obligations. Payments under the Severance Plan (other than any accrued obligations) are subject to recoupment in accordance with any clawback policy in effect from time to time (including pursuant to the Incentive Compensation Clawback Policy or otherwise) if a participant breaches any restrictive covenant obligations or otherwise fails to comply with the terms of the Severance Plan.</w:t>
      </w:r>
    </w:p>
    <w:p>
      <w:pPr>
        <w:spacing w:after="0" w:line="144" w:lineRule="exact"/>
        <w:rPr>
          <w:sz w:val="20"/>
          <w:szCs w:val="20"/>
          <w:color w:val="auto"/>
        </w:rPr>
      </w:pPr>
    </w:p>
    <w:p>
      <w:pPr>
        <w:ind w:left="1260" w:right="239" w:firstLine="351"/>
        <w:spacing w:after="0" w:line="268" w:lineRule="auto"/>
        <w:rPr>
          <w:sz w:val="20"/>
          <w:szCs w:val="20"/>
          <w:color w:val="auto"/>
        </w:rPr>
      </w:pPr>
      <w:r>
        <w:rPr>
          <w:rFonts w:ascii="Times New Roman" w:cs="Times New Roman" w:eastAsia="Times New Roman" w:hAnsi="Times New Roman"/>
          <w:sz w:val="14"/>
          <w:szCs w:val="14"/>
          <w:color w:val="auto"/>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42" w:lineRule="exact"/>
        <w:rPr>
          <w:sz w:val="20"/>
          <w:szCs w:val="20"/>
          <w:color w:val="auto"/>
        </w:rPr>
      </w:pPr>
    </w:p>
    <w:p>
      <w:pPr>
        <w:ind w:left="1260" w:right="279" w:firstLine="351"/>
        <w:spacing w:after="0" w:line="265" w:lineRule="auto"/>
        <w:rPr>
          <w:sz w:val="20"/>
          <w:szCs w:val="20"/>
          <w:color w:val="auto"/>
        </w:rPr>
      </w:pPr>
      <w:r>
        <w:rPr>
          <w:rFonts w:ascii="Times New Roman" w:cs="Times New Roman" w:eastAsia="Times New Roman" w:hAnsi="Times New Roman"/>
          <w:sz w:val="14"/>
          <w:szCs w:val="14"/>
          <w:color w:val="auto"/>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Equity Awards</w:t>
      </w:r>
    </w:p>
    <w:p>
      <w:pPr>
        <w:spacing w:after="0" w:line="101"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In 2021, in connection with our acquisition by our Sponsors, we adopted the MIP, pursuant to which the Named Executive Officers and other employees received grants of Incentive Units. In 2025, the awards granted to our Named Executive Officers under the MIP consisted of time-vested Incentive Units. For each Incentive Unit of the Aggregator issued, Medline Holdings issued an Incentive Unit in Medline Holdings to the Aggregator on a one-for-one basis. The time-vested Incentive Units granted in 2025 vest 20% per year on each of the first five anniversaries of the vesting commencement date, subject to the Named Executive Officer’s continued employment with us through each applicable vesting date.</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Acceleration; Forfeiture</w:t>
      </w:r>
    </w:p>
    <w:p>
      <w:pPr>
        <w:spacing w:after="0" w:line="99" w:lineRule="exact"/>
        <w:rPr>
          <w:sz w:val="20"/>
          <w:szCs w:val="20"/>
          <w:color w:val="auto"/>
        </w:rPr>
      </w:pPr>
    </w:p>
    <w:p>
      <w:pPr>
        <w:jc w:val="both"/>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Except for accelerated vesting that may occur in connection with certain termination events for Mr. Boyle and the accelerated vesting of Incentive Units for Mr. Pigott in connection with his retirement, all unvested Incentive Units are forfeited upon a termination of employment. Upon the occurrence of a sale transaction (defined as described below), certain time-vested Incentive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92"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 End</w:t>
      </w:r>
    </w:p>
    <w:p>
      <w:pPr>
        <w:spacing w:after="0" w:line="99" w:lineRule="exact"/>
        <w:rPr>
          <w:sz w:val="20"/>
          <w:szCs w:val="20"/>
          <w:color w:val="auto"/>
        </w:rPr>
      </w:pPr>
    </w:p>
    <w:p>
      <w:pPr>
        <w:ind w:left="1260" w:right="77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includes certain information with respect to outstanding equity awards held by our Named Executive Officers as of December 31, 2025.</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10"/>
                <w:szCs w:val="10"/>
                <w:b w:val="1"/>
                <w:bCs w:val="1"/>
                <w:color w:val="auto"/>
              </w:rPr>
              <w:t>Equity</w:t>
            </w:r>
          </w:p>
        </w:tc>
        <w:tc>
          <w:tcPr>
            <w:tcW w:w="50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Equity</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54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Plan</w:t>
            </w:r>
          </w:p>
        </w:tc>
        <w:tc>
          <w:tcPr>
            <w:tcW w:w="54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Plan</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54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197"/>
              <w:spacing w:after="0" w:line="119" w:lineRule="exact"/>
              <w:rPr>
                <w:sz w:val="20"/>
                <w:szCs w:val="20"/>
                <w:color w:val="auto"/>
              </w:rPr>
            </w:pPr>
            <w:r>
              <w:rPr>
                <w:rFonts w:ascii="Times New Roman" w:cs="Times New Roman" w:eastAsia="Times New Roman" w:hAnsi="Times New Roman"/>
                <w:sz w:val="11"/>
                <w:szCs w:val="11"/>
                <w:b w:val="1"/>
                <w:bCs w:val="1"/>
                <w:color w:val="auto"/>
              </w:rPr>
              <w:t>of</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of</w:t>
            </w:r>
          </w:p>
        </w:tc>
        <w:tc>
          <w:tcPr>
            <w:tcW w:w="5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or Payout</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820" w:type="dxa"/>
            <w:vAlign w:val="bottom"/>
            <w:gridSpan w:val="3"/>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5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Plan</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or</w:t>
            </w: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7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197"/>
              <w:spacing w:after="0" w:line="119" w:lineRule="exact"/>
              <w:rPr>
                <w:sz w:val="20"/>
                <w:szCs w:val="20"/>
                <w:color w:val="auto"/>
              </w:rPr>
            </w:pPr>
            <w:r>
              <w:rPr>
                <w:rFonts w:ascii="Times New Roman" w:cs="Times New Roman" w:eastAsia="Times New Roman" w:hAnsi="Times New Roman"/>
                <w:sz w:val="11"/>
                <w:szCs w:val="11"/>
                <w:b w:val="1"/>
                <w:bCs w:val="1"/>
                <w:color w:val="auto"/>
              </w:rPr>
              <w:t>Units</w:t>
            </w:r>
          </w:p>
        </w:tc>
        <w:tc>
          <w:tcPr>
            <w:tcW w:w="6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80" w:type="dxa"/>
            <w:vAlign w:val="bottom"/>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Units or</w:t>
            </w:r>
          </w:p>
        </w:tc>
        <w:tc>
          <w:tcPr>
            <w:tcW w:w="5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197"/>
              <w:spacing w:after="0" w:line="119" w:lineRule="exact"/>
              <w:rPr>
                <w:sz w:val="20"/>
                <w:szCs w:val="20"/>
                <w:color w:val="auto"/>
              </w:rPr>
            </w:pPr>
            <w:r>
              <w:rPr>
                <w:rFonts w:ascii="Times New Roman" w:cs="Times New Roman" w:eastAsia="Times New Roman" w:hAnsi="Times New Roman"/>
                <w:sz w:val="11"/>
                <w:szCs w:val="11"/>
                <w:b w:val="1"/>
                <w:bCs w:val="1"/>
                <w:color w:val="auto"/>
              </w:rPr>
              <w:t>of</w:t>
            </w:r>
          </w:p>
        </w:tc>
        <w:tc>
          <w:tcPr>
            <w:tcW w:w="62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8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5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Units or</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7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62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80" w:type="dxa"/>
            <w:vAlign w:val="bottom"/>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Rights</w:t>
            </w:r>
          </w:p>
        </w:tc>
        <w:tc>
          <w:tcPr>
            <w:tcW w:w="54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7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That</w:t>
            </w:r>
          </w:p>
        </w:tc>
        <w:tc>
          <w:tcPr>
            <w:tcW w:w="62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That</w:t>
            </w:r>
          </w:p>
        </w:tc>
        <w:tc>
          <w:tcPr>
            <w:tcW w:w="5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Rights</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Service</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7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560" w:type="dxa"/>
            <w:vAlign w:val="bottom"/>
            <w:gridSpan w:val="2"/>
            <w:vMerge w:val="continue"/>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660" w:type="dxa"/>
            <w:vAlign w:val="bottom"/>
            <w:gridSpan w:val="2"/>
          </w:tcPr>
          <w:p>
            <w:pPr>
              <w:jc w:val="center"/>
              <w:ind w:right="217"/>
              <w:spacing w:after="0" w:line="119" w:lineRule="exact"/>
              <w:rPr>
                <w:sz w:val="20"/>
                <w:szCs w:val="20"/>
                <w:color w:val="auto"/>
              </w:rPr>
            </w:pPr>
            <w:r>
              <w:rPr>
                <w:rFonts w:ascii="Times New Roman" w:cs="Times New Roman" w:eastAsia="Times New Roman" w:hAnsi="Times New Roman"/>
                <w:sz w:val="11"/>
                <w:szCs w:val="11"/>
                <w:b w:val="1"/>
                <w:bCs w:val="1"/>
                <w:color w:val="auto"/>
                <w:w w:val="97"/>
              </w:rPr>
              <w:t>Have</w:t>
            </w:r>
          </w:p>
        </w:tc>
        <w:tc>
          <w:tcPr>
            <w:tcW w:w="62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8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Have</w:t>
            </w:r>
          </w:p>
        </w:tc>
        <w:tc>
          <w:tcPr>
            <w:tcW w:w="5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That</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84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Options</w:t>
            </w:r>
          </w:p>
        </w:tc>
        <w:tc>
          <w:tcPr>
            <w:tcW w:w="7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5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700" w:type="dxa"/>
            <w:vAlign w:val="bottom"/>
            <w:gridSpan w:val="2"/>
            <w:vMerge w:val="continue"/>
          </w:tcPr>
          <w:p>
            <w:pPr>
              <w:spacing w:after="0"/>
              <w:rPr>
                <w:sz w:val="10"/>
                <w:szCs w:val="10"/>
                <w:color w:val="auto"/>
              </w:rPr>
            </w:pPr>
          </w:p>
        </w:tc>
        <w:tc>
          <w:tcPr>
            <w:tcW w:w="660" w:type="dxa"/>
            <w:vAlign w:val="bottom"/>
            <w:gridSpan w:val="2"/>
          </w:tcPr>
          <w:p>
            <w:pPr>
              <w:jc w:val="center"/>
              <w:ind w:right="197"/>
              <w:spacing w:after="0" w:line="119" w:lineRule="exact"/>
              <w:rPr>
                <w:sz w:val="20"/>
                <w:szCs w:val="20"/>
                <w:color w:val="auto"/>
              </w:rPr>
            </w:pPr>
            <w:r>
              <w:rPr>
                <w:rFonts w:ascii="Times New Roman" w:cs="Times New Roman" w:eastAsia="Times New Roman" w:hAnsi="Times New Roman"/>
                <w:sz w:val="11"/>
                <w:szCs w:val="11"/>
                <w:b w:val="1"/>
                <w:bCs w:val="1"/>
                <w:color w:val="auto"/>
              </w:rPr>
              <w:t>Not</w:t>
            </w:r>
          </w:p>
        </w:tc>
        <w:tc>
          <w:tcPr>
            <w:tcW w:w="62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8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Not</w:t>
            </w:r>
          </w:p>
        </w:tc>
        <w:tc>
          <w:tcPr>
            <w:tcW w:w="54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0" w:type="dxa"/>
            <w:vAlign w:val="bottom"/>
          </w:tcPr>
          <w:p>
            <w:pPr>
              <w:spacing w:after="0"/>
              <w:rPr>
                <w:sz w:val="1"/>
                <w:szCs w:val="1"/>
                <w:color w:val="auto"/>
              </w:rPr>
            </w:pPr>
          </w:p>
        </w:tc>
      </w:tr>
      <w:tr>
        <w:trPr>
          <w:trHeight w:val="118"/>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Inception</w:t>
            </w:r>
          </w:p>
        </w:tc>
        <w:tc>
          <w:tcPr>
            <w:tcW w:w="760" w:type="dxa"/>
            <w:vAlign w:val="bottom"/>
            <w:gridSpan w:val="2"/>
            <w:vMerge w:val="continue"/>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Options</w:t>
            </w:r>
          </w:p>
        </w:tc>
        <w:tc>
          <w:tcPr>
            <w:tcW w:w="56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Price</w:t>
            </w:r>
          </w:p>
        </w:tc>
        <w:tc>
          <w:tcPr>
            <w:tcW w:w="70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660" w:type="dxa"/>
            <w:vAlign w:val="bottom"/>
            <w:gridSpan w:val="2"/>
          </w:tcPr>
          <w:p>
            <w:pPr>
              <w:jc w:val="center"/>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Vested</w:t>
            </w:r>
          </w:p>
        </w:tc>
        <w:tc>
          <w:tcPr>
            <w:tcW w:w="6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Vested</w:t>
            </w:r>
          </w:p>
        </w:tc>
        <w:tc>
          <w:tcPr>
            <w:tcW w:w="80" w:type="dxa"/>
            <w:vAlign w:val="bottom"/>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Vested</w:t>
            </w:r>
          </w:p>
        </w:tc>
        <w:tc>
          <w:tcPr>
            <w:tcW w:w="5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Vested</w:t>
            </w:r>
          </w:p>
        </w:tc>
        <w:tc>
          <w:tcPr>
            <w:tcW w:w="0" w:type="dxa"/>
            <w:vAlign w:val="bottom"/>
          </w:tcPr>
          <w:p>
            <w:pPr>
              <w:spacing w:after="0"/>
              <w:rPr>
                <w:sz w:val="1"/>
                <w:szCs w:val="1"/>
                <w:color w:val="auto"/>
              </w:rPr>
            </w:pPr>
          </w:p>
        </w:tc>
      </w:tr>
      <w:tr>
        <w:trPr>
          <w:trHeight w:val="127"/>
        </w:trPr>
        <w:tc>
          <w:tcPr>
            <w:tcW w:w="1820" w:type="dxa"/>
            <w:vAlign w:val="bottom"/>
            <w:gridSpan w:val="2"/>
            <w:vMerge w:val="continue"/>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Unexercisable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6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56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82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James M. Boyle</w:t>
            </w:r>
          </w:p>
        </w:tc>
        <w:tc>
          <w:tcPr>
            <w:tcW w:w="56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10/21/2021</w:t>
            </w: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10/21/2021</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jc w:val="center"/>
              <w:spacing w:after="0" w:line="100" w:lineRule="exact"/>
              <w:rPr>
                <w:sz w:val="20"/>
                <w:szCs w:val="20"/>
                <w:color w:val="auto"/>
              </w:rPr>
            </w:pPr>
            <w:r>
              <w:rPr>
                <w:rFonts w:ascii="Times New Roman" w:cs="Times New Roman" w:eastAsia="Times New Roman" w:hAnsi="Times New Roman"/>
                <w:sz w:val="11"/>
                <w:szCs w:val="11"/>
                <w:color w:val="auto"/>
              </w:rPr>
              <w:t>451,779</w:t>
            </w:r>
          </w:p>
        </w:tc>
        <w:tc>
          <w:tcPr>
            <w:tcW w:w="260" w:type="dxa"/>
            <w:vAlign w:val="bottom"/>
            <w:shd w:val="clear" w:color="auto" w:fill="CCEEFF"/>
          </w:tcPr>
          <w:p>
            <w:pPr>
              <w:jc w:val="right"/>
              <w:ind w:right="117"/>
              <w:spacing w:after="0" w:line="91" w:lineRule="exact"/>
              <w:rPr>
                <w:sz w:val="20"/>
                <w:szCs w:val="20"/>
                <w:color w:val="auto"/>
              </w:rPr>
            </w:pPr>
            <w:r>
              <w:rPr>
                <w:rFonts w:ascii="Times New Roman" w:cs="Times New Roman" w:eastAsia="Times New Roman" w:hAnsi="Times New Roman"/>
                <w:sz w:val="9"/>
                <w:szCs w:val="9"/>
                <w:color w:val="auto"/>
                <w:w w:val="75"/>
              </w:rPr>
              <w:t>(1)</w:t>
            </w:r>
          </w:p>
        </w:tc>
        <w:tc>
          <w:tcPr>
            <w:tcW w:w="54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12,008,015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4/1/2022</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4/1/2023</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204,244</w:t>
            </w:r>
            <w:r>
              <w:rPr>
                <w:rFonts w:ascii="Times New Roman" w:cs="Times New Roman" w:eastAsia="Times New Roman" w:hAnsi="Times New Roman"/>
                <w:sz w:val="8"/>
                <w:szCs w:val="8"/>
                <w:color w:val="auto"/>
              </w:rPr>
              <w:t>(1)</w:t>
            </w: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5,467,857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10/1/2023</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10/1/2023</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687,827</w:t>
            </w:r>
            <w:r>
              <w:rPr>
                <w:rFonts w:ascii="Times New Roman" w:cs="Times New Roman" w:eastAsia="Times New Roman" w:hAnsi="Times New Roman"/>
                <w:sz w:val="8"/>
                <w:szCs w:val="8"/>
                <w:color w:val="auto"/>
              </w:rPr>
              <w:t>(1)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17,548,737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10/1/2023</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10/1/2023</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382,126</w:t>
            </w:r>
            <w:r>
              <w:rPr>
                <w:rFonts w:ascii="Times New Roman" w:cs="Times New Roman" w:eastAsia="Times New Roman" w:hAnsi="Times New Roman"/>
                <w:sz w:val="8"/>
                <w:szCs w:val="8"/>
                <w:color w:val="auto"/>
              </w:rPr>
              <w:t>(3)</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9,749,301</w:t>
            </w: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10/1/2023</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10/1/2023</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382,126</w:t>
            </w:r>
            <w:r>
              <w:rPr>
                <w:rFonts w:ascii="Times New Roman" w:cs="Times New Roman" w:eastAsia="Times New Roman" w:hAnsi="Times New Roman"/>
                <w:sz w:val="8"/>
                <w:szCs w:val="8"/>
                <w:color w:val="auto"/>
              </w:rPr>
              <w:t>(4)</w:t>
            </w:r>
          </w:p>
        </w:tc>
        <w:tc>
          <w:tcPr>
            <w:tcW w:w="540" w:type="dxa"/>
            <w:vAlign w:val="bottom"/>
            <w:gridSpan w:val="2"/>
            <w:shd w:val="clear" w:color="auto" w:fill="CCEEFF"/>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9,749,301</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10/1/2023</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10/1/2023</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382,126</w:t>
            </w:r>
            <w:r>
              <w:rPr>
                <w:rFonts w:ascii="Times New Roman" w:cs="Times New Roman" w:eastAsia="Times New Roman" w:hAnsi="Times New Roman"/>
                <w:sz w:val="8"/>
                <w:szCs w:val="8"/>
                <w:color w:val="auto"/>
              </w:rPr>
              <w:t>(5)</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9,749,301</w:t>
            </w: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3/29/2023</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201,985</w:t>
            </w:r>
            <w:r>
              <w:rPr>
                <w:rFonts w:ascii="Times New Roman" w:cs="Times New Roman" w:eastAsia="Times New Roman" w:hAnsi="Times New Roman"/>
                <w:sz w:val="8"/>
                <w:szCs w:val="8"/>
                <w:color w:val="auto"/>
              </w:rPr>
              <w:t>(1)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4,643,352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2/13/2024</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3/28/2025</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183,699</w:t>
            </w:r>
            <w:r>
              <w:rPr>
                <w:rFonts w:ascii="Times New Roman" w:cs="Times New Roman" w:eastAsia="Times New Roman" w:hAnsi="Times New Roman"/>
                <w:sz w:val="8"/>
                <w:szCs w:val="8"/>
                <w:color w:val="auto"/>
              </w:rPr>
              <w:t>(1)</w:t>
            </w: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2,629,908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4/11/2025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(2 )</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17"/>
              <w:spacing w:after="0" w:line="119" w:lineRule="exact"/>
              <w:rPr>
                <w:sz w:val="20"/>
                <w:szCs w:val="20"/>
                <w:color w:val="auto"/>
              </w:rPr>
            </w:pPr>
            <w:r>
              <w:rPr>
                <w:rFonts w:ascii="Times New Roman" w:cs="Times New Roman" w:eastAsia="Times New Roman" w:hAnsi="Times New Roman"/>
                <w:sz w:val="11"/>
                <w:szCs w:val="11"/>
                <w:color w:val="auto"/>
              </w:rPr>
              <w:t>31,739</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1,333,038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Michael B. Drazin</w:t>
            </w: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10/21/2021</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10/21/2021</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406,601</w:t>
            </w:r>
            <w:r>
              <w:rPr>
                <w:rFonts w:ascii="Times New Roman" w:cs="Times New Roman" w:eastAsia="Times New Roman" w:hAnsi="Times New Roman"/>
                <w:sz w:val="8"/>
                <w:szCs w:val="8"/>
                <w:color w:val="auto"/>
              </w:rPr>
              <w:t>(1)</w:t>
            </w:r>
          </w:p>
        </w:tc>
        <w:tc>
          <w:tcPr>
            <w:tcW w:w="62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10,807,211</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4/1/2022</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4/1/2023</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164,269</w:t>
            </w:r>
            <w:r>
              <w:rPr>
                <w:rFonts w:ascii="Times New Roman" w:cs="Times New Roman" w:eastAsia="Times New Roman" w:hAnsi="Times New Roman"/>
                <w:sz w:val="8"/>
                <w:szCs w:val="8"/>
                <w:color w:val="auto"/>
              </w:rPr>
              <w:t>(1)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4,397,678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3/29/2023</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182,222</w:t>
            </w:r>
            <w:r>
              <w:rPr>
                <w:rFonts w:ascii="Times New Roman" w:cs="Times New Roman" w:eastAsia="Times New Roman" w:hAnsi="Times New Roman"/>
                <w:sz w:val="8"/>
                <w:szCs w:val="8"/>
                <w:color w:val="auto"/>
              </w:rPr>
              <w:t>(1)</w:t>
            </w: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4,189,029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2/13/2024</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3/28/2025</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157,133</w:t>
            </w:r>
            <w:r>
              <w:rPr>
                <w:rFonts w:ascii="Times New Roman" w:cs="Times New Roman" w:eastAsia="Times New Roman" w:hAnsi="Times New Roman"/>
                <w:sz w:val="8"/>
                <w:szCs w:val="8"/>
                <w:color w:val="auto"/>
              </w:rPr>
              <w:t>(1)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2,249,579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4/11/2025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(2 )</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217"/>
              <w:spacing w:after="0" w:line="119" w:lineRule="exact"/>
              <w:rPr>
                <w:sz w:val="20"/>
                <w:szCs w:val="20"/>
                <w:color w:val="auto"/>
              </w:rPr>
            </w:pPr>
            <w:r>
              <w:rPr>
                <w:rFonts w:ascii="Times New Roman" w:cs="Times New Roman" w:eastAsia="Times New Roman" w:hAnsi="Times New Roman"/>
                <w:sz w:val="11"/>
                <w:szCs w:val="11"/>
                <w:color w:val="auto"/>
              </w:rPr>
              <w:t>25,788</w:t>
            </w: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1,083,096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Douglas P. Golwas</w:t>
            </w: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10/21/2021</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10/21/2021</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282,362</w:t>
            </w:r>
            <w:r>
              <w:rPr>
                <w:rFonts w:ascii="Times New Roman" w:cs="Times New Roman" w:eastAsia="Times New Roman" w:hAnsi="Times New Roman"/>
                <w:sz w:val="8"/>
                <w:szCs w:val="8"/>
                <w:color w:val="auto"/>
              </w:rPr>
              <w:t>(1)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7,505,013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4/1/2022</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4/1/2023</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127,653</w:t>
            </w:r>
            <w:r>
              <w:rPr>
                <w:rFonts w:ascii="Times New Roman" w:cs="Times New Roman" w:eastAsia="Times New Roman" w:hAnsi="Times New Roman"/>
                <w:sz w:val="8"/>
                <w:szCs w:val="8"/>
                <w:color w:val="auto"/>
              </w:rPr>
              <w:t>(1)</w:t>
            </w: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3,417,424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3/29/2023</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126,240</w:t>
            </w:r>
            <w:r>
              <w:rPr>
                <w:rFonts w:ascii="Times New Roman" w:cs="Times New Roman" w:eastAsia="Times New Roman" w:hAnsi="Times New Roman"/>
                <w:sz w:val="8"/>
                <w:szCs w:val="8"/>
                <w:color w:val="auto"/>
              </w:rPr>
              <w:t>(1)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2,902,081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2/13/2024</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3/28/2025</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149,005</w:t>
            </w:r>
            <w:r>
              <w:rPr>
                <w:rFonts w:ascii="Times New Roman" w:cs="Times New Roman" w:eastAsia="Times New Roman" w:hAnsi="Times New Roman"/>
                <w:sz w:val="8"/>
                <w:szCs w:val="8"/>
                <w:color w:val="auto"/>
              </w:rPr>
              <w:t>(1)</w:t>
            </w: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2,133,215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4/11/2025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(2 )</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17"/>
              <w:spacing w:after="0" w:line="119" w:lineRule="exact"/>
              <w:rPr>
                <w:sz w:val="20"/>
                <w:szCs w:val="20"/>
                <w:color w:val="auto"/>
              </w:rPr>
            </w:pPr>
            <w:r>
              <w:rPr>
                <w:rFonts w:ascii="Times New Roman" w:cs="Times New Roman" w:eastAsia="Times New Roman" w:hAnsi="Times New Roman"/>
                <w:sz w:val="11"/>
                <w:szCs w:val="11"/>
                <w:color w:val="auto"/>
              </w:rPr>
              <w:t>25,788</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1,083,096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Stephen L. Miller</w:t>
            </w: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7/1/2022</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7/1/2022</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277,106</w:t>
            </w:r>
            <w:r>
              <w:rPr>
                <w:rFonts w:ascii="Times New Roman" w:cs="Times New Roman" w:eastAsia="Times New Roman" w:hAnsi="Times New Roman"/>
                <w:sz w:val="8"/>
                <w:szCs w:val="8"/>
                <w:color w:val="auto"/>
              </w:rPr>
              <w:t>(1)</w:t>
            </w: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7,598,440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4/1/2022</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4/1/2023</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63,826</w:t>
            </w:r>
            <w:r>
              <w:rPr>
                <w:rFonts w:ascii="Times New Roman" w:cs="Times New Roman" w:eastAsia="Times New Roman" w:hAnsi="Times New Roman"/>
                <w:sz w:val="8"/>
                <w:szCs w:val="8"/>
                <w:color w:val="auto"/>
              </w:rPr>
              <w:t>(1)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1,708,699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3/29/2023</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170,424</w:t>
            </w:r>
            <w:r>
              <w:rPr>
                <w:rFonts w:ascii="Times New Roman" w:cs="Times New Roman" w:eastAsia="Times New Roman" w:hAnsi="Times New Roman"/>
                <w:sz w:val="8"/>
                <w:szCs w:val="8"/>
                <w:color w:val="auto"/>
              </w:rPr>
              <w:t>(1)</w:t>
            </w: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3,917,809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17"/>
              <w:spacing w:after="0" w:line="119" w:lineRule="exact"/>
              <w:rPr>
                <w:sz w:val="20"/>
                <w:szCs w:val="20"/>
                <w:color w:val="auto"/>
              </w:rPr>
            </w:pPr>
            <w:r>
              <w:rPr>
                <w:rFonts w:ascii="Times New Roman" w:cs="Times New Roman" w:eastAsia="Times New Roman" w:hAnsi="Times New Roman"/>
                <w:sz w:val="11"/>
                <w:szCs w:val="11"/>
                <w:color w:val="auto"/>
              </w:rPr>
              <w:t>210,401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4,836,824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43,833</w:t>
            </w:r>
            <w:r>
              <w:rPr>
                <w:rFonts w:ascii="Times New Roman" w:cs="Times New Roman" w:eastAsia="Times New Roman" w:hAnsi="Times New Roman"/>
                <w:sz w:val="8"/>
                <w:szCs w:val="8"/>
                <w:color w:val="auto"/>
              </w:rPr>
              <w:t>(3)</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1,007,670</w:t>
            </w: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43,833</w:t>
            </w:r>
            <w:r>
              <w:rPr>
                <w:rFonts w:ascii="Times New Roman" w:cs="Times New Roman" w:eastAsia="Times New Roman" w:hAnsi="Times New Roman"/>
                <w:sz w:val="8"/>
                <w:szCs w:val="8"/>
                <w:color w:val="auto"/>
              </w:rPr>
              <w:t>(4)</w:t>
            </w:r>
          </w:p>
        </w:tc>
        <w:tc>
          <w:tcPr>
            <w:tcW w:w="540" w:type="dxa"/>
            <w:vAlign w:val="bottom"/>
            <w:gridSpan w:val="2"/>
            <w:shd w:val="clear" w:color="auto" w:fill="CCEEFF"/>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1,007,670</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3/29/2024</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43,833</w:t>
            </w:r>
            <w:r>
              <w:rPr>
                <w:rFonts w:ascii="Times New Roman" w:cs="Times New Roman" w:eastAsia="Times New Roman" w:hAnsi="Times New Roman"/>
                <w:sz w:val="8"/>
                <w:szCs w:val="8"/>
                <w:color w:val="auto"/>
              </w:rPr>
              <w:t>(5)</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1,007,670</w:t>
            </w:r>
          </w:p>
        </w:tc>
        <w:tc>
          <w:tcPr>
            <w:tcW w:w="0" w:type="dxa"/>
            <w:vAlign w:val="bottom"/>
          </w:tcPr>
          <w:p>
            <w:pPr>
              <w:spacing w:after="0"/>
              <w:rPr>
                <w:sz w:val="1"/>
                <w:szCs w:val="1"/>
                <w:color w:val="auto"/>
              </w:rPr>
            </w:pPr>
          </w:p>
        </w:tc>
      </w:tr>
      <w:tr>
        <w:trPr>
          <w:trHeight w:val="118"/>
        </w:trPr>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2/13/2024</w:t>
            </w: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3/28/2025</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7"/>
              <w:spacing w:after="0" w:line="119" w:lineRule="exact"/>
              <w:rPr>
                <w:sz w:val="20"/>
                <w:szCs w:val="20"/>
                <w:color w:val="auto"/>
              </w:rPr>
            </w:pPr>
            <w:r>
              <w:rPr>
                <w:rFonts w:ascii="Times New Roman" w:cs="Times New Roman" w:eastAsia="Times New Roman" w:hAnsi="Times New Roman"/>
                <w:sz w:val="11"/>
                <w:szCs w:val="11"/>
                <w:color w:val="auto"/>
              </w:rPr>
              <w:t>272,725</w:t>
            </w:r>
            <w:r>
              <w:rPr>
                <w:rFonts w:ascii="Times New Roman" w:cs="Times New Roman" w:eastAsia="Times New Roman" w:hAnsi="Times New Roman"/>
                <w:sz w:val="8"/>
                <w:szCs w:val="8"/>
                <w:color w:val="auto"/>
              </w:rPr>
              <w:t>(1)</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3,904,440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4/11/2025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(2 )</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17"/>
              <w:spacing w:after="0"/>
              <w:rPr>
                <w:sz w:val="20"/>
                <w:szCs w:val="20"/>
                <w:color w:val="auto"/>
              </w:rPr>
            </w:pPr>
            <w:r>
              <w:rPr>
                <w:rFonts w:ascii="Times New Roman" w:cs="Times New Roman" w:eastAsia="Times New Roman" w:hAnsi="Times New Roman"/>
                <w:sz w:val="11"/>
                <w:szCs w:val="11"/>
                <w:color w:val="auto"/>
              </w:rPr>
              <w:t>25,788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1,083,096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49530</wp:posOffset>
            </wp:positionV>
            <wp:extent cx="6146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83" w:lineRule="exact"/>
        <w:rPr>
          <w:sz w:val="20"/>
          <w:szCs w:val="20"/>
          <w:color w:val="auto"/>
        </w:rPr>
      </w:pPr>
    </w:p>
    <w:p>
      <w:pPr>
        <w:ind w:left="1600" w:right="159" w:hanging="346"/>
        <w:spacing w:after="0" w:line="232" w:lineRule="auto"/>
        <w:tabs>
          <w:tab w:leader="none" w:pos="160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time-vested Incentive Units that vest over 5 years, with 20% vesting on the 12-month anniversary of the vesting commencement date, which is the same as the grant date, and an additional 20% vesting every year thereafter. For Messrs. Boyle and Pigott, a portion of Time-Vested Units will accelerate upon a termination by us without Cause, by the executive for Good Reason, or due to disability. If such termination occurs prior to the first anniversary of the vesting commencement date, 20% of the time-vested Incentive Units will become vested. If such termination occurs after the first anniversary of the vesting commencement date, the number of time-vested Incentive Units that will become vested will be calculated by multiplying (x) 20% of the time-vested Incentive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that were initially expressed as “dollars at work” and then converted into a number of time-vested Incentive Units, or for the award with a</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92"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8" w:lineRule="exact"/>
        <w:rPr>
          <w:sz w:val="20"/>
          <w:szCs w:val="20"/>
          <w:color w:val="auto"/>
        </w:rPr>
      </w:pPr>
    </w:p>
    <w:p>
      <w:pPr>
        <w:ind w:left="1600" w:right="199"/>
        <w:spacing w:after="0" w:line="232" w:lineRule="auto"/>
        <w:rPr>
          <w:sz w:val="20"/>
          <w:szCs w:val="20"/>
          <w:color w:val="auto"/>
        </w:rPr>
      </w:pPr>
      <w:r>
        <w:rPr>
          <w:rFonts w:ascii="Times New Roman" w:cs="Times New Roman" w:eastAsia="Times New Roman" w:hAnsi="Times New Roman"/>
          <w:sz w:val="11"/>
          <w:szCs w:val="11"/>
          <w:color w:val="auto"/>
        </w:rPr>
        <w:t>service inception date of April 11, 2025, time-based RSUs, in the fiscal year following the service inception date based on Company and individual performance against the performance goals specified in the MIP. For additional details, see “—Compensation Elements—Long-Term Equity Incentive Compensation—2025 Management Incentive Plan” and footnote 3 to the Summary Compensation Table above.</w:t>
      </w:r>
    </w:p>
    <w:p>
      <w:pPr>
        <w:ind w:left="1600" w:right="259" w:hanging="346"/>
        <w:spacing w:after="0" w:line="224" w:lineRule="auto"/>
        <w:tabs>
          <w:tab w:leader="none" w:pos="16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2025 MIP Awards based on actual performance through December 31, 2025. Values are based on $42.00, the closing price of Medline Inc. common stock on December 31, 2025. The earned “dollars at work” for the 2025 MIP will be converted into a number of RSUs in the first quarter of 2026 determined by dividing the “dollars at work” earned under the 2025 MIP Award (based on the fair market value) by the initial public offering price of Medline Inc. common stock, which was $29.00. For additional details, see “— Compensation Elements—Long-Term Equity Incentive Compensation—2025 Management Incentive Plan” and footnote 2 to the Summary Compensation Table above.</w:t>
      </w:r>
    </w:p>
    <w:p>
      <w:pPr>
        <w:spacing w:after="0" w:line="1" w:lineRule="exact"/>
        <w:rPr>
          <w:rFonts w:ascii="Times New Roman" w:cs="Times New Roman" w:eastAsia="Times New Roman" w:hAnsi="Times New Roman"/>
          <w:sz w:val="11"/>
          <w:szCs w:val="11"/>
          <w:color w:val="auto"/>
        </w:rPr>
      </w:pPr>
    </w:p>
    <w:p>
      <w:pPr>
        <w:jc w:val="both"/>
        <w:ind w:left="1600" w:right="239" w:hanging="346"/>
        <w:spacing w:after="0" w:line="224" w:lineRule="auto"/>
        <w:tabs>
          <w:tab w:leader="none" w:pos="16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(2.25x MOIC). Value with respect to these Performance-Vested Units was determined based on the closing price of Medline Inc. common stock on December 31, 2025, which was $42.00, and the participation threshold of the Performance-Vested Unit.</w:t>
      </w:r>
    </w:p>
    <w:p>
      <w:pPr>
        <w:jc w:val="both"/>
        <w:ind w:left="1600" w:right="239" w:hanging="346"/>
        <w:spacing w:after="0" w:line="224" w:lineRule="auto"/>
        <w:tabs>
          <w:tab w:leader="none" w:pos="16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(2.50x MOIC). Value with respect to these Performance-Vested Units was determined based on the closing price of Medline Inc. common stock on December 31, 2025, which was $42.00, and the participation threshold of the Performance-Vested Unit.</w:t>
      </w:r>
    </w:p>
    <w:p>
      <w:pPr>
        <w:jc w:val="both"/>
        <w:ind w:left="1600" w:right="239" w:hanging="346"/>
        <w:spacing w:after="0" w:line="224" w:lineRule="auto"/>
        <w:tabs>
          <w:tab w:leader="none" w:pos="16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(2.75x MOIC). Value with respect to these Performance-Vested Units was determined based on the closing price of Medline Inc. common stock on December 31, 2025, which was $42.00, and the participation threshold of the Performance-Vested Unit.</w:t>
      </w:r>
    </w:p>
    <w:p>
      <w:pPr>
        <w:ind w:left="1600" w:right="359" w:hanging="346"/>
        <w:spacing w:after="0" w:line="242" w:lineRule="auto"/>
        <w:tabs>
          <w:tab w:leader="none" w:pos="16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time-vested Incentive Units that vest over 5 years, with 20% vesting on the 12-month anniversary of the vesting commencement date and an additional 20% vesting every year thereafter.</w:t>
      </w:r>
    </w:p>
    <w:p>
      <w:pPr>
        <w:spacing w:after="0" w:line="144" w:lineRule="exact"/>
        <w:rPr>
          <w:sz w:val="20"/>
          <w:szCs w:val="20"/>
          <w:color w:val="auto"/>
        </w:rPr>
      </w:pPr>
    </w:p>
    <w:p>
      <w:pPr>
        <w:ind w:left="1260" w:right="179"/>
        <w:spacing w:after="0" w:line="264" w:lineRule="auto"/>
        <w:rPr>
          <w:sz w:val="20"/>
          <w:szCs w:val="20"/>
          <w:color w:val="auto"/>
        </w:rPr>
      </w:pPr>
      <w:r>
        <w:rPr>
          <w:rFonts w:ascii="Times New Roman" w:cs="Times New Roman" w:eastAsia="Times New Roman" w:hAnsi="Times New Roman"/>
          <w:sz w:val="14"/>
          <w:szCs w:val="14"/>
          <w:color w:val="auto"/>
        </w:rPr>
        <w:t>In accordance with the Pigott Transition Agreement, Mr. Pigott was entitled to accelerated vesting of certain time-vesting Incentive Units upon his retirement on December 31, 2025. All of Mr. Pigott’s remaining unvested time-vested and performance-vested Incentive Units were cancelled and forfeited for no consideration on Mr. Pigott’s termination date. As such, Mr. Pigott held no outstanding equity awards on December 31, 2025. See “Narrative Disclosure to Summary Compensation Table and Grants of Plan-Based Awards Table—Agreements with Named Executive Officers— Employment Agreement and Transition and Separation Agreement with Mr. Pigott” and “Potential Payments Upon Termination or Change in Control— Accelerated Vesting of Equity Awards” for additional information.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Option Exercises and Stock Vested During the Fiscal Year 2025</w:t>
      </w:r>
    </w:p>
    <w:p>
      <w:pPr>
        <w:spacing w:after="0" w:line="99" w:lineRule="exact"/>
        <w:rPr>
          <w:sz w:val="20"/>
          <w:szCs w:val="20"/>
          <w:color w:val="auto"/>
        </w:rPr>
      </w:pPr>
    </w:p>
    <w:p>
      <w:pPr>
        <w:ind w:left="1260" w:right="33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provides information regarding the amounts received by our Named Executive Officers upon exercise of options or similar instruments or the vesting of stock or similar instruments during the fiscal year ended December 31, 2025.</w:t>
      </w:r>
    </w:p>
    <w:p>
      <w:pPr>
        <w:spacing w:after="0" w:line="140" w:lineRule="exact"/>
        <w:rPr>
          <w:sz w:val="20"/>
          <w:szCs w:val="20"/>
          <w:color w:val="auto"/>
        </w:rPr>
      </w:pPr>
    </w:p>
    <w:tbl>
      <w:tblPr>
        <w:tblLayout w:type="fixed"/>
        <w:tblInd w:w="1600" w:type="dxa"/>
        <w:tblCellMar>
          <w:top w:w="0" w:type="dxa"/>
          <w:left w:w="0" w:type="dxa"/>
          <w:bottom w:w="0" w:type="dxa"/>
          <w:right w:w="0" w:type="dxa"/>
        </w:tblCellMar>
      </w:tblPr>
      <w:tr>
        <w:trPr>
          <w:trHeight w:val="138"/>
        </w:trPr>
        <w:tc>
          <w:tcPr>
            <w:tcW w:w="3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7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580" w:type="dxa"/>
            <w:vAlign w:val="bottom"/>
          </w:tcPr>
          <w:p>
            <w:pPr>
              <w:spacing w:after="0"/>
              <w:rPr>
                <w:sz w:val="11"/>
                <w:szCs w:val="11"/>
                <w:color w:val="auto"/>
              </w:rPr>
            </w:pPr>
          </w:p>
        </w:tc>
        <w:tc>
          <w:tcPr>
            <w:tcW w:w="1900" w:type="dxa"/>
            <w:vAlign w:val="bottom"/>
            <w:tcBorders>
              <w:bottom w:val="single" w:sz="8" w:color="auto"/>
            </w:tcBorders>
            <w:gridSpan w:val="3"/>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200" w:type="dxa"/>
            <w:vAlign w:val="bottom"/>
            <w:gridSpan w:val="2"/>
          </w:tcPr>
          <w:p>
            <w:pPr>
              <w:jc w:val="center"/>
              <w:ind w:right="580"/>
              <w:spacing w:after="0" w:line="90"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1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200" w:type="dxa"/>
            <w:vAlign w:val="bottom"/>
            <w:gridSpan w:val="2"/>
          </w:tcPr>
          <w:p>
            <w:pPr>
              <w:jc w:val="center"/>
              <w:ind w:right="600"/>
              <w:spacing w:after="0" w:line="90"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200" w:type="dxa"/>
            <w:vAlign w:val="bottom"/>
            <w:gridSpan w:val="2"/>
          </w:tcPr>
          <w:p>
            <w:pPr>
              <w:jc w:val="center"/>
              <w:ind w:right="580"/>
              <w:spacing w:after="0" w:line="11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160" w:type="dxa"/>
            <w:vAlign w:val="bottom"/>
            <w:gridSpan w:val="2"/>
            <w:vMerge w:val="continue"/>
          </w:tcPr>
          <w:p>
            <w:pPr>
              <w:spacing w:after="0"/>
              <w:rPr>
                <w:sz w:val="10"/>
                <w:szCs w:val="10"/>
                <w:color w:val="auto"/>
              </w:rPr>
            </w:pPr>
          </w:p>
        </w:tc>
        <w:tc>
          <w:tcPr>
            <w:tcW w:w="1200" w:type="dxa"/>
            <w:vAlign w:val="bottom"/>
            <w:gridSpan w:val="2"/>
          </w:tcPr>
          <w:p>
            <w:pPr>
              <w:jc w:val="center"/>
              <w:ind w:right="600"/>
              <w:spacing w:after="0" w:line="119" w:lineRule="exact"/>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200" w:type="dxa"/>
            <w:vAlign w:val="bottom"/>
            <w:gridSpan w:val="2"/>
          </w:tcPr>
          <w:p>
            <w:pPr>
              <w:jc w:val="center"/>
              <w:ind w:right="580"/>
              <w:spacing w:after="0" w:line="119" w:lineRule="exact"/>
              <w:rPr>
                <w:sz w:val="20"/>
                <w:szCs w:val="20"/>
                <w:color w:val="auto"/>
              </w:rPr>
            </w:pPr>
            <w:r>
              <w:rPr>
                <w:rFonts w:ascii="Times New Roman" w:cs="Times New Roman" w:eastAsia="Times New Roman" w:hAnsi="Times New Roman"/>
                <w:sz w:val="11"/>
                <w:szCs w:val="11"/>
                <w:b w:val="1"/>
                <w:bCs w:val="1"/>
                <w:color w:val="auto"/>
              </w:rPr>
              <w:t>Acquired on</w:t>
            </w:r>
          </w:p>
        </w:tc>
        <w:tc>
          <w:tcPr>
            <w:tcW w:w="1160" w:type="dxa"/>
            <w:vAlign w:val="bottom"/>
            <w:gridSpan w:val="2"/>
          </w:tcPr>
          <w:p>
            <w:pPr>
              <w:jc w:val="center"/>
              <w:ind w:right="580"/>
              <w:spacing w:after="0" w:line="119"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1200" w:type="dxa"/>
            <w:vAlign w:val="bottom"/>
            <w:gridSpan w:val="2"/>
          </w:tcPr>
          <w:p>
            <w:pPr>
              <w:jc w:val="center"/>
              <w:ind w:right="600"/>
              <w:spacing w:after="0" w:line="119" w:lineRule="exact"/>
              <w:rPr>
                <w:sz w:val="20"/>
                <w:szCs w:val="20"/>
                <w:color w:val="auto"/>
              </w:rPr>
            </w:pPr>
            <w:r>
              <w:rPr>
                <w:rFonts w:ascii="Times New Roman" w:cs="Times New Roman" w:eastAsia="Times New Roman" w:hAnsi="Times New Roman"/>
                <w:sz w:val="11"/>
                <w:szCs w:val="11"/>
                <w:b w:val="1"/>
                <w:bCs w:val="1"/>
                <w:color w:val="auto"/>
              </w:rPr>
              <w:t>Acquired on</w:t>
            </w:r>
          </w:p>
        </w:tc>
        <w:tc>
          <w:tcPr>
            <w:tcW w:w="74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Realized on</w:t>
            </w:r>
          </w:p>
        </w:tc>
        <w:tc>
          <w:tcPr>
            <w:tcW w:w="0" w:type="dxa"/>
            <w:vAlign w:val="bottom"/>
          </w:tcPr>
          <w:p>
            <w:pPr>
              <w:spacing w:after="0"/>
              <w:rPr>
                <w:sz w:val="1"/>
                <w:szCs w:val="1"/>
                <w:color w:val="auto"/>
              </w:rPr>
            </w:pPr>
          </w:p>
        </w:tc>
      </w:tr>
      <w:tr>
        <w:trPr>
          <w:trHeight w:val="118"/>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480" w:type="dxa"/>
            <w:vAlign w:val="bottom"/>
            <w:vMerge w:val="restart"/>
          </w:tcPr>
          <w:p>
            <w:pPr>
              <w:spacing w:after="0"/>
              <w:rPr>
                <w:sz w:val="10"/>
                <w:szCs w:val="10"/>
                <w:color w:val="auto"/>
              </w:rPr>
            </w:pPr>
          </w:p>
        </w:tc>
        <w:tc>
          <w:tcPr>
            <w:tcW w:w="1200" w:type="dxa"/>
            <w:vAlign w:val="bottom"/>
            <w:gridSpan w:val="2"/>
          </w:tcPr>
          <w:p>
            <w:pPr>
              <w:jc w:val="center"/>
              <w:ind w:right="580"/>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160" w:type="dxa"/>
            <w:vAlign w:val="bottom"/>
            <w:gridSpan w:val="2"/>
          </w:tcPr>
          <w:p>
            <w:pPr>
              <w:jc w:val="center"/>
              <w:ind w:right="600"/>
              <w:spacing w:after="0" w:line="119" w:lineRule="exact"/>
              <w:rPr>
                <w:sz w:val="20"/>
                <w:szCs w:val="20"/>
                <w:color w:val="auto"/>
              </w:rPr>
            </w:pPr>
            <w:r>
              <w:rPr>
                <w:rFonts w:ascii="Times New Roman" w:cs="Times New Roman" w:eastAsia="Times New Roman" w:hAnsi="Times New Roman"/>
                <w:sz w:val="11"/>
                <w:szCs w:val="11"/>
                <w:b w:val="1"/>
                <w:bCs w:val="1"/>
                <w:color w:val="auto"/>
              </w:rPr>
              <w:t>on Exercise</w:t>
            </w:r>
          </w:p>
        </w:tc>
        <w:tc>
          <w:tcPr>
            <w:tcW w:w="1200" w:type="dxa"/>
            <w:vAlign w:val="bottom"/>
            <w:gridSpan w:val="2"/>
          </w:tcPr>
          <w:p>
            <w:pPr>
              <w:jc w:val="center"/>
              <w:ind w:right="600"/>
              <w:spacing w:after="0" w:line="119" w:lineRule="exact"/>
              <w:rPr>
                <w:sz w:val="20"/>
                <w:szCs w:val="20"/>
                <w:color w:val="auto"/>
              </w:rPr>
            </w:pPr>
            <w:r>
              <w:rPr>
                <w:rFonts w:ascii="Times New Roman" w:cs="Times New Roman" w:eastAsia="Times New Roman" w:hAnsi="Times New Roman"/>
                <w:sz w:val="11"/>
                <w:szCs w:val="11"/>
                <w:b w:val="1"/>
                <w:bCs w:val="1"/>
                <w:color w:val="auto"/>
              </w:rPr>
              <w:t>Vesting</w:t>
            </w:r>
          </w:p>
        </w:tc>
        <w:tc>
          <w:tcPr>
            <w:tcW w:w="74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Vesting</w:t>
            </w: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3480" w:type="dxa"/>
            <w:vAlign w:val="bottom"/>
            <w:vMerge w:val="continue"/>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spacing w:after="0"/>
              <w:rPr>
                <w:sz w:val="12"/>
                <w:szCs w:val="12"/>
                <w:color w:val="auto"/>
              </w:rPr>
            </w:pP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(1)</w:t>
            </w:r>
          </w:p>
        </w:tc>
        <w:tc>
          <w:tcPr>
            <w:tcW w:w="580" w:type="dxa"/>
            <w:vAlign w:val="bottom"/>
          </w:tcPr>
          <w:p>
            <w:pPr>
              <w:spacing w:after="0"/>
              <w:rPr>
                <w:sz w:val="12"/>
                <w:szCs w:val="12"/>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8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James M. Boyle</w:t>
            </w:r>
          </w:p>
        </w:tc>
        <w:tc>
          <w:tcPr>
            <w:tcW w:w="6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799,632</w:t>
            </w:r>
          </w:p>
        </w:tc>
        <w:tc>
          <w:tcPr>
            <w:tcW w:w="5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11,777,744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506,913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7,848,576</w:t>
            </w:r>
          </w:p>
        </w:tc>
        <w:tc>
          <w:tcPr>
            <w:tcW w:w="0" w:type="dxa"/>
            <w:vAlign w:val="bottom"/>
          </w:tcPr>
          <w:p>
            <w:pPr>
              <w:spacing w:after="0"/>
              <w:rPr>
                <w:sz w:val="1"/>
                <w:szCs w:val="1"/>
                <w:color w:val="auto"/>
              </w:rPr>
            </w:pPr>
          </w:p>
        </w:tc>
      </w:tr>
      <w:tr>
        <w:trPr>
          <w:trHeight w:val="172"/>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1,008,005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18,947,619</w:t>
            </w:r>
          </w:p>
        </w:tc>
        <w:tc>
          <w:tcPr>
            <w:tcW w:w="0" w:type="dxa"/>
            <w:vAlign w:val="bottom"/>
          </w:tcPr>
          <w:p>
            <w:pPr>
              <w:spacing w:after="0"/>
              <w:rPr>
                <w:sz w:val="1"/>
                <w:szCs w:val="1"/>
                <w:color w:val="auto"/>
              </w:rPr>
            </w:pPr>
          </w:p>
        </w:tc>
      </w:tr>
      <w:tr>
        <w:trPr>
          <w:trHeight w:val="17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356,473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5,503,398</w:t>
            </w:r>
          </w:p>
        </w:tc>
        <w:tc>
          <w:tcPr>
            <w:tcW w:w="0" w:type="dxa"/>
            <w:vAlign w:val="bottom"/>
          </w:tcPr>
          <w:p>
            <w:pPr>
              <w:spacing w:after="0"/>
              <w:rPr>
                <w:sz w:val="1"/>
                <w:szCs w:val="1"/>
                <w:color w:val="auto"/>
              </w:rPr>
            </w:pPr>
          </w:p>
        </w:tc>
      </w:tr>
      <w:tr>
        <w:trPr>
          <w:trHeight w:val="172"/>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255,035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2,876,222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68580</wp:posOffset>
            </wp:positionV>
            <wp:extent cx="61468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13" w:lineRule="exact"/>
        <w:rPr>
          <w:sz w:val="20"/>
          <w:szCs w:val="20"/>
          <w:color w:val="auto"/>
        </w:rPr>
      </w:pPr>
    </w:p>
    <w:p>
      <w:pPr>
        <w:ind w:left="1600" w:hanging="346"/>
        <w:spacing w:after="0"/>
        <w:tabs>
          <w:tab w:leader="none" w:pos="160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time-vested Incentive Units that vested during fiscal year 2025.</w:t>
      </w:r>
    </w:p>
    <w:p>
      <w:pPr>
        <w:spacing w:after="0" w:line="3" w:lineRule="exact"/>
        <w:rPr>
          <w:rFonts w:ascii="Times New Roman" w:cs="Times New Roman" w:eastAsia="Times New Roman" w:hAnsi="Times New Roman"/>
          <w:sz w:val="11"/>
          <w:szCs w:val="11"/>
          <w:color w:val="auto"/>
        </w:rPr>
      </w:pPr>
    </w:p>
    <w:p>
      <w:pPr>
        <w:ind w:left="1600" w:right="259" w:hanging="346"/>
        <w:spacing w:after="0" w:line="242" w:lineRule="auto"/>
        <w:tabs>
          <w:tab w:leader="none" w:pos="160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92"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Change in Control</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Severance Benefits Upon Termination</w:t>
      </w:r>
    </w:p>
    <w:p>
      <w:pPr>
        <w:spacing w:after="0" w:line="101"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color w:val="auto"/>
        </w:rPr>
        <w:t>Each of our Named Executive Officers other than Mr. Pigott is entitled to severance payments and benefits as set forth in the Severance Plan. The severance payments and benefits payable to Mr. Pigott in connection with his departure are set forth in his transition agreement. These severance payments and benefits are summarized above under the headings “—Narrative Disclosure to Summary Compensation Table and Grants of Plan-Based Awards Table—Agreements with Named Executive Officers—Employment Agreement and Transition and Separation Agreement with Mr. Pigott” and “—Narrative Disclosure to Summary Compensation Table and Grants of Plan-Based Awards Table—Executive Severance Plan.”</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Accelerated Vesting of Equity Awards</w:t>
      </w:r>
    </w:p>
    <w:p>
      <w:pPr>
        <w:spacing w:after="0" w:line="101" w:lineRule="exact"/>
        <w:rPr>
          <w:sz w:val="20"/>
          <w:szCs w:val="20"/>
          <w:color w:val="auto"/>
        </w:rPr>
      </w:pPr>
    </w:p>
    <w:p>
      <w:pPr>
        <w:ind w:left="1260" w:right="199" w:firstLine="351"/>
        <w:spacing w:after="0" w:line="261" w:lineRule="auto"/>
        <w:rPr>
          <w:sz w:val="20"/>
          <w:szCs w:val="20"/>
          <w:color w:val="auto"/>
        </w:rPr>
      </w:pPr>
      <w:r>
        <w:rPr>
          <w:rFonts w:ascii="Times New Roman" w:cs="Times New Roman" w:eastAsia="Times New Roman" w:hAnsi="Times New Roman"/>
          <w:sz w:val="14"/>
          <w:szCs w:val="14"/>
          <w:color w:val="auto"/>
        </w:rPr>
        <w:t>In connection with Mr. Boyle’s termination by us without “Cause,” by him for “Good Reason” or due to Disability after October 1, 2023 (as such terms are defined in the Boyle Employment Agreement, and each a “Qualifying Termination” under such agreement), provided that Mr. Boyle executes and does not revoke a release of claims, a pro-rata portion of each award of time-vested Incentive Units granted to him that would vest on the next anniversary of the applicable vesting commencement date occurring after the Qualifying Termination will become vested upon such Qualifying Termination, with the number of time-vested Incentive Units that vest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 Upon any other termination, all of Mr. Boyle’s unvested time-based and performance-based Incentive Units will be cancelled and forfeited for no consideration.</w:t>
      </w:r>
    </w:p>
    <w:p>
      <w:pPr>
        <w:spacing w:after="0" w:line="149" w:lineRule="exact"/>
        <w:rPr>
          <w:sz w:val="20"/>
          <w:szCs w:val="20"/>
          <w:color w:val="auto"/>
        </w:rPr>
      </w:pPr>
    </w:p>
    <w:p>
      <w:pPr>
        <w:ind w:left="1260" w:right="239" w:firstLine="351"/>
        <w:spacing w:after="0" w:line="261" w:lineRule="auto"/>
        <w:rPr>
          <w:sz w:val="20"/>
          <w:szCs w:val="20"/>
          <w:color w:val="auto"/>
        </w:rPr>
      </w:pPr>
      <w:r>
        <w:rPr>
          <w:rFonts w:ascii="Times New Roman" w:cs="Times New Roman" w:eastAsia="Times New Roman" w:hAnsi="Times New Roman"/>
          <w:sz w:val="14"/>
          <w:szCs w:val="14"/>
          <w:color w:val="auto"/>
        </w:rPr>
        <w:t>In connection with Mr. Pigott’s retirement on December 31, 2025, a pro-rata portion of each award of time-vested Incentive Units granted to him that would vest on the next anniversary of the applicable vesting commencement date occurring after the termination date became vested. The number of time-vested Incentive Units that vested was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Mr. Pigott’s retirement, and the denominator of which is 4. For the time-vested Incentive Units granted to Mr. Pigott in October 2021, in addition to the pro-rata portion of the Time-Based Units that vest, another 5% of the time-vested Incentive Units vested upon his retirement. All of Mr. Pigott’s remaining unvested time-vested and performance-vested Incentive Units were cancelled and forfeited for no consideration on Mr. Pigott’s termination date.</w:t>
      </w:r>
    </w:p>
    <w:p>
      <w:pPr>
        <w:spacing w:after="0" w:line="149" w:lineRule="exact"/>
        <w:rPr>
          <w:sz w:val="20"/>
          <w:szCs w:val="20"/>
          <w:color w:val="auto"/>
        </w:rPr>
      </w:pPr>
    </w:p>
    <w:p>
      <w:pPr>
        <w:ind w:left="1260" w:right="579" w:firstLine="351"/>
        <w:spacing w:after="0" w:line="293" w:lineRule="auto"/>
        <w:rPr>
          <w:sz w:val="20"/>
          <w:szCs w:val="20"/>
          <w:color w:val="auto"/>
        </w:rPr>
      </w:pPr>
      <w:r>
        <w:rPr>
          <w:rFonts w:ascii="Times New Roman" w:cs="Times New Roman" w:eastAsia="Times New Roman" w:hAnsi="Times New Roman"/>
          <w:sz w:val="14"/>
          <w:szCs w:val="14"/>
          <w:color w:val="auto"/>
        </w:rPr>
        <w:t>Upon any termination with respect to Messrs. Drazin, Golwas, and Miller, all unvested time-vested Incentive Units (and, for Mr. Miller, all unvested Performance-Vested Units) will terminate and be forfeited immediately for no consideration.</w:t>
      </w:r>
    </w:p>
    <w:p>
      <w:pPr>
        <w:spacing w:after="0" w:line="123"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In the event of a sale transaction (as defined below), certain outstanding time-vested Incentive Units held by certain of our Named Executive Officers will become fully vested. Specifically, all time-vested Incentive Units granted to Messrs. Boyle, Drazin, and Golwas in October 2021 will become fully vested upon a sale transaction occurring while the Named Executive Officer is employed. In addition, the time-vested Incentive Units granted to Mr. Boyle in October 2023 and to Mr. Miller in connection with his Key Talent Award will become fully vested upon a sale transaction occurring while the Named Executive Officer is employed. For purposes of accelerated vesting of certain time-vested Incentive Units, a sale transaction generally means 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92"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Assuming a termination of employment effective as of December 31, 2025 (i) by us without cause, (ii) by the executive for good reason or</w:t>
      </w:r>
    </w:p>
    <w:p>
      <w:pPr>
        <w:spacing w:after="0" w:line="25" w:lineRule="exact"/>
        <w:rPr>
          <w:sz w:val="20"/>
          <w:szCs w:val="20"/>
          <w:color w:val="auto"/>
        </w:rPr>
      </w:pPr>
    </w:p>
    <w:p>
      <w:pPr>
        <w:ind w:left="1260" w:right="179" w:hanging="6"/>
        <w:spacing w:after="0" w:line="264" w:lineRule="auto"/>
        <w:tabs>
          <w:tab w:leader="none" w:pos="151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executive’s death or disability, each of the specified Named Executive Officers would have received the severance payments and benefits set forth in the table below. In addition, assuming the occurrence of a sale transaction effective on December 31, 2025, each of the specified Named Executive Officers would have realized the value in respect of accelerated vesting of certain time-vested Incentive Units set forth in the table below.</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6"/>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1100" w:type="dxa"/>
            <w:vAlign w:val="bottom"/>
            <w:gridSpan w:val="2"/>
            <w:vMerge w:val="restart"/>
          </w:tcPr>
          <w:p>
            <w:pPr>
              <w:jc w:val="center"/>
              <w:ind w:right="306"/>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9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06"/>
              <w:spacing w:after="0" w:line="119" w:lineRule="exact"/>
              <w:rPr>
                <w:sz w:val="20"/>
                <w:szCs w:val="20"/>
                <w:color w:val="auto"/>
              </w:rPr>
            </w:pPr>
            <w:r>
              <w:rPr>
                <w:rFonts w:ascii="Times New Roman" w:cs="Times New Roman" w:eastAsia="Times New Roman" w:hAnsi="Times New Roman"/>
                <w:sz w:val="11"/>
                <w:szCs w:val="11"/>
                <w:b w:val="1"/>
                <w:bCs w:val="1"/>
                <w:color w:val="auto"/>
              </w:rPr>
              <w:t>Without Cause</w:t>
            </w:r>
          </w:p>
        </w:tc>
        <w:tc>
          <w:tcPr>
            <w:tcW w:w="11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06"/>
              <w:spacing w:after="0" w:line="119" w:lineRule="exact"/>
              <w:rPr>
                <w:sz w:val="20"/>
                <w:szCs w:val="20"/>
                <w:color w:val="auto"/>
              </w:rPr>
            </w:pPr>
            <w:r>
              <w:rPr>
                <w:rFonts w:ascii="Times New Roman" w:cs="Times New Roman" w:eastAsia="Times New Roman" w:hAnsi="Times New Roman"/>
                <w:sz w:val="11"/>
                <w:szCs w:val="11"/>
                <w:b w:val="1"/>
                <w:bCs w:val="1"/>
                <w:color w:val="auto"/>
              </w:rPr>
              <w:t>or for Good</w:t>
            </w:r>
          </w:p>
        </w:tc>
        <w:tc>
          <w:tcPr>
            <w:tcW w:w="1100" w:type="dxa"/>
            <w:vAlign w:val="bottom"/>
            <w:gridSpan w:val="2"/>
          </w:tcPr>
          <w:p>
            <w:pPr>
              <w:jc w:val="center"/>
              <w:ind w:right="306"/>
              <w:spacing w:after="0" w:line="119" w:lineRule="exact"/>
              <w:rPr>
                <w:sz w:val="20"/>
                <w:szCs w:val="20"/>
                <w:color w:val="auto"/>
              </w:rPr>
            </w:pPr>
            <w:r>
              <w:rPr>
                <w:rFonts w:ascii="Times New Roman" w:cs="Times New Roman" w:eastAsia="Times New Roman" w:hAnsi="Times New Roman"/>
                <w:sz w:val="11"/>
                <w:szCs w:val="11"/>
                <w:b w:val="1"/>
                <w:bCs w:val="1"/>
                <w:color w:val="auto"/>
              </w:rPr>
              <w:t>Without Cause</w:t>
            </w:r>
          </w:p>
        </w:tc>
        <w:tc>
          <w:tcPr>
            <w:tcW w:w="98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Due to</w:t>
            </w: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06"/>
              <w:spacing w:after="0" w:line="119" w:lineRule="exact"/>
              <w:rPr>
                <w:sz w:val="20"/>
                <w:szCs w:val="20"/>
                <w:color w:val="auto"/>
              </w:rPr>
            </w:pPr>
            <w:r>
              <w:rPr>
                <w:rFonts w:ascii="Times New Roman" w:cs="Times New Roman" w:eastAsia="Times New Roman" w:hAnsi="Times New Roman"/>
                <w:sz w:val="11"/>
                <w:szCs w:val="11"/>
                <w:b w:val="1"/>
                <w:bCs w:val="1"/>
                <w:color w:val="auto"/>
                <w:w w:val="99"/>
              </w:rPr>
              <w:t>Reason</w:t>
            </w:r>
          </w:p>
        </w:tc>
        <w:tc>
          <w:tcPr>
            <w:tcW w:w="1100" w:type="dxa"/>
            <w:vAlign w:val="bottom"/>
            <w:gridSpan w:val="2"/>
          </w:tcPr>
          <w:p>
            <w:pPr>
              <w:jc w:val="center"/>
              <w:ind w:right="306"/>
              <w:spacing w:after="0" w:line="119" w:lineRule="exact"/>
              <w:rPr>
                <w:sz w:val="20"/>
                <w:szCs w:val="20"/>
                <w:color w:val="auto"/>
              </w:rPr>
            </w:pPr>
            <w:r>
              <w:rPr>
                <w:rFonts w:ascii="Times New Roman" w:cs="Times New Roman" w:eastAsia="Times New Roman" w:hAnsi="Times New Roman"/>
                <w:sz w:val="11"/>
                <w:szCs w:val="11"/>
                <w:b w:val="1"/>
                <w:bCs w:val="1"/>
                <w:color w:val="auto"/>
              </w:rPr>
              <w:t>or for Good</w:t>
            </w:r>
          </w:p>
        </w:tc>
        <w:tc>
          <w:tcPr>
            <w:tcW w:w="980" w:type="dxa"/>
            <w:vAlign w:val="bottom"/>
            <w:gridSpan w:val="2"/>
          </w:tcPr>
          <w:p>
            <w:pPr>
              <w:jc w:val="center"/>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Death or</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60" w:type="dxa"/>
            <w:vAlign w:val="bottom"/>
          </w:tcPr>
          <w:p>
            <w:pPr>
              <w:spacing w:after="0"/>
              <w:rPr>
                <w:sz w:val="10"/>
                <w:szCs w:val="10"/>
                <w:color w:val="auto"/>
              </w:rPr>
            </w:pPr>
          </w:p>
        </w:tc>
        <w:tc>
          <w:tcPr>
            <w:tcW w:w="21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Payment Type</w:t>
            </w:r>
          </w:p>
        </w:tc>
        <w:tc>
          <w:tcPr>
            <w:tcW w:w="1100" w:type="dxa"/>
            <w:vAlign w:val="bottom"/>
            <w:gridSpan w:val="2"/>
          </w:tcPr>
          <w:p>
            <w:pPr>
              <w:jc w:val="center"/>
              <w:ind w:right="306"/>
              <w:spacing w:after="0" w:line="119" w:lineRule="exact"/>
              <w:rPr>
                <w:sz w:val="20"/>
                <w:szCs w:val="20"/>
                <w:color w:val="auto"/>
              </w:rPr>
            </w:pPr>
            <w:r>
              <w:rPr>
                <w:rFonts w:ascii="Times New Roman" w:cs="Times New Roman" w:eastAsia="Times New Roman" w:hAnsi="Times New Roman"/>
                <w:sz w:val="11"/>
                <w:szCs w:val="11"/>
                <w:b w:val="1"/>
                <w:bCs w:val="1"/>
                <w:color w:val="auto"/>
              </w:rPr>
              <w:t>–Non-CIC</w:t>
            </w:r>
          </w:p>
        </w:tc>
        <w:tc>
          <w:tcPr>
            <w:tcW w:w="1100" w:type="dxa"/>
            <w:vAlign w:val="bottom"/>
            <w:gridSpan w:val="2"/>
          </w:tcPr>
          <w:p>
            <w:pPr>
              <w:jc w:val="center"/>
              <w:ind w:right="326"/>
              <w:spacing w:after="0" w:line="119" w:lineRule="exact"/>
              <w:rPr>
                <w:sz w:val="20"/>
                <w:szCs w:val="20"/>
                <w:color w:val="auto"/>
              </w:rPr>
            </w:pPr>
            <w:r>
              <w:rPr>
                <w:rFonts w:ascii="Times New Roman" w:cs="Times New Roman" w:eastAsia="Times New Roman" w:hAnsi="Times New Roman"/>
                <w:sz w:val="11"/>
                <w:szCs w:val="11"/>
                <w:b w:val="1"/>
                <w:bCs w:val="1"/>
                <w:color w:val="auto"/>
              </w:rPr>
              <w:t>Reason – CIC</w:t>
            </w:r>
          </w:p>
        </w:tc>
        <w:tc>
          <w:tcPr>
            <w:tcW w:w="980" w:type="dxa"/>
            <w:vAlign w:val="bottom"/>
            <w:gridSpan w:val="2"/>
          </w:tcPr>
          <w:p>
            <w:pPr>
              <w:jc w:val="center"/>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Disability</w:t>
            </w:r>
          </w:p>
        </w:tc>
        <w:tc>
          <w:tcPr>
            <w:tcW w:w="8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0" w:type="dxa"/>
            <w:vAlign w:val="bottom"/>
          </w:tcPr>
          <w:p>
            <w:pPr>
              <w:spacing w:after="0"/>
              <w:rPr>
                <w:sz w:val="1"/>
                <w:szCs w:val="1"/>
                <w:color w:val="auto"/>
              </w:rPr>
            </w:pPr>
          </w:p>
        </w:tc>
      </w:tr>
      <w:tr>
        <w:trPr>
          <w:trHeight w:val="127"/>
        </w:trPr>
        <w:tc>
          <w:tcPr>
            <w:tcW w:w="18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8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James M. Boyle</w:t>
            </w:r>
          </w:p>
        </w:tc>
        <w:tc>
          <w:tcPr>
            <w:tcW w:w="7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Cash severance</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7,487,500</w:t>
            </w:r>
          </w:p>
        </w:tc>
        <w:tc>
          <w:tcPr>
            <w:tcW w:w="360" w:type="dxa"/>
            <w:vAlign w:val="bottom"/>
            <w:shd w:val="clear" w:color="auto" w:fill="CCEEFF"/>
          </w:tcPr>
          <w:p>
            <w:pPr>
              <w:jc w:val="right"/>
              <w:ind w:right="186"/>
              <w:spacing w:after="0" w:line="120" w:lineRule="exact"/>
              <w:rPr>
                <w:sz w:val="20"/>
                <w:szCs w:val="20"/>
                <w:color w:val="auto"/>
              </w:rPr>
            </w:pPr>
            <w:r>
              <w:rPr>
                <w:rFonts w:ascii="Times New Roman" w:cs="Times New Roman" w:eastAsia="Times New Roman" w:hAnsi="Times New Roman"/>
                <w:sz w:val="11"/>
                <w:szCs w:val="11"/>
                <w:color w:val="auto"/>
                <w:w w:val="77"/>
              </w:rPr>
              <w:t>(1)</w:t>
            </w:r>
          </w:p>
        </w:tc>
        <w:tc>
          <w:tcPr>
            <w:tcW w:w="7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10,400,000</w:t>
            </w:r>
          </w:p>
        </w:tc>
        <w:tc>
          <w:tcPr>
            <w:tcW w:w="360" w:type="dxa"/>
            <w:vAlign w:val="bottom"/>
            <w:shd w:val="clear" w:color="auto" w:fill="CCEEFF"/>
          </w:tcPr>
          <w:p>
            <w:pPr>
              <w:jc w:val="right"/>
              <w:ind w:right="186"/>
              <w:spacing w:after="0" w:line="120" w:lineRule="exact"/>
              <w:rPr>
                <w:sz w:val="20"/>
                <w:szCs w:val="20"/>
                <w:color w:val="auto"/>
              </w:rPr>
            </w:pPr>
            <w:r>
              <w:rPr>
                <w:rFonts w:ascii="Times New Roman" w:cs="Times New Roman" w:eastAsia="Times New Roman" w:hAnsi="Times New Roman"/>
                <w:sz w:val="11"/>
                <w:szCs w:val="11"/>
                <w:color w:val="auto"/>
                <w:w w:val="77"/>
              </w:rPr>
              <w:t>(8)</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980" w:type="dxa"/>
            <w:vAlign w:val="bottom"/>
            <w:gridSpan w:val="2"/>
          </w:tcPr>
          <w:p>
            <w:pPr>
              <w:jc w:val="right"/>
              <w:ind w:right="240"/>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52,732</w:t>
            </w:r>
            <w:r>
              <w:rPr>
                <w:rFonts w:ascii="Times New Roman" w:cs="Times New Roman" w:eastAsia="Times New Roman" w:hAnsi="Times New Roman"/>
                <w:sz w:val="19"/>
                <w:szCs w:val="19"/>
                <w:color w:val="auto"/>
                <w:vertAlign w:val="superscript"/>
              </w:rPr>
              <w:t>(3)</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60,266</w:t>
            </w:r>
            <w:r>
              <w:rPr>
                <w:rFonts w:ascii="Times New Roman" w:cs="Times New Roman" w:eastAsia="Times New Roman" w:hAnsi="Times New Roman"/>
                <w:sz w:val="19"/>
                <w:szCs w:val="19"/>
                <w:color w:val="auto"/>
                <w:vertAlign w:val="superscript"/>
              </w:rPr>
              <w:t>(9)</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Outplacement benefits</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Class B Unit Vesting</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7,518,183</w:t>
            </w:r>
            <w:r>
              <w:rPr>
                <w:rFonts w:ascii="Times New Roman" w:cs="Times New Roman" w:eastAsia="Times New Roman" w:hAnsi="Times New Roman"/>
                <w:sz w:val="19"/>
                <w:szCs w:val="19"/>
                <w:color w:val="auto"/>
                <w:vertAlign w:val="superscript"/>
              </w:rPr>
              <w:t>(5)</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7,518,183</w:t>
            </w:r>
            <w:r>
              <w:rPr>
                <w:rFonts w:ascii="Times New Roman" w:cs="Times New Roman" w:eastAsia="Times New Roman" w:hAnsi="Times New Roman"/>
                <w:sz w:val="19"/>
                <w:szCs w:val="19"/>
                <w:color w:val="auto"/>
                <w:vertAlign w:val="superscript"/>
              </w:rPr>
              <w:t>(5)</w:t>
            </w:r>
          </w:p>
        </w:tc>
        <w:tc>
          <w:tcPr>
            <w:tcW w:w="980" w:type="dxa"/>
            <w:vAlign w:val="bottom"/>
            <w:gridSpan w:val="2"/>
            <w:shd w:val="clear" w:color="auto" w:fill="CCEEFF"/>
          </w:tcPr>
          <w:p>
            <w:pPr>
              <w:jc w:val="right"/>
              <w:ind w:right="240"/>
              <w:spacing w:after="0" w:line="173" w:lineRule="exact"/>
              <w:rPr>
                <w:sz w:val="20"/>
                <w:szCs w:val="20"/>
                <w:color w:val="auto"/>
              </w:rPr>
            </w:pPr>
            <w:r>
              <w:rPr>
                <w:rFonts w:ascii="Times New Roman" w:cs="Times New Roman" w:eastAsia="Times New Roman" w:hAnsi="Times New Roman"/>
                <w:sz w:val="13"/>
                <w:szCs w:val="13"/>
                <w:color w:val="auto"/>
              </w:rPr>
              <w:t>7,518,183</w:t>
            </w:r>
            <w:r>
              <w:rPr>
                <w:rFonts w:ascii="Times New Roman" w:cs="Times New Roman" w:eastAsia="Times New Roman" w:hAnsi="Times New Roman"/>
                <w:sz w:val="19"/>
                <w:szCs w:val="19"/>
                <w:color w:val="auto"/>
                <w:vertAlign w:val="superscript"/>
              </w:rPr>
              <w:t>(5)</w:t>
            </w:r>
          </w:p>
        </w:tc>
        <w:tc>
          <w:tcPr>
            <w:tcW w:w="860" w:type="dxa"/>
            <w:vAlign w:val="bottom"/>
            <w:gridSpan w:val="2"/>
            <w:shd w:val="clear" w:color="auto" w:fill="CCEEFF"/>
          </w:tcPr>
          <w:p>
            <w:pPr>
              <w:jc w:val="right"/>
              <w:ind w:right="60"/>
              <w:spacing w:after="0" w:line="173" w:lineRule="exact"/>
              <w:rPr>
                <w:sz w:val="20"/>
                <w:szCs w:val="20"/>
                <w:color w:val="auto"/>
              </w:rPr>
            </w:pPr>
            <w:r>
              <w:rPr>
                <w:rFonts w:ascii="Times New Roman" w:cs="Times New Roman" w:eastAsia="Times New Roman" w:hAnsi="Times New Roman"/>
                <w:sz w:val="13"/>
                <w:szCs w:val="13"/>
                <w:color w:val="auto"/>
              </w:rPr>
              <w:t>29,556,751</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2"/>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15,066,415</w:t>
            </w:r>
          </w:p>
        </w:tc>
        <w:tc>
          <w:tcPr>
            <w:tcW w:w="1100" w:type="dxa"/>
            <w:vAlign w:val="bottom"/>
            <w:gridSpan w:val="2"/>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17,986,449</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7,518,183</w:t>
            </w:r>
          </w:p>
        </w:tc>
        <w:tc>
          <w:tcPr>
            <w:tcW w:w="3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29,556,751</w:t>
            </w:r>
          </w:p>
        </w:tc>
        <w:tc>
          <w:tcPr>
            <w:tcW w:w="0" w:type="dxa"/>
            <w:vAlign w:val="bottom"/>
          </w:tcPr>
          <w:p>
            <w:pPr>
              <w:spacing w:after="0"/>
              <w:rPr>
                <w:sz w:val="1"/>
                <w:szCs w:val="1"/>
                <w:color w:val="auto"/>
              </w:rPr>
            </w:pPr>
          </w:p>
        </w:tc>
      </w:tr>
      <w:tr>
        <w:trPr>
          <w:trHeight w:val="172"/>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Cash severance</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3,240,000</w:t>
            </w:r>
            <w:r>
              <w:rPr>
                <w:rFonts w:ascii="Times New Roman" w:cs="Times New Roman" w:eastAsia="Times New Roman" w:hAnsi="Times New Roman"/>
                <w:sz w:val="19"/>
                <w:szCs w:val="19"/>
                <w:color w:val="auto"/>
                <w:vertAlign w:val="superscript"/>
              </w:rPr>
              <w:t>(1)</w:t>
            </w:r>
          </w:p>
        </w:tc>
        <w:tc>
          <w:tcPr>
            <w:tcW w:w="1100" w:type="dxa"/>
            <w:vAlign w:val="bottom"/>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4"/>
                <w:szCs w:val="14"/>
                <w:color w:val="auto"/>
              </w:rPr>
              <w:t>4,050,000</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45,199</w:t>
            </w:r>
            <w:r>
              <w:rPr>
                <w:rFonts w:ascii="Times New Roman" w:cs="Times New Roman" w:eastAsia="Times New Roman" w:hAnsi="Times New Roman"/>
                <w:sz w:val="19"/>
                <w:szCs w:val="19"/>
                <w:color w:val="auto"/>
                <w:vertAlign w:val="superscript"/>
              </w:rPr>
              <w:t>(3)</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60,266</w:t>
            </w:r>
            <w:r>
              <w:rPr>
                <w:rFonts w:ascii="Times New Roman" w:cs="Times New Roman" w:eastAsia="Times New Roman" w:hAnsi="Times New Roman"/>
                <w:sz w:val="19"/>
                <w:szCs w:val="19"/>
                <w:color w:val="auto"/>
                <w:vertAlign w:val="superscript"/>
              </w:rPr>
              <w:t>(9)</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Outplacement benefits</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Class B Unit Vesting</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3" w:lineRule="exact"/>
              <w:rPr>
                <w:sz w:val="20"/>
                <w:szCs w:val="20"/>
                <w:color w:val="auto"/>
              </w:rPr>
            </w:pPr>
            <w:r>
              <w:rPr>
                <w:rFonts w:ascii="Times New Roman" w:cs="Times New Roman" w:eastAsia="Times New Roman" w:hAnsi="Times New Roman"/>
                <w:sz w:val="13"/>
                <w:szCs w:val="13"/>
                <w:color w:val="auto"/>
              </w:rPr>
              <w:t>10,807,211</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3,293,199</w:t>
            </w:r>
          </w:p>
        </w:tc>
        <w:tc>
          <w:tcPr>
            <w:tcW w:w="360" w:type="dxa"/>
            <w:vAlign w:val="bottom"/>
          </w:tcPr>
          <w:p>
            <w:pPr>
              <w:spacing w:after="0"/>
              <w:rPr>
                <w:sz w:val="14"/>
                <w:szCs w:val="14"/>
                <w:color w:val="auto"/>
              </w:rPr>
            </w:pPr>
          </w:p>
        </w:tc>
        <w:tc>
          <w:tcPr>
            <w:tcW w:w="1100" w:type="dxa"/>
            <w:vAlign w:val="bottom"/>
            <w:gridSpan w:val="2"/>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4,118,266</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10,807,211</w:t>
            </w:r>
          </w:p>
        </w:tc>
        <w:tc>
          <w:tcPr>
            <w:tcW w:w="0" w:type="dxa"/>
            <w:vAlign w:val="bottom"/>
          </w:tcPr>
          <w:p>
            <w:pPr>
              <w:spacing w:after="0"/>
              <w:rPr>
                <w:sz w:val="1"/>
                <w:szCs w:val="1"/>
                <w:color w:val="auto"/>
              </w:rPr>
            </w:pPr>
          </w:p>
        </w:tc>
      </w:tr>
      <w:tr>
        <w:trPr>
          <w:trHeight w:val="172"/>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2920" w:type="dxa"/>
            <w:vAlign w:val="bottom"/>
            <w:gridSpan w:val="3"/>
            <w:shd w:val="clear" w:color="auto" w:fill="CCEEFF"/>
          </w:tcPr>
          <w:p>
            <w:pPr>
              <w:ind w:left="760"/>
              <w:spacing w:after="0" w:line="173" w:lineRule="exact"/>
              <w:rPr>
                <w:sz w:val="20"/>
                <w:szCs w:val="20"/>
                <w:color w:val="auto"/>
              </w:rPr>
            </w:pPr>
            <w:r>
              <w:rPr>
                <w:rFonts w:ascii="Times New Roman" w:cs="Times New Roman" w:eastAsia="Times New Roman" w:hAnsi="Times New Roman"/>
                <w:sz w:val="13"/>
                <w:szCs w:val="13"/>
                <w:color w:val="auto"/>
              </w:rPr>
              <w:t>Cash severance</w:t>
            </w:r>
            <w:r>
              <w:rPr>
                <w:rFonts w:ascii="Times New Roman" w:cs="Times New Roman" w:eastAsia="Times New Roman" w:hAnsi="Times New Roman"/>
                <w:sz w:val="19"/>
                <w:szCs w:val="19"/>
                <w:color w:val="auto"/>
                <w:vertAlign w:val="superscript"/>
              </w:rPr>
              <w:t>(7)</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5,225,000</w:t>
            </w:r>
            <w:r>
              <w:rPr>
                <w:rFonts w:ascii="Times New Roman" w:cs="Times New Roman" w:eastAsia="Times New Roman" w:hAnsi="Times New Roman"/>
                <w:sz w:val="19"/>
                <w:szCs w:val="19"/>
                <w:color w:val="auto"/>
                <w:vertAlign w:val="superscript"/>
              </w:rPr>
              <w:t>(7)</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45,199</w:t>
            </w:r>
            <w:r>
              <w:rPr>
                <w:rFonts w:ascii="Times New Roman" w:cs="Times New Roman" w:eastAsia="Times New Roman" w:hAnsi="Times New Roman"/>
                <w:sz w:val="19"/>
                <w:szCs w:val="19"/>
                <w:color w:val="auto"/>
                <w:vertAlign w:val="superscript"/>
              </w:rPr>
              <w:t>(3)</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Class B Unit Vesting</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8,868,337</w:t>
            </w:r>
            <w:r>
              <w:rPr>
                <w:rFonts w:ascii="Times New Roman" w:cs="Times New Roman" w:eastAsia="Times New Roman" w:hAnsi="Times New Roman"/>
                <w:sz w:val="19"/>
                <w:szCs w:val="19"/>
                <w:color w:val="auto"/>
                <w:vertAlign w:val="superscript"/>
              </w:rPr>
              <w:t>(5)</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14,138,536</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Cash severance</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3,200,000</w:t>
            </w:r>
            <w:r>
              <w:rPr>
                <w:rFonts w:ascii="Times New Roman" w:cs="Times New Roman" w:eastAsia="Times New Roman" w:hAnsi="Times New Roman"/>
                <w:sz w:val="19"/>
                <w:szCs w:val="19"/>
                <w:color w:val="auto"/>
                <w:vertAlign w:val="superscript"/>
              </w:rPr>
              <w:t>(1)</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4,000,000</w:t>
            </w:r>
            <w:r>
              <w:rPr>
                <w:rFonts w:ascii="Times New Roman" w:cs="Times New Roman" w:eastAsia="Times New Roman" w:hAnsi="Times New Roman"/>
                <w:sz w:val="19"/>
                <w:szCs w:val="19"/>
                <w:color w:val="auto"/>
                <w:vertAlign w:val="superscript"/>
              </w:rPr>
              <w:t>(8)</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45,199</w:t>
            </w:r>
            <w:r>
              <w:rPr>
                <w:rFonts w:ascii="Times New Roman" w:cs="Times New Roman" w:eastAsia="Times New Roman" w:hAnsi="Times New Roman"/>
                <w:sz w:val="19"/>
                <w:szCs w:val="19"/>
                <w:color w:val="auto"/>
                <w:vertAlign w:val="superscript"/>
              </w:rPr>
              <w:t>(3)</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60,266</w:t>
            </w:r>
            <w:r>
              <w:rPr>
                <w:rFonts w:ascii="Times New Roman" w:cs="Times New Roman" w:eastAsia="Times New Roman" w:hAnsi="Times New Roman"/>
                <w:sz w:val="19"/>
                <w:szCs w:val="19"/>
                <w:color w:val="auto"/>
                <w:vertAlign w:val="superscript"/>
              </w:rPr>
              <w:t>(9)</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Outplacement benefits</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Class B Unit Vesting</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60"/>
              <w:spacing w:after="0" w:line="173" w:lineRule="exact"/>
              <w:rPr>
                <w:sz w:val="20"/>
                <w:szCs w:val="20"/>
                <w:color w:val="auto"/>
              </w:rPr>
            </w:pPr>
            <w:r>
              <w:rPr>
                <w:rFonts w:ascii="Times New Roman" w:cs="Times New Roman" w:eastAsia="Times New Roman" w:hAnsi="Times New Roman"/>
                <w:sz w:val="13"/>
                <w:szCs w:val="13"/>
                <w:color w:val="auto"/>
              </w:rPr>
              <w:t>7,505,013</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3,253,199</w:t>
            </w:r>
          </w:p>
        </w:tc>
        <w:tc>
          <w:tcPr>
            <w:tcW w:w="3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4,068,266</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7,505,013</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Cash severance</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3,200,000</w:t>
            </w:r>
            <w:r>
              <w:rPr>
                <w:rFonts w:ascii="Times New Roman" w:cs="Times New Roman" w:eastAsia="Times New Roman" w:hAnsi="Times New Roman"/>
                <w:sz w:val="19"/>
                <w:szCs w:val="19"/>
                <w:color w:val="auto"/>
                <w:vertAlign w:val="superscript"/>
              </w:rPr>
              <w:t>(1)</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4,000,000</w:t>
            </w:r>
            <w:r>
              <w:rPr>
                <w:rFonts w:ascii="Times New Roman" w:cs="Times New Roman" w:eastAsia="Times New Roman" w:hAnsi="Times New Roman"/>
                <w:sz w:val="19"/>
                <w:szCs w:val="19"/>
                <w:color w:val="auto"/>
                <w:vertAlign w:val="superscript"/>
              </w:rPr>
              <w:t>(8)</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45,199</w:t>
            </w:r>
            <w:r>
              <w:rPr>
                <w:rFonts w:ascii="Times New Roman" w:cs="Times New Roman" w:eastAsia="Times New Roman" w:hAnsi="Times New Roman"/>
                <w:sz w:val="19"/>
                <w:szCs w:val="19"/>
                <w:color w:val="auto"/>
                <w:vertAlign w:val="superscript"/>
              </w:rPr>
              <w:t>(3)</w:t>
            </w:r>
          </w:p>
        </w:tc>
        <w:tc>
          <w:tcPr>
            <w:tcW w:w="1100" w:type="dxa"/>
            <w:vAlign w:val="bottom"/>
            <w:gridSpan w:val="2"/>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60,266</w:t>
            </w:r>
            <w:r>
              <w:rPr>
                <w:rFonts w:ascii="Times New Roman" w:cs="Times New Roman" w:eastAsia="Times New Roman" w:hAnsi="Times New Roman"/>
                <w:sz w:val="19"/>
                <w:szCs w:val="19"/>
                <w:color w:val="auto"/>
                <w:vertAlign w:val="superscript"/>
              </w:rPr>
              <w:t>(9)</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Outplacement benefits</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1100" w:type="dxa"/>
            <w:vAlign w:val="bottom"/>
            <w:gridSpan w:val="2"/>
            <w:shd w:val="clear" w:color="auto" w:fill="CCEEFF"/>
          </w:tcPr>
          <w:p>
            <w:pPr>
              <w:jc w:val="right"/>
              <w:ind w:right="186"/>
              <w:spacing w:after="0" w:line="173"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Class B Unit Vesting</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60"/>
              <w:spacing w:after="0" w:line="173" w:lineRule="exact"/>
              <w:rPr>
                <w:sz w:val="20"/>
                <w:szCs w:val="20"/>
                <w:color w:val="auto"/>
              </w:rPr>
            </w:pPr>
            <w:r>
              <w:rPr>
                <w:rFonts w:ascii="Times New Roman" w:cs="Times New Roman" w:eastAsia="Times New Roman" w:hAnsi="Times New Roman"/>
                <w:sz w:val="13"/>
                <w:szCs w:val="13"/>
                <w:color w:val="auto"/>
              </w:rPr>
              <w:t>4,836,824</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3,253,199</w:t>
            </w:r>
          </w:p>
        </w:tc>
        <w:tc>
          <w:tcPr>
            <w:tcW w:w="3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4,068,266</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4,836,824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68580</wp:posOffset>
            </wp:positionV>
            <wp:extent cx="61468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13" w:lineRule="exact"/>
        <w:rPr>
          <w:sz w:val="20"/>
          <w:szCs w:val="20"/>
          <w:color w:val="auto"/>
        </w:rPr>
      </w:pPr>
    </w:p>
    <w:p>
      <w:pPr>
        <w:ind w:left="1600" w:hanging="346"/>
        <w:spacing w:after="0"/>
        <w:tabs>
          <w:tab w:leader="none" w:pos="160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for Mr. Boyle reflects a cash severance payment consisting of the sum of (A) two times the sum of his annual base salary ($1,250,000) and target bonus for 2025</w:t>
      </w:r>
    </w:p>
    <w:p>
      <w:pPr>
        <w:spacing w:after="0" w:line="3" w:lineRule="exact"/>
        <w:rPr>
          <w:rFonts w:ascii="Times New Roman" w:cs="Times New Roman" w:eastAsia="Times New Roman" w:hAnsi="Times New Roman"/>
          <w:sz w:val="11"/>
          <w:szCs w:val="11"/>
          <w:color w:val="auto"/>
        </w:rPr>
      </w:pPr>
    </w:p>
    <w:p>
      <w:pPr>
        <w:jc w:val="both"/>
        <w:ind w:left="1600" w:right="199"/>
        <w:spacing w:after="0" w:line="22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($1,662,500) and (B) annual bonus earned for 2025, pro-rated for the period of service during 2025, paid in a lump sum. The amounts reported for Messrs. Drazin, Golwas and Miller reflect a cash severance payment consisting of the sum of (A) one and one-half times each individual’s base salary ($810,000, $800,000 and $800,000, respectively) and target bonus for 2025 ($810,000, $800,000 and $800,000, respectively) and (B) annual bonus earned for 2025, pro-rated for the period of service during 2025, paid in a lump sum.</w:t>
      </w:r>
    </w:p>
    <w:p>
      <w:pPr>
        <w:ind w:left="1600" w:hanging="346"/>
        <w:spacing w:after="0" w:line="224" w:lineRule="auto"/>
        <w:tabs>
          <w:tab w:leader="none" w:pos="160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each Named Executive Officer’s annual bonus earned but unpaid for 2024.</w:t>
      </w:r>
    </w:p>
    <w:p>
      <w:pPr>
        <w:ind w:left="1600" w:right="439" w:hanging="346"/>
        <w:spacing w:after="0" w:line="224" w:lineRule="auto"/>
        <w:tabs>
          <w:tab w:leader="none" w:pos="160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cost of providing the Named Executive Officer with continued medical, dental and vision insurance under COBRA for a period of 21 months (for Mr. Boyle) and 18 months (for Messrs. Drazin, Miller and Golwas) based on monthly COBRA rates in effect as of December 31, 2025.</w:t>
      </w:r>
    </w:p>
    <w:p>
      <w:pPr>
        <w:ind w:left="1600" w:hanging="346"/>
        <w:spacing w:after="0" w:line="224" w:lineRule="auto"/>
        <w:tabs>
          <w:tab w:leader="none" w:pos="160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cost of outplacement services for a period of 12 months.</w:t>
      </w:r>
    </w:p>
    <w:p>
      <w:pPr>
        <w:ind w:left="1600" w:right="299" w:hanging="346"/>
        <w:spacing w:after="0" w:line="242" w:lineRule="auto"/>
        <w:tabs>
          <w:tab w:leader="none" w:pos="160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Boyle, the amounts reported reflect partial accelerated vesting of time-vested Incentive Units in the event of termination by us without cause, by Mr. Boyle for good reason, and due to disability. For Mr. Pigott, the amount reported reflects partial accelerated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92"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8" w:lineRule="exact"/>
        <w:rPr>
          <w:sz w:val="20"/>
          <w:szCs w:val="20"/>
          <w:color w:val="auto"/>
        </w:rPr>
      </w:pPr>
    </w:p>
    <w:p>
      <w:pPr>
        <w:ind w:left="1600" w:right="659"/>
        <w:spacing w:after="0" w:line="235" w:lineRule="auto"/>
        <w:rPr>
          <w:sz w:val="20"/>
          <w:szCs w:val="20"/>
          <w:color w:val="auto"/>
        </w:rPr>
      </w:pPr>
      <w:r>
        <w:rPr>
          <w:rFonts w:ascii="Times New Roman" w:cs="Times New Roman" w:eastAsia="Times New Roman" w:hAnsi="Times New Roman"/>
          <w:sz w:val="11"/>
          <w:szCs w:val="11"/>
          <w:color w:val="auto"/>
        </w:rPr>
        <w:t>vesting of the time-vested Incentive Units in accordance with the Pigott Transition Agreement. The amounts reported for the time-vested Incentive Units are based upon the appreciation in the value of our business from and after the date of grant through the date of our most recent valuation prior to December 31, 2025.</w:t>
      </w:r>
    </w:p>
    <w:p>
      <w:pPr>
        <w:spacing w:after="0" w:line="1" w:lineRule="exact"/>
        <w:rPr>
          <w:sz w:val="20"/>
          <w:szCs w:val="20"/>
          <w:color w:val="auto"/>
        </w:rPr>
      </w:pPr>
    </w:p>
    <w:p>
      <w:pPr>
        <w:ind w:left="1600" w:right="139" w:hanging="346"/>
        <w:spacing w:after="0" w:line="224" w:lineRule="auto"/>
        <w:tabs>
          <w:tab w:leader="none" w:pos="160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the value of accelerated vesting of time-vested Incentive Units in the event of a sale transaction. The amounts reported for the time-vested Incentive Units are based upon the appreciation in the value of our business from and after the date of grant through the date of our most recent valuation prior to December 31, 2025. For Mr. Boyle, the value of accelerated vesting consists of $12,008,015 for time-vested Incentive Units granted in October 2021 and $17,548,737 for time-vested Incentive Units granted in October 2023. For Messrs. Drazin and Golwas, the value of accelerated vesting relates to time-vested Incentive Units granted in October 2021. For Mr. Miller, the value of accelerated vesting relates to time-vested Incentive Units granted in connection with his Key Talent Award.</w:t>
      </w:r>
    </w:p>
    <w:p>
      <w:pPr>
        <w:spacing w:after="0" w:line="1" w:lineRule="exact"/>
        <w:rPr>
          <w:rFonts w:ascii="Times New Roman" w:cs="Times New Roman" w:eastAsia="Times New Roman" w:hAnsi="Times New Roman"/>
          <w:sz w:val="11"/>
          <w:szCs w:val="11"/>
          <w:color w:val="auto"/>
        </w:rPr>
      </w:pPr>
    </w:p>
    <w:p>
      <w:pPr>
        <w:ind w:left="1600" w:right="159" w:hanging="346"/>
        <w:spacing w:after="0" w:line="224" w:lineRule="auto"/>
        <w:tabs>
          <w:tab w:leader="none" w:pos="160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reflects the cash severance payable to Mr. Pigott pursuant to the Pigott Transition Agreement, consisting of the sum of (A) one and one-half times the sum of his base salary ($1,100,000) and estimated target annual bonus for 2025 ($1,650,000, at the time the Pigott Transition Agreement was entered into), which is paid over 18 months, and</w:t>
      </w:r>
    </w:p>
    <w:p>
      <w:pPr>
        <w:ind w:left="1600" w:right="199"/>
        <w:spacing w:after="0" w:line="22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 annual bonus earned for 2025 (at target of $1,100,000), which is paid when annual bonuses are generally paid to active employees, in each case subject to Mr. Pigott’s compliance with restrictive covenants.</w:t>
      </w:r>
    </w:p>
    <w:p>
      <w:pPr>
        <w:ind w:left="1600" w:hanging="346"/>
        <w:spacing w:after="0" w:line="224" w:lineRule="auto"/>
        <w:tabs>
          <w:tab w:leader="none" w:pos="160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for Mr. Boyle reflects a cash severance payment consisting of the sum of (A) three times the sum of his annual base salary ($1,250,000) and target bonus for 2025</w:t>
      </w:r>
    </w:p>
    <w:p>
      <w:pPr>
        <w:ind w:left="1600" w:right="199"/>
        <w:spacing w:after="0" w:line="22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($1,662,500) and (B) annual bonus earned for 2025, pro-rated for the period of service during 2025, paid in a lump sum. The amounts reported for Messrs. Drazin, Golwas and Miller reflect a cash severance payment consisting of the sum of (A) two times each individual’s base salary ($810,000, $800,000, and $800,000, respectively) and target bonus for 2025 ($810,000, $800,000, and $800,000, respectively) and (B) annual bonus earned for 2025, pro-rated for the period of service during 2025, paid in a lump sum.</w:t>
      </w:r>
    </w:p>
    <w:p>
      <w:pPr>
        <w:ind w:left="1600" w:right="219" w:hanging="346"/>
        <w:spacing w:after="0" w:line="242" w:lineRule="auto"/>
        <w:tabs>
          <w:tab w:leader="none" w:pos="160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the cost of providing each Named Executive Officer with continued medical, dental and vision insurance under COBRA for a period of 24 months based on monthly COBRA rates in effect as of December 31, 2025.</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99" w:lineRule="exact"/>
        <w:rPr>
          <w:sz w:val="20"/>
          <w:szCs w:val="20"/>
          <w:color w:val="auto"/>
        </w:rPr>
      </w:pPr>
    </w:p>
    <w:p>
      <w:pPr>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 Messrs. Bluedorn, Galanti and Sweet, are currently entitled to compensation consisting of:</w:t>
      </w:r>
    </w:p>
    <w:p>
      <w:pPr>
        <w:spacing w:after="0" w:line="60" w:lineRule="exact"/>
        <w:rPr>
          <w:sz w:val="20"/>
          <w:szCs w:val="20"/>
          <w:color w:val="auto"/>
        </w:rPr>
      </w:pPr>
    </w:p>
    <w:p>
      <w:pPr>
        <w:ind w:left="2020" w:hanging="335"/>
        <w:spacing w:after="0"/>
        <w:tabs>
          <w:tab w:leader="none" w:pos="2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cash retainer of $125,000 per year;</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 cash retainers of $25,000 (Audit) and $20,000 (Compensation, Nominating and Governance, and Risk);</w:t>
      </w:r>
    </w:p>
    <w:p>
      <w:pPr>
        <w:spacing w:after="0" w:line="107" w:lineRule="exact"/>
        <w:rPr>
          <w:rFonts w:ascii="Times New Roman" w:cs="Times New Roman" w:eastAsia="Times New Roman" w:hAnsi="Times New Roman"/>
          <w:sz w:val="14"/>
          <w:szCs w:val="14"/>
          <w:color w:val="auto"/>
        </w:rPr>
      </w:pPr>
    </w:p>
    <w:p>
      <w:pPr>
        <w:ind w:left="2020" w:right="439" w:hanging="335"/>
        <w:spacing w:after="0" w:line="293" w:lineRule="auto"/>
        <w:tabs>
          <w:tab w:leader="none" w:pos="2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equity award of RSUs with a grant date fair value of $300,000, that cliff vest on March 27, 2027 (for Mr. Sweet) and March 30, 2027 (for Messrs. Bluedorn and Galanti); and</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2026, an annual equity award of RSUs with a grant date fair value of $200,000, vesting on the first anniversary of grant.</w:t>
      </w:r>
    </w:p>
    <w:p>
      <w:pPr>
        <w:spacing w:after="0" w:line="183" w:lineRule="exact"/>
        <w:rPr>
          <w:sz w:val="20"/>
          <w:szCs w:val="20"/>
          <w:color w:val="auto"/>
        </w:rPr>
      </w:pPr>
    </w:p>
    <w:p>
      <w:pPr>
        <w:ind w:left="1260" w:right="779" w:firstLine="351"/>
        <w:spacing w:after="0" w:line="293" w:lineRule="auto"/>
        <w:rPr>
          <w:sz w:val="20"/>
          <w:szCs w:val="20"/>
          <w:color w:val="auto"/>
        </w:rPr>
      </w:pPr>
      <w:r>
        <w:rPr>
          <w:rFonts w:ascii="Times New Roman" w:cs="Times New Roman" w:eastAsia="Times New Roman" w:hAnsi="Times New Roman"/>
          <w:sz w:val="14"/>
          <w:szCs w:val="14"/>
          <w:color w:val="auto"/>
        </w:rPr>
        <w:t>The form and amount of compensation for our non-employee directors was established based on recommendations from management’s compensation consultant, Korn Ferry, based on benchmarking against the peer group used for 2025 Named Executive Officer compensation.</w:t>
      </w:r>
    </w:p>
    <w:p>
      <w:pPr>
        <w:spacing w:after="0" w:line="123"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During 2025, James Abrams (our former Chief Operating Officer), Charles Mills (our former Chief Executive Officer), and Andrew Mills (our former President) served as members of our board of directors. They did not receive any compensation or benefits for their service in 2025. Mr. Abrams resigned as a member of the board of directors in connection with Medline Inc.’s initial public offering.</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92"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provides summary information concerning compensation paid or accrued by us to or on behalf of Messrs. Sweet, Galanti, and Bluedorn for services rendered to us as directors during the last fiscal year.</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Fees</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Pension Value</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110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and</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0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Earned</w:t>
            </w:r>
          </w:p>
        </w:tc>
        <w:tc>
          <w:tcPr>
            <w:tcW w:w="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100" w:type="dxa"/>
            <w:vAlign w:val="bottom"/>
            <w:gridSpan w:val="2"/>
            <w:vMerge w:val="continue"/>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Nonqualified</w:t>
            </w: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0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or Paid</w:t>
            </w:r>
          </w:p>
        </w:tc>
        <w:tc>
          <w:tcPr>
            <w:tcW w:w="900" w:type="dxa"/>
            <w:vAlign w:val="bottom"/>
            <w:gridSpan w:val="2"/>
            <w:vMerge w:val="continue"/>
          </w:tcPr>
          <w:p>
            <w:pPr>
              <w:spacing w:after="0"/>
              <w:rPr>
                <w:sz w:val="10"/>
                <w:szCs w:val="10"/>
                <w:color w:val="auto"/>
              </w:rPr>
            </w:pPr>
          </w:p>
        </w:tc>
        <w:tc>
          <w:tcPr>
            <w:tcW w:w="1100" w:type="dxa"/>
            <w:vAlign w:val="bottom"/>
            <w:gridSpan w:val="2"/>
          </w:tcPr>
          <w:p>
            <w:pPr>
              <w:jc w:val="right"/>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110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Deferred</w:t>
            </w:r>
          </w:p>
        </w:tc>
        <w:tc>
          <w:tcPr>
            <w:tcW w:w="1100" w:type="dxa"/>
            <w:vAlign w:val="bottom"/>
            <w:gridSpan w:val="2"/>
            <w:vMerge w:val="continue"/>
          </w:tcPr>
          <w:p>
            <w:pPr>
              <w:spacing w:after="0"/>
              <w:rPr>
                <w:sz w:val="10"/>
                <w:szCs w:val="10"/>
                <w:color w:val="auto"/>
              </w:rPr>
            </w:pPr>
          </w:p>
        </w:tc>
        <w:tc>
          <w:tcPr>
            <w:tcW w:w="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90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in Cash</w:t>
            </w:r>
          </w:p>
        </w:tc>
        <w:tc>
          <w:tcPr>
            <w:tcW w:w="90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Awards</w:t>
            </w:r>
          </w:p>
        </w:tc>
        <w:tc>
          <w:tcPr>
            <w:tcW w:w="1100" w:type="dxa"/>
            <w:vAlign w:val="bottom"/>
            <w:gridSpan w:val="2"/>
          </w:tcPr>
          <w:p>
            <w:pPr>
              <w:jc w:val="right"/>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10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10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120" w:type="dxa"/>
            <w:vAlign w:val="bottom"/>
            <w:gridSpan w:val="2"/>
            <w:vMerge w:val="continue"/>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spacing w:after="0"/>
              <w:rPr>
                <w:sz w:val="11"/>
                <w:szCs w:val="11"/>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spacing w:after="0"/>
              <w:rPr>
                <w:sz w:val="11"/>
                <w:szCs w:val="11"/>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spacing w:after="0"/>
              <w:rPr>
                <w:sz w:val="11"/>
                <w:szCs w:val="11"/>
                <w:color w:val="auto"/>
              </w:rPr>
            </w:pP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1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Thomas W. Sweet</w:t>
            </w:r>
          </w:p>
        </w:tc>
        <w:tc>
          <w:tcPr>
            <w:tcW w:w="5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150,000</w:t>
            </w: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w w:val="71"/>
              </w:rPr>
              <w:t>0</w:t>
            </w: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w w:val="71"/>
              </w:rPr>
              <w:t>0</w:t>
            </w: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150,000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Richard Galanti</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75,787</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3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375,787</w:t>
            </w:r>
          </w:p>
        </w:tc>
        <w:tc>
          <w:tcPr>
            <w:tcW w:w="0" w:type="dxa"/>
            <w:vAlign w:val="bottom"/>
          </w:tcPr>
          <w:p>
            <w:pPr>
              <w:spacing w:after="0"/>
              <w:rPr>
                <w:sz w:val="1"/>
                <w:szCs w:val="1"/>
                <w:color w:val="auto"/>
              </w:rPr>
            </w:pPr>
          </w:p>
        </w:tc>
      </w:tr>
      <w:tr>
        <w:trPr>
          <w:trHeight w:val="172"/>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Todd Bluedorn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0</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304,921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68580</wp:posOffset>
            </wp:positionV>
            <wp:extent cx="61468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13" w:lineRule="exact"/>
        <w:rPr>
          <w:sz w:val="20"/>
          <w:szCs w:val="20"/>
          <w:color w:val="auto"/>
        </w:rPr>
      </w:pPr>
    </w:p>
    <w:p>
      <w:pPr>
        <w:ind w:left="1600" w:right="239" w:hanging="346"/>
        <w:spacing w:after="0" w:line="233" w:lineRule="auto"/>
        <w:tabs>
          <w:tab w:leader="none" w:pos="160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represents the aggregate grant date fair value of (i) RSUs for Common Units of the Aggregator (which were converted into RSUs covering shares of Medline Inc. common stock in connection with Medline’s initial public offering) granted to Mr. Galanti on September 5, 2025 in connection with the commencement of his service and (ii) RSUs granted to Mr. Bluedorn on December 16, 2025 in connection with the commencement of his service. The grant date fair value was calculated in accordance with ASC Topic 718. As of December 31, 2025, all of the RSUs held by each of Mr. Sweet (12,413), Mr. Galanti (11,005), and Mr. Bluedorn (10,345) were unvested. Mr. Sweet was granted RSUs for Common Units in the Aggregator in connection with his commencement of services on September 27, 2024, which were converted into RSUs covering shares of Medline Inc. common stock in connection with Medline’s initial public offering.</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92"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 TRANSACTIONS</w:t>
      </w:r>
    </w:p>
    <w:p>
      <w:pPr>
        <w:spacing w:after="0" w:line="183" w:lineRule="exact"/>
        <w:rPr>
          <w:sz w:val="20"/>
          <w:szCs w:val="20"/>
          <w:color w:val="auto"/>
        </w:rPr>
      </w:pPr>
    </w:p>
    <w:p>
      <w:pPr>
        <w:ind w:left="1260" w:right="17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The agreements described in this section are filed as exhibits to the registration statement of which this prospectus forms a part, and the following descriptions are qualified by reference thereto.</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Director Nomination Agreements</w:t>
      </w:r>
    </w:p>
    <w:p>
      <w:pPr>
        <w:spacing w:after="0" w:line="99" w:lineRule="exact"/>
        <w:rPr>
          <w:sz w:val="20"/>
          <w:szCs w:val="20"/>
          <w:color w:val="auto"/>
        </w:rPr>
      </w:pPr>
    </w:p>
    <w:p>
      <w:pPr>
        <w:ind w:left="1260" w:right="139" w:firstLine="351"/>
        <w:spacing w:after="0" w:line="259" w:lineRule="auto"/>
        <w:rPr>
          <w:sz w:val="20"/>
          <w:szCs w:val="20"/>
          <w:color w:val="auto"/>
        </w:rPr>
      </w:pPr>
      <w:r>
        <w:rPr>
          <w:rFonts w:ascii="Times New Roman" w:cs="Times New Roman" w:eastAsia="Times New Roman" w:hAnsi="Times New Roman"/>
          <w:sz w:val="14"/>
          <w:szCs w:val="14"/>
          <w:color w:val="auto"/>
        </w:rPr>
        <w:t>In connection with the IPO Transactions, we entered into separate director nomination agreements with each Designating Stockholder that, among other things, permit such Designating Stockholder to designate an agreed number of individuals as directors (such directors, the “Designated Directors” and each, a “Designated Director”), for so long as such Designating Stockholder continues to beneficially own at least 5% of the outstanding shares of Class A common stock, assuming exchange of all Common Units. Each Designating Stockholder has the right to designate a number of directors to our board of directors (rounded up to the nearest whole number) equal to the product of (i) the number of directors on the board of directors of Medline Inc.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Notwithstanding the foregoing, Designated Directors designated by the Mills Family may not exceed 20% of our total number of directors. If the number of Designated Directors permitted to be designated by the Mills Family is reduced as a result of such 20% cap, it may designate non-voting observers in lieu thereof. Accordingly, the specific number of directors and/or non-voting observers that each Designating Stockholder is entitled to designate depends on such Designating Stockholder’s beneficial ownership as well as the size of our board of directors. Although a Designating Stockholder may be permitted to designate a certain number of individuals pursuant to the foregoing provisions, there is no requirement that such Designating Stockholder designate all (or any) such individuals. Medline Inc. was advised by the Designating Stockholders that, at the time of our IPO, Blackstone, Carlyle, H&amp;F, and the Mills Family each designated two directors. See “Management —Background and Experience of Directors” for information regarding which of the directors of Medline Inc. were designated by the relevant Designating Stockholder.</w:t>
      </w:r>
    </w:p>
    <w:p>
      <w:pPr>
        <w:spacing w:after="0" w:line="321" w:lineRule="exact"/>
        <w:rPr>
          <w:sz w:val="20"/>
          <w:szCs w:val="20"/>
          <w:color w:val="auto"/>
        </w:rPr>
      </w:pPr>
    </w:p>
    <w:p>
      <w:pPr>
        <w:jc w:val="both"/>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Each of our Designating Stockholders (other than the Mills Family) agreed,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35" w:lineRule="exact"/>
        <w:rPr>
          <w:sz w:val="20"/>
          <w:szCs w:val="20"/>
          <w:color w:val="auto"/>
        </w:rPr>
      </w:pPr>
    </w:p>
    <w:p>
      <w:pPr>
        <w:ind w:left="1260" w:right="819" w:firstLine="351"/>
        <w:spacing w:after="0" w:line="293" w:lineRule="auto"/>
        <w:rPr>
          <w:sz w:val="20"/>
          <w:szCs w:val="20"/>
          <w:color w:val="auto"/>
        </w:rPr>
      </w:pPr>
      <w:r>
        <w:rPr>
          <w:rFonts w:ascii="Times New Roman" w:cs="Times New Roman" w:eastAsia="Times New Roman" w:hAnsi="Times New Roman"/>
          <w:sz w:val="14"/>
          <w:szCs w:val="14"/>
          <w:color w:val="auto"/>
        </w:rPr>
        <w:t>For so long as the director nomination agreements remain in effect, Designated Directors may be removed only with the consent of the Designating Stockholder that designated such Designated Director.</w:t>
      </w:r>
    </w:p>
    <w:p>
      <w:pPr>
        <w:spacing w:after="0" w:line="123" w:lineRule="exact"/>
        <w:rPr>
          <w:sz w:val="20"/>
          <w:szCs w:val="20"/>
          <w:color w:val="auto"/>
        </w:rPr>
      </w:pPr>
    </w:p>
    <w:p>
      <w:pPr>
        <w:ind w:left="1260" w:right="259" w:firstLine="351"/>
        <w:spacing w:after="0" w:line="264" w:lineRule="auto"/>
        <w:rPr>
          <w:sz w:val="20"/>
          <w:szCs w:val="20"/>
          <w:color w:val="auto"/>
        </w:rPr>
      </w:pPr>
      <w:r>
        <w:rPr>
          <w:rFonts w:ascii="Times New Roman" w:cs="Times New Roman" w:eastAsia="Times New Roman" w:hAnsi="Times New Roman"/>
          <w:sz w:val="14"/>
          <w:szCs w:val="14"/>
          <w:color w:val="auto"/>
        </w:rPr>
        <w:t>In addition, the director nomination agreements, in certain circumstances, permit our Designating Stockholders and their affiliates to assign their rights and obligations under the agreements, in whole or in part.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the director nomination agreements provide our Designating Stockholders with information rights.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Information and Access Agreement</w:t>
      </w:r>
    </w:p>
    <w:p>
      <w:pPr>
        <w:spacing w:after="0" w:line="99" w:lineRule="exact"/>
        <w:rPr>
          <w:sz w:val="20"/>
          <w:szCs w:val="20"/>
          <w:color w:val="auto"/>
        </w:rPr>
      </w:pPr>
    </w:p>
    <w:p>
      <w:pPr>
        <w:ind w:left="1260" w:right="359" w:firstLine="351"/>
        <w:spacing w:after="0" w:line="275" w:lineRule="auto"/>
        <w:rPr>
          <w:sz w:val="20"/>
          <w:szCs w:val="20"/>
          <w:color w:val="auto"/>
        </w:rPr>
      </w:pPr>
      <w:r>
        <w:rPr>
          <w:rFonts w:ascii="Times New Roman" w:cs="Times New Roman" w:eastAsia="Times New Roman" w:hAnsi="Times New Roman"/>
          <w:sz w:val="14"/>
          <w:szCs w:val="14"/>
          <w:color w:val="auto"/>
        </w:rPr>
        <w:t>In connection with our IPO, we entered into an information and access agreement with Hux that, among other things, permits Hux to designate one non-voting observer to our board of directors for so long as Hux continues to beneficially own at least 5% of the outstanding shares of Class A common stock, assuming exchange of all Common Units. In addition, the information and access agreement, in certain circumstances,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92"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559"/>
        <w:spacing w:after="0" w:line="293" w:lineRule="auto"/>
        <w:rPr>
          <w:sz w:val="20"/>
          <w:szCs w:val="20"/>
          <w:color w:val="auto"/>
        </w:rPr>
      </w:pPr>
      <w:r>
        <w:rPr>
          <w:rFonts w:ascii="Times New Roman" w:cs="Times New Roman" w:eastAsia="Times New Roman" w:hAnsi="Times New Roman"/>
          <w:sz w:val="14"/>
          <w:szCs w:val="14"/>
          <w:color w:val="auto"/>
        </w:rPr>
        <w:t>permits Hux and its affiliates to assign their rights and obligations under the agreement, in whole or in part. Moreover, the information and access agreement provides Hux and its affiliates with information rights.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99" w:lineRule="exact"/>
        <w:rPr>
          <w:sz w:val="20"/>
          <w:szCs w:val="20"/>
          <w:color w:val="auto"/>
        </w:rPr>
      </w:pPr>
    </w:p>
    <w:p>
      <w:pPr>
        <w:ind w:left="1260" w:right="159" w:firstLine="351"/>
        <w:spacing w:after="0" w:line="260" w:lineRule="auto"/>
        <w:rPr>
          <w:sz w:val="20"/>
          <w:szCs w:val="20"/>
          <w:color w:val="auto"/>
        </w:rPr>
      </w:pPr>
      <w:r>
        <w:rPr>
          <w:rFonts w:ascii="Times New Roman" w:cs="Times New Roman" w:eastAsia="Times New Roman" w:hAnsi="Times New Roman"/>
          <w:sz w:val="14"/>
          <w:szCs w:val="14"/>
          <w:color w:val="auto"/>
        </w:rPr>
        <w:t>In connection with the Reorganization Transactions and IPO Transactions, we entered into an exchange agreement (the “Exchange Agreement”) with the Continuing Unitholders pursuant to which each holder of Common Units (including 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upon such exchanges during a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99"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In connection with the IPO Transactions, we entered into a registration rights agreement with our Principal Stockholders and our Other Pre-IPO Investors, which provides for customary “demand” registrations and “piggyback” registration rights. The registration rights agreement also provides that we will pay certain expenses relating to such registrations and indemnify the registration rights holders against (or make contributions in respect of) certain liabilities which may arise under the Securities Act.</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9" w:lineRule="exact"/>
        <w:rPr>
          <w:sz w:val="20"/>
          <w:szCs w:val="20"/>
          <w:color w:val="auto"/>
        </w:rPr>
      </w:pPr>
    </w:p>
    <w:p>
      <w:pPr>
        <w:ind w:left="1260" w:right="139" w:firstLine="351"/>
        <w:spacing w:after="0" w:line="259" w:lineRule="auto"/>
        <w:rPr>
          <w:sz w:val="20"/>
          <w:szCs w:val="20"/>
          <w:color w:val="auto"/>
        </w:rPr>
      </w:pPr>
      <w:r>
        <w:rPr>
          <w:rFonts w:ascii="Times New Roman" w:cs="Times New Roman" w:eastAsia="Times New Roman" w:hAnsi="Times New Roman"/>
          <w:sz w:val="14"/>
          <w:szCs w:val="14"/>
          <w:color w:val="auto"/>
        </w:rPr>
        <w:t>In connection with the Reorganization Transactions,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92"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spacing w:after="0" w:line="258" w:lineRule="auto"/>
        <w:rPr>
          <w:sz w:val="20"/>
          <w:szCs w:val="20"/>
          <w:color w:val="auto"/>
        </w:rPr>
      </w:pPr>
      <w:r>
        <w:rPr>
          <w:rFonts w:ascii="Times New Roman" w:cs="Times New Roman" w:eastAsia="Times New Roman" w:hAnsi="Times New Roman"/>
          <w:sz w:val="14"/>
          <w:szCs w:val="14"/>
          <w:color w:val="auto"/>
        </w:rPr>
        <w:t>share of existing tax basis acquired in the IPO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w:t>
      </w:r>
    </w:p>
    <w:p>
      <w:pPr>
        <w:spacing w:after="0" w:line="249" w:lineRule="exact"/>
        <w:rPr>
          <w:sz w:val="20"/>
          <w:szCs w:val="20"/>
          <w:color w:val="auto"/>
        </w:rPr>
      </w:pPr>
    </w:p>
    <w:p>
      <w:pPr>
        <w:ind w:left="2020" w:right="159" w:hanging="335"/>
        <w:spacing w:after="0" w:line="266" w:lineRule="auto"/>
        <w:tabs>
          <w:tab w:leader="none" w:pos="2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timing of purchases or exchanges</w:t>
      </w:r>
      <w:r>
        <w:rPr>
          <w:rFonts w:ascii="Times New Roman" w:cs="Times New Roman" w:eastAsia="Times New Roman" w:hAnsi="Times New Roman"/>
          <w:sz w:val="14"/>
          <w:szCs w:val="14"/>
          <w:color w:val="auto"/>
        </w:rPr>
        <w:t>—for instance, the increase in any tax deductions will vary depending on the fair market value,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fluctuate over time, of the depreciable or amortizable assets of Medline Holdings at the time of each purchase or exchange. In addition, the increase in Medline Inc.’s allocable share of existing tax basis acquired upon the future exchange of Common Units (including Common Units issued upon conversion of vested Incentive Units) for shares of Class A common stock will vary depending on the amount of remaining existing tax basis at the time of such purchase or exchange;</w:t>
      </w:r>
    </w:p>
    <w:p>
      <w:pPr>
        <w:spacing w:after="0" w:line="65" w:lineRule="exact"/>
        <w:rPr>
          <w:rFonts w:ascii="Times New Roman" w:cs="Times New Roman" w:eastAsia="Times New Roman" w:hAnsi="Times New Roman"/>
          <w:sz w:val="14"/>
          <w:szCs w:val="14"/>
          <w:color w:val="auto"/>
        </w:rPr>
      </w:pPr>
    </w:p>
    <w:p>
      <w:pPr>
        <w:ind w:left="2020" w:right="159" w:hanging="335"/>
        <w:spacing w:after="0" w:line="276" w:lineRule="auto"/>
        <w:tabs>
          <w:tab w:leader="none" w:pos="2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price of shares of Class A common stock at the time of the purchase or exchange</w:t>
      </w:r>
      <w:r>
        <w:rPr>
          <w:rFonts w:ascii="Times New Roman" w:cs="Times New Roman" w:eastAsia="Times New Roman" w:hAnsi="Times New Roman"/>
          <w:sz w:val="14"/>
          <w:szCs w:val="14"/>
          <w:color w:val="auto"/>
        </w:rPr>
        <w:t>—the increase in any tax deductions, as well as the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basis increase in other assets, of Medline Holdings, is directly proportional to the price of shares of Class A common stock at the time of the purchase or exchange;</w:t>
      </w:r>
    </w:p>
    <w:p>
      <w:pPr>
        <w:spacing w:after="0" w:line="57" w:lineRule="exact"/>
        <w:rPr>
          <w:rFonts w:ascii="Times New Roman" w:cs="Times New Roman" w:eastAsia="Times New Roman" w:hAnsi="Times New Roman"/>
          <w:sz w:val="14"/>
          <w:szCs w:val="14"/>
          <w:color w:val="auto"/>
        </w:rPr>
      </w:pPr>
    </w:p>
    <w:p>
      <w:pPr>
        <w:ind w:left="2020" w:right="359" w:hanging="335"/>
        <w:spacing w:after="0" w:line="296" w:lineRule="auto"/>
        <w:tabs>
          <w:tab w:leader="none" w:pos="2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extent to which such purchases or exchanges do not result in a basis adjustment</w:t>
      </w:r>
      <w:r>
        <w:rPr>
          <w:rFonts w:ascii="Times New Roman" w:cs="Times New Roman" w:eastAsia="Times New Roman" w:hAnsi="Times New Roman"/>
          <w:sz w:val="14"/>
          <w:szCs w:val="14"/>
          <w:color w:val="auto"/>
        </w:rPr>
        <w:t>—if a purchase or an exchange does not result in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to existing basis, increased deductions will not be available;</w:t>
      </w:r>
    </w:p>
    <w:p>
      <w:pPr>
        <w:spacing w:after="0" w:line="44" w:lineRule="exact"/>
        <w:rPr>
          <w:rFonts w:ascii="Times New Roman" w:cs="Times New Roman" w:eastAsia="Times New Roman" w:hAnsi="Times New Roman"/>
          <w:sz w:val="14"/>
          <w:szCs w:val="14"/>
          <w:color w:val="auto"/>
        </w:rPr>
      </w:pPr>
    </w:p>
    <w:p>
      <w:pPr>
        <w:ind w:left="2020" w:right="339" w:hanging="335"/>
        <w:spacing w:after="0" w:line="296" w:lineRule="auto"/>
        <w:tabs>
          <w:tab w:leader="none" w:pos="2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of tax attributes</w:t>
      </w:r>
      <w:r>
        <w:rPr>
          <w:rFonts w:ascii="Times New Roman" w:cs="Times New Roman" w:eastAsia="Times New Roman" w:hAnsi="Times New Roman"/>
          <w:sz w:val="14"/>
          <w:szCs w:val="14"/>
          <w:color w:val="auto"/>
        </w:rPr>
        <w:t>—the amount of applicable tax attributes of the Blocker Companies at the time of the Blocker Transfers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impact the amount and timing of payments under the tax receivable agreement;</w:t>
      </w:r>
    </w:p>
    <w:p>
      <w:pPr>
        <w:spacing w:after="0" w:line="44" w:lineRule="exact"/>
        <w:rPr>
          <w:rFonts w:ascii="Times New Roman" w:cs="Times New Roman" w:eastAsia="Times New Roman" w:hAnsi="Times New Roman"/>
          <w:sz w:val="14"/>
          <w:szCs w:val="14"/>
          <w:color w:val="auto"/>
        </w:rPr>
      </w:pPr>
    </w:p>
    <w:p>
      <w:pPr>
        <w:ind w:left="2020" w:right="199" w:hanging="335"/>
        <w:spacing w:after="0" w:line="269" w:lineRule="auto"/>
        <w:tabs>
          <w:tab w:leader="none" w:pos="2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changes in tax rates</w:t>
      </w:r>
      <w:r>
        <w:rPr>
          <w:rFonts w:ascii="Times New Roman" w:cs="Times New Roman" w:eastAsia="Times New Roman" w:hAnsi="Times New Roman"/>
          <w:sz w:val="14"/>
          <w:szCs w:val="14"/>
          <w:color w:val="auto"/>
        </w:rPr>
        <w:t>—payments under the tax receivable agreement will be calculated using the actual U.S. federal income tax rate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 for 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92"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2020" w:right="139" w:hanging="335"/>
        <w:spacing w:after="0" w:line="263" w:lineRule="auto"/>
        <w:tabs>
          <w:tab w:leader="none" w:pos="2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and timing of our income</w:t>
      </w:r>
      <w:r>
        <w:rPr>
          <w:rFonts w:ascii="Times New Roman" w:cs="Times New Roman" w:eastAsia="Times New Roman" w:hAnsi="Times New Roman"/>
          <w:sz w:val="14"/>
          <w:szCs w:val="14"/>
          <w:color w:val="auto"/>
        </w:rPr>
        <w:t>—Medline Inc. is obligated to pay 90% of the cash tax benefits under the tax receivable agreement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when realized. If Medline Inc. does not have taxable income, Medline Inc. is generally not required (absent the event of certain changes of control, certain material breaches of the tax receivable agreement by Medline Inc., or an insolvency event)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44" w:lineRule="exact"/>
        <w:rPr>
          <w:sz w:val="20"/>
          <w:szCs w:val="20"/>
          <w:color w:val="auto"/>
        </w:rPr>
      </w:pPr>
    </w:p>
    <w:p>
      <w:pPr>
        <w:ind w:left="1260" w:right="139" w:firstLine="351"/>
        <w:spacing w:after="0" w:line="262" w:lineRule="auto"/>
        <w:rPr>
          <w:sz w:val="20"/>
          <w:szCs w:val="20"/>
          <w:color w:val="auto"/>
        </w:rPr>
      </w:pPr>
      <w:r>
        <w:rPr>
          <w:rFonts w:ascii="Times New Roman" w:cs="Times New Roman" w:eastAsia="Times New Roman" w:hAnsi="Times New Roman"/>
          <w:sz w:val="14"/>
          <w:szCs w:val="14"/>
          <w:color w:val="auto"/>
        </w:rPr>
        <w:t>We expect that as a result of the size of Medline Inc.’s allocable share of existing tax basis acquired in the IPO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the IPO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500 basis points. The payments under the tax receivable agreement are not conditioned upon continued ownership of us by the pre-IPO owners.</w:t>
      </w:r>
    </w:p>
    <w:p>
      <w:pPr>
        <w:spacing w:after="0" w:line="147" w:lineRule="exact"/>
        <w:rPr>
          <w:sz w:val="20"/>
          <w:szCs w:val="20"/>
          <w:color w:val="auto"/>
        </w:rPr>
      </w:pPr>
    </w:p>
    <w:p>
      <w:pPr>
        <w:ind w:left="1260" w:right="119" w:firstLine="351"/>
        <w:spacing w:after="0" w:line="262" w:lineRule="auto"/>
        <w:rPr>
          <w:sz w:val="20"/>
          <w:szCs w:val="20"/>
          <w:color w:val="auto"/>
        </w:rPr>
      </w:pPr>
      <w:r>
        <w:rPr>
          <w:rFonts w:ascii="Times New Roman" w:cs="Times New Roman" w:eastAsia="Times New Roman" w:hAnsi="Times New Roman"/>
          <w:sz w:val="14"/>
          <w:szCs w:val="14"/>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p>
    <w:p>
      <w:pPr>
        <w:spacing w:after="0" w:line="147" w:lineRule="exact"/>
        <w:rPr>
          <w:sz w:val="20"/>
          <w:szCs w:val="20"/>
          <w:color w:val="auto"/>
        </w:rPr>
      </w:pPr>
    </w:p>
    <w:p>
      <w:pPr>
        <w:jc w:val="both"/>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p>
    <w:p>
      <w:pPr>
        <w:spacing w:after="0" w:line="142" w:lineRule="exact"/>
        <w:rPr>
          <w:sz w:val="20"/>
          <w:szCs w:val="20"/>
          <w:color w:val="auto"/>
        </w:rPr>
      </w:pPr>
    </w:p>
    <w:p>
      <w:pPr>
        <w:ind w:left="1260" w:right="179" w:firstLine="351"/>
        <w:spacing w:after="0" w:line="264" w:lineRule="auto"/>
        <w:rPr>
          <w:sz w:val="20"/>
          <w:szCs w:val="20"/>
          <w:color w:val="auto"/>
        </w:rPr>
      </w:pPr>
      <w:r>
        <w:rPr>
          <w:rFonts w:ascii="Times New Roman" w:cs="Times New Roman" w:eastAsia="Times New Roman" w:hAnsi="Times New Roman"/>
          <w:sz w:val="14"/>
          <w:szCs w:val="14"/>
          <w:color w:val="auto"/>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p>
    <w:p>
      <w:pPr>
        <w:spacing w:after="0" w:line="143" w:lineRule="exact"/>
        <w:rPr>
          <w:sz w:val="20"/>
          <w:szCs w:val="20"/>
          <w:color w:val="auto"/>
        </w:rPr>
      </w:pPr>
    </w:p>
    <w:p>
      <w:pPr>
        <w:ind w:left="1260" w:right="119" w:firstLine="351"/>
        <w:spacing w:after="0" w:line="265" w:lineRule="auto"/>
        <w:rPr>
          <w:sz w:val="20"/>
          <w:szCs w:val="20"/>
          <w:color w:val="auto"/>
        </w:rPr>
      </w:pPr>
      <w:r>
        <w:rPr>
          <w:rFonts w:ascii="Times New Roman" w:cs="Times New Roman" w:eastAsia="Times New Roman" w:hAnsi="Times New Roman"/>
          <w:sz w:val="14"/>
          <w:szCs w:val="14"/>
          <w:color w:val="auto"/>
        </w:rPr>
        <w:t>Decisions made by our pre-IPO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92"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59" w:firstLine="351"/>
        <w:spacing w:after="0" w:line="264" w:lineRule="auto"/>
        <w:rPr>
          <w:sz w:val="20"/>
          <w:szCs w:val="20"/>
          <w:color w:val="auto"/>
        </w:rPr>
      </w:pPr>
      <w:r>
        <w:rPr>
          <w:rFonts w:ascii="Times New Roman" w:cs="Times New Roman" w:eastAsia="Times New Roman" w:hAnsi="Times New Roman"/>
          <w:sz w:val="14"/>
          <w:szCs w:val="14"/>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the IPO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Medline Holdings Amended and Restated Limited Partnership Agreement</w:t>
      </w:r>
    </w:p>
    <w:p>
      <w:pPr>
        <w:spacing w:after="0" w:line="99"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As a result of the Reorganization Transactions and IPO Transactions, Medline Inc. directly or indirectly holds Common Units in Medline Holdings and is the sole general partner of Medline Holdings. Accordingly, Medline Inc. operates and controls all of the business and affairs of Medline Holdings, and, through Medline Holdings and its operating entity subsidiaries, conducts our business.</w:t>
      </w:r>
    </w:p>
    <w:p>
      <w:pPr>
        <w:spacing w:after="0" w:line="135" w:lineRule="exact"/>
        <w:rPr>
          <w:sz w:val="20"/>
          <w:szCs w:val="20"/>
          <w:color w:val="auto"/>
        </w:rPr>
      </w:pPr>
    </w:p>
    <w:p>
      <w:pPr>
        <w:ind w:left="1260" w:right="159" w:firstLine="351"/>
        <w:spacing w:after="0" w:line="261" w:lineRule="auto"/>
        <w:rPr>
          <w:sz w:val="20"/>
          <w:szCs w:val="20"/>
          <w:color w:val="auto"/>
        </w:rPr>
      </w:pPr>
      <w:r>
        <w:rPr>
          <w:rFonts w:ascii="Times New Roman" w:cs="Times New Roman" w:eastAsia="Times New Roman" w:hAnsi="Times New Roman"/>
          <w:sz w:val="14"/>
          <w:szCs w:val="14"/>
          <w:color w:val="auto"/>
        </w:rPr>
        <w:t>Pursuant to the amended and restated limited partnership agreement of Medline Holdings,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49" w:lineRule="exact"/>
        <w:rPr>
          <w:sz w:val="20"/>
          <w:szCs w:val="20"/>
          <w:color w:val="auto"/>
        </w:rPr>
      </w:pPr>
    </w:p>
    <w:p>
      <w:pPr>
        <w:ind w:left="1260" w:right="199" w:firstLine="351"/>
        <w:spacing w:after="0" w:line="261" w:lineRule="auto"/>
        <w:rPr>
          <w:sz w:val="20"/>
          <w:szCs w:val="20"/>
          <w:color w:val="auto"/>
        </w:rPr>
      </w:pPr>
      <w:r>
        <w:rPr>
          <w:rFonts w:ascii="Times New Roman" w:cs="Times New Roman" w:eastAsia="Times New Roman" w:hAnsi="Times New Roman"/>
          <w:sz w:val="14"/>
          <w:szCs w:val="14"/>
          <w:color w:val="auto"/>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provides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w:t>
      </w:r>
    </w:p>
    <w:p>
      <w:pPr>
        <w:spacing w:after="0" w:line="149" w:lineRule="exact"/>
        <w:rPr>
          <w:sz w:val="20"/>
          <w:szCs w:val="20"/>
          <w:color w:val="auto"/>
        </w:rPr>
      </w:pPr>
    </w:p>
    <w:p>
      <w:pPr>
        <w:ind w:left="1260" w:right="159" w:firstLine="351"/>
        <w:spacing w:after="0" w:line="261"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generally are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149" w:lineRule="exact"/>
        <w:rPr>
          <w:sz w:val="20"/>
          <w:szCs w:val="20"/>
          <w:color w:val="auto"/>
        </w:rPr>
      </w:pPr>
    </w:p>
    <w:p>
      <w:pPr>
        <w:ind w:left="1260" w:right="679" w:firstLine="351"/>
        <w:spacing w:after="0" w:line="293" w:lineRule="auto"/>
        <w:rPr>
          <w:sz w:val="20"/>
          <w:szCs w:val="20"/>
          <w:color w:val="auto"/>
        </w:rPr>
      </w:pPr>
      <w:r>
        <w:rPr>
          <w:rFonts w:ascii="Times New Roman" w:cs="Times New Roman" w:eastAsia="Times New Roman" w:hAnsi="Times New Roman"/>
          <w:sz w:val="14"/>
          <w:szCs w:val="14"/>
          <w:color w:val="auto"/>
        </w:rPr>
        <w:t>The amended and restated limited partnership agreement of Medline Holdings also provides that substantially all expenses incurred by or attributable to Medline Inc. (such as expenses incurred in connection</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92"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479"/>
        <w:spacing w:after="0" w:line="293" w:lineRule="auto"/>
        <w:rPr>
          <w:sz w:val="20"/>
          <w:szCs w:val="20"/>
          <w:color w:val="auto"/>
        </w:rPr>
      </w:pPr>
      <w:r>
        <w:rPr>
          <w:rFonts w:ascii="Times New Roman" w:cs="Times New Roman" w:eastAsia="Times New Roman" w:hAnsi="Times New Roman"/>
          <w:sz w:val="14"/>
          <w:szCs w:val="14"/>
          <w:color w:val="auto"/>
        </w:rPr>
        <w:t>with the IPO), but not including obligations incurred under the tax receivable agreement by Medline Inc., income tax expenses of Medline Inc. and payments on indebtedness incurred by Medline Inc., will be borne by Medline Holdings.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Services Agreements</w:t>
      </w:r>
    </w:p>
    <w:p>
      <w:pPr>
        <w:spacing w:after="0" w:line="99" w:lineRule="exact"/>
        <w:rPr>
          <w:sz w:val="20"/>
          <w:szCs w:val="20"/>
          <w:color w:val="auto"/>
        </w:rPr>
      </w:pPr>
    </w:p>
    <w:p>
      <w:pPr>
        <w:ind w:left="1260" w:right="219" w:firstLine="351"/>
        <w:spacing w:after="0" w:line="261" w:lineRule="auto"/>
        <w:rPr>
          <w:sz w:val="20"/>
          <w:szCs w:val="20"/>
          <w:color w:val="auto"/>
        </w:rPr>
      </w:pPr>
      <w:r>
        <w:rPr>
          <w:rFonts w:ascii="Times New Roman" w:cs="Times New Roman" w:eastAsia="Times New Roman" w:hAnsi="Times New Roman"/>
          <w:sz w:val="14"/>
          <w:szCs w:val="14"/>
          <w:color w:val="auto"/>
        </w:rPr>
        <w:t>In connection with the Sponsor Acquisition, Medline Holdings entered into services agreements (the “Services Agreements”) with each of Blackstone Management Partners L.L.C. and Blackstone Capital Partners 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49" w:lineRule="exact"/>
        <w:rPr>
          <w:sz w:val="20"/>
          <w:szCs w:val="20"/>
          <w:color w:val="auto"/>
        </w:rPr>
      </w:pPr>
    </w:p>
    <w:p>
      <w:pPr>
        <w:ind w:left="1260" w:right="119" w:firstLine="351"/>
        <w:spacing w:after="0" w:line="265" w:lineRule="auto"/>
        <w:rPr>
          <w:sz w:val="20"/>
          <w:szCs w:val="20"/>
          <w:color w:val="auto"/>
        </w:rPr>
      </w:pPr>
      <w:r>
        <w:rPr>
          <w:rFonts w:ascii="Times New Roman" w:cs="Times New Roman" w:eastAsia="Times New Roman" w:hAnsi="Times New Roman"/>
          <w:sz w:val="14"/>
          <w:szCs w:val="14"/>
          <w:color w:val="auto"/>
        </w:rPr>
        <w:t>We made payments pursuant to the Services Agreements to BX Management totaling $360 thousand, $711 thousand, and $887 thousand in the years ended December 31, 2023, 2024, and 2025, respectively. We made payments pursuant to the Services Agreements to Carlyle Management totaling $244 thousand and $60 thousand in the years ended December 31, 2023 and 2025, respectively. We made payments pursuant to the Services Agreements to H&amp;F Management totaling $120 thousand and $555 thousand in the years ended December 31, 2024 and 2025, respectively. We have not made any payments to Mills Family Holdco pursuant to the Services Agreements.</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Other Transactions</w:t>
      </w:r>
    </w:p>
    <w:p>
      <w:pPr>
        <w:spacing w:after="0" w:line="99" w:lineRule="exact"/>
        <w:rPr>
          <w:sz w:val="20"/>
          <w:szCs w:val="20"/>
          <w:color w:val="auto"/>
        </w:rPr>
      </w:pPr>
    </w:p>
    <w:p>
      <w:pPr>
        <w:ind w:left="1260" w:right="179" w:firstLine="351"/>
        <w:spacing w:after="0" w:line="263" w:lineRule="auto"/>
        <w:rPr>
          <w:sz w:val="20"/>
          <w:szCs w:val="20"/>
          <w:color w:val="auto"/>
        </w:rPr>
      </w:pPr>
      <w:r>
        <w:rPr>
          <w:rFonts w:ascii="Times New Roman" w:cs="Times New Roman" w:eastAsia="Times New Roman" w:hAnsi="Times New Roman"/>
          <w:sz w:val="14"/>
          <w:szCs w:val="14"/>
          <w:color w:val="auto"/>
        </w:rPr>
        <w:t>In February 2023, Andrew Mills, a member of our board of directors, received an allocation of term loans under our Senior Secured Credit Facilities (as defined herein), of which $17.8 million and $17.6 million principal remained outstanding as of December 31, 2024 and 2025, respectively. Borrowings under the Senior Secured Credit Facilities bear interest at a floating rate as further described in “Description of Certain Indebtedness— Senior Secured Credit Facilities—Interest rate and fees.” For the years ended December 31, 2023, 2024, and 2025, the Company paid Mr. Mills $0.2 million, $1.9 million, and $0.2 million in principal and $1.6 million, $1.6 million, and $1.5 million in interest, respectively, under the Senior Secured Credit Facilities. For additional details on the terms of the Senior Secured Credit Facilities, see “Description of Certain Indebtedness—Senior Secured Credit Facilities.”</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Underwriting of IPO</w:t>
      </w:r>
    </w:p>
    <w:p>
      <w:pPr>
        <w:spacing w:after="0" w:line="99"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Blackstone Securities Partners L.P., an affiliate of Blackstone, and TCG Capital Markets L.L.C., an affiliate of Carlyle, underwrote 4,553,194 and 4,553,194 shares, respectively, of the 248,439,654 shares of Class A common stock offered to the market in the IPO, with underwriting discounts and commissions of $0.63173 per share paid by us.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Statement of Policy Regarding Transactions with Related Persons</w:t>
      </w:r>
    </w:p>
    <w:p>
      <w:pPr>
        <w:spacing w:after="0" w:line="99"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Our board of directors has adopted a written policy regarding transactions with related persons, which we refer to as our “related party transactions policy.” Our related party transactions policy requires that a “related person” (as defined in paragraph (a) of Item 404 of Regulation S-K) must promptly disclose to our Chief Legal Officer any “related person transaction” (defined as any transaction that is anticipated would be reportable by us under Item 404(a) of Regulation S-K in which we were or are to be a participant and the amount involved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92"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259"/>
        <w:spacing w:after="0" w:line="268" w:lineRule="auto"/>
        <w:rPr>
          <w:sz w:val="20"/>
          <w:szCs w:val="20"/>
          <w:color w:val="auto"/>
        </w:rPr>
      </w:pPr>
      <w:r>
        <w:rPr>
          <w:rFonts w:ascii="Times New Roman" w:cs="Times New Roman" w:eastAsia="Times New Roman" w:hAnsi="Times New Roman"/>
          <w:sz w:val="14"/>
          <w:szCs w:val="14"/>
          <w:color w:val="auto"/>
        </w:rPr>
        <w:t>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our IPO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p>
      <w:pPr>
        <w:spacing w:after="0" w:line="99" w:lineRule="exact"/>
        <w:rPr>
          <w:sz w:val="20"/>
          <w:szCs w:val="20"/>
          <w:color w:val="auto"/>
        </w:rPr>
      </w:pPr>
    </w:p>
    <w:p>
      <w:pPr>
        <w:ind w:left="1260" w:right="219" w:firstLine="351"/>
        <w:spacing w:after="0" w:line="261" w:lineRule="auto"/>
        <w:rPr>
          <w:sz w:val="20"/>
          <w:szCs w:val="20"/>
          <w:color w:val="auto"/>
        </w:rPr>
      </w:pPr>
      <w:r>
        <w:rPr>
          <w:rFonts w:ascii="Times New Roman" w:cs="Times New Roman" w:eastAsia="Times New Roman" w:hAnsi="Times New Roman"/>
          <w:sz w:val="14"/>
          <w:szCs w:val="14"/>
          <w:color w:val="auto"/>
        </w:rPr>
        <w:t>We have entered into an indemnification agreement with each of our directors and executive officers. The indemnification agreements, together with our amended and restated bylaws, provide that we will indemnify our directors and officers to the fullest extent permitted by the DGCL, subject to limited exceptions. The indemnification agreements, together with our amended and restated bylaws,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Family and Other Relationships</w:t>
      </w:r>
    </w:p>
    <w:p>
      <w:pPr>
        <w:spacing w:after="0" w:line="99" w:lineRule="exact"/>
        <w:rPr>
          <w:sz w:val="20"/>
          <w:szCs w:val="20"/>
          <w:color w:val="auto"/>
        </w:rPr>
      </w:pPr>
    </w:p>
    <w:p>
      <w:pPr>
        <w:ind w:left="1260" w:right="199" w:firstLine="351"/>
        <w:spacing w:after="0" w:line="293" w:lineRule="auto"/>
        <w:rPr>
          <w:sz w:val="20"/>
          <w:szCs w:val="20"/>
          <w:color w:val="auto"/>
        </w:rPr>
      </w:pPr>
      <w:r>
        <w:rPr>
          <w:rFonts w:ascii="Times New Roman" w:cs="Times New Roman" w:eastAsia="Times New Roman" w:hAnsi="Times New Roman"/>
          <w:sz w:val="14"/>
          <w:szCs w:val="14"/>
          <w:color w:val="auto"/>
        </w:rPr>
        <w:t>Charles Mills, a member of our board of directors, served as our Chief Executive Officer from 1997 to October 2023 and is the cousin of Andrew Mills. During fiscal 2023, Mr. Mills received total compensation of $1,137,984, including salary, bonus, and 401(k) contributions.</w:t>
      </w:r>
    </w:p>
    <w:p>
      <w:pPr>
        <w:spacing w:after="0" w:line="123" w:lineRule="exact"/>
        <w:rPr>
          <w:sz w:val="20"/>
          <w:szCs w:val="20"/>
          <w:color w:val="auto"/>
        </w:rPr>
      </w:pPr>
    </w:p>
    <w:p>
      <w:pPr>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Andrew Mills, a member of our board of directors, served as our President from 1997 to October 2023 and is the cousin of Charles Mills and the brother-in-law of James Abrams (our former Chief Operating Officer and director). During fiscal 2023, Mr. Mills received total compensation of $394,036, including salary, bonus, and 401(k) contributions.</w:t>
      </w:r>
    </w:p>
    <w:p>
      <w:pPr>
        <w:spacing w:after="0" w:line="135" w:lineRule="exact"/>
        <w:rPr>
          <w:sz w:val="20"/>
          <w:szCs w:val="20"/>
          <w:color w:val="auto"/>
        </w:rPr>
      </w:pPr>
    </w:p>
    <w:p>
      <w:pPr>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James Abrams served as a member of our board of directors from 2010 to 2025 and as our Chief Operating Officer from 1997 to October 2023 and is the brother of William J. Abrams, son of Robert Abrams and the brother-in-law of Andrew Mills. During fiscal 2023, Mr. Abrams received total compensation of $487,717, including salary, bonus, and 401(k) contributions.</w:t>
      </w:r>
    </w:p>
    <w:p>
      <w:pPr>
        <w:spacing w:after="0" w:line="13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William J. Abrams is the brother of James Abrams. Mr. Abrams joined Medline in 2009 and has served as our Executive Vice President, Supply</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Chain Solutions since 2023. During fiscal 2023, fiscal 2024, and fiscal 2025, Mr. Abrams received total compensation of $1,377,619, $1,913,951, and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$1,687,051, respectively, including salary, bonus, equity awards, long term incentives, and 401(k) contributions. Mr. Abrams previously held units in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Company’s Managing Partner Program (the “MPU Program”). The MPU Program was a cash-based incentive plan designed to replicate the economics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of owning Company common stock. The Managing Partner Units (“MPUs”) issued pursuant to the MPU Program entitled the MPU Unit holders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opportunity to earn both (i) a share of the Company’s “Adjusted Earnings before Taxes” (the Company’s audited consolidated earnings before taxes as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determined in accordance with GAAP, as adjusted for certain items) (“Profit Sharing Distributions”) and (ii) special payments tied to certain liquidity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events. In addition to regular Profit Sharing Distributions, executives who held MPUs and remained employed until a liquidity event were eligible to</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receive the “Liquidity Event MPU Amount,” which is an amount per MPU equal to the price per share of Company common stock paid to holders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thereof in connection with the liquidity event, less the book value per share of the Company at the time of the liquidity event. The Sponsor Acquisition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qualified as a liquidity event under the MPU Program and entitled MPU Unit holders, including Mr. Abrams, to the Liquidity Event MPU Amount to be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paid</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92"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59"/>
        <w:spacing w:after="0" w:line="265" w:lineRule="auto"/>
        <w:rPr>
          <w:sz w:val="20"/>
          <w:szCs w:val="20"/>
          <w:color w:val="auto"/>
        </w:rPr>
      </w:pPr>
      <w:r>
        <w:rPr>
          <w:rFonts w:ascii="Times New Roman" w:cs="Times New Roman" w:eastAsia="Times New Roman" w:hAnsi="Times New Roman"/>
          <w:sz w:val="14"/>
          <w:szCs w:val="14"/>
          <w:color w:val="auto"/>
        </w:rPr>
        <w:t>in equal one-third installments, with the first installment paid on the date of the Sponsor Acquisition and the remaining installments on the first and second anniversary of the Sponsor Acquisition, subject to the executive’s compliance with certain restrictive covenants and, with respect to 50% of such distributions, the executive’s continued employment on the distribution dates. The Company’s obligations under the MPU Program were satisfied as of October 21, 2023, and no further grants or distributions under the MPU Program will be made in the future. In fiscal 2023, Mr. Abrams received distributions on his MPU Units of $11,938,474.</w:t>
      </w:r>
    </w:p>
    <w:p>
      <w:pPr>
        <w:spacing w:after="0" w:line="144" w:lineRule="exact"/>
        <w:rPr>
          <w:sz w:val="20"/>
          <w:szCs w:val="20"/>
          <w:color w:val="auto"/>
        </w:rPr>
      </w:pPr>
    </w:p>
    <w:p>
      <w:pPr>
        <w:ind w:left="1260" w:right="359" w:firstLine="351"/>
        <w:spacing w:after="0" w:line="275" w:lineRule="auto"/>
        <w:rPr>
          <w:sz w:val="20"/>
          <w:szCs w:val="20"/>
          <w:color w:val="auto"/>
        </w:rPr>
      </w:pPr>
      <w:r>
        <w:rPr>
          <w:rFonts w:ascii="Times New Roman" w:cs="Times New Roman" w:eastAsia="Times New Roman" w:hAnsi="Times New Roman"/>
          <w:sz w:val="14"/>
          <w:szCs w:val="14"/>
          <w:color w:val="auto"/>
        </w:rPr>
        <w:t>Justin Mills is the son of Andrew Mills. Mr. Mills is currently employed by the Company as a sales representative in Acute Care. During fiscal 2024 and fiscal 2025, Mr. Mills received total compensation of $222,784 and $129,487, respectively, including base salary, commission, and other benefits.</w:t>
      </w:r>
    </w:p>
    <w:p>
      <w:pPr>
        <w:spacing w:after="0" w:line="135" w:lineRule="exact"/>
        <w:rPr>
          <w:sz w:val="20"/>
          <w:szCs w:val="20"/>
          <w:color w:val="auto"/>
        </w:rPr>
      </w:pPr>
    </w:p>
    <w:p>
      <w:pPr>
        <w:jc w:val="both"/>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Robert Abrams is the father of James Abrams and William J. Abrams and is currently employed as the Company’s Corporate Purchasing Director. During fiscal 2023, fiscal 2024 and fiscal 2025, Mr. Abrams received total compensation of $137,981, $127,917, and $160,868, respectively, comprised of his base salary.</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MPU Rollover Investments</w:t>
      </w:r>
    </w:p>
    <w:p>
      <w:pPr>
        <w:spacing w:after="0" w:line="99" w:lineRule="exact"/>
        <w:rPr>
          <w:sz w:val="20"/>
          <w:szCs w:val="20"/>
          <w:color w:val="auto"/>
        </w:rPr>
      </w:pPr>
    </w:p>
    <w:p>
      <w:pPr>
        <w:ind w:left="1260" w:right="259" w:firstLine="351"/>
        <w:spacing w:after="0" w:line="265" w:lineRule="auto"/>
        <w:rPr>
          <w:sz w:val="20"/>
          <w:szCs w:val="20"/>
          <w:color w:val="auto"/>
        </w:rPr>
      </w:pPr>
      <w:r>
        <w:rPr>
          <w:rFonts w:ascii="Times New Roman" w:cs="Times New Roman" w:eastAsia="Times New Roman" w:hAnsi="Times New Roman"/>
          <w:sz w:val="14"/>
          <w:szCs w:val="14"/>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Class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44"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Pursuant to the terms of the Reinvestment Program, on October 21, 2021: (i) James Boyle reinvested $8,181,419 of his Liquidity Event MPU Amount into Class A Units, of which $5,454,279 was funded by a loan from Medline Holdings; (ii) Michael Drazin reinvested $7,215,170 of his Liquidity Event MPU Amount into CUPIs; (iii) James Pigott reinvested $18,306,416 of his Liquidity Event MPU Amount into Class A Units, of which $12,204,277 was funded by a loan from Medline Holdings; (iv) William J. Abrams reinvested $7,521,238 of his Liquidity Event MPU Amount into Class A Units, of which $5,014,159 was funded by a loan from Medline Holdings; (v) Amanda Laabs reinvested $3,809,629 of her Liquidity Event MPU Amount into Class A Units, of which $2,539,753 was funded by a loan from Medline Holdings; (vi) Alex Liberman reinvested $6,996,528 of his Liquidity Event MPU Amount into Class A Units, of which $4,664,352 was funded by a loan from Medline Holdings; and (vii) Doug Golwas reinvested $7,068,825 of his Liquidity Event MPU Amount into Class A Units, of which $4,712,550 was funded by a loan from Medline Holdings. Loans from Medline Holdings under the Reinvestment Program bore interest at an annual interest rate of 0.25%, compounded annually. Aggregate interest payments paid during the life of the loans by Messrs. Boyle, Pigott, Abrams, Liberman and Golwas and Ms. Laabs totaled $20,454, $45,766, $18,803, $17,491, $17,672, and $9,524, respectively. All loans under the Reinvestment Program were fully repaid as of October 20, 2023.</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392"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PRINCIPAL AND SELLING STOCKHOLDERS</w:t>
      </w:r>
    </w:p>
    <w:p>
      <w:pPr>
        <w:spacing w:after="0" w:line="185" w:lineRule="exact"/>
        <w:rPr>
          <w:sz w:val="20"/>
          <w:szCs w:val="20"/>
          <w:color w:val="auto"/>
        </w:rPr>
      </w:pPr>
    </w:p>
    <w:p>
      <w:pPr>
        <w:ind w:left="1260" w:right="159" w:firstLine="351"/>
        <w:spacing w:after="0" w:line="272" w:lineRule="auto"/>
        <w:rPr>
          <w:sz w:val="20"/>
          <w:szCs w:val="20"/>
          <w:color w:val="auto"/>
        </w:rPr>
      </w:pPr>
      <w:r>
        <w:rPr>
          <w:rFonts w:ascii="Times New Roman" w:cs="Times New Roman" w:eastAsia="Times New Roman" w:hAnsi="Times New Roman"/>
          <w:sz w:val="14"/>
          <w:szCs w:val="14"/>
          <w:color w:val="auto"/>
        </w:rPr>
        <w:t>The following table sets forth information regarding the beneficial ownership of shares of our Class A common stock and our Class B common stock as of February 23, 2026, by (1) the selling stockholders, (2) each person known to us to beneficially own more than 5% of any class of the outstanding voting securities of Medline Inc., (3) each of our directors and named executive officers and (4) all of our directors and executive officers as a group.</w:t>
      </w:r>
    </w:p>
    <w:p>
      <w:pPr>
        <w:spacing w:after="0" w:line="313"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The percentage of beneficial ownership of shares of our Class A common stock and our Class B common stock outstanding before the offering set forth below is based on the number of shares of our Class A common stock and our Class B common stock issued and outstanding as of February 23, 2026. The percentage of beneficial ownership of our Class A common stock and our Class B common stock after the offering set forth below is based on shares of our Class A common stock and our Class B common stock issued and outstanding immediately after the offering.</w:t>
      </w:r>
    </w:p>
    <w:p>
      <w:pPr>
        <w:spacing w:after="0" w:line="142"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These rules generally attribute beneficial ownership of securities to persons who possess sole or shared voting power or investment power with respect to those securities. In addition, these rules require that we include shares of Class A common stock and/or Class B common stock, as applicable, issuable pursuant to the exchange of Common Units, conversion of vested Incentive Units, or otherwise are either immediately exchangeable or convertible within 60 days of February 23, 2026. These securities are deemed to be outstanding and beneficially owned by the person holding those Common Units or Incentive Units, as applicable,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securities shown as beneficially owned by them, subject to applicable community property laws.</w:t>
      </w:r>
    </w:p>
    <w:p>
      <w:pPr>
        <w:spacing w:after="0" w:line="1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Except as otherwise noted below, the address for persons listed in the table is c/o Medline Inc., 3 Lakes Drive, Northfield, Illinois 60093.</w:t>
      </w:r>
    </w:p>
    <w:p>
      <w:pPr>
        <w:spacing w:after="0" w:line="183" w:lineRule="exact"/>
        <w:rPr>
          <w:sz w:val="20"/>
          <w:szCs w:val="20"/>
          <w:color w:val="auto"/>
        </w:rPr>
      </w:pPr>
    </w:p>
    <w:p>
      <w:pPr>
        <w:ind w:left="1260" w:right="119" w:firstLine="351"/>
        <w:spacing w:after="0" w:line="260" w:lineRule="auto"/>
        <w:rPr>
          <w:sz w:val="20"/>
          <w:szCs w:val="20"/>
          <w:color w:val="auto"/>
        </w:rPr>
      </w:pPr>
      <w:r>
        <w:rPr>
          <w:rFonts w:ascii="Times New Roman" w:cs="Times New Roman" w:eastAsia="Times New Roman" w:hAnsi="Times New Roman"/>
          <w:sz w:val="14"/>
          <w:szCs w:val="14"/>
          <w:color w:val="auto"/>
        </w:rPr>
        <w:t>In connection with the IPO, we issued to each Continuing Common Unitholder one share of Class B common stock for each Common Unit such Continuing Common Unitholder beneficially owned immediately prior to the consummation of the Reorganization Transactions. Upon conversion of vested Incentive Units for Common Units, the converting holders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“Certain Relationships and Related Person Transactions—Exchange Agreement.” As a result, the number of shares of our Class B common stock listed in the table below correlates to the number of Common Units each Continuing Unitholder beneficially owns. The Continuing Common Unitholders hold all of the outstanding shares of our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92"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7" w:lineRule="exact"/>
        <w:rPr>
          <w:sz w:val="20"/>
          <w:szCs w:val="20"/>
          <w:color w:val="auto"/>
        </w:rPr>
      </w:pPr>
    </w:p>
    <w:tbl>
      <w:tblPr>
        <w:tblLayout w:type="fixed"/>
        <w:tblInd w:w="1260" w:type="dxa"/>
        <w:tblCellMar>
          <w:top w:w="0" w:type="dxa"/>
          <w:left w:w="0" w:type="dxa"/>
          <w:bottom w:w="0" w:type="dxa"/>
          <w:right w:w="0" w:type="dxa"/>
        </w:tblCellMar>
      </w:tblPr>
      <w:tr>
        <w:trPr>
          <w:trHeight w:val="103"/>
        </w:trPr>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3"/>
          </w:tcPr>
          <w:p>
            <w:pPr>
              <w:jc w:val="right"/>
              <w:ind w:right="31"/>
              <w:spacing w:after="0"/>
              <w:rPr>
                <w:sz w:val="20"/>
                <w:szCs w:val="20"/>
                <w:color w:val="auto"/>
              </w:rPr>
            </w:pPr>
            <w:r>
              <w:rPr>
                <w:rFonts w:ascii="Times New Roman" w:cs="Times New Roman" w:eastAsia="Times New Roman" w:hAnsi="Times New Roman"/>
                <w:sz w:val="9"/>
                <w:szCs w:val="9"/>
                <w:b w:val="1"/>
                <w:bCs w:val="1"/>
                <w:color w:val="auto"/>
                <w:w w:val="93"/>
              </w:rPr>
              <w:t>Class A Common Stock to Be Sold in this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20" w:type="dxa"/>
            <w:vAlign w:val="bottom"/>
            <w:gridSpan w:val="6"/>
          </w:tcPr>
          <w:p>
            <w:pPr>
              <w:jc w:val="center"/>
              <w:ind w:right="152"/>
              <w:spacing w:after="0" w:line="109" w:lineRule="exact"/>
              <w:rPr>
                <w:sz w:val="20"/>
                <w:szCs w:val="20"/>
                <w:color w:val="auto"/>
              </w:rPr>
            </w:pPr>
            <w:r>
              <w:rPr>
                <w:rFonts w:ascii="Times New Roman" w:cs="Times New Roman" w:eastAsia="Times New Roman" w:hAnsi="Times New Roman"/>
                <w:sz w:val="9"/>
                <w:szCs w:val="9"/>
                <w:b w:val="1"/>
                <w:bCs w:val="1"/>
                <w:color w:val="auto"/>
                <w:w w:val="94"/>
              </w:rPr>
              <w:t>Class A Common Stock Beneficially Owned</w:t>
            </w:r>
            <w:r>
              <w:rPr>
                <w:rFonts w:ascii="Times New Roman" w:cs="Times New Roman" w:eastAsia="Times New Roman" w:hAnsi="Times New Roman"/>
                <w:sz w:val="12"/>
                <w:szCs w:val="12"/>
                <w:b w:val="1"/>
                <w:bCs w:val="1"/>
                <w:color w:val="auto"/>
                <w:w w:val="94"/>
                <w:vertAlign w:val="superscript"/>
              </w:rPr>
              <w:t>(1)</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40" w:type="dxa"/>
            <w:vAlign w:val="bottom"/>
            <w:gridSpan w:val="7"/>
          </w:tcPr>
          <w:p>
            <w:pPr>
              <w:jc w:val="center"/>
              <w:ind w:right="200"/>
              <w:spacing w:after="0" w:line="109" w:lineRule="exact"/>
              <w:rPr>
                <w:sz w:val="20"/>
                <w:szCs w:val="20"/>
                <w:color w:val="auto"/>
              </w:rPr>
            </w:pPr>
            <w:r>
              <w:rPr>
                <w:rFonts w:ascii="Times New Roman" w:cs="Times New Roman" w:eastAsia="Times New Roman" w:hAnsi="Times New Roman"/>
                <w:sz w:val="9"/>
                <w:szCs w:val="9"/>
                <w:b w:val="1"/>
                <w:bCs w:val="1"/>
                <w:color w:val="auto"/>
                <w:w w:val="93"/>
              </w:rPr>
              <w:t>Class B Common Stock Beneficially Owned</w:t>
            </w:r>
            <w:r>
              <w:rPr>
                <w:rFonts w:ascii="Times New Roman" w:cs="Times New Roman" w:eastAsia="Times New Roman" w:hAnsi="Times New Roman"/>
                <w:sz w:val="12"/>
                <w:szCs w:val="12"/>
                <w:b w:val="1"/>
                <w:bCs w:val="1"/>
                <w:color w:val="auto"/>
                <w:w w:val="93"/>
                <w:vertAlign w:val="superscript"/>
              </w:rPr>
              <w:t>(1)</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3"/>
          </w:tcPr>
          <w:p>
            <w:pPr>
              <w:jc w:val="right"/>
              <w:ind w:right="591"/>
              <w:spacing w:after="0" w:line="109" w:lineRule="exact"/>
              <w:rPr>
                <w:sz w:val="20"/>
                <w:szCs w:val="20"/>
                <w:color w:val="auto"/>
              </w:rPr>
            </w:pPr>
            <w:r>
              <w:rPr>
                <w:rFonts w:ascii="Times New Roman" w:cs="Times New Roman" w:eastAsia="Times New Roman" w:hAnsi="Times New Roman"/>
                <w:sz w:val="9"/>
                <w:szCs w:val="9"/>
                <w:b w:val="1"/>
                <w:bCs w:val="1"/>
                <w:color w:val="auto"/>
              </w:rPr>
              <w:t>Offering</w:t>
            </w:r>
            <w:r>
              <w:rPr>
                <w:rFonts w:ascii="Times New Roman" w:cs="Times New Roman" w:eastAsia="Times New Roman" w:hAnsi="Times New Roman"/>
                <w:sz w:val="12"/>
                <w:szCs w:val="12"/>
                <w:b w:val="1"/>
                <w:bCs w:val="1"/>
                <w:color w:val="auto"/>
                <w:vertAlign w:val="superscript"/>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Combine</w:t>
            </w:r>
          </w:p>
        </w:tc>
        <w:tc>
          <w:tcPr>
            <w:tcW w:w="0" w:type="dxa"/>
            <w:vAlign w:val="bottom"/>
          </w:tcPr>
          <w:p>
            <w:pPr>
              <w:spacing w:after="0"/>
              <w:rPr>
                <w:sz w:val="1"/>
                <w:szCs w:val="1"/>
                <w:color w:val="auto"/>
              </w:rPr>
            </w:pPr>
          </w:p>
        </w:tc>
      </w:tr>
      <w:tr>
        <w:trPr>
          <w:trHeight w:val="76"/>
        </w:trPr>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3"/>
          </w:tcPr>
          <w:p>
            <w:pPr>
              <w:jc w:val="center"/>
              <w:ind w:right="140"/>
              <w:spacing w:after="0" w:line="76"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020" w:type="dxa"/>
            <w:vAlign w:val="bottom"/>
            <w:tcBorders>
              <w:top w:val="single" w:sz="8" w:color="auto"/>
            </w:tcBorders>
            <w:gridSpan w:val="2"/>
          </w:tcPr>
          <w:p>
            <w:pPr>
              <w:jc w:val="center"/>
              <w:spacing w:after="0" w:line="76"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3"/>
          </w:tcPr>
          <w:p>
            <w:pPr>
              <w:jc w:val="center"/>
              <w:ind w:right="140"/>
              <w:spacing w:after="0" w:line="76"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020" w:type="dxa"/>
            <w:vAlign w:val="bottom"/>
            <w:tcBorders>
              <w:top w:val="single" w:sz="8" w:color="auto"/>
            </w:tcBorders>
            <w:gridSpan w:val="3"/>
          </w:tcPr>
          <w:p>
            <w:pPr>
              <w:jc w:val="center"/>
              <w:spacing w:after="0" w:line="76"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jc w:val="center"/>
              <w:ind w:left="80"/>
              <w:spacing w:after="0" w:line="76" w:lineRule="exact"/>
              <w:rPr>
                <w:sz w:val="20"/>
                <w:szCs w:val="20"/>
                <w:color w:val="auto"/>
              </w:rPr>
            </w:pPr>
            <w:r>
              <w:rPr>
                <w:rFonts w:ascii="Times New Roman" w:cs="Times New Roman" w:eastAsia="Times New Roman" w:hAnsi="Times New Roman"/>
                <w:sz w:val="8"/>
                <w:szCs w:val="8"/>
                <w:b w:val="1"/>
                <w:bCs w:val="1"/>
                <w:color w:val="auto"/>
              </w:rPr>
              <w:t>A</w:t>
            </w: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3"/>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6"/>
              </w:rPr>
              <w:t>Offering</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0"/>
              </w:rPr>
              <w:t>Offering</w:t>
            </w: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0"/>
              </w:rPr>
              <w:t>Offering</w:t>
            </w:r>
          </w:p>
        </w:tc>
        <w:tc>
          <w:tcPr>
            <w:tcW w:w="1180" w:type="dxa"/>
            <w:vAlign w:val="bottom"/>
            <w:gridSpan w:val="4"/>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6"/>
              </w:rPr>
              <w:t>Offering</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jc w:val="center"/>
              <w:ind w:left="100"/>
              <w:spacing w:after="0"/>
              <w:rPr>
                <w:sz w:val="20"/>
                <w:szCs w:val="20"/>
                <w:color w:val="auto"/>
              </w:rPr>
            </w:pPr>
            <w:r>
              <w:rPr>
                <w:rFonts w:ascii="Times New Roman" w:cs="Times New Roman" w:eastAsia="Times New Roman" w:hAnsi="Times New Roman"/>
                <w:sz w:val="6"/>
                <w:szCs w:val="6"/>
                <w:b w:val="1"/>
                <w:bCs w:val="1"/>
                <w:color w:val="auto"/>
                <w:w w:val="84"/>
              </w:rPr>
              <w:t>O</w:t>
            </w: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1"/>
              </w:rPr>
              <w:t>Transactions</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1"/>
              </w:rPr>
              <w:t>Transactions</w:t>
            </w: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1"/>
              </w:rPr>
              <w:t>Transactions</w:t>
            </w:r>
          </w:p>
        </w:tc>
        <w:tc>
          <w:tcPr>
            <w:tcW w:w="1180" w:type="dxa"/>
            <w:vAlign w:val="bottom"/>
            <w:gridSpan w:val="4"/>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1"/>
              </w:rPr>
              <w:t>Transactions</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4"/>
              </w:rPr>
              <w:t>Assuming</w:t>
            </w:r>
          </w:p>
        </w:tc>
        <w:tc>
          <w:tcPr>
            <w:tcW w:w="600" w:type="dxa"/>
            <w:vAlign w:val="bottom"/>
          </w:tcPr>
          <w:p>
            <w:pPr>
              <w:spacing w:after="0"/>
              <w:rPr>
                <w:sz w:val="8"/>
                <w:szCs w:val="8"/>
                <w:color w:val="auto"/>
              </w:rPr>
            </w:pPr>
          </w:p>
        </w:tc>
        <w:tc>
          <w:tcPr>
            <w:tcW w:w="1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rPr>
              <w:t>Tra</w:t>
            </w: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3"/>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4"/>
              </w:rPr>
              <w:t>Assuming</w:t>
            </w:r>
          </w:p>
        </w:tc>
        <w:tc>
          <w:tcPr>
            <w:tcW w:w="1160" w:type="dxa"/>
            <w:vAlign w:val="bottom"/>
            <w:gridSpan w:val="3"/>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4"/>
              </w:rPr>
              <w:t>Assuming</w:t>
            </w: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3"/>
          </w:tcPr>
          <w:p>
            <w:pPr>
              <w:jc w:val="center"/>
              <w:ind w:right="120"/>
              <w:spacing w:after="0" w:line="97" w:lineRule="exact"/>
              <w:rPr>
                <w:sz w:val="20"/>
                <w:szCs w:val="20"/>
                <w:color w:val="auto"/>
              </w:rPr>
            </w:pPr>
            <w:r>
              <w:rPr>
                <w:rFonts w:ascii="Times New Roman" w:cs="Times New Roman" w:eastAsia="Times New Roman" w:hAnsi="Times New Roman"/>
                <w:sz w:val="9"/>
                <w:szCs w:val="9"/>
                <w:b w:val="1"/>
                <w:bCs w:val="1"/>
                <w:color w:val="auto"/>
                <w:w w:val="94"/>
              </w:rPr>
              <w:t>Assuming</w:t>
            </w:r>
          </w:p>
        </w:tc>
        <w:tc>
          <w:tcPr>
            <w:tcW w:w="1180" w:type="dxa"/>
            <w:vAlign w:val="bottom"/>
            <w:gridSpan w:val="4"/>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4"/>
              </w:rPr>
              <w:t>Assuming</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jc w:val="center"/>
              <w:ind w:left="60"/>
              <w:spacing w:after="0" w:line="97" w:lineRule="exact"/>
              <w:rPr>
                <w:sz w:val="20"/>
                <w:szCs w:val="20"/>
                <w:color w:val="auto"/>
              </w:rPr>
            </w:pP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3"/>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4"/>
              </w:rPr>
              <w:t>Underwriters’</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8"/>
              </w:rPr>
              <w:t>Underwriters’</w:t>
            </w: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8"/>
              </w:rPr>
              <w:t>Underwriters’</w:t>
            </w:r>
          </w:p>
        </w:tc>
        <w:tc>
          <w:tcPr>
            <w:tcW w:w="1180" w:type="dxa"/>
            <w:vAlign w:val="bottom"/>
            <w:gridSpan w:val="4"/>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4"/>
              </w:rPr>
              <w:t>Underwriters’</w:t>
            </w:r>
          </w:p>
        </w:tc>
        <w:tc>
          <w:tcPr>
            <w:tcW w:w="780" w:type="dxa"/>
            <w:vAlign w:val="bottom"/>
            <w:gridSpan w:val="2"/>
          </w:tcPr>
          <w:p>
            <w:pPr>
              <w:jc w:val="center"/>
              <w:ind w:right="100"/>
              <w:spacing w:after="0" w:line="97" w:lineRule="exact"/>
              <w:rPr>
                <w:sz w:val="20"/>
                <w:szCs w:val="20"/>
                <w:color w:val="auto"/>
              </w:rPr>
            </w:pPr>
            <w:r>
              <w:rPr>
                <w:rFonts w:ascii="Times New Roman" w:cs="Times New Roman" w:eastAsia="Times New Roman" w:hAnsi="Times New Roman"/>
                <w:sz w:val="9"/>
                <w:szCs w:val="9"/>
                <w:b w:val="1"/>
                <w:bCs w:val="1"/>
                <w:color w:val="auto"/>
                <w:w w:val="94"/>
              </w:rPr>
              <w:t>Assuming</w:t>
            </w:r>
          </w:p>
        </w:tc>
        <w:tc>
          <w:tcPr>
            <w:tcW w:w="800" w:type="dxa"/>
            <w:vAlign w:val="bottom"/>
          </w:tcPr>
          <w:p>
            <w:pPr>
              <w:jc w:val="center"/>
              <w:ind w:right="11"/>
              <w:spacing w:after="0" w:line="97" w:lineRule="exact"/>
              <w:rPr>
                <w:sz w:val="20"/>
                <w:szCs w:val="20"/>
                <w:color w:val="auto"/>
              </w:rPr>
            </w:pPr>
            <w:r>
              <w:rPr>
                <w:rFonts w:ascii="Times New Roman" w:cs="Times New Roman" w:eastAsia="Times New Roman" w:hAnsi="Times New Roman"/>
                <w:sz w:val="9"/>
                <w:szCs w:val="9"/>
                <w:b w:val="1"/>
                <w:bCs w:val="1"/>
                <w:color w:val="auto"/>
                <w:w w:val="98"/>
              </w:rPr>
              <w:t>Underwriters’</w:t>
            </w:r>
          </w:p>
        </w:tc>
        <w:tc>
          <w:tcPr>
            <w:tcW w:w="600" w:type="dxa"/>
            <w:vAlign w:val="bottom"/>
          </w:tcPr>
          <w:p>
            <w:pPr>
              <w:spacing w:after="0"/>
              <w:rPr>
                <w:sz w:val="8"/>
                <w:szCs w:val="8"/>
                <w:color w:val="auto"/>
              </w:rPr>
            </w:pPr>
          </w:p>
        </w:tc>
        <w:tc>
          <w:tcPr>
            <w:tcW w:w="1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w w:val="96"/>
              </w:rPr>
              <w:t>Und</w:t>
            </w: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4"/>
              </w:rPr>
              <w:t>Prior to the</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6"/>
              </w:rPr>
              <w:t>Option</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6"/>
              </w:rPr>
              <w:t>Option is</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4"/>
              </w:rPr>
              <w:t>Prior to the</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6"/>
              </w:rPr>
              <w:t>Option</w:t>
            </w:r>
          </w:p>
        </w:tc>
        <w:tc>
          <w:tcPr>
            <w:tcW w:w="1180" w:type="dxa"/>
            <w:vAlign w:val="bottom"/>
            <w:gridSpan w:val="4"/>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6"/>
              </w:rPr>
              <w:t>Option is</w:t>
            </w:r>
          </w:p>
        </w:tc>
        <w:tc>
          <w:tcPr>
            <w:tcW w:w="780" w:type="dxa"/>
            <w:vAlign w:val="bottom"/>
            <w:gridSpan w:val="2"/>
          </w:tcPr>
          <w:p>
            <w:pPr>
              <w:jc w:val="center"/>
              <w:ind w:right="100"/>
              <w:spacing w:after="0" w:line="97" w:lineRule="exact"/>
              <w:rPr>
                <w:sz w:val="20"/>
                <w:szCs w:val="20"/>
                <w:color w:val="auto"/>
              </w:rPr>
            </w:pPr>
            <w:r>
              <w:rPr>
                <w:rFonts w:ascii="Times New Roman" w:cs="Times New Roman" w:eastAsia="Times New Roman" w:hAnsi="Times New Roman"/>
                <w:sz w:val="9"/>
                <w:szCs w:val="9"/>
                <w:b w:val="1"/>
                <w:bCs w:val="1"/>
                <w:color w:val="auto"/>
                <w:w w:val="94"/>
              </w:rPr>
              <w:t>Underwriters’</w:t>
            </w:r>
          </w:p>
        </w:tc>
        <w:tc>
          <w:tcPr>
            <w:tcW w:w="800" w:type="dxa"/>
            <w:vAlign w:val="bottom"/>
          </w:tcPr>
          <w:p>
            <w:pPr>
              <w:jc w:val="center"/>
              <w:ind w:right="11"/>
              <w:spacing w:after="0" w:line="97" w:lineRule="exact"/>
              <w:rPr>
                <w:sz w:val="20"/>
                <w:szCs w:val="20"/>
                <w:color w:val="auto"/>
              </w:rPr>
            </w:pPr>
            <w:r>
              <w:rPr>
                <w:rFonts w:ascii="Times New Roman" w:cs="Times New Roman" w:eastAsia="Times New Roman" w:hAnsi="Times New Roman"/>
                <w:sz w:val="9"/>
                <w:szCs w:val="9"/>
                <w:b w:val="1"/>
                <w:bCs w:val="1"/>
                <w:color w:val="auto"/>
                <w:w w:val="96"/>
              </w:rPr>
              <w:t>Option is</w:t>
            </w:r>
          </w:p>
        </w:tc>
        <w:tc>
          <w:tcPr>
            <w:tcW w:w="600" w:type="dxa"/>
            <w:vAlign w:val="bottom"/>
          </w:tcPr>
          <w:p>
            <w:pPr>
              <w:jc w:val="right"/>
              <w:ind w:right="91"/>
              <w:spacing w:after="0" w:line="97" w:lineRule="exact"/>
              <w:rPr>
                <w:sz w:val="20"/>
                <w:szCs w:val="20"/>
                <w:color w:val="auto"/>
              </w:rPr>
            </w:pPr>
            <w:r>
              <w:rPr>
                <w:rFonts w:ascii="Times New Roman" w:cs="Times New Roman" w:eastAsia="Times New Roman" w:hAnsi="Times New Roman"/>
                <w:sz w:val="9"/>
                <w:szCs w:val="9"/>
                <w:b w:val="1"/>
                <w:bCs w:val="1"/>
                <w:color w:val="auto"/>
                <w:w w:val="98"/>
              </w:rPr>
              <w:t>Prior to the</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6"/>
              </w:rPr>
              <w:t>Offering</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8"/>
              </w:rPr>
              <w:t>is Not</w:t>
            </w:r>
          </w:p>
        </w:tc>
        <w:tc>
          <w:tcPr>
            <w:tcW w:w="1160" w:type="dxa"/>
            <w:vAlign w:val="bottom"/>
            <w:gridSpan w:val="3"/>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5"/>
              </w:rPr>
              <w:t>Exercised</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0"/>
              </w:rPr>
              <w:t>Offering</w:t>
            </w:r>
          </w:p>
        </w:tc>
        <w:tc>
          <w:tcPr>
            <w:tcW w:w="116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b w:val="1"/>
                <w:bCs w:val="1"/>
                <w:color w:val="auto"/>
                <w:w w:val="98"/>
              </w:rPr>
              <w:t>is Not</w:t>
            </w:r>
          </w:p>
        </w:tc>
        <w:tc>
          <w:tcPr>
            <w:tcW w:w="1180" w:type="dxa"/>
            <w:vAlign w:val="bottom"/>
            <w:gridSpan w:val="4"/>
          </w:tcPr>
          <w:p>
            <w:pPr>
              <w:jc w:val="center"/>
              <w:ind w:right="160"/>
              <w:spacing w:after="0" w:line="97" w:lineRule="exact"/>
              <w:rPr>
                <w:sz w:val="20"/>
                <w:szCs w:val="20"/>
                <w:color w:val="auto"/>
              </w:rPr>
            </w:pPr>
            <w:r>
              <w:rPr>
                <w:rFonts w:ascii="Times New Roman" w:cs="Times New Roman" w:eastAsia="Times New Roman" w:hAnsi="Times New Roman"/>
                <w:sz w:val="9"/>
                <w:szCs w:val="9"/>
                <w:b w:val="1"/>
                <w:bCs w:val="1"/>
                <w:color w:val="auto"/>
                <w:w w:val="97"/>
              </w:rPr>
              <w:t>Exercised in</w:t>
            </w:r>
          </w:p>
        </w:tc>
        <w:tc>
          <w:tcPr>
            <w:tcW w:w="780" w:type="dxa"/>
            <w:vAlign w:val="bottom"/>
            <w:gridSpan w:val="2"/>
          </w:tcPr>
          <w:p>
            <w:pPr>
              <w:jc w:val="center"/>
              <w:ind w:right="80"/>
              <w:spacing w:after="0" w:line="97" w:lineRule="exact"/>
              <w:rPr>
                <w:sz w:val="20"/>
                <w:szCs w:val="20"/>
                <w:color w:val="auto"/>
              </w:rPr>
            </w:pPr>
            <w:r>
              <w:rPr>
                <w:rFonts w:ascii="Times New Roman" w:cs="Times New Roman" w:eastAsia="Times New Roman" w:hAnsi="Times New Roman"/>
                <w:sz w:val="9"/>
                <w:szCs w:val="9"/>
                <w:b w:val="1"/>
                <w:bCs w:val="1"/>
                <w:color w:val="auto"/>
                <w:w w:val="96"/>
              </w:rPr>
              <w:t>Option is</w:t>
            </w:r>
          </w:p>
        </w:tc>
        <w:tc>
          <w:tcPr>
            <w:tcW w:w="80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5"/>
              </w:rPr>
              <w:t>Exercised</w:t>
            </w:r>
          </w:p>
        </w:tc>
        <w:tc>
          <w:tcPr>
            <w:tcW w:w="600" w:type="dxa"/>
            <w:vAlign w:val="bottom"/>
          </w:tcPr>
          <w:p>
            <w:pPr>
              <w:jc w:val="right"/>
              <w:ind w:right="151"/>
              <w:spacing w:after="0" w:line="97" w:lineRule="exact"/>
              <w:rPr>
                <w:sz w:val="20"/>
                <w:szCs w:val="20"/>
                <w:color w:val="auto"/>
              </w:rPr>
            </w:pPr>
            <w:r>
              <w:rPr>
                <w:rFonts w:ascii="Times New Roman" w:cs="Times New Roman" w:eastAsia="Times New Roman" w:hAnsi="Times New Roman"/>
                <w:sz w:val="9"/>
                <w:szCs w:val="9"/>
                <w:b w:val="1"/>
                <w:bCs w:val="1"/>
                <w:color w:val="auto"/>
              </w:rPr>
              <w:t>Offering</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Name of</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5"/>
              </w:rPr>
              <w:t>Transactions</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5"/>
              </w:rPr>
              <w:t>Exercised</w:t>
            </w:r>
          </w:p>
        </w:tc>
        <w:tc>
          <w:tcPr>
            <w:tcW w:w="1160" w:type="dxa"/>
            <w:vAlign w:val="bottom"/>
            <w:gridSpan w:val="3"/>
          </w:tcPr>
          <w:p>
            <w:pPr>
              <w:ind w:left="380"/>
              <w:spacing w:after="0"/>
              <w:rPr>
                <w:sz w:val="20"/>
                <w:szCs w:val="20"/>
                <w:color w:val="auto"/>
              </w:rPr>
            </w:pPr>
            <w:r>
              <w:rPr>
                <w:rFonts w:ascii="Times New Roman" w:cs="Times New Roman" w:eastAsia="Times New Roman" w:hAnsi="Times New Roman"/>
                <w:sz w:val="9"/>
                <w:szCs w:val="9"/>
                <w:b w:val="1"/>
                <w:bCs w:val="1"/>
                <w:color w:val="auto"/>
              </w:rPr>
              <w:t>in Full</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1"/>
              </w:rPr>
              <w:t>Transactions</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5"/>
              </w:rPr>
              <w:t>Exercised</w:t>
            </w:r>
          </w:p>
        </w:tc>
        <w:tc>
          <w:tcPr>
            <w:tcW w:w="620" w:type="dxa"/>
            <w:vAlign w:val="bottom"/>
            <w:gridSpan w:val="2"/>
          </w:tcPr>
          <w:p>
            <w:pPr>
              <w:jc w:val="center"/>
              <w:ind w:left="352"/>
              <w:spacing w:after="0"/>
              <w:rPr>
                <w:sz w:val="20"/>
                <w:szCs w:val="20"/>
                <w:color w:val="auto"/>
              </w:rPr>
            </w:pPr>
            <w:r>
              <w:rPr>
                <w:rFonts w:ascii="Times New Roman" w:cs="Times New Roman" w:eastAsia="Times New Roman" w:hAnsi="Times New Roman"/>
                <w:sz w:val="9"/>
                <w:szCs w:val="9"/>
                <w:b w:val="1"/>
                <w:bCs w:val="1"/>
                <w:color w:val="auto"/>
                <w:w w:val="89"/>
              </w:rPr>
              <w:t>Full</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6"/>
              </w:rPr>
              <w:t>Not Exercised</w:t>
            </w:r>
          </w:p>
        </w:tc>
        <w:tc>
          <w:tcPr>
            <w:tcW w:w="8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in Full</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9"/>
                <w:szCs w:val="9"/>
                <w:b w:val="1"/>
                <w:bCs w:val="1"/>
                <w:color w:val="auto"/>
                <w:w w:val="91"/>
              </w:rPr>
              <w:t>Transactions</w:t>
            </w:r>
          </w:p>
        </w:tc>
        <w:tc>
          <w:tcPr>
            <w:tcW w:w="180" w:type="dxa"/>
            <w:vAlign w:val="bottom"/>
          </w:tcPr>
          <w:p>
            <w:pPr>
              <w:jc w:val="center"/>
              <w:ind w:left="60"/>
              <w:spacing w:after="0"/>
              <w:rPr>
                <w:sz w:val="20"/>
                <w:szCs w:val="20"/>
                <w:color w:val="auto"/>
              </w:rPr>
            </w:pPr>
            <w:r>
              <w:rPr>
                <w:rFonts w:ascii="Times New Roman" w:cs="Times New Roman" w:eastAsia="Times New Roman" w:hAnsi="Times New Roman"/>
                <w:sz w:val="8"/>
                <w:szCs w:val="8"/>
                <w:b w:val="1"/>
                <w:bCs w:val="1"/>
                <w:color w:val="auto"/>
                <w:w w:val="74"/>
              </w:rPr>
              <w:t>E</w:t>
            </w:r>
          </w:p>
        </w:tc>
        <w:tc>
          <w:tcPr>
            <w:tcW w:w="0" w:type="dxa"/>
            <w:vAlign w:val="bottom"/>
          </w:tcPr>
          <w:p>
            <w:pPr>
              <w:spacing w:after="0"/>
              <w:rPr>
                <w:sz w:val="1"/>
                <w:szCs w:val="1"/>
                <w:color w:val="auto"/>
              </w:rPr>
            </w:pPr>
          </w:p>
        </w:tc>
      </w:tr>
      <w:tr>
        <w:trPr>
          <w:trHeight w:val="65"/>
        </w:trPr>
        <w:tc>
          <w:tcPr>
            <w:tcW w:w="760" w:type="dxa"/>
            <w:vAlign w:val="bottom"/>
            <w:gridSpan w:val="2"/>
            <w:vMerge w:val="continue"/>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2"/>
              </w:rPr>
              <w:t>Beneficial Owner</w:t>
            </w:r>
          </w:p>
        </w:tc>
        <w:tc>
          <w:tcPr>
            <w:tcW w:w="120" w:type="dxa"/>
            <w:vAlign w:val="bottom"/>
          </w:tcPr>
          <w:p>
            <w:pPr>
              <w:spacing w:after="0"/>
              <w:rPr>
                <w:sz w:val="9"/>
                <w:szCs w:val="9"/>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9"/>
                <w:szCs w:val="9"/>
                <w:b w:val="1"/>
                <w:bCs w:val="1"/>
                <w:color w:val="auto"/>
              </w:rPr>
              <w:t>Number</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w w:val="89"/>
              </w:rPr>
              <w:t>Percentage</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9"/>
                <w:szCs w:val="9"/>
                <w:b w:val="1"/>
                <w:bCs w:val="1"/>
                <w:color w:val="auto"/>
              </w:rPr>
              <w:t>Number</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w w:val="89"/>
              </w:rPr>
              <w:t>Percentage</w:t>
            </w:r>
          </w:p>
        </w:tc>
        <w:tc>
          <w:tcPr>
            <w:tcW w:w="60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auto"/>
              </w:rPr>
              <w:t>Number</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w w:val="94"/>
              </w:rPr>
              <w:t>Percentage</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9"/>
                <w:szCs w:val="9"/>
                <w:b w:val="1"/>
                <w:bCs w:val="1"/>
                <w:color w:val="auto"/>
              </w:rPr>
              <w:t>Number</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w w:val="94"/>
              </w:rPr>
              <w:t>Percentage</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9"/>
                <w:szCs w:val="9"/>
                <w:b w:val="1"/>
                <w:bCs w:val="1"/>
                <w:color w:val="auto"/>
              </w:rPr>
              <w:t>Number</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w w:val="94"/>
              </w:rPr>
              <w:t>Percentage</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rPr>
              <w:t>Number</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w w:val="89"/>
              </w:rPr>
              <w:t>Percentage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3"/>
              </w:rPr>
              <w:t>Number</w:t>
            </w: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9"/>
                <w:szCs w:val="9"/>
                <w:b w:val="1"/>
                <w:bCs w:val="1"/>
                <w:color w:val="auto"/>
                <w:w w:val="93"/>
              </w:rPr>
              <w:t>Number</w:t>
            </w:r>
          </w:p>
        </w:tc>
        <w:tc>
          <w:tcPr>
            <w:tcW w:w="600" w:type="dxa"/>
            <w:vAlign w:val="bottom"/>
          </w:tcPr>
          <w:p>
            <w:pPr>
              <w:spacing w:after="0"/>
              <w:rPr>
                <w:sz w:val="9"/>
                <w:szCs w:val="9"/>
                <w:color w:val="auto"/>
              </w:rPr>
            </w:pPr>
          </w:p>
        </w:tc>
        <w:tc>
          <w:tcPr>
            <w:tcW w:w="180" w:type="dxa"/>
            <w:vAlign w:val="bottom"/>
          </w:tcPr>
          <w:p>
            <w:pPr>
              <w:jc w:val="center"/>
              <w:ind w:left="60"/>
              <w:spacing w:after="0"/>
              <w:rPr>
                <w:sz w:val="20"/>
                <w:szCs w:val="20"/>
                <w:color w:val="auto"/>
              </w:rPr>
            </w:pPr>
            <w:r>
              <w:rPr>
                <w:rFonts w:ascii="Times New Roman" w:cs="Times New Roman" w:eastAsia="Times New Roman" w:hAnsi="Times New Roman"/>
                <w:sz w:val="9"/>
                <w:szCs w:val="9"/>
                <w:b w:val="1"/>
                <w:bCs w:val="1"/>
                <w:color w:val="auto"/>
                <w:w w:val="71"/>
              </w:rPr>
              <w:t>P</w:t>
            </w:r>
          </w:p>
        </w:tc>
        <w:tc>
          <w:tcPr>
            <w:tcW w:w="0" w:type="dxa"/>
            <w:vAlign w:val="bottom"/>
          </w:tcPr>
          <w:p>
            <w:pPr>
              <w:spacing w:after="0"/>
              <w:rPr>
                <w:sz w:val="1"/>
                <w:szCs w:val="1"/>
                <w:color w:val="auto"/>
              </w:rPr>
            </w:pPr>
          </w:p>
        </w:tc>
      </w:tr>
      <w:tr>
        <w:trPr>
          <w:trHeight w:val="20"/>
        </w:trPr>
        <w:tc>
          <w:tcPr>
            <w:tcW w:w="760" w:type="dxa"/>
            <w:vAlign w:val="bottom"/>
            <w:gridSpan w:val="2"/>
            <w:vMerge w:val="restart"/>
            <w:shd w:val="clear" w:color="auto" w:fill="CCEEFF"/>
          </w:tcPr>
          <w:p>
            <w:pPr>
              <w:spacing w:after="0" w:line="109" w:lineRule="exact"/>
              <w:rPr>
                <w:sz w:val="20"/>
                <w:szCs w:val="20"/>
                <w:color w:val="auto"/>
              </w:rPr>
            </w:pPr>
            <w:r>
              <w:rPr>
                <w:rFonts w:ascii="Times New Roman" w:cs="Times New Roman" w:eastAsia="Times New Roman" w:hAnsi="Times New Roman"/>
                <w:sz w:val="8"/>
                <w:szCs w:val="8"/>
                <w:color w:val="auto"/>
              </w:rPr>
              <w:t>Blackstone</w:t>
            </w:r>
            <w:r>
              <w:rPr>
                <w:rFonts w:ascii="Times New Roman" w:cs="Times New Roman" w:eastAsia="Times New Roman" w:hAnsi="Times New Roman"/>
                <w:sz w:val="12"/>
                <w:szCs w:val="12"/>
                <w:color w:val="auto"/>
                <w:vertAlign w:val="superscript"/>
              </w:rPr>
              <w:t>(4)</w:t>
            </w: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60" w:type="dxa"/>
            <w:vAlign w:val="bottom"/>
            <w:gridSpan w:val="2"/>
            <w:vMerge w:val="continue"/>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jc w:val="right"/>
              <w:ind w:right="11"/>
              <w:spacing w:after="0" w:line="89" w:lineRule="exact"/>
              <w:rPr>
                <w:sz w:val="20"/>
                <w:szCs w:val="20"/>
                <w:color w:val="auto"/>
              </w:rPr>
            </w:pPr>
            <w:r>
              <w:rPr>
                <w:rFonts w:ascii="Times New Roman" w:cs="Times New Roman" w:eastAsia="Times New Roman" w:hAnsi="Times New Roman"/>
                <w:sz w:val="10"/>
                <w:szCs w:val="10"/>
                <w:color w:val="auto"/>
              </w:rPr>
              <w:t>142,930,404</w:t>
            </w:r>
          </w:p>
        </w:tc>
        <w:tc>
          <w:tcPr>
            <w:tcW w:w="560" w:type="dxa"/>
            <w:vAlign w:val="bottom"/>
            <w:gridSpan w:val="2"/>
            <w:shd w:val="clear" w:color="auto" w:fill="CCEEFF"/>
          </w:tcPr>
          <w:p>
            <w:pPr>
              <w:jc w:val="right"/>
              <w:ind w:right="60"/>
              <w:spacing w:after="0" w:line="89" w:lineRule="exact"/>
              <w:rPr>
                <w:sz w:val="20"/>
                <w:szCs w:val="20"/>
                <w:color w:val="auto"/>
              </w:rPr>
            </w:pPr>
            <w:r>
              <w:rPr>
                <w:rFonts w:ascii="Times New Roman" w:cs="Times New Roman" w:eastAsia="Times New Roman" w:hAnsi="Times New Roman"/>
                <w:sz w:val="10"/>
                <w:szCs w:val="10"/>
                <w:color w:val="auto"/>
              </w:rPr>
              <w:t>17.6%</w:t>
            </w:r>
          </w:p>
        </w:tc>
        <w:tc>
          <w:tcPr>
            <w:tcW w:w="600" w:type="dxa"/>
            <w:vAlign w:val="bottom"/>
            <w:tcBorders>
              <w:right w:val="single" w:sz="8" w:color="CCEEFF"/>
            </w:tcBorders>
            <w:shd w:val="clear" w:color="auto" w:fill="CCEEFF"/>
          </w:tcPr>
          <w:p>
            <w:pPr>
              <w:jc w:val="right"/>
              <w:ind w:right="12"/>
              <w:spacing w:after="0" w:line="89" w:lineRule="exact"/>
              <w:rPr>
                <w:sz w:val="20"/>
                <w:szCs w:val="20"/>
                <w:color w:val="auto"/>
              </w:rPr>
            </w:pPr>
            <w:r>
              <w:rPr>
                <w:rFonts w:ascii="Times New Roman" w:cs="Times New Roman" w:eastAsia="Times New Roman" w:hAnsi="Times New Roman"/>
                <w:sz w:val="10"/>
                <w:szCs w:val="10"/>
                <w:color w:val="auto"/>
              </w:rPr>
              <w:t>126,641,660</w:t>
            </w:r>
          </w:p>
        </w:tc>
        <w:tc>
          <w:tcPr>
            <w:tcW w:w="560" w:type="dxa"/>
            <w:vAlign w:val="bottom"/>
            <w:gridSpan w:val="2"/>
            <w:shd w:val="clear" w:color="auto" w:fill="CCEEFF"/>
          </w:tcPr>
          <w:p>
            <w:pPr>
              <w:jc w:val="right"/>
              <w:ind w:right="60"/>
              <w:spacing w:after="0" w:line="89" w:lineRule="exact"/>
              <w:rPr>
                <w:sz w:val="20"/>
                <w:szCs w:val="20"/>
                <w:color w:val="auto"/>
              </w:rPr>
            </w:pPr>
            <w:r>
              <w:rPr>
                <w:rFonts w:ascii="Times New Roman" w:cs="Times New Roman" w:eastAsia="Times New Roman" w:hAnsi="Times New Roman"/>
                <w:sz w:val="10"/>
                <w:szCs w:val="10"/>
                <w:color w:val="auto"/>
              </w:rPr>
              <w:t>15.1%</w:t>
            </w:r>
          </w:p>
        </w:tc>
        <w:tc>
          <w:tcPr>
            <w:tcW w:w="600" w:type="dxa"/>
            <w:vAlign w:val="bottom"/>
            <w:tcBorders>
              <w:right w:val="single" w:sz="8" w:color="CCEEFF"/>
            </w:tcBorders>
            <w:shd w:val="clear" w:color="auto" w:fill="CCEEFF"/>
          </w:tcPr>
          <w:p>
            <w:pPr>
              <w:jc w:val="right"/>
              <w:ind w:right="12"/>
              <w:spacing w:after="0" w:line="89" w:lineRule="exact"/>
              <w:rPr>
                <w:sz w:val="20"/>
                <w:szCs w:val="20"/>
                <w:color w:val="auto"/>
              </w:rPr>
            </w:pPr>
            <w:r>
              <w:rPr>
                <w:rFonts w:ascii="Times New Roman" w:cs="Times New Roman" w:eastAsia="Times New Roman" w:hAnsi="Times New Roman"/>
                <w:sz w:val="10"/>
                <w:szCs w:val="10"/>
                <w:color w:val="auto"/>
              </w:rPr>
              <w:t>124,198,348</w:t>
            </w:r>
          </w:p>
        </w:tc>
        <w:tc>
          <w:tcPr>
            <w:tcW w:w="560" w:type="dxa"/>
            <w:vAlign w:val="bottom"/>
            <w:gridSpan w:val="2"/>
            <w:shd w:val="clear" w:color="auto" w:fill="CCEEFF"/>
          </w:tcPr>
          <w:p>
            <w:pPr>
              <w:jc w:val="right"/>
              <w:ind w:right="60"/>
              <w:spacing w:after="0" w:line="89" w:lineRule="exact"/>
              <w:rPr>
                <w:sz w:val="20"/>
                <w:szCs w:val="20"/>
                <w:color w:val="auto"/>
              </w:rPr>
            </w:pPr>
            <w:r>
              <w:rPr>
                <w:rFonts w:ascii="Times New Roman" w:cs="Times New Roman" w:eastAsia="Times New Roman" w:hAnsi="Times New Roman"/>
                <w:sz w:val="10"/>
                <w:szCs w:val="10"/>
                <w:color w:val="auto"/>
              </w:rPr>
              <w:t>14.7%</w:t>
            </w:r>
          </w:p>
        </w:tc>
        <w:tc>
          <w:tcPr>
            <w:tcW w:w="600" w:type="dxa"/>
            <w:vAlign w:val="bottom"/>
            <w:tcBorders>
              <w:right w:val="single" w:sz="8" w:color="CCEEFF"/>
            </w:tcBorders>
            <w:shd w:val="clear" w:color="auto" w:fill="CCEEFF"/>
          </w:tcPr>
          <w:p>
            <w:pPr>
              <w:jc w:val="right"/>
              <w:ind w:right="11"/>
              <w:spacing w:after="0" w:line="89" w:lineRule="exact"/>
              <w:rPr>
                <w:sz w:val="20"/>
                <w:szCs w:val="20"/>
                <w:color w:val="auto"/>
              </w:rPr>
            </w:pPr>
            <w:r>
              <w:rPr>
                <w:rFonts w:ascii="Times New Roman" w:cs="Times New Roman" w:eastAsia="Times New Roman" w:hAnsi="Times New Roman"/>
                <w:sz w:val="10"/>
                <w:szCs w:val="10"/>
                <w:color w:val="auto"/>
              </w:rPr>
              <w:t>72,372,632</w:t>
            </w:r>
          </w:p>
        </w:tc>
        <w:tc>
          <w:tcPr>
            <w:tcW w:w="560" w:type="dxa"/>
            <w:vAlign w:val="bottom"/>
            <w:gridSpan w:val="2"/>
            <w:shd w:val="clear" w:color="auto" w:fill="CCEEFF"/>
          </w:tcPr>
          <w:p>
            <w:pPr>
              <w:jc w:val="right"/>
              <w:ind w:right="60"/>
              <w:spacing w:after="0" w:line="89" w:lineRule="exact"/>
              <w:rPr>
                <w:sz w:val="20"/>
                <w:szCs w:val="20"/>
                <w:color w:val="auto"/>
              </w:rPr>
            </w:pPr>
            <w:r>
              <w:rPr>
                <w:rFonts w:ascii="Times New Roman" w:cs="Times New Roman" w:eastAsia="Times New Roman" w:hAnsi="Times New Roman"/>
                <w:sz w:val="10"/>
                <w:szCs w:val="10"/>
                <w:color w:val="auto"/>
              </w:rPr>
              <w:t>14.4%</w:t>
            </w:r>
          </w:p>
        </w:tc>
        <w:tc>
          <w:tcPr>
            <w:tcW w:w="600" w:type="dxa"/>
            <w:vAlign w:val="bottom"/>
            <w:tcBorders>
              <w:right w:val="single" w:sz="8" w:color="CCEEFF"/>
            </w:tcBorders>
            <w:shd w:val="clear" w:color="auto" w:fill="CCEEFF"/>
          </w:tcPr>
          <w:p>
            <w:pPr>
              <w:jc w:val="right"/>
              <w:ind w:right="12"/>
              <w:spacing w:after="0" w:line="89" w:lineRule="exact"/>
              <w:rPr>
                <w:sz w:val="20"/>
                <w:szCs w:val="20"/>
                <w:color w:val="auto"/>
              </w:rPr>
            </w:pPr>
            <w:r>
              <w:rPr>
                <w:rFonts w:ascii="Times New Roman" w:cs="Times New Roman" w:eastAsia="Times New Roman" w:hAnsi="Times New Roman"/>
                <w:sz w:val="10"/>
                <w:szCs w:val="10"/>
                <w:color w:val="auto"/>
              </w:rPr>
              <w:t>64,122,834</w:t>
            </w:r>
          </w:p>
        </w:tc>
        <w:tc>
          <w:tcPr>
            <w:tcW w:w="560" w:type="dxa"/>
            <w:vAlign w:val="bottom"/>
            <w:gridSpan w:val="2"/>
            <w:shd w:val="clear" w:color="auto" w:fill="CCEEFF"/>
          </w:tcPr>
          <w:p>
            <w:pPr>
              <w:jc w:val="right"/>
              <w:ind w:right="60"/>
              <w:spacing w:after="0" w:line="89" w:lineRule="exact"/>
              <w:rPr>
                <w:sz w:val="20"/>
                <w:szCs w:val="20"/>
                <w:color w:val="auto"/>
              </w:rPr>
            </w:pPr>
            <w:r>
              <w:rPr>
                <w:rFonts w:ascii="Times New Roman" w:cs="Times New Roman" w:eastAsia="Times New Roman" w:hAnsi="Times New Roman"/>
                <w:sz w:val="10"/>
                <w:szCs w:val="10"/>
                <w:color w:val="auto"/>
              </w:rPr>
              <w:t>13.6%</w:t>
            </w:r>
          </w:p>
        </w:tc>
        <w:tc>
          <w:tcPr>
            <w:tcW w:w="540" w:type="dxa"/>
            <w:vAlign w:val="bottom"/>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62,885,365</w:t>
            </w:r>
          </w:p>
        </w:tc>
        <w:tc>
          <w:tcPr>
            <w:tcW w:w="80" w:type="dxa"/>
            <w:vAlign w:val="bottom"/>
            <w:vMerge w:val="continue"/>
            <w:shd w:val="clear" w:color="auto" w:fill="CCEEFF"/>
          </w:tcPr>
          <w:p>
            <w:pPr>
              <w:spacing w:after="0"/>
              <w:rPr>
                <w:sz w:val="7"/>
                <w:szCs w:val="7"/>
                <w:color w:val="auto"/>
              </w:rPr>
            </w:pPr>
          </w:p>
        </w:tc>
        <w:tc>
          <w:tcPr>
            <w:tcW w:w="560" w:type="dxa"/>
            <w:vAlign w:val="bottom"/>
            <w:gridSpan w:val="2"/>
            <w:shd w:val="clear" w:color="auto" w:fill="CCEEFF"/>
          </w:tcPr>
          <w:p>
            <w:pPr>
              <w:jc w:val="right"/>
              <w:ind w:right="80"/>
              <w:spacing w:after="0" w:line="89" w:lineRule="exact"/>
              <w:rPr>
                <w:sz w:val="20"/>
                <w:szCs w:val="20"/>
                <w:color w:val="auto"/>
              </w:rPr>
            </w:pPr>
            <w:r>
              <w:rPr>
                <w:rFonts w:ascii="Times New Roman" w:cs="Times New Roman" w:eastAsia="Times New Roman" w:hAnsi="Times New Roman"/>
                <w:sz w:val="10"/>
                <w:szCs w:val="10"/>
                <w:color w:val="auto"/>
              </w:rPr>
              <w:t>13.4%</w:t>
            </w:r>
          </w:p>
        </w:tc>
        <w:tc>
          <w:tcPr>
            <w:tcW w:w="700" w:type="dxa"/>
            <w:vAlign w:val="bottom"/>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24,219,988</w:t>
            </w:r>
          </w:p>
        </w:tc>
        <w:tc>
          <w:tcPr>
            <w:tcW w:w="80" w:type="dxa"/>
            <w:vAlign w:val="bottom"/>
            <w:vMerge w:val="continue"/>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jc w:val="right"/>
              <w:ind w:right="11"/>
              <w:spacing w:after="0" w:line="89" w:lineRule="exact"/>
              <w:rPr>
                <w:sz w:val="20"/>
                <w:szCs w:val="20"/>
                <w:color w:val="auto"/>
              </w:rPr>
            </w:pPr>
            <w:r>
              <w:rPr>
                <w:rFonts w:ascii="Times New Roman" w:cs="Times New Roman" w:eastAsia="Times New Roman" w:hAnsi="Times New Roman"/>
                <w:sz w:val="10"/>
                <w:szCs w:val="10"/>
                <w:color w:val="auto"/>
              </w:rPr>
              <w:t>27,852,986</w:t>
            </w:r>
          </w:p>
        </w:tc>
        <w:tc>
          <w:tcPr>
            <w:tcW w:w="600" w:type="dxa"/>
            <w:vAlign w:val="bottom"/>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16.4%</w:t>
            </w: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60" w:type="dxa"/>
            <w:vAlign w:val="bottom"/>
            <w:gridSpan w:val="2"/>
          </w:tcPr>
          <w:p>
            <w:pPr>
              <w:spacing w:after="0" w:line="108" w:lineRule="exact"/>
              <w:rPr>
                <w:sz w:val="20"/>
                <w:szCs w:val="20"/>
                <w:color w:val="auto"/>
              </w:rPr>
            </w:pPr>
            <w:r>
              <w:rPr>
                <w:rFonts w:ascii="Times New Roman" w:cs="Times New Roman" w:eastAsia="Times New Roman" w:hAnsi="Times New Roman"/>
                <w:sz w:val="8"/>
                <w:szCs w:val="8"/>
                <w:color w:val="auto"/>
              </w:rPr>
              <w:t>Carlyle</w:t>
            </w:r>
            <w:r>
              <w:rPr>
                <w:rFonts w:ascii="Times New Roman" w:cs="Times New Roman" w:eastAsia="Times New Roman" w:hAnsi="Times New Roman"/>
                <w:sz w:val="12"/>
                <w:szCs w:val="12"/>
                <w:color w:val="auto"/>
                <w:vertAlign w:val="superscript"/>
              </w:rPr>
              <w:t>(5)</w:t>
            </w:r>
          </w:p>
        </w:tc>
        <w:tc>
          <w:tcPr>
            <w:tcW w:w="600" w:type="dxa"/>
            <w:vAlign w:val="bottom"/>
          </w:tcPr>
          <w:p>
            <w:pPr>
              <w:jc w:val="right"/>
              <w:ind w:right="11"/>
              <w:spacing w:after="0" w:line="108" w:lineRule="exact"/>
              <w:rPr>
                <w:sz w:val="20"/>
                <w:szCs w:val="20"/>
                <w:color w:val="auto"/>
              </w:rPr>
            </w:pPr>
            <w:r>
              <w:rPr>
                <w:rFonts w:ascii="Times New Roman" w:cs="Times New Roman" w:eastAsia="Times New Roman" w:hAnsi="Times New Roman"/>
                <w:sz w:val="10"/>
                <w:szCs w:val="10"/>
                <w:color w:val="auto"/>
              </w:rPr>
              <w:t>144,375,681</w:t>
            </w:r>
          </w:p>
        </w:tc>
        <w:tc>
          <w:tcPr>
            <w:tcW w:w="56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17.8%</w:t>
            </w:r>
          </w:p>
        </w:tc>
        <w:tc>
          <w:tcPr>
            <w:tcW w:w="60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127,922,255</w:t>
            </w:r>
          </w:p>
        </w:tc>
        <w:tc>
          <w:tcPr>
            <w:tcW w:w="56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15.2%</w:t>
            </w:r>
          </w:p>
        </w:tc>
        <w:tc>
          <w:tcPr>
            <w:tcW w:w="60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125,454,241</w:t>
            </w:r>
          </w:p>
        </w:tc>
        <w:tc>
          <w:tcPr>
            <w:tcW w:w="56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14.8%</w:t>
            </w:r>
          </w:p>
        </w:tc>
        <w:tc>
          <w:tcPr>
            <w:tcW w:w="600" w:type="dxa"/>
            <w:vAlign w:val="bottom"/>
          </w:tcPr>
          <w:p>
            <w:pPr>
              <w:jc w:val="right"/>
              <w:ind w:right="11"/>
              <w:spacing w:after="0" w:line="108" w:lineRule="exact"/>
              <w:rPr>
                <w:sz w:val="20"/>
                <w:szCs w:val="20"/>
                <w:color w:val="auto"/>
              </w:rPr>
            </w:pPr>
            <w:r>
              <w:rPr>
                <w:rFonts w:ascii="Times New Roman" w:cs="Times New Roman" w:eastAsia="Times New Roman" w:hAnsi="Times New Roman"/>
                <w:sz w:val="10"/>
                <w:szCs w:val="10"/>
                <w:color w:val="auto"/>
              </w:rPr>
              <w:t>70,927,355</w:t>
            </w:r>
          </w:p>
        </w:tc>
        <w:tc>
          <w:tcPr>
            <w:tcW w:w="56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14.1%</w:t>
            </w:r>
          </w:p>
        </w:tc>
        <w:tc>
          <w:tcPr>
            <w:tcW w:w="60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62,842,239</w:t>
            </w:r>
          </w:p>
        </w:tc>
        <w:tc>
          <w:tcPr>
            <w:tcW w:w="56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13.3%</w:t>
            </w:r>
          </w:p>
        </w:tc>
        <w:tc>
          <w:tcPr>
            <w:tcW w:w="62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61,629,472</w:t>
            </w:r>
          </w:p>
        </w:tc>
        <w:tc>
          <w:tcPr>
            <w:tcW w:w="56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13.2%</w:t>
            </w:r>
          </w:p>
        </w:tc>
        <w:tc>
          <w:tcPr>
            <w:tcW w:w="78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22,700,731</w:t>
            </w:r>
          </w:p>
        </w:tc>
        <w:tc>
          <w:tcPr>
            <w:tcW w:w="800" w:type="dxa"/>
            <w:vAlign w:val="bottom"/>
          </w:tcPr>
          <w:p>
            <w:pPr>
              <w:jc w:val="right"/>
              <w:ind w:right="11"/>
              <w:spacing w:after="0" w:line="108" w:lineRule="exact"/>
              <w:rPr>
                <w:sz w:val="20"/>
                <w:szCs w:val="20"/>
                <w:color w:val="auto"/>
              </w:rPr>
            </w:pPr>
            <w:r>
              <w:rPr>
                <w:rFonts w:ascii="Times New Roman" w:cs="Times New Roman" w:eastAsia="Times New Roman" w:hAnsi="Times New Roman"/>
                <w:sz w:val="10"/>
                <w:szCs w:val="10"/>
                <w:color w:val="auto"/>
              </w:rPr>
              <w:t>26,105,840</w:t>
            </w:r>
          </w:p>
        </w:tc>
        <w:tc>
          <w:tcPr>
            <w:tcW w:w="6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16.4%</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vertAlign w:val="subscript"/>
              </w:rPr>
              <w:t>H&amp;F</w:t>
            </w:r>
            <w:r>
              <w:rPr>
                <w:rFonts w:ascii="Times New Roman" w:cs="Times New Roman" w:eastAsia="Times New Roman" w:hAnsi="Times New Roman"/>
                <w:sz w:val="6"/>
                <w:szCs w:val="6"/>
                <w:color w:val="auto"/>
              </w:rPr>
              <w:t>(6)</w:t>
            </w:r>
          </w:p>
        </w:tc>
        <w:tc>
          <w:tcPr>
            <w:tcW w:w="600" w:type="dxa"/>
            <w:vAlign w:val="bottom"/>
            <w:tcBorders>
              <w:right w:val="single" w:sz="8" w:color="CCEEFF"/>
            </w:tcBorders>
            <w:shd w:val="clear" w:color="auto" w:fill="CCEEFF"/>
          </w:tcPr>
          <w:p>
            <w:pPr>
              <w:jc w:val="right"/>
              <w:ind w:right="11"/>
              <w:spacing w:after="0" w:line="108" w:lineRule="exact"/>
              <w:rPr>
                <w:sz w:val="20"/>
                <w:szCs w:val="20"/>
                <w:color w:val="auto"/>
              </w:rPr>
            </w:pPr>
            <w:r>
              <w:rPr>
                <w:rFonts w:ascii="Times New Roman" w:cs="Times New Roman" w:eastAsia="Times New Roman" w:hAnsi="Times New Roman"/>
                <w:sz w:val="10"/>
                <w:szCs w:val="10"/>
                <w:color w:val="auto"/>
              </w:rPr>
              <w:t>99,514,069</w:t>
            </w:r>
          </w:p>
        </w:tc>
        <w:tc>
          <w:tcPr>
            <w:tcW w:w="56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12.3%</w:t>
            </w:r>
          </w:p>
        </w:tc>
        <w:tc>
          <w:tcPr>
            <w:tcW w:w="600" w:type="dxa"/>
            <w:vAlign w:val="bottom"/>
            <w:tcBorders>
              <w:right w:val="single" w:sz="8" w:color="CCEEFF"/>
            </w:tcBorders>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88,174,441</w:t>
            </w:r>
          </w:p>
        </w:tc>
        <w:tc>
          <w:tcPr>
            <w:tcW w:w="56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10.5%</w:t>
            </w:r>
          </w:p>
        </w:tc>
        <w:tc>
          <w:tcPr>
            <w:tcW w:w="600" w:type="dxa"/>
            <w:vAlign w:val="bottom"/>
            <w:tcBorders>
              <w:right w:val="single" w:sz="8" w:color="CCEEFF"/>
            </w:tcBorders>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86,473,497</w:t>
            </w:r>
          </w:p>
        </w:tc>
        <w:tc>
          <w:tcPr>
            <w:tcW w:w="56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10.2%</w:t>
            </w:r>
          </w:p>
        </w:tc>
        <w:tc>
          <w:tcPr>
            <w:tcW w:w="600" w:type="dxa"/>
            <w:vAlign w:val="bottom"/>
            <w:tcBorders>
              <w:right w:val="single" w:sz="8" w:color="CCEEFF"/>
            </w:tcBorders>
            <w:shd w:val="clear" w:color="auto" w:fill="CCEEFF"/>
          </w:tcPr>
          <w:p>
            <w:pPr>
              <w:jc w:val="right"/>
              <w:ind w:right="11"/>
              <w:spacing w:after="0" w:line="108" w:lineRule="exact"/>
              <w:rPr>
                <w:sz w:val="20"/>
                <w:szCs w:val="20"/>
                <w:color w:val="auto"/>
              </w:rPr>
            </w:pPr>
            <w:r>
              <w:rPr>
                <w:rFonts w:ascii="Times New Roman" w:cs="Times New Roman" w:eastAsia="Times New Roman" w:hAnsi="Times New Roman"/>
                <w:sz w:val="10"/>
                <w:szCs w:val="10"/>
                <w:color w:val="auto"/>
              </w:rPr>
              <w:t>115,788,967</w:t>
            </w:r>
          </w:p>
        </w:tc>
        <w:tc>
          <w:tcPr>
            <w:tcW w:w="56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23.1%</w:t>
            </w:r>
          </w:p>
        </w:tc>
        <w:tc>
          <w:tcPr>
            <w:tcW w:w="600" w:type="dxa"/>
            <w:vAlign w:val="bottom"/>
            <w:tcBorders>
              <w:right w:val="single" w:sz="8" w:color="CCEEFF"/>
            </w:tcBorders>
            <w:shd w:val="clear" w:color="auto" w:fill="CCEEFF"/>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102,590,053</w:t>
            </w:r>
          </w:p>
        </w:tc>
        <w:tc>
          <w:tcPr>
            <w:tcW w:w="56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21.7%</w:t>
            </w:r>
          </w:p>
        </w:tc>
        <w:tc>
          <w:tcPr>
            <w:tcW w:w="620" w:type="dxa"/>
            <w:vAlign w:val="bottom"/>
            <w:gridSpan w:val="2"/>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100,610,216</w:t>
            </w:r>
          </w:p>
        </w:tc>
        <w:tc>
          <w:tcPr>
            <w:tcW w:w="560" w:type="dxa"/>
            <w:vAlign w:val="bottom"/>
            <w:gridSpan w:val="2"/>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21.5%</w:t>
            </w:r>
          </w:p>
        </w:tc>
        <w:tc>
          <w:tcPr>
            <w:tcW w:w="780" w:type="dxa"/>
            <w:vAlign w:val="bottom"/>
            <w:gridSpan w:val="2"/>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22,722,815</w:t>
            </w:r>
          </w:p>
        </w:tc>
        <w:tc>
          <w:tcPr>
            <w:tcW w:w="800" w:type="dxa"/>
            <w:vAlign w:val="bottom"/>
            <w:tcBorders>
              <w:right w:val="single" w:sz="8" w:color="CCEEFF"/>
            </w:tcBorders>
            <w:shd w:val="clear" w:color="auto" w:fill="CCEEFF"/>
          </w:tcPr>
          <w:p>
            <w:pPr>
              <w:jc w:val="right"/>
              <w:ind w:right="11"/>
              <w:spacing w:after="0" w:line="108" w:lineRule="exact"/>
              <w:rPr>
                <w:sz w:val="20"/>
                <w:szCs w:val="20"/>
                <w:color w:val="auto"/>
              </w:rPr>
            </w:pPr>
            <w:r>
              <w:rPr>
                <w:rFonts w:ascii="Times New Roman" w:cs="Times New Roman" w:eastAsia="Times New Roman" w:hAnsi="Times New Roman"/>
                <w:sz w:val="10"/>
                <w:szCs w:val="10"/>
                <w:color w:val="auto"/>
              </w:rPr>
              <w:t>26,131,237</w:t>
            </w:r>
          </w:p>
        </w:tc>
        <w:tc>
          <w:tcPr>
            <w:tcW w:w="6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16.4%</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Mozart HoldCo,</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9"/>
                <w:szCs w:val="9"/>
                <w:color w:val="auto"/>
              </w:rPr>
              <w:t>Inc.</w:t>
            </w:r>
            <w:r>
              <w:rPr>
                <w:rFonts w:ascii="Times New Roman" w:cs="Times New Roman" w:eastAsia="Times New Roman" w:hAnsi="Times New Roman"/>
                <w:sz w:val="14"/>
                <w:szCs w:val="14"/>
                <w:color w:val="auto"/>
                <w:vertAlign w:val="superscript"/>
              </w:rPr>
              <w:t>(7)</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287,648</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287,648</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287,648</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234,020,656</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46.6%</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234,020,656</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49.5%</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234,020,656</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GIC Private</w:t>
            </w:r>
          </w:p>
        </w:tc>
        <w:tc>
          <w:tcPr>
            <w:tcW w:w="6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9"/>
                <w:szCs w:val="9"/>
                <w:color w:val="auto"/>
              </w:rPr>
              <w:t>Limited</w:t>
            </w:r>
            <w:r>
              <w:rPr>
                <w:rFonts w:ascii="Times New Roman" w:cs="Times New Roman" w:eastAsia="Times New Roman" w:hAnsi="Times New Roman"/>
                <w:sz w:val="14"/>
                <w:szCs w:val="14"/>
                <w:color w:val="auto"/>
                <w:vertAlign w:val="superscript"/>
              </w:rPr>
              <w:t>(8)</w:t>
            </w:r>
          </w:p>
        </w:tc>
        <w:tc>
          <w:tcPr>
            <w:tcW w:w="6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118,796,825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14.6%</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118,796,825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14.1%</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118,796,825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14.0%</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Abu Dhabi</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Investment</w:t>
            </w: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9"/>
                <w:szCs w:val="9"/>
                <w:color w:val="auto"/>
              </w:rPr>
              <w:t>Authority</w:t>
            </w:r>
            <w:r>
              <w:rPr>
                <w:rFonts w:ascii="Times New Roman" w:cs="Times New Roman" w:eastAsia="Times New Roman" w:hAnsi="Times New Roman"/>
                <w:sz w:val="14"/>
                <w:szCs w:val="14"/>
                <w:color w:val="auto"/>
                <w:vertAlign w:val="superscript"/>
              </w:rPr>
              <w:t>(9)</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47,515,277</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5.9%</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42,158,811</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5.0%</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41,355,340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4.9%</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5,356,466</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6,159,937</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James M.</w:t>
            </w:r>
          </w:p>
        </w:tc>
        <w:tc>
          <w:tcPr>
            <w:tcW w:w="6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9"/>
                <w:szCs w:val="9"/>
                <w:color w:val="auto"/>
              </w:rPr>
              <w:t>Boyle</w:t>
            </w:r>
            <w:r>
              <w:rPr>
                <w:rFonts w:ascii="Times New Roman" w:cs="Times New Roman" w:eastAsia="Times New Roman" w:hAnsi="Times New Roman"/>
                <w:sz w:val="14"/>
                <w:szCs w:val="14"/>
                <w:color w:val="auto"/>
                <w:vertAlign w:val="superscript"/>
              </w:rPr>
              <w:t>(10)</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2,309,962</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2,309,962</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2,309,962</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 xml:space="preserve">* </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James M.</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9"/>
                <w:szCs w:val="9"/>
                <w:color w:val="auto"/>
              </w:rPr>
              <w:t>Pigott</w:t>
            </w:r>
            <w:r>
              <w:rPr>
                <w:rFonts w:ascii="Times New Roman" w:cs="Times New Roman" w:eastAsia="Times New Roman" w:hAnsi="Times New Roman"/>
                <w:sz w:val="14"/>
                <w:szCs w:val="14"/>
                <w:color w:val="auto"/>
                <w:vertAlign w:val="superscript"/>
              </w:rPr>
              <w:t>(11)</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2,938,448</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2,938,448</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2,938,448</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 xml:space="preserve">*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Michael B.</w:t>
            </w:r>
          </w:p>
        </w:tc>
        <w:tc>
          <w:tcPr>
            <w:tcW w:w="6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9"/>
                <w:szCs w:val="9"/>
                <w:color w:val="auto"/>
              </w:rPr>
              <w:t>Drazin</w:t>
            </w:r>
            <w:r>
              <w:rPr>
                <w:rFonts w:ascii="Times New Roman" w:cs="Times New Roman" w:eastAsia="Times New Roman" w:hAnsi="Times New Roman"/>
                <w:sz w:val="14"/>
                <w:szCs w:val="14"/>
                <w:color w:val="auto"/>
                <w:vertAlign w:val="superscript"/>
              </w:rPr>
              <w:t>(12)</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1,790,273</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1,790,273</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1,790,273</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 xml:space="preserve">* </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Stephen L.</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9"/>
                <w:szCs w:val="9"/>
                <w:color w:val="auto"/>
              </w:rPr>
              <w:t>Miller</w:t>
            </w:r>
            <w:r>
              <w:rPr>
                <w:rFonts w:ascii="Times New Roman" w:cs="Times New Roman" w:eastAsia="Times New Roman" w:hAnsi="Times New Roman"/>
                <w:sz w:val="14"/>
                <w:szCs w:val="14"/>
                <w:color w:val="auto"/>
                <w:vertAlign w:val="superscript"/>
              </w:rPr>
              <w:t>(13)</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479,213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479,213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479,213</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 xml:space="preserve">*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Douglas P.</w:t>
            </w:r>
          </w:p>
        </w:tc>
        <w:tc>
          <w:tcPr>
            <w:tcW w:w="6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9"/>
                <w:szCs w:val="9"/>
                <w:color w:val="auto"/>
              </w:rPr>
              <w:t>Golwas</w:t>
            </w:r>
            <w:r>
              <w:rPr>
                <w:rFonts w:ascii="Times New Roman" w:cs="Times New Roman" w:eastAsia="Times New Roman" w:hAnsi="Times New Roman"/>
                <w:sz w:val="14"/>
                <w:szCs w:val="14"/>
                <w:color w:val="auto"/>
                <w:vertAlign w:val="superscript"/>
              </w:rPr>
              <w:t>(14)</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1,384,503</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1,384,503</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1,384,503</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 xml:space="preserve">* </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Joseph P. Baratta</w:t>
            </w:r>
          </w:p>
        </w:tc>
        <w:tc>
          <w:tcPr>
            <w:tcW w:w="600" w:type="dxa"/>
            <w:vAlign w:val="bottom"/>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ind w:left="3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9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Jacob D. Best</w:t>
            </w:r>
          </w:p>
        </w:tc>
        <w:tc>
          <w:tcPr>
            <w:tcW w:w="600" w:type="dxa"/>
            <w:vAlign w:val="bottom"/>
            <w:tcBorders>
              <w:right w:val="single" w:sz="8" w:color="CCEEFF"/>
            </w:tcBorders>
            <w:shd w:val="clear" w:color="auto" w:fill="CCEEFF"/>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ind w:left="3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9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Todd M.</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Bluedorn</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Richard A.</w:t>
            </w:r>
          </w:p>
        </w:tc>
        <w:tc>
          <w:tcPr>
            <w:tcW w:w="6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Galanti</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— </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Patrick J.</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9"/>
                <w:szCs w:val="9"/>
                <w:color w:val="auto"/>
              </w:rPr>
              <w:t>Healy</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719,909</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1,161,513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1,227,753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 xml:space="preserve">*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Andrew J.</w:t>
            </w:r>
          </w:p>
        </w:tc>
        <w:tc>
          <w:tcPr>
            <w:tcW w:w="6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9"/>
                <w:szCs w:val="9"/>
                <w:color w:val="auto"/>
              </w:rPr>
              <w:t>Mills</w:t>
            </w:r>
            <w:r>
              <w:rPr>
                <w:rFonts w:ascii="Times New Roman" w:cs="Times New Roman" w:eastAsia="Times New Roman" w:hAnsi="Times New Roman"/>
                <w:sz w:val="14"/>
                <w:szCs w:val="14"/>
                <w:color w:val="auto"/>
                <w:vertAlign w:val="superscript"/>
              </w:rPr>
              <w:t>(16)</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30,655</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30,655</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30,655</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 xml:space="preserve">* </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Charles N.</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9"/>
                <w:szCs w:val="9"/>
                <w:color w:val="auto"/>
              </w:rPr>
              <w:t>Mills</w:t>
            </w:r>
            <w:r>
              <w:rPr>
                <w:rFonts w:ascii="Times New Roman" w:cs="Times New Roman" w:eastAsia="Times New Roman" w:hAnsi="Times New Roman"/>
                <w:sz w:val="14"/>
                <w:szCs w:val="14"/>
                <w:color w:val="auto"/>
                <w:vertAlign w:val="superscript"/>
              </w:rPr>
              <w:t>(17)</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64,005</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64,005</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64,005</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 xml:space="preserve">*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Robert R.</w:t>
            </w:r>
          </w:p>
        </w:tc>
        <w:tc>
          <w:tcPr>
            <w:tcW w:w="6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Schmidt</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— </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Anushka M.</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Sunder</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Thomas W. Sweet</w:t>
            </w:r>
          </w:p>
        </w:tc>
        <w:tc>
          <w:tcPr>
            <w:tcW w:w="600" w:type="dxa"/>
            <w:vAlign w:val="bottom"/>
            <w:tcBorders>
              <w:right w:val="single" w:sz="8" w:color="CCEEFF"/>
            </w:tcBorders>
            <w:shd w:val="clear" w:color="auto" w:fill="CCEEFF"/>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ind w:left="3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Borders>
              <w:right w:val="single" w:sz="8" w:color="CCEEFF"/>
            </w:tcBorders>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9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Stephen H. Wise</w:t>
            </w:r>
          </w:p>
        </w:tc>
        <w:tc>
          <w:tcPr>
            <w:tcW w:w="600" w:type="dxa"/>
            <w:vAlign w:val="bottom"/>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ind w:left="3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jc w:val="right"/>
              <w:ind w:right="3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tcPr>
          <w:p>
            <w:pPr>
              <w:jc w:val="right"/>
              <w:ind w:right="91"/>
              <w:spacing w:after="0" w:line="108" w:lineRule="exact"/>
              <w:rPr>
                <w:sz w:val="20"/>
                <w:szCs w:val="20"/>
                <w:color w:val="auto"/>
              </w:rPr>
            </w:pPr>
            <w:r>
              <w:rPr>
                <w:rFonts w:ascii="Times New Roman" w:cs="Times New Roman" w:eastAsia="Times New Roman" w:hAnsi="Times New Roman"/>
                <w:sz w:val="10"/>
                <w:szCs w:val="10"/>
                <w:color w:val="auto"/>
              </w:rPr>
              <w:t>— </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Directors and</w:t>
            </w:r>
          </w:p>
        </w:tc>
        <w:tc>
          <w:tcPr>
            <w:tcW w:w="6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 w:type="dxa"/>
            <w:vAlign w:val="bottom"/>
            <w:gridSpan w:val="2"/>
            <w:shd w:val="clear" w:color="auto" w:fill="CCEEFF"/>
          </w:tcPr>
          <w:p>
            <w:pPr>
              <w:ind w:left="100"/>
              <w:spacing w:after="0" w:line="108" w:lineRule="exact"/>
              <w:rPr>
                <w:sz w:val="20"/>
                <w:szCs w:val="20"/>
                <w:color w:val="auto"/>
              </w:rPr>
            </w:pPr>
            <w:r>
              <w:rPr>
                <w:rFonts w:ascii="Times New Roman" w:cs="Times New Roman" w:eastAsia="Times New Roman" w:hAnsi="Times New Roman"/>
                <w:sz w:val="10"/>
                <w:szCs w:val="10"/>
                <w:color w:val="auto"/>
              </w:rPr>
              <w:t>executive</w:t>
            </w:r>
          </w:p>
        </w:tc>
        <w:tc>
          <w:tcPr>
            <w:tcW w:w="6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 w:type="dxa"/>
            <w:vAlign w:val="bottom"/>
            <w:gridSpan w:val="2"/>
            <w:shd w:val="clear" w:color="auto" w:fill="CCEEFF"/>
          </w:tcPr>
          <w:p>
            <w:pPr>
              <w:ind w:left="100"/>
              <w:spacing w:after="0" w:line="108" w:lineRule="exact"/>
              <w:rPr>
                <w:sz w:val="20"/>
                <w:szCs w:val="20"/>
                <w:color w:val="auto"/>
              </w:rPr>
            </w:pPr>
            <w:r>
              <w:rPr>
                <w:rFonts w:ascii="Times New Roman" w:cs="Times New Roman" w:eastAsia="Times New Roman" w:hAnsi="Times New Roman"/>
                <w:sz w:val="10"/>
                <w:szCs w:val="10"/>
                <w:color w:val="auto"/>
              </w:rPr>
              <w:t>officers as a</w:t>
            </w:r>
          </w:p>
        </w:tc>
        <w:tc>
          <w:tcPr>
            <w:tcW w:w="6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 w:type="dxa"/>
            <w:vAlign w:val="bottom"/>
            <w:gridSpan w:val="2"/>
            <w:shd w:val="clear" w:color="auto" w:fill="CCEEFF"/>
          </w:tcPr>
          <w:p>
            <w:pPr>
              <w:ind w:left="100"/>
              <w:spacing w:after="0" w:line="108" w:lineRule="exact"/>
              <w:rPr>
                <w:sz w:val="20"/>
                <w:szCs w:val="20"/>
                <w:color w:val="auto"/>
              </w:rPr>
            </w:pPr>
            <w:r>
              <w:rPr>
                <w:rFonts w:ascii="Times New Roman" w:cs="Times New Roman" w:eastAsia="Times New Roman" w:hAnsi="Times New Roman"/>
                <w:sz w:val="10"/>
                <w:szCs w:val="10"/>
                <w:color w:val="auto"/>
              </w:rPr>
              <w:t>group</w:t>
            </w:r>
          </w:p>
        </w:tc>
        <w:tc>
          <w:tcPr>
            <w:tcW w:w="6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9"/>
                <w:szCs w:val="9"/>
                <w:color w:val="auto"/>
              </w:rPr>
              <w:t>(19 persons)</w:t>
            </w:r>
            <w:r>
              <w:rPr>
                <w:rFonts w:ascii="Times New Roman" w:cs="Times New Roman" w:eastAsia="Times New Roman" w:hAnsi="Times New Roman"/>
                <w:sz w:val="14"/>
                <w:szCs w:val="14"/>
                <w:color w:val="auto"/>
                <w:vertAlign w:val="superscript"/>
              </w:rPr>
              <w:t>(18)</w:t>
            </w:r>
          </w:p>
        </w:tc>
        <w:tc>
          <w:tcPr>
            <w:tcW w:w="6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719,909</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1,161,513</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1,227,753</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12,489,194</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12,489,194</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2.6%</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12,489,194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1.0%</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68580</wp:posOffset>
            </wp:positionV>
            <wp:extent cx="61468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113" w:lineRule="exact"/>
        <w:rPr>
          <w:sz w:val="20"/>
          <w:szCs w:val="20"/>
          <w:color w:val="auto"/>
        </w:rPr>
      </w:pPr>
    </w:p>
    <w:p>
      <w:pPr>
        <w:ind w:left="1600" w:hanging="346"/>
        <w:spacing w:after="0"/>
        <w:tabs>
          <w:tab w:leader="none" w:pos="160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less than 1%.</w:t>
      </w:r>
    </w:p>
    <w:p>
      <w:pPr>
        <w:spacing w:after="0" w:line="4" w:lineRule="exact"/>
        <w:rPr>
          <w:sz w:val="20"/>
          <w:szCs w:val="20"/>
          <w:color w:val="auto"/>
        </w:rPr>
      </w:pPr>
    </w:p>
    <w:p>
      <w:pPr>
        <w:jc w:val="both"/>
        <w:ind w:left="1600" w:right="1360" w:hanging="346"/>
        <w:spacing w:after="0"/>
        <w:tabs>
          <w:tab w:leader="none" w:pos="160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Subject to the terms of the exchange agreement, Common Units are exchangeable for shares of our Class A common stock on a one-for-one basis, subject to customary conversion rate adjustments for stock splits, stock dividends, and reclassifications, whereupon an equivalent number of shares of Class B common stock held by each such Continuing Unitholder will be</w:t>
      </w: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360"/>
          </w:cols>
          <w:pgMar w:left="300" w:top="392"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8" w:lineRule="exact"/>
        <w:rPr>
          <w:sz w:val="20"/>
          <w:szCs w:val="20"/>
          <w:color w:val="auto"/>
        </w:rPr>
      </w:pPr>
    </w:p>
    <w:p>
      <w:pPr>
        <w:ind w:left="1600" w:right="159"/>
        <w:spacing w:after="0" w:line="238" w:lineRule="auto"/>
        <w:rPr>
          <w:sz w:val="20"/>
          <w:szCs w:val="20"/>
          <w:color w:val="auto"/>
        </w:rPr>
      </w:pPr>
      <w:r>
        <w:rPr>
          <w:rFonts w:ascii="Times New Roman" w:cs="Times New Roman" w:eastAsia="Times New Roman" w:hAnsi="Times New Roman"/>
          <w:sz w:val="11"/>
          <w:szCs w:val="11"/>
          <w:color w:val="auto"/>
        </w:rPr>
        <w:t>automatically transferred to us and cancelled and retired upon any such exchange. See “Certain Relationships and Related Person Transactions—Exchange Agreement.” The Continuing Common Unitholders hold all of the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p>
    <w:p>
      <w:pPr>
        <w:spacing w:after="0" w:line="69" w:lineRule="exact"/>
        <w:rPr>
          <w:sz w:val="20"/>
          <w:szCs w:val="20"/>
          <w:color w:val="auto"/>
        </w:rPr>
      </w:pPr>
    </w:p>
    <w:p>
      <w:pPr>
        <w:ind w:left="1600" w:right="159" w:hanging="346"/>
        <w:spacing w:after="0" w:line="245" w:lineRule="auto"/>
        <w:tabs>
          <w:tab w:leader="none" w:pos="160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Prior to the consummation of this offering, we will issue to certain selling stockholders 29,065,135 shares of our Class A common stock (or 33,424,904 shares of our Class A common stock if the underwriters exercise in full their option to purchase additional shares of Class A common stock) that will be issued in exchange for an equivalent number of outstanding Common Units, all of which will be sold by the selling stockholders in this offering.</w:t>
      </w:r>
    </w:p>
    <w:p>
      <w:pPr>
        <w:spacing w:after="0" w:line="65" w:lineRule="exact"/>
        <w:rPr>
          <w:sz w:val="20"/>
          <w:szCs w:val="20"/>
          <w:color w:val="auto"/>
        </w:rPr>
      </w:pPr>
    </w:p>
    <w:p>
      <w:pPr>
        <w:ind w:left="1600" w:right="259" w:hanging="346"/>
        <w:spacing w:after="0" w:line="238" w:lineRule="auto"/>
        <w:tabs>
          <w:tab w:leader="none" w:pos="160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Class A common stock offered by Blackstone includes: 7,166,716 shares offered for the account of BX Mozart ML-1 Holdco L.P. and 1,083,082 shares offered for the account of Mozart Aggregator UNLV Holdco L.P. (or 8,241,723 shares offered for the account of BX Mozart ML-1 Holdco L.P. and 1,245,544 shares offered for the account of Mozart Aggregator UNLV Holdco L.P. if the underwriters exercise in full their option to purchase additional shares of Class A common stock), which shares will, in each case, be issued for the account of such persons in exchange for an equivalent number of Common Units held by such persons.</w:t>
      </w:r>
    </w:p>
    <w:p>
      <w:pPr>
        <w:spacing w:after="0" w:line="68" w:lineRule="exact"/>
        <w:rPr>
          <w:rFonts w:ascii="Times New Roman" w:cs="Times New Roman" w:eastAsia="Times New Roman" w:hAnsi="Times New Roman"/>
          <w:sz w:val="11"/>
          <w:szCs w:val="11"/>
          <w:color w:val="auto"/>
        </w:rPr>
      </w:pPr>
    </w:p>
    <w:p>
      <w:pPr>
        <w:ind w:left="1600" w:right="139" w:hanging="346"/>
        <w:spacing w:after="0" w:line="238" w:lineRule="auto"/>
        <w:tabs>
          <w:tab w:leader="none" w:pos="160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Class A common stock offered by Carlyle includes: 6,333,070 shares offered for the account of CP Circle ML-1 Holdco, L.P. and 1,752,046 shares offered for the account of CP Circle UNLV Holdco, L.P. (or 7,283,030 shares offered for the account of CP Circle ML-1 Holdco, L.P. and 2,014,853 shares offered for the account of CP Circle UNLV Holdco, L.P. if the underwriters exercise in full their option to purchase additional shares of Class A common stock), which shares will, in each case, be issued for the account of such persons in exchange for an equivalent number of Common Units held by such persons.</w:t>
      </w:r>
    </w:p>
    <w:p>
      <w:pPr>
        <w:spacing w:after="0" w:line="68" w:lineRule="exact"/>
        <w:rPr>
          <w:rFonts w:ascii="Times New Roman" w:cs="Times New Roman" w:eastAsia="Times New Roman" w:hAnsi="Times New Roman"/>
          <w:sz w:val="11"/>
          <w:szCs w:val="11"/>
          <w:color w:val="auto"/>
        </w:rPr>
      </w:pPr>
    </w:p>
    <w:p>
      <w:pPr>
        <w:ind w:left="1600" w:right="159" w:hanging="346"/>
        <w:spacing w:after="0" w:line="245" w:lineRule="auto"/>
        <w:tabs>
          <w:tab w:leader="none" w:pos="160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Class A common stock offered by H&amp;F includes: 12,730,221 shares offered for the account of Mend Investment Holdings I, L.P. (or 14,639,754 shares offered for the account of Mend Investment Holdings I, L.P. if the underwriters exercise in full their option to purchase additional shares of Class A common stock), which shares will, in each case, be issued for the account of such person in exchange for an equivalent number of Common Units held by such person.</w:t>
      </w:r>
    </w:p>
    <w:p>
      <w:pPr>
        <w:spacing w:after="0" w:line="65" w:lineRule="exact"/>
        <w:rPr>
          <w:sz w:val="20"/>
          <w:szCs w:val="20"/>
          <w:color w:val="auto"/>
        </w:rPr>
      </w:pPr>
    </w:p>
    <w:p>
      <w:pPr>
        <w:ind w:left="1600" w:right="259" w:hanging="346"/>
        <w:spacing w:after="0" w:line="265" w:lineRule="auto"/>
        <w:tabs>
          <w:tab w:leader="none" w:pos="160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percentage of voting power of the shares eligible to vote in the election of directors of Medline Inc. voting together as a single class. See “Description of Capital Stock— Common Stock.”</w:t>
      </w:r>
    </w:p>
    <w:p>
      <w:pPr>
        <w:spacing w:after="0" w:line="54" w:lineRule="exact"/>
        <w:rPr>
          <w:rFonts w:ascii="Times New Roman" w:cs="Times New Roman" w:eastAsia="Times New Roman" w:hAnsi="Times New Roman"/>
          <w:sz w:val="11"/>
          <w:szCs w:val="11"/>
          <w:color w:val="auto"/>
        </w:rPr>
      </w:pPr>
    </w:p>
    <w:p>
      <w:pPr>
        <w:ind w:left="1600" w:right="359" w:hanging="346"/>
        <w:spacing w:after="0" w:line="265" w:lineRule="auto"/>
        <w:tabs>
          <w:tab w:leader="none" w:pos="160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Blackstone Funds that are selling stockholders in this offering are BX Mozart ML-1 Holdco, L.P., Mozart Aggregator UNLV Holdco L.P., BX Mozart ML-2 Holdco, L.P., and Mozart Aggregator II UNLV Holdco L.P. (collectively, the “Blackstone Funds”). They are offering 7,166,716, 1,083,082, 14,329,637, and 1,640,553 shares, respectively.</w:t>
      </w:r>
    </w:p>
    <w:p>
      <w:pPr>
        <w:spacing w:after="0" w:line="54" w:lineRule="exact"/>
        <w:rPr>
          <w:sz w:val="20"/>
          <w:szCs w:val="20"/>
          <w:color w:val="auto"/>
        </w:rPr>
      </w:pPr>
    </w:p>
    <w:p>
      <w:pPr>
        <w:ind w:left="1600" w:right="219" w:hanging="346"/>
        <w:spacing w:after="0"/>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10,185 shares of Class A common stock and 55,704,409 shares of Class B common stock directly held by BX Mozart ML-1 Holdco L.P., 1,539 shares of Class A common stock and 8,418,425 shares of Class B common stock directly held by Mozart Aggregator UNLV Holdco L.P., 111,399,685 shares of Class A common stock directly held by BX Mozart ML-2 Holdco L.P., 12,753,787 shares of Class A common stock directly held by Mozart Aggregator II UNLV Holdco L.P., and 2,476,464 shares of Class A common stock directly held by Mozart Aggregator II LP. Includes any reduction in beneficial ownership associated with the distribution of an aggregate of 318,554 shares of Class A common stock in kind to certain of its affiliates and limited partners following the consummation of this offering. Any recipients of such distributions would be subject to a lock-up agreement with the underwriters. It is expected that the Blackstone Funds will act as selling stockholders with respect to the shares they directly hold and the shares that they receive in exchange for Common Units.</w:t>
      </w:r>
    </w:p>
    <w:p>
      <w:pPr>
        <w:spacing w:after="0" w:line="166" w:lineRule="exact"/>
        <w:rPr>
          <w:rFonts w:ascii="Times New Roman" w:cs="Times New Roman" w:eastAsia="Times New Roman" w:hAnsi="Times New Roman"/>
          <w:sz w:val="11"/>
          <w:szCs w:val="11"/>
          <w:color w:val="auto"/>
        </w:rPr>
      </w:pPr>
    </w:p>
    <w:p>
      <w:pPr>
        <w:ind w:left="1600" w:right="299" w:hanging="346"/>
        <w:spacing w:after="0" w:line="265" w:lineRule="auto"/>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BX Mozart ML-1 Holdco GP L.L.C. is the general partner of BX Mozart ML-1 Holdco L.P. BCP Mozart Aggregator L.P. is the managing member of BX Mozart ML-1 Holdco GP L.L.C.</w:t>
      </w:r>
    </w:p>
    <w:p>
      <w:pPr>
        <w:spacing w:after="0" w:line="54" w:lineRule="exact"/>
        <w:rPr>
          <w:rFonts w:ascii="Times New Roman" w:cs="Times New Roman" w:eastAsia="Times New Roman" w:hAnsi="Times New Roman"/>
          <w:sz w:val="11"/>
          <w:szCs w:val="11"/>
          <w:color w:val="auto"/>
        </w:rPr>
      </w:pPr>
    </w:p>
    <w:p>
      <w:pPr>
        <w:ind w:left="1600" w:hanging="346"/>
        <w:spacing w:after="0"/>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BCP 8 Holdings Mozart Manager L.L.C. is the general partner of BCP Mozart Aggregator L.P. BMA VIII L.L.C. is the managing member of BCP 8 Holdings Mozart Manager L.L.C.</w:t>
      </w:r>
    </w:p>
    <w:p>
      <w:pPr>
        <w:spacing w:after="0" w:line="88" w:lineRule="exact"/>
        <w:rPr>
          <w:rFonts w:ascii="Times New Roman" w:cs="Times New Roman" w:eastAsia="Times New Roman" w:hAnsi="Times New Roman"/>
          <w:sz w:val="11"/>
          <w:szCs w:val="11"/>
          <w:color w:val="auto"/>
        </w:rPr>
      </w:pPr>
    </w:p>
    <w:p>
      <w:pPr>
        <w:ind w:left="1600" w:right="479" w:hanging="346"/>
        <w:spacing w:after="0" w:line="265" w:lineRule="auto"/>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BCP 8 Holdings Mozart Manager L.L.C. is the general partner of Mozart Aggregator UNLV Holdco L.P. BMA VIII L.L.C. is the managing member of BCP 8 Holdings Mozart Manager L.L.C.</w:t>
      </w:r>
    </w:p>
    <w:p>
      <w:pPr>
        <w:spacing w:after="0" w:line="54" w:lineRule="exact"/>
        <w:rPr>
          <w:rFonts w:ascii="Times New Roman" w:cs="Times New Roman" w:eastAsia="Times New Roman" w:hAnsi="Times New Roman"/>
          <w:sz w:val="11"/>
          <w:szCs w:val="11"/>
          <w:color w:val="auto"/>
        </w:rPr>
      </w:pPr>
    </w:p>
    <w:p>
      <w:pPr>
        <w:ind w:left="1600" w:hanging="346"/>
        <w:spacing w:after="0"/>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BX Mozart ML-2 Holdco GP L.L.C. is the general partner of BX Mozart ML-2 Holdco L.P. Mozart Aggregator II LP is the managing member of BX Mozart ML-2 Holdco GP L.L.C.</w:t>
      </w:r>
    </w:p>
    <w:p>
      <w:pPr>
        <w:spacing w:after="0" w:line="88" w:lineRule="exact"/>
        <w:rPr>
          <w:rFonts w:ascii="Times New Roman" w:cs="Times New Roman" w:eastAsia="Times New Roman" w:hAnsi="Times New Roman"/>
          <w:sz w:val="11"/>
          <w:szCs w:val="11"/>
          <w:color w:val="auto"/>
        </w:rPr>
      </w:pPr>
    </w:p>
    <w:p>
      <w:pPr>
        <w:ind w:left="1600" w:right="279" w:hanging="346"/>
        <w:spacing w:after="0" w:line="252" w:lineRule="auto"/>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Management Associates VIII L.P. is the general partner of Mozart Aggregator II LP. BMA VIII L.L.C. is the general partner of Blackstone Management Associates VIII L.P.</w:t>
      </w:r>
    </w:p>
    <w:p>
      <w:pPr>
        <w:spacing w:after="0" w:line="200" w:lineRule="exact"/>
        <w:rPr>
          <w:rFonts w:ascii="Times New Roman" w:cs="Times New Roman" w:eastAsia="Times New Roman" w:hAnsi="Times New Roman"/>
          <w:sz w:val="11"/>
          <w:szCs w:val="11"/>
          <w:color w:val="auto"/>
        </w:rPr>
      </w:pPr>
    </w:p>
    <w:p>
      <w:pPr>
        <w:ind w:left="1600" w:right="299" w:hanging="346"/>
        <w:spacing w:after="0" w:line="265" w:lineRule="auto"/>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Management Associates VIII L.P. is the general partner of Mozart Aggregator II UNLV Holdco L.P. BMA VIII L.L.C. is the general partner of Blackstone Management Associates VIII L.P.</w:t>
      </w:r>
    </w:p>
    <w:p>
      <w:pPr>
        <w:spacing w:after="0" w:line="54" w:lineRule="exact"/>
        <w:rPr>
          <w:rFonts w:ascii="Times New Roman" w:cs="Times New Roman" w:eastAsia="Times New Roman" w:hAnsi="Times New Roman"/>
          <w:sz w:val="11"/>
          <w:szCs w:val="11"/>
          <w:color w:val="auto"/>
        </w:rPr>
      </w:pPr>
    </w:p>
    <w:p>
      <w:pPr>
        <w:ind w:left="1600" w:hanging="346"/>
        <w:spacing w:after="0"/>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Holdings II L.P. is the managing member of BMA VIII L.L.C. Blackstone Holdings I/II GP L.L.C. is the general partner of Blackstone Holdings II L.P.</w:t>
      </w:r>
    </w:p>
    <w:p>
      <w:pPr>
        <w:spacing w:after="0" w:line="88" w:lineRule="exact"/>
        <w:rPr>
          <w:rFonts w:ascii="Times New Roman" w:cs="Times New Roman" w:eastAsia="Times New Roman" w:hAnsi="Times New Roman"/>
          <w:sz w:val="11"/>
          <w:szCs w:val="11"/>
          <w:color w:val="auto"/>
        </w:rPr>
      </w:pPr>
    </w:p>
    <w:p>
      <w:pPr>
        <w:ind w:left="1600" w:right="199" w:hanging="346"/>
        <w:spacing w:after="0" w:line="265" w:lineRule="auto"/>
        <w:tabs>
          <w:tab w:leader="none" w:pos="16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92"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8" w:lineRule="exact"/>
        <w:rPr>
          <w:sz w:val="20"/>
          <w:szCs w:val="20"/>
          <w:color w:val="auto"/>
        </w:rPr>
      </w:pPr>
    </w:p>
    <w:p>
      <w:pPr>
        <w:ind w:left="1600" w:right="459" w:hanging="346"/>
        <w:spacing w:after="0" w:line="245" w:lineRule="auto"/>
        <w:tabs>
          <w:tab w:leader="none" w:pos="160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64" w:lineRule="exact"/>
        <w:rPr>
          <w:rFonts w:ascii="Times New Roman" w:cs="Times New Roman" w:eastAsia="Times New Roman" w:hAnsi="Times New Roman"/>
          <w:sz w:val="11"/>
          <w:szCs w:val="11"/>
          <w:color w:val="auto"/>
        </w:rPr>
      </w:pPr>
    </w:p>
    <w:p>
      <w:pPr>
        <w:ind w:left="1600" w:right="239" w:hanging="346"/>
        <w:spacing w:after="0" w:line="238" w:lineRule="auto"/>
        <w:tabs>
          <w:tab w:leader="none" w:pos="160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to us, as of the date of this prospectus, certain of the Blackstone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69" w:lineRule="exact"/>
        <w:rPr>
          <w:sz w:val="20"/>
          <w:szCs w:val="20"/>
          <w:color w:val="auto"/>
        </w:rPr>
      </w:pPr>
    </w:p>
    <w:p>
      <w:pPr>
        <w:ind w:left="1600" w:right="219" w:hanging="346"/>
        <w:spacing w:after="0" w:line="238" w:lineRule="auto"/>
        <w:tabs>
          <w:tab w:leader="none" w:pos="1600" w:val="left"/>
        </w:tabs>
        <w:numPr>
          <w:ilvl w:val="0"/>
          <w:numId w:val="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Carlyle Funds that are selling stockholders in this offering are CP Circle ML-1 Holdco, L.P., CP Circle UNLV Holdco, L.P., CP Circle ML-2 Holdco, L.P., CP Circle ML-3 Holdco, L.P., CP Circle ML-4 Holdco, L.P., CP Circle ML-5 Holdco, L.P., CP Circle ML-6 Holdco, L.P., CP Circle ML-7 Holdco, L.P., Carlyle Mozart Coinvestment UNLV Holdco, L.P., and CPEP Circle Holdings L.P. (collectively, the “Selling Carlyle Funds”). They are offering 6,333,070, 1,752,046, 30,591, 6,652,492, 3,037,970, 753,941, 278,123, 2,010,107, 1,756,825, and 95,566 shares, respectively.</w:t>
      </w:r>
    </w:p>
    <w:p>
      <w:pPr>
        <w:spacing w:after="0" w:line="69" w:lineRule="exact"/>
        <w:rPr>
          <w:sz w:val="20"/>
          <w:szCs w:val="20"/>
          <w:color w:val="auto"/>
        </w:rPr>
      </w:pPr>
    </w:p>
    <w:p>
      <w:pPr>
        <w:ind w:left="1600" w:right="159" w:hanging="346"/>
        <w:spacing w:after="0" w:line="229" w:lineRule="auto"/>
        <w:tabs>
          <w:tab w:leader="none" w:pos="16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9,454 shares of Class A common stock and 49,224,311 shares of Class B common stock directly held by CP Circle ML-1 Holdco, L.P., 2,615 shares of Class A common stock and 13,617,928 shares of Class B common stock directly held by CP Circle UNLV Holdco, L.P., 237,820 shares of Class A common stock directly held by CP Circle ML-2 Holdco, L.P., 51,716,974 shares of Class A common stock directly held by CP Circle ML-3 Holdco, L.P., 23,617,411 shares of Class A common stock directly held by CP Circle ML-4 Holdco, L.P., 5,861,192 shares of Class A common stock directly held by CP Circle ML-5 Holdco, L.P., 2,162,152 shares of Class A common stock directly held by CP Circle ML-6 Holdco, L.P., 15,626,726 shares of Class A common stock directly held by CP Circle ML-7 Holdco, L.P., 13,657,689 shares of Class A common stock directly held by Carlyle Mozart Coinvestment UNLV Holdco, L.P., 14,287,283 shares of Class A common stock directly held by Carlyle Mozart Coinvestment Holdings, L.P., and 742,939 shares of Class A common stock directly held by CPEP Circle Holdings L.P. (Carlyle Mozart Coinvestment Holdings, L.P., Carlyle Mozart Coinvestment UNLV Holdco, L.P., CP Circle ML-7 Holdco, L.P., CP Circle ML-6 Holdco, L.P., CP Circle ML-5 Holdco, L.P., CP Circle ML-4 Holdco, L.P., CP Circle ML-3 Holdco, L.P., CP Circle ML-2 Holdco, L.P., CP Circle ML-1 Holdco, L.P., CP Circle UNLV Holdco, L.P., and CPEP Circle Holdings L.P., collectively, the “Carlyle Funds”). Includes any reduction in beneficial ownership associated with the distribution of an aggregate of 1,837,811 shares of Class A common stock in kind to certain of its affiliates and limited partners following the consummation of this offering. Any recipients of such distributions would be subject to a lock-up agreement with the underwriters. It is expected that the Selling Carlyle Funds will act as selling stockholders with respect to the shares they directly hold and the shares that they receive in exchange for Common Units.</w:t>
      </w:r>
    </w:p>
    <w:p>
      <w:pPr>
        <w:spacing w:after="0" w:line="68" w:lineRule="exact"/>
        <w:rPr>
          <w:rFonts w:ascii="Times New Roman" w:cs="Times New Roman" w:eastAsia="Times New Roman" w:hAnsi="Times New Roman"/>
          <w:sz w:val="11"/>
          <w:szCs w:val="11"/>
          <w:color w:val="auto"/>
        </w:rPr>
      </w:pPr>
    </w:p>
    <w:p>
      <w:pPr>
        <w:ind w:left="1600" w:right="139" w:hanging="346"/>
        <w:spacing w:after="0"/>
        <w:tabs>
          <w:tab w:leader="none" w:pos="16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sole member of TC Group, L.L.C., which is the general partner of TC Group Sub L.P., which is the managing member of TC Group VII S1, L.L.C., which is the general partner of TC Group VII S1, L.P., which is the general partner of each of Carlyle Mozart Coinvestment Holdings, L.P., CP Circle Holdings, L.P., CP Circle UNLV Holdco, L.P., Carlyle Mozart Coinvestment UNLV Holdco, L.P., and CP VII Circle Holdings – A, L.P., which is the managing member of CP Circle ML Holdco GP, LLC, which is the general partner of each of CP Circle ML-7 Holdco, L.P., CP Circle ML-6 Holdco, L.P., CP Circle ML-5 Holdco, L.P., CP Circle ML-4 Holdco, L.P., CP Circle ML-3 Holdco, L.P. and CP Circle ML-2 Holdco, L.P. CP Circle Holdings, L.P. is the managing member of CP Circle ML-1 Holdco GP, LLC, which is the general partner of CP Circle ML-1 Holdco, L.P.</w:t>
      </w:r>
    </w:p>
    <w:p>
      <w:pPr>
        <w:spacing w:after="0" w:line="158" w:lineRule="exact"/>
        <w:rPr>
          <w:rFonts w:ascii="Times New Roman" w:cs="Times New Roman" w:eastAsia="Times New Roman" w:hAnsi="Times New Roman"/>
          <w:sz w:val="11"/>
          <w:szCs w:val="11"/>
          <w:color w:val="auto"/>
        </w:rPr>
      </w:pPr>
    </w:p>
    <w:p>
      <w:pPr>
        <w:ind w:left="1600" w:right="199" w:hanging="346"/>
        <w:spacing w:after="0" w:line="265" w:lineRule="auto"/>
        <w:tabs>
          <w:tab w:leader="none" w:pos="16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CG Subsidiary Holdings L.L.C. is also the sole shareholder of TC Group VIII Lux GP, S.à r.l., which is the Luxembourg general partner of CP VIII Circle AIF Holdings, S.C.Sp., and the managing member of CPEP GP, LLC, which is the general partner of CPEP Circle Holdings L.P.</w:t>
      </w:r>
    </w:p>
    <w:p>
      <w:pPr>
        <w:spacing w:after="0" w:line="54" w:lineRule="exact"/>
        <w:rPr>
          <w:rFonts w:ascii="Times New Roman" w:cs="Times New Roman" w:eastAsia="Times New Roman" w:hAnsi="Times New Roman"/>
          <w:sz w:val="11"/>
          <w:szCs w:val="11"/>
          <w:color w:val="auto"/>
        </w:rPr>
      </w:pPr>
    </w:p>
    <w:p>
      <w:pPr>
        <w:ind w:left="1600" w:right="299" w:hanging="346"/>
        <w:spacing w:after="0" w:line="235" w:lineRule="auto"/>
        <w:tabs>
          <w:tab w:leader="none" w:pos="16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p>
    <w:p>
      <w:pPr>
        <w:spacing w:after="0" w:line="69" w:lineRule="exact"/>
        <w:rPr>
          <w:rFonts w:ascii="Times New Roman" w:cs="Times New Roman" w:eastAsia="Times New Roman" w:hAnsi="Times New Roman"/>
          <w:sz w:val="11"/>
          <w:szCs w:val="11"/>
          <w:color w:val="auto"/>
        </w:rPr>
      </w:pPr>
    </w:p>
    <w:p>
      <w:pPr>
        <w:jc w:val="both"/>
        <w:ind w:left="1600" w:right="219" w:hanging="346"/>
        <w:spacing w:after="0" w:line="245" w:lineRule="auto"/>
        <w:tabs>
          <w:tab w:leader="none" w:pos="16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p>
    <w:p>
      <w:pPr>
        <w:spacing w:after="0" w:line="64" w:lineRule="exact"/>
        <w:rPr>
          <w:rFonts w:ascii="Times New Roman" w:cs="Times New Roman" w:eastAsia="Times New Roman" w:hAnsi="Times New Roman"/>
          <w:sz w:val="11"/>
          <w:szCs w:val="11"/>
          <w:color w:val="auto"/>
        </w:rPr>
      </w:pPr>
    </w:p>
    <w:p>
      <w:pPr>
        <w:ind w:left="1600" w:right="179" w:hanging="346"/>
        <w:spacing w:after="0" w:line="245" w:lineRule="auto"/>
        <w:tabs>
          <w:tab w:leader="none" w:pos="16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92"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8" w:lineRule="exact"/>
        <w:rPr>
          <w:sz w:val="20"/>
          <w:szCs w:val="20"/>
          <w:color w:val="auto"/>
        </w:rPr>
      </w:pPr>
    </w:p>
    <w:p>
      <w:pPr>
        <w:ind w:left="1600" w:right="139" w:hanging="346"/>
        <w:spacing w:after="0" w:line="238" w:lineRule="auto"/>
        <w:tabs>
          <w:tab w:leader="none" w:pos="160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to us, as of the date of this prospectus, certain of the Carlyle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69" w:lineRule="exact"/>
        <w:rPr>
          <w:sz w:val="20"/>
          <w:szCs w:val="20"/>
          <w:color w:val="auto"/>
        </w:rPr>
      </w:pPr>
    </w:p>
    <w:p>
      <w:pPr>
        <w:ind w:left="1600" w:right="159" w:hanging="346"/>
        <w:spacing w:after="0" w:line="235" w:lineRule="auto"/>
        <w:tabs>
          <w:tab w:leader="none" w:pos="1600"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Mend Partners II, L.P. and Mend Investment Holdings I, L.P. will be selling stockholders in this offering. They are offering 547,768 and 12,730,221 shares of Class A common stock, respectively. In addition, in connection with the consummation of this offering, Hellman &amp; Friedman Capital Partners X (Parallel), L.P. and HFCP X (Parallel - A), L.P. will contribute shares of Class A common stock to wholly owned subsidiaries, which subsidiaries will sell shares in this offering. They are offering 8,523,004 shares held by Hellman &amp; Friedman Capital Partners X (Parallel), L.P. and 921,822 shares held by HFCP X (Parallel - A), L.P. Hellman &amp; Friedman Capital Partners X (Parallel), L.P., HFCP X (Parallel - A), L.P., Mend Partners II, L.P., and Mend Investment Holdings I, L.P. are collectively referred to as the “H&amp;F Funds.”</w:t>
      </w:r>
    </w:p>
    <w:p>
      <w:pPr>
        <w:spacing w:after="0" w:line="69" w:lineRule="exact"/>
        <w:rPr>
          <w:sz w:val="20"/>
          <w:szCs w:val="20"/>
          <w:color w:val="auto"/>
        </w:rPr>
      </w:pPr>
    </w:p>
    <w:p>
      <w:pPr>
        <w:ind w:left="1600" w:right="159" w:hanging="346"/>
        <w:spacing w:after="0" w:line="233" w:lineRule="auto"/>
        <w:tabs>
          <w:tab w:leader="none" w:pos="160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75,961,848 shares of Class A common stock held by Hellman &amp; Friedman Capital Partners X (Parallel), L.P., 7,934,891 shares of Class A common stock held by HFCP X (Parallel - A), L.P., 4,258,392 shares of Class A common stock held by Mend Partners II, L.P. and 19,310 shares of Class A common stock and 102,590,053 shares of Class B common stock held by Mend Investment Holdings I, L.P. Includes any reduction in beneficial ownership associated with the distribution or contribution of an aggregate of 1,815,727 shares of Class A common stock in kind to certain of their affiliates and limited partners in connection with the consummation of this offering. Any recipients of such distributions or contributions would be subject to a lock-up agreement with the underwriters. It is expected that Mend Investment Holdings I, L.P. will act as selling stockholder with respect to the shares that it receives in exchange for Common Units.</w:t>
      </w:r>
    </w:p>
    <w:p>
      <w:pPr>
        <w:spacing w:after="0" w:line="70" w:lineRule="exact"/>
        <w:rPr>
          <w:rFonts w:ascii="Times New Roman" w:cs="Times New Roman" w:eastAsia="Times New Roman" w:hAnsi="Times New Roman"/>
          <w:sz w:val="11"/>
          <w:szCs w:val="11"/>
          <w:color w:val="auto"/>
        </w:rPr>
      </w:pPr>
    </w:p>
    <w:p>
      <w:pPr>
        <w:ind w:left="1600" w:hanging="346"/>
        <w:spacing w:after="0"/>
        <w:tabs>
          <w:tab w:leader="none" w:pos="160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Hellman &amp; Friedman Investors X, L.P. (“Investors X GP”) is the general partner of Hellman &amp; Friedman Capital Partners X (Parallel), L.P. and HFCP X (Parallel - A), L.P.</w:t>
      </w:r>
    </w:p>
    <w:p>
      <w:pPr>
        <w:spacing w:after="0" w:line="88" w:lineRule="exact"/>
        <w:rPr>
          <w:rFonts w:ascii="Times New Roman" w:cs="Times New Roman" w:eastAsia="Times New Roman" w:hAnsi="Times New Roman"/>
          <w:sz w:val="11"/>
          <w:szCs w:val="11"/>
          <w:color w:val="auto"/>
        </w:rPr>
      </w:pPr>
    </w:p>
    <w:p>
      <w:pPr>
        <w:ind w:left="1600" w:hanging="346"/>
        <w:spacing w:after="0"/>
        <w:tabs>
          <w:tab w:leader="none" w:pos="160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Mend Partners GP, LLC (“Mend GP”) is the general partner of Mend Partners II, L.P. Investors X GP is the managing member of Mend GP.</w:t>
      </w:r>
    </w:p>
    <w:p>
      <w:pPr>
        <w:spacing w:after="0" w:line="88" w:lineRule="exact"/>
        <w:rPr>
          <w:rFonts w:ascii="Times New Roman" w:cs="Times New Roman" w:eastAsia="Times New Roman" w:hAnsi="Times New Roman"/>
          <w:sz w:val="11"/>
          <w:szCs w:val="11"/>
          <w:color w:val="auto"/>
        </w:rPr>
      </w:pPr>
    </w:p>
    <w:p>
      <w:pPr>
        <w:ind w:left="1600" w:right="579" w:hanging="346"/>
        <w:spacing w:after="0" w:line="265" w:lineRule="auto"/>
        <w:tabs>
          <w:tab w:leader="none" w:pos="160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54" w:lineRule="exact"/>
        <w:rPr>
          <w:rFonts w:ascii="Times New Roman" w:cs="Times New Roman" w:eastAsia="Times New Roman" w:hAnsi="Times New Roman"/>
          <w:sz w:val="11"/>
          <w:szCs w:val="11"/>
          <w:color w:val="auto"/>
        </w:rPr>
      </w:pPr>
    </w:p>
    <w:p>
      <w:pPr>
        <w:ind w:left="1600" w:right="359" w:hanging="346"/>
        <w:spacing w:after="0" w:line="245" w:lineRule="auto"/>
        <w:tabs>
          <w:tab w:leader="none" w:pos="160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referred to in this footnote is c/o Hellman &amp; Friedman LLC, 415 Mission Street, Suite 5700, San Francisco, California 94105.</w:t>
      </w:r>
    </w:p>
    <w:p>
      <w:pPr>
        <w:spacing w:after="0" w:line="65" w:lineRule="exact"/>
        <w:rPr>
          <w:sz w:val="20"/>
          <w:szCs w:val="20"/>
          <w:color w:val="auto"/>
        </w:rPr>
      </w:pPr>
    </w:p>
    <w:p>
      <w:pPr>
        <w:jc w:val="both"/>
        <w:ind w:left="1600" w:right="259" w:hanging="346"/>
        <w:spacing w:after="0" w:line="245" w:lineRule="auto"/>
        <w:tabs>
          <w:tab w:leader="none" w:pos="160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Mozart HoldCo, Inc. is an entity that is owned directly and/or indirectly by members of the Mills Family and trusts for their benefit.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 See “Description of Capital Stock—Common Stock—Mills Family Voting Cap.”</w:t>
      </w:r>
    </w:p>
    <w:p>
      <w:pPr>
        <w:spacing w:after="0" w:line="64" w:lineRule="exact"/>
        <w:rPr>
          <w:rFonts w:ascii="Times New Roman" w:cs="Times New Roman" w:eastAsia="Times New Roman" w:hAnsi="Times New Roman"/>
          <w:sz w:val="11"/>
          <w:szCs w:val="11"/>
          <w:color w:val="auto"/>
        </w:rPr>
      </w:pPr>
    </w:p>
    <w:p>
      <w:pPr>
        <w:ind w:left="1600" w:right="219" w:hanging="346"/>
        <w:spacing w:after="0" w:line="235" w:lineRule="auto"/>
        <w:tabs>
          <w:tab w:leader="none" w:pos="160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118,796,825 shares of Class A common stock are beneficially owned by GIC Private Limited (“GIC”) and its affiliate, Hux Investment Pte. Ltd. GIC and Hux share the power to vote and the power to dispose of these shares with GIC Special Investments Pte. Ltd. (“GIC SI”). GIC and GIC SI are private limited companies incorporated in Singapore. GIC SI is wholly-owned by GIC and is the private equity investment arm of GIC. GIC is wholly-owned by the Government of Singapore and was set up with the sole purpose of managing the Government of Singapore’s foreign reserves. The Government of Singapore disclaims beneficial ownership of such shares. The address for GIC and Hux is 168 Robinson Road, #37-01 Capital Tower, Singapore 068912.</w:t>
      </w:r>
    </w:p>
    <w:p>
      <w:pPr>
        <w:spacing w:after="0" w:line="69" w:lineRule="exact"/>
        <w:rPr>
          <w:rFonts w:ascii="Times New Roman" w:cs="Times New Roman" w:eastAsia="Times New Roman" w:hAnsi="Times New Roman"/>
          <w:sz w:val="11"/>
          <w:szCs w:val="11"/>
          <w:color w:val="auto"/>
        </w:rPr>
      </w:pPr>
    </w:p>
    <w:p>
      <w:pPr>
        <w:ind w:left="1600" w:right="119" w:hanging="346"/>
        <w:spacing w:after="0"/>
        <w:tabs>
          <w:tab w:leader="none" w:pos="160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42,158,811 shares of Class A common stock are held by Abu Dhabi Investment Authority (“ADIA”), directly or through one or more of its direct or indirect subsidiaries, including primarily Platinum Falcon B 2018 RSC Limited, a restricted scope company incorporated in the Abu Dhabi Global Market. ADIA is a public institution established by the Government of the Emirate of Abu Dhabi. The address for ADIA is 211 Corniche Street, P.O. Box 3600, Abu Dhabi, United Arab Emirates and the address for Platinum Falcon B 2018 RSC Limited is Level 26, Al Khatem Tower, Abu Dhabi Global Market Square, Al Maryah Island, Abu Dhabi, United Arab Emirates. By reason of its ownership of Platinum Falcon and pursuant to the rules and regulations of the SEC, ADIA may also be deemed to share investment and voting power over and, therefore, beneficial ownership of, the shares held directly by Platinum Falcon.</w:t>
      </w:r>
    </w:p>
    <w:p>
      <w:pPr>
        <w:spacing w:after="0" w:line="174" w:lineRule="exact"/>
        <w:rPr>
          <w:rFonts w:ascii="Times New Roman" w:cs="Times New Roman" w:eastAsia="Times New Roman" w:hAnsi="Times New Roman"/>
          <w:sz w:val="11"/>
          <w:szCs w:val="11"/>
          <w:color w:val="auto"/>
        </w:rPr>
      </w:pPr>
    </w:p>
    <w:p>
      <w:pPr>
        <w:jc w:val="both"/>
        <w:ind w:left="1600" w:right="219" w:hanging="346"/>
        <w:spacing w:after="0" w:line="232" w:lineRule="auto"/>
        <w:tabs>
          <w:tab w:leader="none" w:pos="160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24,313 shares of Class B common stock corresponding to an equivalent number of outstanding Common Units held by Mr. Boyle, (b) 514,876 shares of Class B common stock corresponding to an equivalent number of outstanding Common Units held by a trust over which Mr. Boyle’s spouse is a trustee, (c) 1,043,089 shares of Class B common stock corresponding to an equivalent number of Common Units which would be received within 60 days of February 23, 2026 upon the conversion of vested Incentive Units held by</w:t>
      </w:r>
    </w:p>
    <w:p>
      <w:pPr>
        <w:ind w:left="1600" w:right="199"/>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Boyle at a conversion price of $49.64 per share of Class A common stock (the closing price per share of Class A common stock on such date), and (d) 727,684 shares of Class B common stock corresponding to an equivalent number of Common Units which would be received within 60 days of February 23, 2026 upon the conversion of vested Incentive Units held by a trust over which Mr. Boyle’s spouse is a trustee at a conversion price of $49.64 per share of Class A common stock (the closing price per share of Class A common stock on such date).</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92"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8" w:lineRule="exact"/>
        <w:rPr>
          <w:sz w:val="20"/>
          <w:szCs w:val="20"/>
          <w:color w:val="auto"/>
        </w:rPr>
      </w:pPr>
    </w:p>
    <w:p>
      <w:pPr>
        <w:ind w:left="1600" w:hanging="346"/>
        <w:spacing w:after="0"/>
        <w:tabs>
          <w:tab w:leader="none" w:pos="16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1,206,467 shares of Class B common stock corresponding to an equivalent number of outstanding Common Units held by trusts over which Mr. Pigott is a trustee and</w:t>
      </w:r>
    </w:p>
    <w:p>
      <w:pPr>
        <w:spacing w:after="0" w:line="3" w:lineRule="exact"/>
        <w:rPr>
          <w:rFonts w:ascii="Times New Roman" w:cs="Times New Roman" w:eastAsia="Times New Roman" w:hAnsi="Times New Roman"/>
          <w:sz w:val="11"/>
          <w:szCs w:val="11"/>
          <w:color w:val="auto"/>
        </w:rPr>
      </w:pPr>
    </w:p>
    <w:p>
      <w:pPr>
        <w:ind w:left="1600" w:right="179"/>
        <w:spacing w:after="0" w:line="235"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 1,731,981 shares of Class B common stock corresponding to an equivalent number of Common Units which would be received within 60 days of February 23, 2026 upon the conversion of vested Incentive Units held by trusts over which Mr. Pigott is a trustee at a conversion price of $49.64 per share of Class A common stock (the closing price per share of Class A common stock on such date).</w:t>
      </w:r>
    </w:p>
    <w:p>
      <w:pPr>
        <w:spacing w:after="0" w:line="68" w:lineRule="exact"/>
        <w:rPr>
          <w:rFonts w:ascii="Times New Roman" w:cs="Times New Roman" w:eastAsia="Times New Roman" w:hAnsi="Times New Roman"/>
          <w:sz w:val="11"/>
          <w:szCs w:val="11"/>
          <w:color w:val="auto"/>
        </w:rPr>
      </w:pPr>
    </w:p>
    <w:p>
      <w:pPr>
        <w:ind w:left="1600" w:right="199" w:hanging="346"/>
        <w:spacing w:after="0" w:line="245" w:lineRule="auto"/>
        <w:tabs>
          <w:tab w:leader="none" w:pos="16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486,028 shares of Class B common stock corresponding to an equivalent number of outstanding Common Units held by Mr. Drazin and (b) 1,304,245 shares of Class B common stock corresponding to an equivalent number of Common Units which would be received within 60 days of February 23, 2026 upon the conversion of vested Incentive Units held by Mr. Drazin at a conversion price of $49.64 per share of Class A common stock (the closing price per share of Class A common stock on such date).</w:t>
      </w:r>
    </w:p>
    <w:p>
      <w:pPr>
        <w:spacing w:after="0" w:line="64" w:lineRule="exact"/>
        <w:rPr>
          <w:rFonts w:ascii="Times New Roman" w:cs="Times New Roman" w:eastAsia="Times New Roman" w:hAnsi="Times New Roman"/>
          <w:sz w:val="11"/>
          <w:szCs w:val="11"/>
          <w:color w:val="auto"/>
        </w:rPr>
      </w:pPr>
    </w:p>
    <w:p>
      <w:pPr>
        <w:ind w:left="1600" w:right="139" w:hanging="346"/>
        <w:spacing w:after="0" w:line="245" w:lineRule="auto"/>
        <w:tabs>
          <w:tab w:leader="none" w:pos="16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479,213 shares of Class B common stock corresponding to an equivalent number of Common Units which would be received within 60 days of February 23, 2026 upon the conversion of vested Incentive Units held by a trust over which Mr. Miller is a trustee at a conversion price of $49.64 per share of Class A common stock (the closing price per share of Class A common stock on such date).</w:t>
      </w:r>
    </w:p>
    <w:p>
      <w:pPr>
        <w:spacing w:after="0" w:line="64" w:lineRule="exact"/>
        <w:rPr>
          <w:rFonts w:ascii="Times New Roman" w:cs="Times New Roman" w:eastAsia="Times New Roman" w:hAnsi="Times New Roman"/>
          <w:sz w:val="11"/>
          <w:szCs w:val="11"/>
          <w:color w:val="auto"/>
        </w:rPr>
      </w:pPr>
    </w:p>
    <w:p>
      <w:pPr>
        <w:ind w:left="1600" w:right="199" w:hanging="346"/>
        <w:spacing w:after="0"/>
        <w:tabs>
          <w:tab w:leader="none" w:pos="16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465,864 shares of Class B common stock corresponding to an equivalent number of outstanding Common Units held by Mr. Golwas, (b) 599,324 shares of Class B common stock corresponding to an equivalent number of Common Units which would be received within 60 days of February 23, 2026 upon the conversion of vested Incentive Units held by Mr. Golwas at a conversion price of $49.64 per share of Class A common stock (the closing price per share of Class A common stock on such date), and (c) 319,315 shares of Class B common stock corresponding to an equivalent number of Common Units which would be received within 60 days of February 23, 2026 upon the conversion of vested Incentive Units held by a trust over which Mr. Golwas is a trustee at a conversion price of $49.64 per share of Class A common stock (the closing price per share of Class A common stock on such date).</w:t>
      </w:r>
    </w:p>
    <w:p>
      <w:pPr>
        <w:spacing w:after="0" w:line="174" w:lineRule="exact"/>
        <w:rPr>
          <w:rFonts w:ascii="Times New Roman" w:cs="Times New Roman" w:eastAsia="Times New Roman" w:hAnsi="Times New Roman"/>
          <w:sz w:val="11"/>
          <w:szCs w:val="11"/>
          <w:color w:val="auto"/>
        </w:rPr>
      </w:pPr>
    </w:p>
    <w:p>
      <w:pPr>
        <w:jc w:val="both"/>
        <w:ind w:left="1600" w:right="219" w:hanging="346"/>
        <w:spacing w:after="0" w:line="246" w:lineRule="auto"/>
        <w:tabs>
          <w:tab w:leader="none" w:pos="16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1,141,919 shares of Class A common stock directly held by Mr. Healy and (b) 19,594 shares of Class A common stock directly held by a partnership for which Mr. Healy serves as the general partner. Includes 441,604 shares of Class A common stock that Mr. Healy will receive pursuant to a distribution in kind in connection with the consummation of this offering.</w:t>
      </w:r>
    </w:p>
    <w:p>
      <w:pPr>
        <w:spacing w:after="0" w:line="192" w:lineRule="exact"/>
        <w:rPr>
          <w:rFonts w:ascii="Times New Roman" w:cs="Times New Roman" w:eastAsia="Times New Roman" w:hAnsi="Times New Roman"/>
          <w:sz w:val="11"/>
          <w:szCs w:val="11"/>
          <w:color w:val="auto"/>
        </w:rPr>
      </w:pPr>
    </w:p>
    <w:p>
      <w:pPr>
        <w:ind w:left="1600" w:right="419" w:hanging="346"/>
        <w:spacing w:after="0" w:line="265" w:lineRule="auto"/>
        <w:tabs>
          <w:tab w:leader="none" w:pos="16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AJM 2018 Generations Trust, which is associated with Mr. Mills, directly holds 30,655 shares of Class B common stock corresponding to an equivalent number of Common Units. Mr. Mills disclaims beneficial ownership of such shares.</w:t>
      </w:r>
    </w:p>
    <w:p>
      <w:pPr>
        <w:spacing w:after="0" w:line="54" w:lineRule="exact"/>
        <w:rPr>
          <w:rFonts w:ascii="Times New Roman" w:cs="Times New Roman" w:eastAsia="Times New Roman" w:hAnsi="Times New Roman"/>
          <w:sz w:val="11"/>
          <w:szCs w:val="11"/>
          <w:color w:val="auto"/>
        </w:rPr>
      </w:pPr>
    </w:p>
    <w:p>
      <w:pPr>
        <w:ind w:left="1600" w:right="219" w:hanging="346"/>
        <w:spacing w:after="0" w:line="265" w:lineRule="auto"/>
        <w:tabs>
          <w:tab w:leader="none" w:pos="16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Charles N. Mills Gift Trust, which is associated with Mr. Mills, directly holds 64,005 shares of Class B common stock corresponding to an equivalent number of Common Units. Mr. Mills disclaims beneficial ownership of such shares.</w:t>
      </w:r>
    </w:p>
    <w:p>
      <w:pPr>
        <w:spacing w:after="0" w:line="54" w:lineRule="exact"/>
        <w:rPr>
          <w:rFonts w:ascii="Times New Roman" w:cs="Times New Roman" w:eastAsia="Times New Roman" w:hAnsi="Times New Roman"/>
          <w:sz w:val="11"/>
          <w:szCs w:val="11"/>
          <w:color w:val="auto"/>
        </w:rPr>
      </w:pPr>
    </w:p>
    <w:p>
      <w:pPr>
        <w:jc w:val="both"/>
        <w:ind w:left="1600" w:right="259" w:hanging="346"/>
        <w:spacing w:after="0"/>
        <w:tabs>
          <w:tab w:leader="none" w:pos="16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719,909 shares of Class A common stock beneficially owned by our directors and executive officers, (b) 4,030,713 shares of Class B common stock corresponding to an equivalent number of outstanding Common Units beneficially owned by our directors and executive officers, and (c) 8,458,481 shares of Class B common stock corresponding to an equivalent number of Common Units that our directors and executive officers have the right to acquire within 60 days of February 23, 2026 upon the conversion of vested Incentive Units held by our directors and executive officers at a conversion price of $49.64 per share of Class A common stock (the closing price per share of Class A common stock on such date).</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92"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DESCRIPTION OF CERTAIN INDEBTEDNESS</w:t>
      </w:r>
    </w:p>
    <w:p>
      <w:pPr>
        <w:spacing w:after="0" w:line="1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The following section summarizes the terms of our material principal indebtedness.</w:t>
      </w:r>
    </w:p>
    <w:p>
      <w:pPr>
        <w:spacing w:after="0" w:line="2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Senior Secured Credit Facilities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01" w:lineRule="exact"/>
        <w:rPr>
          <w:sz w:val="20"/>
          <w:szCs w:val="20"/>
          <w:color w:val="auto"/>
        </w:rPr>
      </w:pPr>
    </w:p>
    <w:p>
      <w:pPr>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35" w:lineRule="exact"/>
        <w:rPr>
          <w:sz w:val="20"/>
          <w:szCs w:val="20"/>
          <w:color w:val="auto"/>
        </w:rPr>
      </w:pPr>
    </w:p>
    <w:p>
      <w:pPr>
        <w:ind w:left="1260" w:right="439" w:firstLine="351"/>
        <w:spacing w:after="0" w:line="275" w:lineRule="auto"/>
        <w:rPr>
          <w:sz w:val="20"/>
          <w:szCs w:val="20"/>
          <w:color w:val="auto"/>
        </w:rPr>
      </w:pPr>
      <w:r>
        <w:rPr>
          <w:rFonts w:ascii="Times New Roman" w:cs="Times New Roman" w:eastAsia="Times New Roman" w:hAnsi="Times New Roman"/>
          <w:sz w:val="14"/>
          <w:szCs w:val="14"/>
          <w:color w:val="auto"/>
        </w:rPr>
        <w:t>The Sponsor Acquisition Credit Agreement initially provided for (i) the Initial Dollar Term Loan Facility in an aggregate principal amount of $7,270 million, (ii) the Initial Euro Term Loan Facility in an aggregate principal amount equal to the euro equivalent of $500 million and (iii) the Revolving Credit Facility in an aggregate principal amount of $1,000 million.</w:t>
      </w:r>
    </w:p>
    <w:p>
      <w:pPr>
        <w:spacing w:after="0" w:line="135" w:lineRule="exact"/>
        <w:rPr>
          <w:sz w:val="20"/>
          <w:szCs w:val="20"/>
          <w:color w:val="auto"/>
        </w:rPr>
      </w:pPr>
    </w:p>
    <w:p>
      <w:pPr>
        <w:ind w:left="1260" w:right="139" w:firstLine="351"/>
        <w:spacing w:after="0" w:line="257" w:lineRule="auto"/>
        <w:rPr>
          <w:sz w:val="20"/>
          <w:szCs w:val="20"/>
          <w:color w:val="auto"/>
        </w:rPr>
      </w:pPr>
      <w:r>
        <w:rPr>
          <w:rFonts w:ascii="Times New Roman" w:cs="Times New Roman" w:eastAsia="Times New Roman" w:hAnsi="Times New Roman"/>
          <w:sz w:val="14"/>
          <w:szCs w:val="14"/>
          <w:color w:val="auto"/>
        </w:rPr>
        <w:t>On the Second Amendment Date, we entered into an amendment to the Sponsor Acquisition Credit Agreement to refinance the Initial Dollar Term Loan Facility and the loans thereunder in order to reduce the applicable margin with respect thereto (the Initial Dollar Term Loan Facility after giving effect to such refinancing, the “Refinanced Dollar Term Loan Facility”). On the Third Amendment Date, we entered into an amendment to the Sponsor Acquisition Credit Agreement to (i) refinance the Initial Euro Term Loan Facility with incremental euro-denominated term loans in an equivalent principal amount of the Initial Euro Term Loans so prepaid (the “Refinanced Euro Term Loan Facility”), (ii) incur incremental euro-denominated Term B loans of the same class as the Refinanced Euro Term Loans in an aggregate principal amount of approximately €185 million (together with the Refinanced Euro Term Loan Facility, the “New Euro Term Loan Facility”), (iii) incur incremental term loans under the Additional Dollar Term Loan Facility in an aggregate principal amount of approximately $1,519 million and (iv) amend the Revolving Credit Facility to extend the maturity date to the date that is five years following the Third Amendment Date, subject to a springing maturity 91-days inside of the maturity date of the New Euro Term Loan Facility, the 2028 Refinancing Term Loan Facility, the 2021 Secured Notes and the 2024 Notes (the “Springing Condition”), in each case, solely to the extent a material amount of such debt, as applicable, remains outstanding as of such date. On the Fourth Amendment Date, we entered into an amendment to the Sponsor Acquisition Credit Agreement to refinance the Refinanced Dollar Term Loan Facility to be on the same terms as the New Dollar Term Loan Facility (the “Refinancing”) causing the refinanced loans under the Refinanced Dollar Term Loan Facility to be a single class with the term loans outstanding under the Additional Dollar Term Loan Facility (the “New Dollar Term Loan Facility”). On the Fifth Amendment Date, we entered into an amendment to the Sponsor Acquisition Credit Agreement to permit letter of credit issuers to issue letters of credit in excess of their respective letter of credit commitments and to obligate the other lenders under our Revolving Credit Facility to participate in such letters of credit, subject to other customary limitations. On the Sixth Amendment Date, we entered into an amendment to the Sponsor Acquisition Credit Agreement to</w:t>
      </w:r>
    </w:p>
    <w:p>
      <w:pPr>
        <w:spacing w:after="0" w:line="10" w:lineRule="exact"/>
        <w:rPr>
          <w:sz w:val="20"/>
          <w:szCs w:val="20"/>
          <w:color w:val="auto"/>
        </w:rPr>
      </w:pPr>
    </w:p>
    <w:p>
      <w:pPr>
        <w:ind w:left="1260" w:right="399" w:hanging="6"/>
        <w:spacing w:after="0" w:line="256" w:lineRule="auto"/>
        <w:tabs>
          <w:tab w:leader="none" w:pos="1431"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refinance an aggregate principal amount of New Dollar Term Loans equal to $4,074 million in order to reduce the applicable margin with respect thereto (the “2028 Refinancing Term Loan Facility”) and (ii) refinance an aggregate principal amount of New Dollar Term Loans equal to</w:t>
      </w:r>
    </w:p>
    <w:p>
      <w:pPr>
        <w:ind w:left="1260" w:right="199"/>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$3,500 million in order to reduce the applicable margin with respect thereto and extend the maturity date with respect thereto to October 23, 2030 (such date, the “2030 Refinancing Term Loan Maturity Date”) (the “2030 Refinancing Term Loan Facility” and, together with the 2028 Refinancing Term Loan Facility, the “2025 Refinancing Dollar Term Facility”; the 2025 Refinancing Dollar Term Facility, together with the Revolving Credit Facility, the “Senior Secured Credit Facilities”).</w:t>
      </w:r>
    </w:p>
    <w:p>
      <w:pPr>
        <w:spacing w:after="0" w:line="144" w:lineRule="exact"/>
        <w:rPr>
          <w:sz w:val="20"/>
          <w:szCs w:val="20"/>
          <w:color w:val="auto"/>
        </w:rPr>
      </w:pPr>
    </w:p>
    <w:p>
      <w:pPr>
        <w:jc w:val="both"/>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Medline Borrower, LP (which is referred to throughout this section as the “Borrower”) is the borrower under the Senior Secured Credit Facilities. The Revolving Credit Facility includes sub-facilities for letters of credit and for short-term borrowings referred to as swing line borrowings. In addition, the Sponsor Acquisition</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92"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39"/>
        <w:spacing w:after="0" w:line="258" w:lineRule="auto"/>
        <w:rPr>
          <w:sz w:val="20"/>
          <w:szCs w:val="20"/>
          <w:color w:val="auto"/>
        </w:rPr>
      </w:pPr>
      <w:r>
        <w:rPr>
          <w:rFonts w:ascii="Times New Roman" w:cs="Times New Roman" w:eastAsia="Times New Roman" w:hAnsi="Times New Roman"/>
          <w:sz w:val="14"/>
          <w:szCs w:val="14"/>
          <w:color w:val="auto"/>
        </w:rPr>
        <w:t xml:space="preserve">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 (c) 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 as we (I) in the case of incremental indebtedness that is secured by the collateral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Fees</w:t>
      </w:r>
    </w:p>
    <w:p>
      <w:pPr>
        <w:spacing w:after="0" w:line="101"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Borrowings under the 2025 Refinancing Dollar Term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in the case of the 2025 Refinancing Dollar Term Facility, to a Term SOFR floor of 0.50%, and in the case of the Revolving Credit Facility, to a Term SOFR floor of 0.00%. Additionally, pursuant to the terms of the Sponsor Acquisition Credit Agreement, the applicable margin with respect to each of our Senior Secured Credit Facilities was contractually reduced by 0.25% per annum upon the consummation of the IPO.</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Prepayments</w:t>
      </w:r>
    </w:p>
    <w:p>
      <w:pPr>
        <w:spacing w:after="0" w:line="101" w:lineRule="exact"/>
        <w:rPr>
          <w:sz w:val="20"/>
          <w:szCs w:val="20"/>
          <w:color w:val="auto"/>
        </w:rPr>
      </w:pPr>
    </w:p>
    <w:p>
      <w:pPr>
        <w:ind w:left="1260" w:right="439" w:firstLine="351"/>
        <w:spacing w:after="0" w:line="293" w:lineRule="auto"/>
        <w:rPr>
          <w:sz w:val="20"/>
          <w:szCs w:val="20"/>
          <w:color w:val="auto"/>
        </w:rPr>
      </w:pPr>
      <w:r>
        <w:rPr>
          <w:rFonts w:ascii="Times New Roman" w:cs="Times New Roman" w:eastAsia="Times New Roman" w:hAnsi="Times New Roman"/>
          <w:sz w:val="14"/>
          <w:szCs w:val="14"/>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23"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the 2025 Refinancing Dollar Term Facility in connection with certain repricing transactions that occur prior to the 6-month anniversary of the Sixth Amendment Date shall be subject to a prepayment premium of 1.0% of the principal amount of the term loans so prepaid, refinanced or repriced, subject to certain exceptions.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92"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Amortization and Maturity</w:t>
      </w:r>
    </w:p>
    <w:p>
      <w:pPr>
        <w:spacing w:after="0" w:line="101" w:lineRule="exact"/>
        <w:rPr>
          <w:sz w:val="20"/>
          <w:szCs w:val="20"/>
          <w:color w:val="auto"/>
        </w:rPr>
      </w:pPr>
    </w:p>
    <w:p>
      <w:pPr>
        <w:ind w:left="1260" w:right="279" w:firstLine="351"/>
        <w:spacing w:after="0" w:line="264" w:lineRule="auto"/>
        <w:rPr>
          <w:sz w:val="20"/>
          <w:szCs w:val="20"/>
          <w:color w:val="auto"/>
        </w:rPr>
      </w:pPr>
      <w:r>
        <w:rPr>
          <w:rFonts w:ascii="Times New Roman" w:cs="Times New Roman" w:eastAsia="Times New Roman" w:hAnsi="Times New Roman"/>
          <w:sz w:val="14"/>
          <w:szCs w:val="14"/>
          <w:color w:val="auto"/>
        </w:rPr>
        <w:t>The term loans under the 2028 Refinancing Term Loan Facility amortize in equal quarterly installments in an aggregate annual amount equal to 1.00% of the original principal amount of such term loans as of the Sixth Amendment Date, with the balance being payable on the Initial Term Loan Maturity Date. The term loans under the 2030 Refinancing Term Loan Facility amortize in equal quarterly installments in an aggregate annual amount equal to 1.00% of the original principal amount of such term loans as of the Sixth Amendment Date, with the balance being payable on the 2030 Refinancing Term Loan Maturity Date. The Revolving Credit Facility will, subject to the Springing Condition, mature five years after the Third Amendment Date.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Guarantee and Security</w:t>
      </w:r>
    </w:p>
    <w:p>
      <w:pPr>
        <w:spacing w:after="0" w:line="101" w:lineRule="exact"/>
        <w:rPr>
          <w:sz w:val="20"/>
          <w:szCs w:val="20"/>
          <w:color w:val="auto"/>
        </w:rPr>
      </w:pPr>
    </w:p>
    <w:p>
      <w:pPr>
        <w:ind w:left="1260" w:right="259" w:firstLine="351"/>
        <w:spacing w:after="0" w:line="264" w:lineRule="auto"/>
        <w:rPr>
          <w:sz w:val="20"/>
          <w:szCs w:val="20"/>
          <w:color w:val="auto"/>
        </w:rPr>
      </w:pPr>
      <w:r>
        <w:rPr>
          <w:rFonts w:ascii="Times New Roman" w:cs="Times New Roman" w:eastAsia="Times New Roman" w:hAnsi="Times New Roman"/>
          <w:sz w:val="14"/>
          <w:szCs w:val="14"/>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43"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 and Events of Default</w:t>
      </w:r>
    </w:p>
    <w:p>
      <w:pPr>
        <w:spacing w:after="0" w:line="101" w:lineRule="exact"/>
        <w:rPr>
          <w:sz w:val="20"/>
          <w:szCs w:val="20"/>
          <w:color w:val="auto"/>
        </w:rPr>
      </w:pPr>
    </w:p>
    <w:p>
      <w:pPr>
        <w:ind w:left="1260" w:right="139" w:firstLine="351"/>
        <w:spacing w:after="0" w:line="293" w:lineRule="auto"/>
        <w:rPr>
          <w:sz w:val="20"/>
          <w:szCs w:val="20"/>
          <w:color w:val="auto"/>
        </w:rPr>
      </w:pPr>
      <w:r>
        <w:rPr>
          <w:rFonts w:ascii="Times New Roman" w:cs="Times New Roman" w:eastAsia="Times New Roman" w:hAnsi="Times New Roman"/>
          <w:sz w:val="14"/>
          <w:szCs w:val="14"/>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48" w:lineRule="exact"/>
        <w:rPr>
          <w:sz w:val="20"/>
          <w:szCs w:val="20"/>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liens;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consolidations;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or repurchase capital stock;</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subordinated indebtedness;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loans, and advances;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affiliates;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that prohibit our ability and the ability of our subsidiary guarantors to incur liens on assets; and</w:t>
      </w:r>
    </w:p>
    <w:p>
      <w:pPr>
        <w:spacing w:after="0" w:line="107" w:lineRule="exact"/>
        <w:rPr>
          <w:rFonts w:ascii="Times New Roman" w:cs="Times New Roman" w:eastAsia="Times New Roman" w:hAnsi="Times New Roman"/>
          <w:sz w:val="14"/>
          <w:szCs w:val="14"/>
          <w:color w:val="auto"/>
        </w:rPr>
      </w:pPr>
    </w:p>
    <w:p>
      <w:pPr>
        <w:ind w:left="2020" w:right="219" w:hanging="335"/>
        <w:spacing w:after="0" w:line="293" w:lineRule="auto"/>
        <w:tabs>
          <w:tab w:leader="none" w:pos="2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amendments to certain subordinated indebtedness in a manner materially adverse to the lenders under the Senior Secured Credit Facilities.</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92"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419" w:firstLine="351"/>
        <w:spacing w:after="0" w:line="265" w:lineRule="auto"/>
        <w:rPr>
          <w:sz w:val="20"/>
          <w:szCs w:val="20"/>
          <w:color w:val="auto"/>
        </w:rPr>
      </w:pPr>
      <w:r>
        <w:rPr>
          <w:rFonts w:ascii="Times New Roman" w:cs="Times New Roman" w:eastAsia="Times New Roman" w:hAnsi="Times New Roman"/>
          <w:sz w:val="14"/>
          <w:szCs w:val="14"/>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44" w:lineRule="exact"/>
        <w:rPr>
          <w:sz w:val="20"/>
          <w:szCs w:val="20"/>
          <w:color w:val="auto"/>
        </w:rPr>
      </w:pPr>
    </w:p>
    <w:p>
      <w:pPr>
        <w:jc w:val="both"/>
        <w:ind w:left="1260" w:right="199" w:firstLine="351"/>
        <w:spacing w:after="0" w:line="268" w:lineRule="auto"/>
        <w:rPr>
          <w:sz w:val="20"/>
          <w:szCs w:val="20"/>
          <w:color w:val="auto"/>
        </w:rPr>
      </w:pPr>
      <w:r>
        <w:rPr>
          <w:rFonts w:ascii="Times New Roman" w:cs="Times New Roman" w:eastAsia="Times New Roman" w:hAnsi="Times New Roman"/>
          <w:sz w:val="14"/>
          <w:szCs w:val="14"/>
          <w:color w:val="auto"/>
        </w:rPr>
        <w:t>The credit agreement that governs the Senior Secured Credit Facilities also limits Medline Intermediate, LP’s activities to being a passive holding company and contains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New Euro Term Loan Facility</w:t>
      </w:r>
    </w:p>
    <w:p>
      <w:pPr>
        <w:spacing w:after="0" w:line="101" w:lineRule="exact"/>
        <w:rPr>
          <w:sz w:val="20"/>
          <w:szCs w:val="20"/>
          <w:color w:val="auto"/>
        </w:rPr>
      </w:pPr>
    </w:p>
    <w:p>
      <w:pPr>
        <w:ind w:left="1260" w:right="199" w:firstLine="351"/>
        <w:spacing w:after="0" w:line="261" w:lineRule="auto"/>
        <w:rPr>
          <w:sz w:val="20"/>
          <w:szCs w:val="20"/>
          <w:color w:val="auto"/>
        </w:rPr>
      </w:pPr>
      <w:r>
        <w:rPr>
          <w:rFonts w:ascii="Times New Roman" w:cs="Times New Roman" w:eastAsia="Times New Roman" w:hAnsi="Times New Roman"/>
          <w:sz w:val="14"/>
          <w:szCs w:val="14"/>
          <w:color w:val="auto"/>
        </w:rPr>
        <w:t>On the Third Amendment Date, we refinanced all of our Existing Euro Term Loan Facility with the incurrence of new euro-denominated Term B loans and incurred incremental euro-denominated Term B loans in an aggregate principal amount of approximately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w:t>
      </w:r>
    </w:p>
    <w:p>
      <w:pPr>
        <w:spacing w:after="0" w:line="149" w:lineRule="exact"/>
        <w:rPr>
          <w:sz w:val="20"/>
          <w:szCs w:val="20"/>
          <w:color w:val="auto"/>
        </w:rPr>
      </w:pPr>
    </w:p>
    <w:p>
      <w:pPr>
        <w:jc w:val="both"/>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13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New Euro Term Loan Facility was repaid in full on December 18, 2025.</w:t>
      </w:r>
    </w:p>
    <w:p>
      <w:pPr>
        <w:spacing w:after="0" w:line="2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2025 Refinancing Dollar Term Facility</w:t>
      </w:r>
    </w:p>
    <w:p>
      <w:pPr>
        <w:spacing w:after="0" w:line="101"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On the Sixth Amendment Date, we refinanced all of our New Dollar Term Loan Facility with the incurrence of new dollar-denominated Term B loans, which refinancing loans are comprised of (i) a new dollar-denominated senior secured term loan facility in an aggregate principal amount of approximately $4,074 million (the “2028 Refinancing Term Loan Facility”) and (ii) a new dollar-denominated senior secured term loan facility in an aggregate principal amount of approximately $3,500 million (the “2030 Refinancing Term Loan Facility” and, together with the 2028 Refinancing Term Loan Facility, collectively, the “2025 Refinancing Dollar Term Facility”). The 2028 Refinancing Term Loan Facility has substantially identical terms to the New Dollar Term Loan Facility outstanding under the Sponsor Credit Agreement immediately prior to the Sixth Amendment Date, provided, however, that (i) the applicable margin with respect to the interest rates under the 2028 Refinancing Term Loan Facility is 0.25% lower than the applicable margin with respect to the interest rates under the New Dollar Term Loan Facility and (ii) any voluntary prepayment, refinancing, or repricing of the term loans under the 2028 Refinancing Term Loan Facility in connection with certain repricing transactions that occur prior to the 6-month anniversary of the Sixth Amendment Date are subject to a prepayment premium of 1.0% of the principal amount of the term loans so prepaid, refinanced, or repriced, subject to certain exceptions. The 2030 Refinancing Term Loan Facility has substantially identical terms to the 2028 Refinancing Term Loan Facility, provided,</w:t>
      </w: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92"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99"/>
        <w:spacing w:after="0" w:line="293" w:lineRule="auto"/>
        <w:rPr>
          <w:sz w:val="20"/>
          <w:szCs w:val="20"/>
          <w:color w:val="auto"/>
        </w:rPr>
      </w:pPr>
      <w:r>
        <w:rPr>
          <w:rFonts w:ascii="Times New Roman" w:cs="Times New Roman" w:eastAsia="Times New Roman" w:hAnsi="Times New Roman"/>
          <w:sz w:val="14"/>
          <w:szCs w:val="14"/>
          <w:color w:val="auto"/>
        </w:rPr>
        <w:t>however, that the 2030 Refinancing Term Loan Facility will mature on the 2030 Refinancing Term Loan Maturity Date. Additionally, the applicable margin with respect to the 2025 Refinancing Dollar Term Facility was contractually reduced by 0.25% per annum upon the consummation of the IPO.</w:t>
      </w:r>
    </w:p>
    <w:p>
      <w:pPr>
        <w:spacing w:after="0" w:line="1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made a prepayment with regard to the 2028 Refinancing Term Loan Facility in an aggregate principal amount of $3,280,800 on December 18,</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2025.</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Facility Extension</w:t>
      </w:r>
    </w:p>
    <w:p>
      <w:pPr>
        <w:spacing w:after="0" w:line="101" w:lineRule="exact"/>
        <w:rPr>
          <w:sz w:val="20"/>
          <w:szCs w:val="20"/>
          <w:color w:val="auto"/>
        </w:rPr>
      </w:pPr>
    </w:p>
    <w:p>
      <w:pPr>
        <w:ind w:left="1260" w:right="259" w:firstLine="351"/>
        <w:spacing w:after="0" w:line="293" w:lineRule="auto"/>
        <w:rPr>
          <w:sz w:val="20"/>
          <w:szCs w:val="20"/>
          <w:color w:val="auto"/>
        </w:rPr>
      </w:pPr>
      <w:r>
        <w:rPr>
          <w:rFonts w:ascii="Times New Roman" w:cs="Times New Roman" w:eastAsia="Times New Roman" w:hAnsi="Times New Roman"/>
          <w:sz w:val="14"/>
          <w:szCs w:val="14"/>
          <w:color w:val="auto"/>
        </w:rPr>
        <w:t>On the Third Amendment Date, we amended the Revolving Credit Facility to extend the maturity date to the date that is five years following the Third Amendment Date, subject to the Springing Condition.</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2021 Notes</w:t>
      </w:r>
    </w:p>
    <w:p>
      <w:pPr>
        <w:spacing w:after="0" w:line="99" w:lineRule="exact"/>
        <w:rPr>
          <w:sz w:val="20"/>
          <w:szCs w:val="20"/>
          <w:color w:val="auto"/>
        </w:rPr>
      </w:pPr>
    </w:p>
    <w:p>
      <w:pPr>
        <w:ind w:left="1260" w:right="179" w:firstLine="351"/>
        <w:spacing w:after="0" w:line="263" w:lineRule="auto"/>
        <w:rPr>
          <w:sz w:val="20"/>
          <w:szCs w:val="20"/>
          <w:color w:val="auto"/>
        </w:rPr>
      </w:pPr>
      <w:r>
        <w:rPr>
          <w:rFonts w:ascii="Times New Roman" w:cs="Times New Roman" w:eastAsia="Times New Roman" w:hAnsi="Times New Roman"/>
          <w:sz w:val="14"/>
          <w:szCs w:val="14"/>
          <w:color w:val="auto"/>
        </w:rPr>
        <w:t>To partially finance the Sponsor Acquisition, Medline Borrower, LP (the “Issuer”) and Medline 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w:t>
      </w:r>
    </w:p>
    <w:p>
      <w:pPr>
        <w:spacing w:after="0" w:line="1" w:lineRule="exact"/>
        <w:rPr>
          <w:sz w:val="20"/>
          <w:szCs w:val="20"/>
          <w:color w:val="auto"/>
        </w:rPr>
      </w:pPr>
    </w:p>
    <w:p>
      <w:pPr>
        <w:ind w:left="1260" w:right="279"/>
        <w:spacing w:after="0" w:line="273" w:lineRule="auto"/>
        <w:rPr>
          <w:sz w:val="20"/>
          <w:szCs w:val="20"/>
          <w:color w:val="auto"/>
        </w:rPr>
      </w:pPr>
      <w:r>
        <w:rPr>
          <w:rFonts w:ascii="Times New Roman" w:cs="Times New Roman" w:eastAsia="Times New Roman" w:hAnsi="Times New Roman"/>
          <w:sz w:val="14"/>
          <w:szCs w:val="14"/>
          <w:color w:val="auto"/>
        </w:rPr>
        <w:t>5.250% Senior Notes due 2029 (the “2021 Unsecured Notes” and, together with the 2021 Secured Notes, the “2021 Notes”)) pursuant to an indenture, dated as of October 15, 2021 (the “2021 Unsecured Notes Indenture”).</w:t>
      </w:r>
    </w:p>
    <w:p>
      <w:pPr>
        <w:spacing w:after="0" w:line="137" w:lineRule="exact"/>
        <w:rPr>
          <w:sz w:val="20"/>
          <w:szCs w:val="20"/>
          <w:color w:val="auto"/>
        </w:rPr>
      </w:pPr>
    </w:p>
    <w:p>
      <w:pPr>
        <w:jc w:val="both"/>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The 2021 Secured Notes have a fixed annual interest rate of 3.875%, which will be paid in cash semi-annually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Ranking and Guarantees</w:t>
      </w:r>
    </w:p>
    <w:p>
      <w:pPr>
        <w:spacing w:after="0" w:line="101" w:lineRule="exact"/>
        <w:rPr>
          <w:sz w:val="20"/>
          <w:szCs w:val="20"/>
          <w:color w:val="auto"/>
        </w:rPr>
      </w:pPr>
    </w:p>
    <w:p>
      <w:pPr>
        <w:ind w:left="1260" w:right="339" w:firstLine="351"/>
        <w:spacing w:after="0" w:line="293" w:lineRule="auto"/>
        <w:rPr>
          <w:sz w:val="20"/>
          <w:szCs w:val="20"/>
          <w:color w:val="auto"/>
        </w:rPr>
      </w:pPr>
      <w:r>
        <w:rPr>
          <w:rFonts w:ascii="Times New Roman" w:cs="Times New Roman" w:eastAsia="Times New Roman" w:hAnsi="Times New Roman"/>
          <w:sz w:val="14"/>
          <w:szCs w:val="14"/>
          <w:color w:val="auto"/>
        </w:rPr>
        <w:t>The 2021 Notes are guaranteed by Medline Intermediate, LP and each of the Issuer’s wholly owned domestic restricted subsidiaries (other than the Co-Issuer) that guarantee our Senior Secured Credit Facilities.</w:t>
      </w:r>
    </w:p>
    <w:p>
      <w:pPr>
        <w:spacing w:after="0" w:line="123"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47" w:lineRule="exact"/>
        <w:rPr>
          <w:sz w:val="20"/>
          <w:szCs w:val="20"/>
          <w:color w:val="auto"/>
        </w:rPr>
      </w:pPr>
    </w:p>
    <w:p>
      <w:pPr>
        <w:ind w:left="1260" w:right="239" w:firstLine="351"/>
        <w:spacing w:after="0" w:line="264" w:lineRule="auto"/>
        <w:rPr>
          <w:sz w:val="20"/>
          <w:szCs w:val="20"/>
          <w:color w:val="auto"/>
        </w:rPr>
      </w:pPr>
      <w:r>
        <w:rPr>
          <w:rFonts w:ascii="Times New Roman" w:cs="Times New Roman" w:eastAsia="Times New Roman" w:hAnsi="Times New Roman"/>
          <w:sz w:val="14"/>
          <w:szCs w:val="14"/>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 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92"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101" w:lineRule="exact"/>
        <w:rPr>
          <w:sz w:val="20"/>
          <w:szCs w:val="20"/>
          <w:color w:val="auto"/>
        </w:rPr>
      </w:pPr>
    </w:p>
    <w:p>
      <w:pPr>
        <w:ind w:left="1260" w:right="239" w:firstLine="351"/>
        <w:spacing w:after="0" w:line="293" w:lineRule="auto"/>
        <w:rPr>
          <w:sz w:val="20"/>
          <w:szCs w:val="20"/>
          <w:color w:val="auto"/>
        </w:rPr>
      </w:pPr>
      <w:r>
        <w:rPr>
          <w:rFonts w:ascii="Times New Roman" w:cs="Times New Roman" w:eastAsia="Times New Roman" w:hAnsi="Times New Roman"/>
          <w:sz w:val="14"/>
          <w:szCs w:val="14"/>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101"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35" w:lineRule="exact"/>
        <w:rPr>
          <w:sz w:val="20"/>
          <w:szCs w:val="20"/>
          <w:color w:val="auto"/>
        </w:rPr>
      </w:pPr>
    </w:p>
    <w:p>
      <w:pPr>
        <w:jc w:val="both"/>
        <w:ind w:left="1260" w:right="139" w:firstLine="351"/>
        <w:spacing w:after="0" w:line="275" w:lineRule="auto"/>
        <w:rPr>
          <w:sz w:val="20"/>
          <w:szCs w:val="20"/>
          <w:color w:val="auto"/>
        </w:rPr>
      </w:pPr>
      <w:r>
        <w:rPr>
          <w:rFonts w:ascii="Times New Roman" w:cs="Times New Roman" w:eastAsia="Times New Roman" w:hAnsi="Times New Roman"/>
          <w:sz w:val="14"/>
          <w:szCs w:val="14"/>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Covenants</w:t>
      </w:r>
    </w:p>
    <w:p>
      <w:pPr>
        <w:spacing w:after="0" w:line="101" w:lineRule="exact"/>
        <w:rPr>
          <w:sz w:val="20"/>
          <w:szCs w:val="20"/>
          <w:color w:val="auto"/>
        </w:rPr>
      </w:pPr>
    </w:p>
    <w:p>
      <w:pPr>
        <w:jc w:val="both"/>
        <w:ind w:left="1260" w:right="139" w:firstLine="351"/>
        <w:spacing w:after="0" w:line="293" w:lineRule="auto"/>
        <w:rPr>
          <w:sz w:val="20"/>
          <w:szCs w:val="20"/>
          <w:color w:val="auto"/>
        </w:rPr>
      </w:pPr>
      <w:r>
        <w:rPr>
          <w:rFonts w:ascii="Times New Roman" w:cs="Times New Roman" w:eastAsia="Times New Roman" w:hAnsi="Times New Roman"/>
          <w:sz w:val="14"/>
          <w:szCs w:val="14"/>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48" w:lineRule="exact"/>
        <w:rPr>
          <w:sz w:val="20"/>
          <w:szCs w:val="20"/>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liens;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consolidations;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or repurchase capital stock;</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subordinated indebtedness;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loans and advances;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affiliates; and</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that prohibit our ability and the ability of our subsidiary guarantors to incur liens on assets.</w:t>
      </w: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2024 Notes</w:t>
      </w:r>
    </w:p>
    <w:p>
      <w:pPr>
        <w:spacing w:after="0" w:line="99" w:lineRule="exact"/>
        <w:rPr>
          <w:sz w:val="20"/>
          <w:szCs w:val="20"/>
          <w:color w:val="auto"/>
        </w:rPr>
      </w:pPr>
    </w:p>
    <w:p>
      <w:pPr>
        <w:ind w:left="1260" w:right="179" w:firstLine="351"/>
        <w:spacing w:after="0" w:line="265" w:lineRule="auto"/>
        <w:rPr>
          <w:sz w:val="20"/>
          <w:szCs w:val="20"/>
          <w:color w:val="auto"/>
        </w:rPr>
      </w:pPr>
      <w:r>
        <w:rPr>
          <w:rFonts w:ascii="Times New Roman" w:cs="Times New Roman" w:eastAsia="Times New Roman" w:hAnsi="Times New Roman"/>
          <w:sz w:val="14"/>
          <w:szCs w:val="14"/>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44" w:lineRule="exact"/>
        <w:rPr>
          <w:sz w:val="20"/>
          <w:szCs w:val="20"/>
          <w:color w:val="auto"/>
        </w:rPr>
      </w:pPr>
    </w:p>
    <w:p>
      <w:pPr>
        <w:ind w:left="1260" w:right="219" w:firstLine="351"/>
        <w:spacing w:after="0" w:line="293" w:lineRule="auto"/>
        <w:rPr>
          <w:sz w:val="20"/>
          <w:szCs w:val="20"/>
          <w:color w:val="auto"/>
        </w:rPr>
      </w:pPr>
      <w:r>
        <w:rPr>
          <w:rFonts w:ascii="Times New Roman" w:cs="Times New Roman" w:eastAsia="Times New Roman" w:hAnsi="Times New Roman"/>
          <w:sz w:val="14"/>
          <w:szCs w:val="14"/>
          <w:color w:val="auto"/>
        </w:rPr>
        <w:t>The 2024 Notes have a fixed annual interest rate of 6.250%, which will be paid in cash semi-annually in arrears on April 1 and October 1 of each year and will mature on April 1, 2029.</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Ranking and Guarantees</w:t>
      </w:r>
    </w:p>
    <w:p>
      <w:pPr>
        <w:spacing w:after="0" w:line="101" w:lineRule="exact"/>
        <w:rPr>
          <w:sz w:val="20"/>
          <w:szCs w:val="20"/>
          <w:color w:val="auto"/>
        </w:rPr>
      </w:pPr>
    </w:p>
    <w:p>
      <w:pPr>
        <w:ind w:left="1260" w:right="339" w:firstLine="351"/>
        <w:spacing w:after="0" w:line="293" w:lineRule="auto"/>
        <w:rPr>
          <w:sz w:val="20"/>
          <w:szCs w:val="20"/>
          <w:color w:val="auto"/>
        </w:rPr>
      </w:pPr>
      <w:r>
        <w:rPr>
          <w:rFonts w:ascii="Times New Roman" w:cs="Times New Roman" w:eastAsia="Times New Roman" w:hAnsi="Times New Roman"/>
          <w:sz w:val="14"/>
          <w:szCs w:val="14"/>
          <w:color w:val="auto"/>
        </w:rPr>
        <w:t>The 2024 Notes are guaranteed by Medline Intermediate, LP and each of the Issuer’s wholly owned domestic restricted subsidiaries (other than the Co-Issuer) that guarantee our Senior Secured Credit Facilities.</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92"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101" w:lineRule="exact"/>
        <w:rPr>
          <w:sz w:val="20"/>
          <w:szCs w:val="20"/>
          <w:color w:val="auto"/>
        </w:rPr>
      </w:pPr>
    </w:p>
    <w:p>
      <w:pPr>
        <w:ind w:left="1260" w:right="399" w:firstLine="351"/>
        <w:spacing w:after="0" w:line="293" w:lineRule="auto"/>
        <w:rPr>
          <w:sz w:val="20"/>
          <w:szCs w:val="20"/>
          <w:color w:val="auto"/>
        </w:rPr>
      </w:pPr>
      <w:r>
        <w:rPr>
          <w:rFonts w:ascii="Times New Roman" w:cs="Times New Roman" w:eastAsia="Times New Roman" w:hAnsi="Times New Roman"/>
          <w:sz w:val="14"/>
          <w:szCs w:val="14"/>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101" w:lineRule="exact"/>
        <w:rPr>
          <w:sz w:val="20"/>
          <w:szCs w:val="20"/>
          <w:color w:val="auto"/>
        </w:rPr>
      </w:pPr>
    </w:p>
    <w:p>
      <w:pPr>
        <w:ind w:left="1260" w:right="139" w:firstLine="351"/>
        <w:spacing w:after="0" w:line="261" w:lineRule="auto"/>
        <w:rPr>
          <w:sz w:val="20"/>
          <w:szCs w:val="20"/>
          <w:color w:val="auto"/>
        </w:rPr>
      </w:pPr>
      <w:r>
        <w:rPr>
          <w:rFonts w:ascii="Times New Roman" w:cs="Times New Roman" w:eastAsia="Times New Roman" w:hAnsi="Times New Roman"/>
          <w:sz w:val="14"/>
          <w:szCs w:val="14"/>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 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49" w:lineRule="exact"/>
        <w:rPr>
          <w:sz w:val="20"/>
          <w:szCs w:val="20"/>
          <w:color w:val="auto"/>
        </w:rPr>
      </w:pPr>
    </w:p>
    <w:p>
      <w:pPr>
        <w:ind w:left="1260" w:right="239" w:firstLine="351"/>
        <w:spacing w:after="0" w:line="275" w:lineRule="auto"/>
        <w:rPr>
          <w:sz w:val="20"/>
          <w:szCs w:val="20"/>
          <w:color w:val="auto"/>
        </w:rPr>
      </w:pPr>
      <w:r>
        <w:rPr>
          <w:rFonts w:ascii="Times New Roman" w:cs="Times New Roman" w:eastAsia="Times New Roman" w:hAnsi="Times New Roman"/>
          <w:sz w:val="14"/>
          <w:szCs w:val="14"/>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35" w:lineRule="exact"/>
        <w:rPr>
          <w:sz w:val="20"/>
          <w:szCs w:val="20"/>
          <w:color w:val="auto"/>
        </w:rPr>
      </w:pPr>
    </w:p>
    <w:p>
      <w:pPr>
        <w:jc w:val="both"/>
        <w:ind w:left="1260" w:right="139" w:firstLine="351"/>
        <w:spacing w:after="0" w:line="275" w:lineRule="auto"/>
        <w:rPr>
          <w:sz w:val="20"/>
          <w:szCs w:val="20"/>
          <w:color w:val="auto"/>
        </w:rPr>
      </w:pPr>
      <w:r>
        <w:rPr>
          <w:rFonts w:ascii="Times New Roman" w:cs="Times New Roman" w:eastAsia="Times New Roman" w:hAnsi="Times New Roman"/>
          <w:sz w:val="14"/>
          <w:szCs w:val="14"/>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35" w:lineRule="exact"/>
        <w:rPr>
          <w:sz w:val="20"/>
          <w:szCs w:val="20"/>
          <w:color w:val="auto"/>
        </w:rPr>
      </w:pPr>
    </w:p>
    <w:p>
      <w:pPr>
        <w:ind w:left="1260" w:right="419" w:firstLine="351"/>
        <w:spacing w:after="0" w:line="293" w:lineRule="auto"/>
        <w:rPr>
          <w:sz w:val="20"/>
          <w:szCs w:val="20"/>
          <w:color w:val="auto"/>
        </w:rPr>
      </w:pPr>
      <w:r>
        <w:rPr>
          <w:rFonts w:ascii="Times New Roman" w:cs="Times New Roman" w:eastAsia="Times New Roman" w:hAnsi="Times New Roman"/>
          <w:sz w:val="14"/>
          <w:szCs w:val="14"/>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Covenants</w:t>
      </w:r>
    </w:p>
    <w:p>
      <w:pPr>
        <w:spacing w:after="0" w:line="101" w:lineRule="exact"/>
        <w:rPr>
          <w:sz w:val="20"/>
          <w:szCs w:val="20"/>
          <w:color w:val="auto"/>
        </w:rPr>
      </w:pPr>
    </w:p>
    <w:p>
      <w:pPr>
        <w:jc w:val="both"/>
        <w:ind w:left="1260" w:right="139" w:firstLine="351"/>
        <w:spacing w:after="0" w:line="293" w:lineRule="auto"/>
        <w:rPr>
          <w:sz w:val="20"/>
          <w:szCs w:val="20"/>
          <w:color w:val="auto"/>
        </w:rPr>
      </w:pPr>
      <w:r>
        <w:rPr>
          <w:rFonts w:ascii="Times New Roman" w:cs="Times New Roman" w:eastAsia="Times New Roman" w:hAnsi="Times New Roman"/>
          <w:sz w:val="14"/>
          <w:szCs w:val="14"/>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48" w:lineRule="exact"/>
        <w:rPr>
          <w:sz w:val="20"/>
          <w:szCs w:val="20"/>
          <w:color w:val="auto"/>
        </w:rPr>
      </w:pPr>
    </w:p>
    <w:p>
      <w:pPr>
        <w:ind w:left="2020" w:hanging="335"/>
        <w:spacing w:after="0"/>
        <w:tabs>
          <w:tab w:leader="none" w:pos="20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liens;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92"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20" w:hanging="335"/>
        <w:spacing w:after="0"/>
        <w:tabs>
          <w:tab w:leader="none" w:pos="20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consolidations;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or repurchase capital stock;</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subordinated indebtedness;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loans, and advances;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affiliates; and</w:t>
      </w:r>
    </w:p>
    <w:p>
      <w:pPr>
        <w:spacing w:after="0" w:line="108" w:lineRule="exact"/>
        <w:rPr>
          <w:rFonts w:ascii="Times New Roman" w:cs="Times New Roman" w:eastAsia="Times New Roman" w:hAnsi="Times New Roman"/>
          <w:sz w:val="14"/>
          <w:szCs w:val="14"/>
          <w:color w:val="auto"/>
        </w:rPr>
      </w:pPr>
    </w:p>
    <w:p>
      <w:pPr>
        <w:ind w:left="5540" w:right="1659" w:hanging="3855"/>
        <w:spacing w:after="0" w:line="470" w:lineRule="auto"/>
        <w:tabs>
          <w:tab w:leader="none" w:pos="203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that prohibit our ability and the ability of our subsidiary guarantors to incur liens on assets. 107</w:t>
      </w:r>
    </w:p>
    <w:p>
      <w:pPr>
        <w:sectPr>
          <w:pgSz w:w="11900" w:h="16838" w:orient="portrait"/>
          <w:cols w:equalWidth="0" w:num="1">
            <w:col w:w="10159"/>
          </w:cols>
          <w:pgMar w:left="300" w:top="392"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5"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The following is a description of the material terms of, and is qualified in its entirety by, Medline Inc.’s amended and restated certificate of incorporation and amended and restated bylaws, each as in effect as of the date of this prospectus, copies of which are filed as exhibits to the registration statement of which this prospectus forms a part. Under “Description of Capital Stock,” “we,” “us,” “our,” the “Company,” and “our company” refer to Medline Inc. and not to any of its subsidiaries.</w:t>
      </w:r>
    </w:p>
    <w:p>
      <w:pPr>
        <w:spacing w:after="0" w:line="142" w:lineRule="exact"/>
        <w:rPr>
          <w:sz w:val="20"/>
          <w:szCs w:val="20"/>
          <w:color w:val="auto"/>
        </w:rPr>
      </w:pPr>
    </w:p>
    <w:p>
      <w:pPr>
        <w:ind w:left="1260" w:right="259" w:firstLine="351"/>
        <w:spacing w:after="0" w:line="265" w:lineRule="auto"/>
        <w:rPr>
          <w:sz w:val="20"/>
          <w:szCs w:val="20"/>
          <w:color w:val="auto"/>
        </w:rPr>
      </w:pPr>
      <w:r>
        <w:rPr>
          <w:rFonts w:ascii="Times New Roman" w:cs="Times New Roman" w:eastAsia="Times New Roman" w:hAnsi="Times New Roman"/>
          <w:sz w:val="14"/>
          <w:szCs w:val="14"/>
          <w:color w:val="auto"/>
        </w:rPr>
        <w:t>Our purpose is to engage in any lawful act or activity for which corporations may be organized under the DGCL. Our authorized capital stock consists of 50,000,000,000 shares of Class A common stock, par value $0.0001 per share, 50,000,000,000 shares of Class B common stock, par value $0.0001 per share, and 5,000,000,000 shares of preferred stock, par value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w:t>
      </w:r>
    </w:p>
    <w:p>
      <w:pPr>
        <w:spacing w:after="0" w:line="101" w:lineRule="exact"/>
        <w:rPr>
          <w:sz w:val="20"/>
          <w:szCs w:val="20"/>
          <w:color w:val="auto"/>
        </w:rPr>
      </w:pPr>
    </w:p>
    <w:p>
      <w:pPr>
        <w:ind w:left="1260" w:right="179" w:firstLine="351"/>
        <w:spacing w:after="0" w:line="275"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35" w:lineRule="exact"/>
        <w:rPr>
          <w:sz w:val="20"/>
          <w:szCs w:val="20"/>
          <w:color w:val="auto"/>
        </w:rPr>
      </w:pPr>
    </w:p>
    <w:p>
      <w:pPr>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35" w:lineRule="exact"/>
        <w:rPr>
          <w:sz w:val="20"/>
          <w:szCs w:val="20"/>
          <w:color w:val="auto"/>
        </w:rPr>
      </w:pPr>
    </w:p>
    <w:p>
      <w:pPr>
        <w:ind w:left="1260" w:right="139" w:firstLine="351"/>
        <w:spacing w:after="0" w:line="275" w:lineRule="auto"/>
        <w:rPr>
          <w:sz w:val="20"/>
          <w:szCs w:val="20"/>
          <w:color w:val="auto"/>
        </w:rPr>
      </w:pPr>
      <w:r>
        <w:rPr>
          <w:rFonts w:ascii="Times New Roman" w:cs="Times New Roman" w:eastAsia="Times New Roman" w:hAnsi="Times New Roman"/>
          <w:sz w:val="14"/>
          <w:szCs w:val="14"/>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35" w:lineRule="exact"/>
        <w:rPr>
          <w:sz w:val="20"/>
          <w:szCs w:val="20"/>
          <w:color w:val="auto"/>
        </w:rPr>
      </w:pPr>
    </w:p>
    <w:p>
      <w:pPr>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Class B Common Stock</w:t>
      </w:r>
    </w:p>
    <w:p>
      <w:pPr>
        <w:spacing w:after="0" w:line="101" w:lineRule="exact"/>
        <w:rPr>
          <w:sz w:val="20"/>
          <w:szCs w:val="20"/>
          <w:color w:val="auto"/>
        </w:rPr>
      </w:pPr>
    </w:p>
    <w:p>
      <w:pPr>
        <w:ind w:left="1260" w:right="219" w:firstLine="351"/>
        <w:spacing w:after="0" w:line="261" w:lineRule="auto"/>
        <w:rPr>
          <w:sz w:val="20"/>
          <w:szCs w:val="20"/>
          <w:color w:val="auto"/>
        </w:rPr>
      </w:pPr>
      <w:r>
        <w:rPr>
          <w:rFonts w:ascii="Times New Roman" w:cs="Times New Roman" w:eastAsia="Times New Roman" w:hAnsi="Times New Roman"/>
          <w:sz w:val="14"/>
          <w:szCs w:val="14"/>
          <w:color w:val="auto"/>
        </w:rPr>
        <w:t>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92"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339" w:firstLine="351"/>
        <w:spacing w:after="0" w:line="265" w:lineRule="auto"/>
        <w:rPr>
          <w:sz w:val="20"/>
          <w:szCs w:val="20"/>
          <w:color w:val="auto"/>
        </w:rPr>
      </w:pPr>
      <w:r>
        <w:rPr>
          <w:rFonts w:ascii="Times New Roman" w:cs="Times New Roman" w:eastAsia="Times New Roman" w:hAnsi="Times New Roman"/>
          <w:sz w:val="14"/>
          <w:szCs w:val="14"/>
          <w:color w:val="auto"/>
        </w:rPr>
        <w:t>We issued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44" w:lineRule="exact"/>
        <w:rPr>
          <w:sz w:val="20"/>
          <w:szCs w:val="20"/>
          <w:color w:val="auto"/>
        </w:rPr>
      </w:pPr>
    </w:p>
    <w:p>
      <w:pPr>
        <w:ind w:left="1260" w:right="159" w:firstLine="351"/>
        <w:spacing w:after="0" w:line="259" w:lineRule="auto"/>
        <w:rPr>
          <w:sz w:val="20"/>
          <w:szCs w:val="20"/>
          <w:color w:val="auto"/>
        </w:rPr>
      </w:pPr>
      <w:r>
        <w:rPr>
          <w:rFonts w:ascii="Times New Roman" w:cs="Times New Roman" w:eastAsia="Times New Roman" w:hAnsi="Times New Roman"/>
          <w:sz w:val="14"/>
          <w:szCs w:val="14"/>
          <w:color w:val="auto"/>
        </w:rPr>
        <w:t>Holders of shares of our Class B common stock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50" w:lineRule="exact"/>
        <w:rPr>
          <w:sz w:val="20"/>
          <w:szCs w:val="20"/>
          <w:color w:val="auto"/>
        </w:rPr>
      </w:pPr>
    </w:p>
    <w:p>
      <w:pPr>
        <w:ind w:left="1260" w:right="259" w:firstLine="351"/>
        <w:spacing w:after="0" w:line="293" w:lineRule="auto"/>
        <w:rPr>
          <w:sz w:val="20"/>
          <w:szCs w:val="20"/>
          <w:color w:val="auto"/>
        </w:rPr>
      </w:pPr>
      <w:r>
        <w:rPr>
          <w:rFonts w:ascii="Times New Roman" w:cs="Times New Roman" w:eastAsia="Times New Roman" w:hAnsi="Times New Roman"/>
          <w:sz w:val="14"/>
          <w:szCs w:val="14"/>
          <w:color w:val="auto"/>
        </w:rPr>
        <w:t>Holders of our Class B common stock are not entitled to receive dividends or to receive a distribution upon a liquidation, dissolution, or winding up of Medline Inc.</w:t>
      </w:r>
    </w:p>
    <w:p>
      <w:pPr>
        <w:spacing w:after="0" w:line="1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amended and restated certificate of incorporation does not provide for any restrictions on transfer of shares of Class B common stock other</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than:</w:t>
      </w:r>
    </w:p>
    <w:p>
      <w:pPr>
        <w:spacing w:after="0" w:line="94" w:lineRule="exact"/>
        <w:rPr>
          <w:sz w:val="20"/>
          <w:szCs w:val="20"/>
          <w:color w:val="auto"/>
        </w:rPr>
      </w:pPr>
    </w:p>
    <w:p>
      <w:pPr>
        <w:ind w:left="2020" w:right="159" w:hanging="335"/>
        <w:spacing w:after="0" w:line="293" w:lineRule="auto"/>
        <w:tabs>
          <w:tab w:leader="none" w:pos="20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an automatic transfer of shares of Class B common stock to us upon an exchange of the Common Units associated with such shares;</w:t>
      </w:r>
    </w:p>
    <w:p>
      <w:pPr>
        <w:spacing w:after="0" w:line="48" w:lineRule="exact"/>
        <w:rPr>
          <w:rFonts w:ascii="Times New Roman" w:cs="Times New Roman" w:eastAsia="Times New Roman" w:hAnsi="Times New Roman"/>
          <w:sz w:val="14"/>
          <w:szCs w:val="14"/>
          <w:color w:val="auto"/>
        </w:rPr>
      </w:pPr>
    </w:p>
    <w:p>
      <w:pPr>
        <w:jc w:val="both"/>
        <w:ind w:left="2020" w:right="319" w:hanging="335"/>
        <w:spacing w:after="0" w:line="275" w:lineRule="auto"/>
        <w:tabs>
          <w:tab w:leader="none" w:pos="20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p>
      <w:pPr>
        <w:spacing w:after="0" w:line="59" w:lineRule="exact"/>
        <w:rPr>
          <w:rFonts w:ascii="Times New Roman" w:cs="Times New Roman" w:eastAsia="Times New Roman" w:hAnsi="Times New Roman"/>
          <w:sz w:val="14"/>
          <w:szCs w:val="14"/>
          <w:color w:val="auto"/>
        </w:rPr>
      </w:pPr>
    </w:p>
    <w:p>
      <w:pPr>
        <w:ind w:left="2020" w:right="239" w:hanging="335"/>
        <w:spacing w:after="0" w:line="293" w:lineRule="auto"/>
        <w:tabs>
          <w:tab w:leader="none" w:pos="20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that, in the event the holder transfers Common Units to any person, the holder transfer an equal number of shares of Class B common stock to the same person.</w:t>
      </w:r>
    </w:p>
    <w:p>
      <w:pPr>
        <w:spacing w:after="0" w:line="123" w:lineRule="exact"/>
        <w:rPr>
          <w:sz w:val="20"/>
          <w:szCs w:val="20"/>
          <w:color w:val="auto"/>
        </w:rPr>
      </w:pPr>
    </w:p>
    <w:p>
      <w:pPr>
        <w:ind w:left="1260" w:right="139" w:firstLine="351"/>
        <w:spacing w:after="0" w:line="268" w:lineRule="auto"/>
        <w:rPr>
          <w:sz w:val="20"/>
          <w:szCs w:val="20"/>
          <w:color w:val="auto"/>
        </w:rPr>
      </w:pPr>
      <w:r>
        <w:rPr>
          <w:rFonts w:ascii="Times New Roman" w:cs="Times New Roman" w:eastAsia="Times New Roman" w:hAnsi="Times New Roman"/>
          <w:sz w:val="14"/>
          <w:szCs w:val="14"/>
          <w:color w:val="auto"/>
        </w:rPr>
        <w:t>The Class B common stock is not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holders of our Class B common stock are subject to those of the holders of any shares of our preferred stock or any other series or class of stock we may authorize and issue in the future.</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Mills Family Voting Cap</w:t>
      </w:r>
    </w:p>
    <w:p>
      <w:pPr>
        <w:spacing w:after="0" w:line="101" w:lineRule="exact"/>
        <w:rPr>
          <w:sz w:val="20"/>
          <w:szCs w:val="20"/>
          <w:color w:val="auto"/>
        </w:rPr>
      </w:pPr>
    </w:p>
    <w:p>
      <w:pPr>
        <w:ind w:left="1260" w:right="299" w:firstLine="351"/>
        <w:spacing w:after="0" w:line="293" w:lineRule="auto"/>
        <w:rPr>
          <w:sz w:val="20"/>
          <w:szCs w:val="20"/>
          <w:color w:val="auto"/>
        </w:rPr>
      </w:pPr>
      <w:r>
        <w:rPr>
          <w:rFonts w:ascii="Times New Roman" w:cs="Times New Roman" w:eastAsia="Times New Roman" w:hAnsi="Times New Roman"/>
          <w:sz w:val="14"/>
          <w:szCs w:val="14"/>
          <w:color w:val="auto"/>
        </w:rPr>
        <w:t>The Mills Family and their affiliates are not entitled to cast votes, or provide consent, with respect to any shares of capital stock of Medline Inc. owned by them representing, in the aggregate, more than 20% of the total</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92"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319"/>
        <w:spacing w:after="0" w:line="264" w:lineRule="auto"/>
        <w:rPr>
          <w:sz w:val="20"/>
          <w:szCs w:val="20"/>
          <w:color w:val="auto"/>
        </w:rPr>
      </w:pPr>
      <w:r>
        <w:rPr>
          <w:rFonts w:ascii="Times New Roman" w:cs="Times New Roman" w:eastAsia="Times New Roman" w:hAnsi="Times New Roman"/>
          <w:sz w:val="14"/>
          <w:szCs w:val="14"/>
          <w:color w:val="auto"/>
        </w:rPr>
        <w:t>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9" w:lineRule="exact"/>
        <w:rPr>
          <w:sz w:val="20"/>
          <w:szCs w:val="20"/>
          <w:color w:val="auto"/>
        </w:rPr>
      </w:pPr>
    </w:p>
    <w:p>
      <w:pPr>
        <w:ind w:left="1260" w:right="199" w:firstLine="351"/>
        <w:spacing w:after="0" w:line="264" w:lineRule="auto"/>
        <w:rPr>
          <w:sz w:val="20"/>
          <w:szCs w:val="20"/>
          <w:color w:val="auto"/>
        </w:rPr>
      </w:pPr>
      <w:r>
        <w:rPr>
          <w:rFonts w:ascii="Times New Roman" w:cs="Times New Roman" w:eastAsia="Times New Roman" w:hAnsi="Times New Roman"/>
          <w:sz w:val="14"/>
          <w:szCs w:val="14"/>
          <w:color w:val="auto"/>
        </w:rPr>
        <w:t>As of the date of this prospectus, we had no shares of preferred stock issued or outstanding. 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67" w:lineRule="exact"/>
        <w:rPr>
          <w:sz w:val="20"/>
          <w:szCs w:val="20"/>
          <w:color w:val="auto"/>
        </w:rPr>
      </w:pPr>
    </w:p>
    <w:p>
      <w:pPr>
        <w:ind w:left="2020" w:hanging="335"/>
        <w:spacing w:after="0"/>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108" w:lineRule="exact"/>
        <w:rPr>
          <w:rFonts w:ascii="Times New Roman" w:cs="Times New Roman" w:eastAsia="Times New Roman" w:hAnsi="Times New Roman"/>
          <w:sz w:val="14"/>
          <w:szCs w:val="14"/>
          <w:color w:val="auto"/>
        </w:rPr>
      </w:pPr>
    </w:p>
    <w:p>
      <w:pPr>
        <w:ind w:left="2020" w:right="239" w:hanging="335"/>
        <w:spacing w:after="0" w:line="275" w:lineRule="auto"/>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59"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if any, will be cumulative or non-cumulative and the dividend rate of the series;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at which dividends, if any, will be payable on shares of such series;</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rights and price or prices, if any, for shares of the series;</w:t>
      </w:r>
    </w:p>
    <w:p>
      <w:pPr>
        <w:spacing w:after="0" w:line="10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amounts of any sinking fund provided for the purchase or redemption of shares of the series;</w:t>
      </w:r>
    </w:p>
    <w:p>
      <w:pPr>
        <w:spacing w:after="0" w:line="107" w:lineRule="exact"/>
        <w:rPr>
          <w:rFonts w:ascii="Times New Roman" w:cs="Times New Roman" w:eastAsia="Times New Roman" w:hAnsi="Times New Roman"/>
          <w:sz w:val="14"/>
          <w:szCs w:val="14"/>
          <w:color w:val="auto"/>
        </w:rPr>
      </w:pPr>
    </w:p>
    <w:p>
      <w:pPr>
        <w:ind w:left="2020" w:right="519" w:hanging="335"/>
        <w:spacing w:after="0" w:line="293" w:lineRule="auto"/>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on shares of the series in the event of any voluntary or involuntary liquidation, dissolution or winding-up of our affairs or other event;</w:t>
      </w:r>
    </w:p>
    <w:p>
      <w:pPr>
        <w:spacing w:after="0" w:line="48" w:lineRule="exact"/>
        <w:rPr>
          <w:rFonts w:ascii="Times New Roman" w:cs="Times New Roman" w:eastAsia="Times New Roman" w:hAnsi="Times New Roman"/>
          <w:sz w:val="14"/>
          <w:szCs w:val="14"/>
          <w:color w:val="auto"/>
        </w:rPr>
      </w:pPr>
    </w:p>
    <w:p>
      <w:pPr>
        <w:ind w:left="2020" w:right="159" w:hanging="335"/>
        <w:spacing w:after="0" w:line="275" w:lineRule="auto"/>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59"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issuance of shares of the same series or of any other class or series of our capital stock; and</w:t>
      </w:r>
    </w:p>
    <w:p>
      <w:pPr>
        <w:spacing w:after="0" w:line="107"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the series.</w:t>
      </w:r>
    </w:p>
    <w:p>
      <w:pPr>
        <w:spacing w:after="0" w:line="183"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92"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9" w:lineRule="exact"/>
        <w:rPr>
          <w:sz w:val="20"/>
          <w:szCs w:val="20"/>
          <w:color w:val="auto"/>
        </w:rPr>
      </w:pPr>
    </w:p>
    <w:p>
      <w:pPr>
        <w:ind w:left="1260" w:right="119" w:firstLine="351"/>
        <w:spacing w:after="0" w:line="261" w:lineRule="auto"/>
        <w:rPr>
          <w:sz w:val="20"/>
          <w:szCs w:val="20"/>
          <w:color w:val="auto"/>
        </w:rPr>
      </w:pPr>
      <w:r>
        <w:rPr>
          <w:rFonts w:ascii="Times New Roman" w:cs="Times New Roman" w:eastAsia="Times New Roman" w:hAnsi="Times New Roman"/>
          <w:sz w:val="14"/>
          <w:szCs w:val="14"/>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is subject to the discretion of our board of directors, except that our amended and restated certificate of incorporation provides that holders of Class B common stock shall not be entitled to any dividends on their shares of Class B common stock (other than dividends payable in the form of additional shares of Class B common stock). See also “Dividend Policy.”</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99" w:lineRule="exact"/>
        <w:rPr>
          <w:sz w:val="20"/>
          <w:szCs w:val="20"/>
          <w:color w:val="auto"/>
        </w:rPr>
      </w:pPr>
    </w:p>
    <w:p>
      <w:pPr>
        <w:ind w:left="1260" w:right="139" w:firstLine="351"/>
        <w:spacing w:after="0" w:line="275" w:lineRule="auto"/>
        <w:rPr>
          <w:sz w:val="20"/>
          <w:szCs w:val="20"/>
          <w:color w:val="auto"/>
        </w:rPr>
      </w:pPr>
      <w:r>
        <w:rPr>
          <w:rFonts w:ascii="Times New Roman" w:cs="Times New Roman" w:eastAsia="Times New Roman" w:hAnsi="Times New Roman"/>
          <w:sz w:val="14"/>
          <w:szCs w:val="14"/>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219" w:lineRule="exact"/>
        <w:rPr>
          <w:sz w:val="20"/>
          <w:szCs w:val="20"/>
          <w:color w:val="auto"/>
        </w:rPr>
      </w:pPr>
    </w:p>
    <w:p>
      <w:pPr>
        <w:ind w:left="1260" w:right="259"/>
        <w:spacing w:after="0" w:line="296" w:lineRule="auto"/>
        <w:rPr>
          <w:sz w:val="20"/>
          <w:szCs w:val="20"/>
          <w:color w:val="auto"/>
        </w:rPr>
      </w:pPr>
      <w:r>
        <w:rPr>
          <w:rFonts w:ascii="Times New Roman" w:cs="Times New Roman" w:eastAsia="Times New Roman" w:hAnsi="Times New Roman"/>
          <w:sz w:val="14"/>
          <w:szCs w:val="14"/>
          <w:b w:val="1"/>
          <w:bCs w:val="1"/>
          <w:color w:val="auto"/>
        </w:rPr>
        <w:t>Anti-Takeover Effects of Our Amended and Restated Certificate of Incorporation and Amended and Restated Bylaws and Certain Provisions of Delaware Law</w:t>
      </w:r>
    </w:p>
    <w:p>
      <w:pPr>
        <w:spacing w:after="0" w:line="35" w:lineRule="exact"/>
        <w:rPr>
          <w:sz w:val="20"/>
          <w:szCs w:val="20"/>
          <w:color w:val="auto"/>
        </w:rPr>
      </w:pPr>
    </w:p>
    <w:p>
      <w:pPr>
        <w:ind w:left="1260" w:right="159" w:firstLine="351"/>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01" w:lineRule="exact"/>
        <w:rPr>
          <w:sz w:val="20"/>
          <w:szCs w:val="20"/>
          <w:color w:val="auto"/>
        </w:rPr>
      </w:pPr>
    </w:p>
    <w:p>
      <w:pPr>
        <w:ind w:left="1260" w:right="179" w:firstLine="351"/>
        <w:spacing w:after="0" w:line="264"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shares that are authorized and available for issuance. However, the listing requirements of Nasdaq, which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43" w:lineRule="exact"/>
        <w:rPr>
          <w:sz w:val="20"/>
          <w:szCs w:val="20"/>
          <w:color w:val="auto"/>
        </w:rPr>
      </w:pPr>
    </w:p>
    <w:p>
      <w:pPr>
        <w:ind w:left="1260" w:right="219" w:firstLine="351"/>
        <w:spacing w:after="0" w:line="268" w:lineRule="auto"/>
        <w:rPr>
          <w:sz w:val="20"/>
          <w:szCs w:val="20"/>
          <w:color w:val="auto"/>
        </w:rPr>
      </w:pPr>
      <w:r>
        <w:rPr>
          <w:rFonts w:ascii="Times New Roman" w:cs="Times New Roman" w:eastAsia="Times New Roman" w:hAnsi="Times New Roman"/>
          <w:sz w:val="14"/>
          <w:szCs w:val="14"/>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are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42" w:lineRule="exact"/>
        <w:rPr>
          <w:sz w:val="20"/>
          <w:szCs w:val="20"/>
          <w:color w:val="auto"/>
        </w:rPr>
      </w:pPr>
    </w:p>
    <w:p>
      <w:pPr>
        <w:ind w:left="1260" w:right="419" w:firstLine="351"/>
        <w:spacing w:after="0" w:line="293" w:lineRule="auto"/>
        <w:rPr>
          <w:sz w:val="20"/>
          <w:szCs w:val="20"/>
          <w:color w:val="auto"/>
        </w:rPr>
      </w:pPr>
      <w:r>
        <w:rPr>
          <w:rFonts w:ascii="Times New Roman" w:cs="Times New Roman" w:eastAsia="Times New Roman" w:hAnsi="Times New Roman"/>
          <w:sz w:val="14"/>
          <w:szCs w:val="14"/>
          <w:color w:val="auto"/>
        </w:rPr>
        <w:t>One of the effects of the existence of authorized and unissued and unreserved common stock or preferred stock may be to enable our board of directors to issue shares to persons friendly to current management, which</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92"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319"/>
        <w:spacing w:after="0" w:line="275" w:lineRule="auto"/>
        <w:rPr>
          <w:sz w:val="20"/>
          <w:szCs w:val="20"/>
          <w:color w:val="auto"/>
        </w:rPr>
      </w:pPr>
      <w:r>
        <w:rPr>
          <w:rFonts w:ascii="Times New Roman" w:cs="Times New Roman" w:eastAsia="Times New Roman" w:hAnsi="Times New Roman"/>
          <w:sz w:val="14"/>
          <w:szCs w:val="14"/>
          <w:color w:val="auto"/>
        </w:rPr>
        <w:t>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01" w:lineRule="exact"/>
        <w:rPr>
          <w:sz w:val="20"/>
          <w:szCs w:val="20"/>
          <w:color w:val="auto"/>
        </w:rPr>
      </w:pPr>
    </w:p>
    <w:p>
      <w:pPr>
        <w:ind w:left="1260" w:right="159" w:firstLine="351"/>
        <w:spacing w:after="0" w:line="261" w:lineRule="auto"/>
        <w:rPr>
          <w:sz w:val="20"/>
          <w:szCs w:val="20"/>
          <w:color w:val="auto"/>
        </w:rPr>
      </w:pPr>
      <w:r>
        <w:rPr>
          <w:rFonts w:ascii="Times New Roman" w:cs="Times New Roman" w:eastAsia="Times New Roman" w:hAnsi="Times New Roman"/>
          <w:sz w:val="14"/>
          <w:szCs w:val="14"/>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2020" w:right="539" w:hanging="335"/>
        <w:spacing w:after="0" w:line="293" w:lineRule="auto"/>
        <w:tabs>
          <w:tab w:leader="none" w:pos="20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that resulted in the stockholder becoming an interested stockholder;</w:t>
      </w:r>
    </w:p>
    <w:p>
      <w:pPr>
        <w:spacing w:after="0" w:line="48" w:lineRule="exact"/>
        <w:rPr>
          <w:rFonts w:ascii="Times New Roman" w:cs="Times New Roman" w:eastAsia="Times New Roman" w:hAnsi="Times New Roman"/>
          <w:sz w:val="14"/>
          <w:szCs w:val="14"/>
          <w:color w:val="auto"/>
        </w:rPr>
      </w:pPr>
    </w:p>
    <w:p>
      <w:pPr>
        <w:ind w:left="2020" w:right="519" w:hanging="335"/>
        <w:spacing w:after="0" w:line="293" w:lineRule="auto"/>
        <w:tabs>
          <w:tab w:leader="none" w:pos="20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8" w:lineRule="exact"/>
        <w:rPr>
          <w:rFonts w:ascii="Times New Roman" w:cs="Times New Roman" w:eastAsia="Times New Roman" w:hAnsi="Times New Roman"/>
          <w:sz w:val="14"/>
          <w:szCs w:val="14"/>
          <w:color w:val="auto"/>
        </w:rPr>
      </w:pPr>
    </w:p>
    <w:p>
      <w:pPr>
        <w:ind w:left="2020" w:right="339" w:hanging="335"/>
        <w:spacing w:after="0" w:line="296" w:lineRule="auto"/>
        <w:tabs>
          <w:tab w:leader="none" w:pos="20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of our outstanding voting stock that is not owned by the interested stockholder.</w:t>
      </w:r>
    </w:p>
    <w:p>
      <w:pPr>
        <w:spacing w:after="0" w:line="20"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44" w:lineRule="exact"/>
        <w:rPr>
          <w:sz w:val="20"/>
          <w:szCs w:val="20"/>
          <w:color w:val="auto"/>
        </w:rPr>
      </w:pPr>
    </w:p>
    <w:p>
      <w:pPr>
        <w:ind w:left="1260" w:right="239" w:firstLine="351"/>
        <w:spacing w:after="0" w:line="265"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316" w:lineRule="exact"/>
        <w:rPr>
          <w:sz w:val="20"/>
          <w:szCs w:val="20"/>
          <w:color w:val="auto"/>
        </w:rPr>
      </w:pPr>
    </w:p>
    <w:p>
      <w:pPr>
        <w:ind w:left="1260" w:right="299" w:firstLine="351"/>
        <w:spacing w:after="0" w:line="275"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01"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amended and restated certificate of incorporation does not</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92"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519"/>
        <w:spacing w:after="0" w:line="293" w:lineRule="auto"/>
        <w:rPr>
          <w:sz w:val="20"/>
          <w:szCs w:val="20"/>
          <w:color w:val="auto"/>
        </w:rPr>
      </w:pPr>
      <w:r>
        <w:rPr>
          <w:rFonts w:ascii="Times New Roman" w:cs="Times New Roman" w:eastAsia="Times New Roman" w:hAnsi="Times New Roman"/>
          <w:sz w:val="14"/>
          <w:szCs w:val="14"/>
          <w:color w:val="auto"/>
        </w:rPr>
        <w:t>authorize cumulative voting. Therefore, stockholders holding a majority in voting power of the shares of our stock entitled to vote generally in the election of directors will be able to elect all of our directors.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01" w:lineRule="exact"/>
        <w:rPr>
          <w:sz w:val="20"/>
          <w:szCs w:val="20"/>
          <w:color w:val="auto"/>
        </w:rPr>
      </w:pPr>
    </w:p>
    <w:p>
      <w:pPr>
        <w:ind w:left="1260" w:right="119" w:firstLine="351"/>
        <w:spacing w:after="0" w:line="262" w:lineRule="auto"/>
        <w:rPr>
          <w:sz w:val="20"/>
          <w:szCs w:val="20"/>
          <w:color w:val="auto"/>
        </w:rPr>
      </w:pPr>
      <w:r>
        <w:rPr>
          <w:rFonts w:ascii="Times New Roman" w:cs="Times New Roman" w:eastAsia="Times New Roman" w:hAnsi="Times New Roman"/>
          <w:sz w:val="14"/>
          <w:szCs w:val="14"/>
          <w:color w:val="auto"/>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Nominations and Stockholder Proposals</w:t>
      </w:r>
    </w:p>
    <w:p>
      <w:pPr>
        <w:spacing w:after="0" w:line="101" w:lineRule="exact"/>
        <w:rPr>
          <w:sz w:val="20"/>
          <w:szCs w:val="20"/>
          <w:color w:val="auto"/>
        </w:rPr>
      </w:pPr>
    </w:p>
    <w:p>
      <w:pPr>
        <w:ind w:left="1260" w:right="199" w:firstLine="351"/>
        <w:spacing w:after="0" w:line="260"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Consent</w:t>
      </w:r>
    </w:p>
    <w:p>
      <w:pPr>
        <w:spacing w:after="0" w:line="101" w:lineRule="exact"/>
        <w:rPr>
          <w:sz w:val="20"/>
          <w:szCs w:val="20"/>
          <w:color w:val="auto"/>
        </w:rPr>
      </w:pPr>
    </w:p>
    <w:p>
      <w:pPr>
        <w:ind w:left="1260" w:right="119" w:firstLine="351"/>
        <w:spacing w:after="0" w:line="259" w:lineRule="auto"/>
        <w:rPr>
          <w:sz w:val="20"/>
          <w:szCs w:val="20"/>
          <w:color w:val="auto"/>
        </w:rPr>
      </w:pPr>
      <w:r>
        <w:rPr>
          <w:rFonts w:ascii="Times New Roman" w:cs="Times New Roman" w:eastAsia="Times New Roman" w:hAnsi="Times New Roman"/>
          <w:sz w:val="14"/>
          <w:szCs w:val="14"/>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92"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99" w:lineRule="exact"/>
        <w:rPr>
          <w:sz w:val="20"/>
          <w:szCs w:val="20"/>
          <w:color w:val="auto"/>
        </w:rPr>
      </w:pPr>
    </w:p>
    <w:p>
      <w:pPr>
        <w:ind w:left="1260" w:right="199" w:firstLine="351"/>
        <w:spacing w:after="0" w:line="264" w:lineRule="auto"/>
        <w:rPr>
          <w:sz w:val="20"/>
          <w:szCs w:val="20"/>
          <w:color w:val="auto"/>
        </w:rPr>
      </w:pPr>
      <w:r>
        <w:rPr>
          <w:rFonts w:ascii="Times New Roman" w:cs="Times New Roman" w:eastAsia="Times New Roman" w:hAnsi="Times New Roman"/>
          <w:sz w:val="14"/>
          <w:szCs w:val="14"/>
          <w:color w:val="auto"/>
        </w:rPr>
        <w:t>Under the DGCL, with certain exceptions, our stockholders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99" w:lineRule="exact"/>
        <w:rPr>
          <w:sz w:val="20"/>
          <w:szCs w:val="20"/>
          <w:color w:val="auto"/>
        </w:rPr>
      </w:pPr>
    </w:p>
    <w:p>
      <w:pPr>
        <w:ind w:left="1260" w:right="219" w:firstLine="351"/>
        <w:spacing w:after="0" w:line="262"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99" w:lineRule="exact"/>
        <w:rPr>
          <w:sz w:val="20"/>
          <w:szCs w:val="20"/>
          <w:color w:val="auto"/>
        </w:rPr>
      </w:pPr>
    </w:p>
    <w:p>
      <w:pPr>
        <w:ind w:left="1260" w:right="439" w:firstLine="351"/>
        <w:spacing w:after="0" w:line="293" w:lineRule="auto"/>
        <w:rPr>
          <w:sz w:val="20"/>
          <w:szCs w:val="20"/>
          <w:color w:val="auto"/>
        </w:rPr>
      </w:pPr>
      <w:r>
        <w:rPr>
          <w:rFonts w:ascii="Times New Roman" w:cs="Times New Roman" w:eastAsia="Times New Roman" w:hAnsi="Times New Roman"/>
          <w:sz w:val="14"/>
          <w:szCs w:val="14"/>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23" w:lineRule="exact"/>
        <w:rPr>
          <w:sz w:val="20"/>
          <w:szCs w:val="20"/>
          <w:color w:val="auto"/>
        </w:rPr>
      </w:pPr>
    </w:p>
    <w:p>
      <w:pPr>
        <w:ind w:left="1260" w:right="139" w:firstLine="351"/>
        <w:spacing w:after="0" w:line="264" w:lineRule="auto"/>
        <w:rPr>
          <w:sz w:val="20"/>
          <w:szCs w:val="20"/>
          <w:color w:val="auto"/>
        </w:rPr>
      </w:pPr>
      <w:r>
        <w:rPr>
          <w:rFonts w:ascii="Times New Roman" w:cs="Times New Roman" w:eastAsia="Times New Roman" w:hAnsi="Times New Roman"/>
          <w:sz w:val="14"/>
          <w:szCs w:val="14"/>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43" w:lineRule="exact"/>
        <w:rPr>
          <w:sz w:val="20"/>
          <w:szCs w:val="20"/>
          <w:color w:val="auto"/>
        </w:rPr>
      </w:pPr>
    </w:p>
    <w:p>
      <w:pPr>
        <w:ind w:left="1260" w:right="119" w:firstLine="351"/>
        <w:spacing w:after="0" w:line="261"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49" w:lineRule="exact"/>
        <w:rPr>
          <w:sz w:val="20"/>
          <w:szCs w:val="20"/>
          <w:color w:val="auto"/>
        </w:rPr>
      </w:pPr>
    </w:p>
    <w:p>
      <w:pPr>
        <w:ind w:left="1260" w:right="279" w:firstLine="351"/>
        <w:spacing w:after="0" w:line="293" w:lineRule="auto"/>
        <w:rPr>
          <w:sz w:val="20"/>
          <w:szCs w:val="20"/>
          <w:color w:val="auto"/>
        </w:rPr>
      </w:pPr>
      <w:r>
        <w:rPr>
          <w:rFonts w:ascii="Times New Roman" w:cs="Times New Roman" w:eastAsia="Times New Roman" w:hAnsi="Times New Roman"/>
          <w:sz w:val="14"/>
          <w:szCs w:val="14"/>
          <w:color w:val="auto"/>
        </w:rPr>
        <w:t>To the fullest extent permitted by law, any person or entity purchasing or otherwise acquiring or holding any interest in shares of capital stock of our company shall be deemed to have notice of and consented to the forum</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92"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219"/>
        <w:spacing w:after="0" w:line="264"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Class A Common Stock—Our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9" w:lineRule="exact"/>
        <w:rPr>
          <w:sz w:val="20"/>
          <w:szCs w:val="20"/>
          <w:color w:val="auto"/>
        </w:rPr>
      </w:pPr>
    </w:p>
    <w:p>
      <w:pPr>
        <w:ind w:left="1260" w:right="179" w:firstLine="351"/>
        <w:spacing w:after="0" w:line="259"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w:t>
      </w:r>
    </w:p>
    <w:p>
      <w:pPr>
        <w:spacing w:after="0" w:line="3" w:lineRule="exact"/>
        <w:rPr>
          <w:sz w:val="20"/>
          <w:szCs w:val="20"/>
          <w:color w:val="auto"/>
        </w:rPr>
      </w:pPr>
    </w:p>
    <w:p>
      <w:pPr>
        <w:ind w:left="1420" w:hanging="166"/>
        <w:spacing w:after="0"/>
        <w:tabs>
          <w:tab w:leader="none" w:pos="14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a corporate opportunity in the same or similar lines of business in which we or our affiliates now engage or propose to engage or</w:t>
      </w:r>
    </w:p>
    <w:p>
      <w:pPr>
        <w:spacing w:after="0" w:line="11" w:lineRule="exact"/>
        <w:rPr>
          <w:rFonts w:ascii="Times New Roman" w:cs="Times New Roman" w:eastAsia="Times New Roman" w:hAnsi="Times New Roman"/>
          <w:sz w:val="14"/>
          <w:szCs w:val="14"/>
          <w:color w:val="auto"/>
        </w:rPr>
      </w:pPr>
    </w:p>
    <w:p>
      <w:pPr>
        <w:ind w:left="1260" w:right="139" w:hanging="6"/>
        <w:spacing w:after="0" w:line="258" w:lineRule="auto"/>
        <w:tabs>
          <w:tab w:leader="none" w:pos="1471"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entered into with the Designating Stockholders also contains provisions providing the Designating Stockholders with access to our corporate information.</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99" w:lineRule="exact"/>
        <w:rPr>
          <w:sz w:val="20"/>
          <w:szCs w:val="20"/>
          <w:color w:val="auto"/>
        </w:rPr>
      </w:pPr>
    </w:p>
    <w:p>
      <w:pPr>
        <w:ind w:left="1260" w:right="199" w:firstLine="351"/>
        <w:spacing w:after="0" w:line="260"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92"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99" w:firstLine="351"/>
        <w:spacing w:after="0" w:line="268" w:lineRule="auto"/>
        <w:rPr>
          <w:sz w:val="20"/>
          <w:szCs w:val="20"/>
          <w:color w:val="auto"/>
        </w:rPr>
      </w:pPr>
      <w:r>
        <w:rPr>
          <w:rFonts w:ascii="Times New Roman" w:cs="Times New Roman" w:eastAsia="Times New Roman" w:hAnsi="Times New Roman"/>
          <w:sz w:val="14"/>
          <w:szCs w:val="14"/>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42"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4" w:lineRule="exact"/>
        <w:rPr>
          <w:sz w:val="20"/>
          <w:szCs w:val="20"/>
          <w:color w:val="auto"/>
        </w:rPr>
      </w:pPr>
    </w:p>
    <w:p>
      <w:pPr>
        <w:ind w:left="1260" w:right="239" w:firstLine="351"/>
        <w:spacing w:after="0" w:line="293" w:lineRule="auto"/>
        <w:rPr>
          <w:sz w:val="20"/>
          <w:szCs w:val="20"/>
          <w:color w:val="auto"/>
        </w:rPr>
      </w:pPr>
      <w:r>
        <w:rPr>
          <w:rFonts w:ascii="Times New Roman" w:cs="Times New Roman" w:eastAsia="Times New Roman" w:hAnsi="Times New Roman"/>
          <w:sz w:val="14"/>
          <w:szCs w:val="14"/>
          <w:color w:val="auto"/>
        </w:rPr>
        <w:t>There is currently no pending material litigation or proceeding involving any of our directors, officers or employees for which indemnification is sought.</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transfer agent and registrar for shares of our Class A common stock is Equiniti Trust Company, LLC.</w:t>
      </w: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“MDLN.”</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9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CERTAIN U.S. FEDERAL INCOME TAX CONSEQUENCES TO NON-U.S. HOLDERS</w:t>
      </w:r>
    </w:p>
    <w:p>
      <w:pPr>
        <w:spacing w:after="0" w:line="185"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44" w:lineRule="exact"/>
        <w:rPr>
          <w:sz w:val="20"/>
          <w:szCs w:val="20"/>
          <w:color w:val="auto"/>
        </w:rPr>
      </w:pPr>
    </w:p>
    <w:p>
      <w:pPr>
        <w:ind w:left="1260" w:right="799" w:firstLine="351"/>
        <w:spacing w:after="0" w:line="293" w:lineRule="auto"/>
        <w:rPr>
          <w:sz w:val="20"/>
          <w:szCs w:val="20"/>
          <w:color w:val="auto"/>
        </w:rPr>
      </w:pPr>
      <w:r>
        <w:rPr>
          <w:rFonts w:ascii="Times New Roman" w:cs="Times New Roman" w:eastAsia="Times New Roman" w:hAnsi="Times New Roman"/>
          <w:sz w:val="14"/>
          <w:szCs w:val="14"/>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48" w:lineRule="exact"/>
        <w:rPr>
          <w:sz w:val="20"/>
          <w:szCs w:val="20"/>
          <w:color w:val="auto"/>
        </w:rPr>
      </w:pPr>
    </w:p>
    <w:p>
      <w:pPr>
        <w:ind w:left="2020" w:hanging="335"/>
        <w:spacing w:after="0"/>
        <w:tabs>
          <w:tab w:leader="none" w:pos="20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8" w:lineRule="exact"/>
        <w:rPr>
          <w:rFonts w:ascii="Times New Roman" w:cs="Times New Roman" w:eastAsia="Times New Roman" w:hAnsi="Times New Roman"/>
          <w:sz w:val="14"/>
          <w:szCs w:val="14"/>
          <w:color w:val="auto"/>
        </w:rPr>
      </w:pPr>
    </w:p>
    <w:p>
      <w:pPr>
        <w:ind w:left="2020" w:right="139" w:hanging="335"/>
        <w:spacing w:after="0" w:line="293" w:lineRule="auto"/>
        <w:tabs>
          <w:tab w:leader="none" w:pos="20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in or under the laws of the United States, any state thereof or the District of Columbia;</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07" w:lineRule="exact"/>
        <w:rPr>
          <w:rFonts w:ascii="Times New Roman" w:cs="Times New Roman" w:eastAsia="Times New Roman" w:hAnsi="Times New Roman"/>
          <w:sz w:val="14"/>
          <w:szCs w:val="14"/>
          <w:color w:val="auto"/>
        </w:rPr>
      </w:pPr>
    </w:p>
    <w:p>
      <w:pPr>
        <w:ind w:left="2020" w:right="119" w:hanging="335"/>
        <w:spacing w:after="0" w:line="266" w:lineRule="auto"/>
        <w:tabs>
          <w:tab w:leader="none" w:pos="20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spacing w:after="0" w:line="1" w:lineRule="exact"/>
        <w:rPr>
          <w:rFonts w:ascii="Times New Roman" w:cs="Times New Roman" w:eastAsia="Times New Roman" w:hAnsi="Times New Roman"/>
          <w:sz w:val="14"/>
          <w:szCs w:val="14"/>
          <w:color w:val="auto"/>
        </w:rPr>
      </w:pPr>
    </w:p>
    <w:p>
      <w:pPr>
        <w:ind w:left="2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has a valid election in effect under applicable U.S. Treasury regulations to be treated as a U.S. person.</w:t>
      </w:r>
    </w:p>
    <w:p>
      <w:pPr>
        <w:spacing w:after="0" w:line="170" w:lineRule="exact"/>
        <w:rPr>
          <w:sz w:val="20"/>
          <w:szCs w:val="20"/>
          <w:color w:val="auto"/>
        </w:rPr>
      </w:pPr>
    </w:p>
    <w:p>
      <w:pPr>
        <w:ind w:left="1260" w:right="159" w:firstLine="351"/>
        <w:spacing w:after="0" w:line="260" w:lineRule="auto"/>
        <w:rPr>
          <w:sz w:val="20"/>
          <w:szCs w:val="20"/>
          <w:color w:val="auto"/>
        </w:rPr>
      </w:pPr>
      <w:r>
        <w:rPr>
          <w:rFonts w:ascii="Times New Roman" w:cs="Times New Roman" w:eastAsia="Times New Roman" w:hAnsi="Times New Roman"/>
          <w:sz w:val="14"/>
          <w:szCs w:val="14"/>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45" w:lineRule="exact"/>
        <w:rPr>
          <w:sz w:val="20"/>
          <w:szCs w:val="20"/>
          <w:color w:val="auto"/>
        </w:rPr>
      </w:pPr>
    </w:p>
    <w:p>
      <w:pPr>
        <w:jc w:val="both"/>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33" w:lineRule="exact"/>
        <w:rPr>
          <w:sz w:val="20"/>
          <w:szCs w:val="20"/>
          <w:color w:val="auto"/>
        </w:rPr>
      </w:pPr>
    </w:p>
    <w:p>
      <w:pPr>
        <w:ind w:left="1260" w:right="379" w:firstLine="351"/>
        <w:spacing w:after="0" w:line="276" w:lineRule="auto"/>
        <w:rPr>
          <w:sz w:val="20"/>
          <w:szCs w:val="20"/>
          <w:color w:val="auto"/>
        </w:rPr>
      </w:pPr>
      <w:r>
        <w:rPr>
          <w:rFonts w:ascii="Times New Roman" w:cs="Times New Roman" w:eastAsia="Times New Roman" w:hAnsi="Times New Roman"/>
          <w:sz w:val="14"/>
          <w:szCs w:val="14"/>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92"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9" w:lineRule="exact"/>
        <w:rPr>
          <w:sz w:val="20"/>
          <w:szCs w:val="20"/>
          <w:color w:val="auto"/>
        </w:rPr>
      </w:pPr>
    </w:p>
    <w:p>
      <w:pPr>
        <w:ind w:left="1260" w:right="139" w:firstLine="351"/>
        <w:spacing w:after="0" w:line="262" w:lineRule="auto"/>
        <w:rPr>
          <w:sz w:val="20"/>
          <w:szCs w:val="20"/>
          <w:color w:val="auto"/>
        </w:rPr>
      </w:pPr>
      <w:r>
        <w:rPr>
          <w:rFonts w:ascii="Times New Roman" w:cs="Times New Roman" w:eastAsia="Times New Roman" w:hAnsi="Times New Roman"/>
          <w:sz w:val="14"/>
          <w:szCs w:val="14"/>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47" w:lineRule="exact"/>
        <w:rPr>
          <w:sz w:val="20"/>
          <w:szCs w:val="20"/>
          <w:color w:val="auto"/>
        </w:rPr>
      </w:pPr>
    </w:p>
    <w:p>
      <w:pPr>
        <w:ind w:left="1260" w:right="139" w:firstLine="351"/>
        <w:spacing w:after="0" w:line="262" w:lineRule="auto"/>
        <w:rPr>
          <w:sz w:val="20"/>
          <w:szCs w:val="20"/>
          <w:color w:val="auto"/>
        </w:rPr>
      </w:pPr>
      <w:r>
        <w:rPr>
          <w:rFonts w:ascii="Times New Roman" w:cs="Times New Roman" w:eastAsia="Times New Roman" w:hAnsi="Times New Roman"/>
          <w:sz w:val="14"/>
          <w:szCs w:val="14"/>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47" w:lineRule="exact"/>
        <w:rPr>
          <w:sz w:val="20"/>
          <w:szCs w:val="20"/>
          <w:color w:val="auto"/>
        </w:rPr>
      </w:pPr>
    </w:p>
    <w:p>
      <w:pPr>
        <w:ind w:left="1260" w:right="279" w:firstLine="351"/>
        <w:spacing w:after="0" w:line="264" w:lineRule="auto"/>
        <w:rPr>
          <w:sz w:val="20"/>
          <w:szCs w:val="20"/>
          <w:color w:val="auto"/>
        </w:rPr>
      </w:pPr>
      <w:r>
        <w:rPr>
          <w:rFonts w:ascii="Times New Roman" w:cs="Times New Roman" w:eastAsia="Times New Roman" w:hAnsi="Times New Roman"/>
          <w:sz w:val="14"/>
          <w:szCs w:val="14"/>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43" w:lineRule="exact"/>
        <w:rPr>
          <w:sz w:val="20"/>
          <w:szCs w:val="20"/>
          <w:color w:val="auto"/>
        </w:rPr>
      </w:pPr>
    </w:p>
    <w:p>
      <w:pPr>
        <w:ind w:left="1260" w:right="299" w:firstLine="351"/>
        <w:spacing w:after="0" w:line="275" w:lineRule="auto"/>
        <w:rPr>
          <w:sz w:val="20"/>
          <w:szCs w:val="20"/>
          <w:color w:val="auto"/>
        </w:rPr>
      </w:pPr>
      <w:r>
        <w:rPr>
          <w:rFonts w:ascii="Times New Roman" w:cs="Times New Roman" w:eastAsia="Times New Roman" w:hAnsi="Times New Roman"/>
          <w:sz w:val="14"/>
          <w:szCs w:val="14"/>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Gain on Disposition of Class A Common Stock</w:t>
      </w:r>
    </w:p>
    <w:p>
      <w:pPr>
        <w:spacing w:after="0" w:line="99" w:lineRule="exact"/>
        <w:rPr>
          <w:sz w:val="20"/>
          <w:szCs w:val="20"/>
          <w:color w:val="auto"/>
        </w:rPr>
      </w:pPr>
    </w:p>
    <w:p>
      <w:pPr>
        <w:ind w:left="1260" w:right="479" w:firstLine="351"/>
        <w:spacing w:after="0" w:line="293" w:lineRule="auto"/>
        <w:rPr>
          <w:sz w:val="20"/>
          <w:szCs w:val="20"/>
          <w:color w:val="auto"/>
        </w:rPr>
      </w:pPr>
      <w:r>
        <w:rPr>
          <w:rFonts w:ascii="Times New Roman" w:cs="Times New Roman" w:eastAsia="Times New Roman" w:hAnsi="Times New Roman"/>
          <w:sz w:val="14"/>
          <w:szCs w:val="14"/>
          <w:color w:val="auto"/>
        </w:rPr>
        <w:t>Subject to the discussion of backup withholding below, any gain realized by a non-U.S. holder on the sale or other disposition of our Class A common stock generally will not be subject to U.S. federal income tax unless:</w:t>
      </w:r>
    </w:p>
    <w:p>
      <w:pPr>
        <w:spacing w:after="0" w:line="48" w:lineRule="exact"/>
        <w:rPr>
          <w:sz w:val="20"/>
          <w:szCs w:val="20"/>
          <w:color w:val="auto"/>
        </w:rPr>
      </w:pPr>
    </w:p>
    <w:p>
      <w:pPr>
        <w:ind w:left="2020" w:right="459" w:hanging="335"/>
        <w:spacing w:after="0" w:line="293" w:lineRule="auto"/>
        <w:tabs>
          <w:tab w:leader="none" w:pos="20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48" w:lineRule="exact"/>
        <w:rPr>
          <w:rFonts w:ascii="Times New Roman" w:cs="Times New Roman" w:eastAsia="Times New Roman" w:hAnsi="Times New Roman"/>
          <w:sz w:val="14"/>
          <w:szCs w:val="14"/>
          <w:color w:val="auto"/>
        </w:rPr>
      </w:pPr>
    </w:p>
    <w:p>
      <w:pPr>
        <w:ind w:left="2020" w:right="379" w:hanging="335"/>
        <w:spacing w:after="0" w:line="293" w:lineRule="auto"/>
        <w:tabs>
          <w:tab w:leader="none" w:pos="20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that disposition, and certain other conditions are met; or</w:t>
      </w:r>
    </w:p>
    <w:p>
      <w:pPr>
        <w:spacing w:after="0" w:line="48" w:lineRule="exact"/>
        <w:rPr>
          <w:rFonts w:ascii="Times New Roman" w:cs="Times New Roman" w:eastAsia="Times New Roman" w:hAnsi="Times New Roman"/>
          <w:sz w:val="14"/>
          <w:szCs w:val="14"/>
          <w:color w:val="auto"/>
        </w:rPr>
      </w:pPr>
    </w:p>
    <w:p>
      <w:pPr>
        <w:ind w:left="2020" w:hanging="335"/>
        <w:spacing w:after="0"/>
        <w:tabs>
          <w:tab w:leader="none" w:pos="20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“U.S. real property holding corporation” for U.S. federal income tax purposes and certain other conditions are met.</w:t>
      </w:r>
    </w:p>
    <w:p>
      <w:pPr>
        <w:spacing w:after="0" w:line="183" w:lineRule="exact"/>
        <w:rPr>
          <w:sz w:val="20"/>
          <w:szCs w:val="20"/>
          <w:color w:val="auto"/>
        </w:rPr>
      </w:pPr>
    </w:p>
    <w:p>
      <w:pPr>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92"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79"/>
        <w:spacing w:after="0" w:line="268" w:lineRule="auto"/>
        <w:rPr>
          <w:sz w:val="20"/>
          <w:szCs w:val="20"/>
          <w:color w:val="auto"/>
        </w:rPr>
      </w:pPr>
      <w:r>
        <w:rPr>
          <w:rFonts w:ascii="Times New Roman" w:cs="Times New Roman" w:eastAsia="Times New Roman" w:hAnsi="Times New Roman"/>
          <w:sz w:val="14"/>
          <w:szCs w:val="14"/>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42" w:lineRule="exact"/>
        <w:rPr>
          <w:sz w:val="20"/>
          <w:szCs w:val="20"/>
          <w:color w:val="auto"/>
        </w:rPr>
      </w:pPr>
    </w:p>
    <w:p>
      <w:pPr>
        <w:ind w:left="1260" w:right="219" w:firstLine="351"/>
        <w:spacing w:after="0" w:line="268" w:lineRule="auto"/>
        <w:rPr>
          <w:sz w:val="20"/>
          <w:szCs w:val="20"/>
          <w:color w:val="auto"/>
        </w:rPr>
      </w:pPr>
      <w:r>
        <w:rPr>
          <w:rFonts w:ascii="Times New Roman" w:cs="Times New Roman" w:eastAsia="Times New Roman" w:hAnsi="Times New Roman"/>
          <w:sz w:val="14"/>
          <w:szCs w:val="14"/>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9" w:lineRule="exact"/>
        <w:rPr>
          <w:sz w:val="20"/>
          <w:szCs w:val="20"/>
          <w:color w:val="auto"/>
        </w:rPr>
      </w:pPr>
    </w:p>
    <w:p>
      <w:pPr>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35" w:lineRule="exact"/>
        <w:rPr>
          <w:sz w:val="20"/>
          <w:szCs w:val="20"/>
          <w:color w:val="auto"/>
        </w:rPr>
      </w:pPr>
    </w:p>
    <w:p>
      <w:pPr>
        <w:jc w:val="both"/>
        <w:ind w:left="1260" w:right="259" w:firstLine="351"/>
        <w:spacing w:after="0" w:line="275" w:lineRule="auto"/>
        <w:rPr>
          <w:sz w:val="20"/>
          <w:szCs w:val="20"/>
          <w:color w:val="auto"/>
        </w:rPr>
      </w:pPr>
      <w:r>
        <w:rPr>
          <w:rFonts w:ascii="Times New Roman" w:cs="Times New Roman" w:eastAsia="Times New Roman" w:hAnsi="Times New Roman"/>
          <w:sz w:val="14"/>
          <w:szCs w:val="14"/>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35" w:lineRule="exact"/>
        <w:rPr>
          <w:sz w:val="20"/>
          <w:szCs w:val="20"/>
          <w:color w:val="auto"/>
        </w:rPr>
      </w:pPr>
    </w:p>
    <w:p>
      <w:pPr>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42" w:lineRule="exact"/>
        <w:rPr>
          <w:sz w:val="20"/>
          <w:szCs w:val="20"/>
          <w:color w:val="auto"/>
        </w:rPr>
      </w:pPr>
    </w:p>
    <w:p>
      <w:pPr>
        <w:ind w:left="1260" w:right="239" w:firstLine="351"/>
        <w:spacing w:after="0" w:line="293" w:lineRule="auto"/>
        <w:rPr>
          <w:sz w:val="20"/>
          <w:szCs w:val="20"/>
          <w:color w:val="auto"/>
        </w:rPr>
      </w:pPr>
      <w:r>
        <w:rPr>
          <w:rFonts w:ascii="Times New Roman" w:cs="Times New Roman" w:eastAsia="Times New Roman" w:hAnsi="Times New Roman"/>
          <w:sz w:val="14"/>
          <w:szCs w:val="14"/>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Additional Withholding Requirements</w:t>
      </w:r>
    </w:p>
    <w:p>
      <w:pPr>
        <w:spacing w:after="0" w:line="99" w:lineRule="exact"/>
        <w:rPr>
          <w:sz w:val="20"/>
          <w:szCs w:val="20"/>
          <w:color w:val="auto"/>
        </w:rPr>
      </w:pPr>
    </w:p>
    <w:p>
      <w:pPr>
        <w:ind w:left="1260" w:right="139" w:firstLine="351"/>
        <w:spacing w:after="0" w:line="259" w:lineRule="auto"/>
        <w:rPr>
          <w:sz w:val="20"/>
          <w:szCs w:val="20"/>
          <w:color w:val="auto"/>
        </w:rPr>
      </w:pPr>
      <w:r>
        <w:rPr>
          <w:rFonts w:ascii="Times New Roman" w:cs="Times New Roman" w:eastAsia="Times New Roman" w:hAnsi="Times New Roman"/>
          <w:sz w:val="14"/>
          <w:szCs w:val="14"/>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92"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85" w:lineRule="exact"/>
        <w:rPr>
          <w:sz w:val="20"/>
          <w:szCs w:val="20"/>
          <w:color w:val="auto"/>
        </w:rPr>
      </w:pPr>
    </w:p>
    <w:p>
      <w:pPr>
        <w:ind w:left="1260" w:right="219" w:firstLine="351"/>
        <w:spacing w:after="0" w:line="268" w:lineRule="auto"/>
        <w:rPr>
          <w:sz w:val="20"/>
          <w:szCs w:val="20"/>
          <w:color w:val="auto"/>
        </w:rPr>
      </w:pPr>
      <w:r>
        <w:rPr>
          <w:rFonts w:ascii="Times New Roman" w:cs="Times New Roman" w:eastAsia="Times New Roman" w:hAnsi="Times New Roman"/>
          <w:sz w:val="14"/>
          <w:szCs w:val="14"/>
          <w:color w:val="auto"/>
        </w:rPr>
        <w:t>We, the selling stockholders,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pacing w:after="0" w:line="150" w:lineRule="exact"/>
        <w:rPr>
          <w:sz w:val="20"/>
          <w:szCs w:val="20"/>
          <w:color w:val="auto"/>
        </w:rPr>
      </w:pPr>
    </w:p>
    <w:tbl>
      <w:tblPr>
        <w:tblLayout w:type="fixed"/>
        <w:tblInd w:w="2660" w:type="dxa"/>
        <w:tblCellMar>
          <w:top w:w="0" w:type="dxa"/>
          <w:left w:w="0" w:type="dxa"/>
          <w:bottom w:w="0" w:type="dxa"/>
          <w:right w:w="0" w:type="dxa"/>
        </w:tblCellMar>
      </w:tblPr>
      <w:tr>
        <w:trPr>
          <w:trHeight w:val="126"/>
        </w:trPr>
        <w:tc>
          <w:tcPr>
            <w:tcW w:w="6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1980" w:type="dxa"/>
            <w:vAlign w:val="bottom"/>
            <w:vMerge w:val="restart"/>
          </w:tcPr>
          <w:p>
            <w:pPr>
              <w:spacing w:after="0"/>
              <w:rPr>
                <w:sz w:val="11"/>
                <w:szCs w:val="11"/>
                <w:color w:val="auto"/>
              </w:rPr>
            </w:pPr>
          </w:p>
        </w:tc>
        <w:tc>
          <w:tcPr>
            <w:tcW w:w="2120" w:type="dxa"/>
            <w:vAlign w:val="bottom"/>
          </w:tcPr>
          <w:p>
            <w:pPr>
              <w:spacing w:after="0"/>
              <w:rPr>
                <w:sz w:val="11"/>
                <w:szCs w:val="1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Number of Shares of</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0" w:type="dxa"/>
            <w:vAlign w:val="bottom"/>
          </w:tcPr>
          <w:p>
            <w:pPr>
              <w:spacing w:after="0"/>
              <w:rPr>
                <w:sz w:val="1"/>
                <w:szCs w:val="1"/>
                <w:color w:val="auto"/>
              </w:rPr>
            </w:pPr>
          </w:p>
        </w:tc>
      </w:tr>
      <w:tr>
        <w:trPr>
          <w:trHeight w:val="154"/>
        </w:trPr>
        <w:tc>
          <w:tcPr>
            <w:tcW w:w="266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Goldman Sachs &amp; Co. LLC</w:t>
            </w:r>
          </w:p>
        </w:tc>
        <w:tc>
          <w:tcPr>
            <w:tcW w:w="2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13,781,250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13,781,250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7,750,000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7,750,000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Blackstone Securities Partners L.P.</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4,125,000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TCG Capital Markets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4,125,000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Barclays Capital Inc.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1,925,000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1,925,000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1,925,000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Jefferies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1,925,000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UBS Securities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1,925,000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Evercore Group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1,312,500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BMO Capital Markets Corp.</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656,250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656,250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MUFG Securities Americas Inc.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656,250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656,250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Santander US Capital Markets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656,250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SG Americas Securities,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656,250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656,250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656,250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Nomura Securities International, Inc.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623,438</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WR Securities,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32,812</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Leerink Partners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543,750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Macquarie Capital (USA) Inc.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543,750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543,750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Piper Sandler &amp; Co.</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543,750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543,750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Blair &amp; Company,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543,750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W. Baird &amp; Co. Incorporated</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406,250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Rothschild &amp; Co US Inc.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406,250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Stifel, Nicolaus &amp; Company, Incorporated</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406,250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BTIG,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ING Financial Markets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Intesa Sanpaolo IMI Securities Corp.</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NCMG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187,500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Perella Weinberg Partners LP</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187,500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112,500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AmeriVet Securities, Inc.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112,500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Blaylock Van,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112,500</w:t>
            </w:r>
          </w:p>
        </w:tc>
        <w:tc>
          <w:tcPr>
            <w:tcW w:w="0" w:type="dxa"/>
            <w:vAlign w:val="bottom"/>
          </w:tcPr>
          <w:p>
            <w:pPr>
              <w:spacing w:after="0"/>
              <w:rPr>
                <w:sz w:val="1"/>
                <w:szCs w:val="1"/>
                <w:color w:val="auto"/>
              </w:rPr>
            </w:pPr>
          </w:p>
        </w:tc>
      </w:tr>
      <w:tr>
        <w:trPr>
          <w:trHeight w:val="172"/>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 King &amp; Associates, Inc.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112,500</w:t>
            </w:r>
          </w:p>
        </w:tc>
        <w:tc>
          <w:tcPr>
            <w:tcW w:w="0" w:type="dxa"/>
            <w:vAlign w:val="bottom"/>
          </w:tcPr>
          <w:p>
            <w:pPr>
              <w:spacing w:after="0"/>
              <w:rPr>
                <w:sz w:val="1"/>
                <w:szCs w:val="1"/>
                <w:color w:val="auto"/>
              </w:rPr>
            </w:pPr>
          </w:p>
        </w:tc>
      </w:tr>
      <w:tr>
        <w:trPr>
          <w:trHeight w:val="17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Drexel Hamilton, LLC</w:t>
            </w:r>
          </w:p>
        </w:tc>
        <w:tc>
          <w:tcPr>
            <w:tcW w:w="3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112,500</w:t>
            </w:r>
          </w:p>
        </w:tc>
        <w:tc>
          <w:tcPr>
            <w:tcW w:w="0" w:type="dxa"/>
            <w:vAlign w:val="bottom"/>
          </w:tcPr>
          <w:p>
            <w:pPr>
              <w:spacing w:after="0"/>
              <w:rPr>
                <w:sz w:val="1"/>
                <w:szCs w:val="1"/>
                <w:color w:val="auto"/>
              </w:rPr>
            </w:pPr>
          </w:p>
        </w:tc>
      </w:tr>
      <w:tr>
        <w:trPr>
          <w:trHeight w:val="186"/>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Loop Capital Markets LLC</w:t>
            </w:r>
          </w:p>
        </w:tc>
        <w:tc>
          <w:tcPr>
            <w:tcW w:w="3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112,500</w:t>
            </w:r>
          </w:p>
        </w:tc>
        <w:tc>
          <w:tcPr>
            <w:tcW w:w="0" w:type="dxa"/>
            <w:vAlign w:val="bottom"/>
          </w:tcPr>
          <w:p>
            <w:pPr>
              <w:spacing w:after="0"/>
              <w:rPr>
                <w:sz w:val="1"/>
                <w:szCs w:val="1"/>
                <w:color w:val="auto"/>
              </w:rPr>
            </w:pPr>
          </w:p>
        </w:tc>
      </w:tr>
      <w:tr>
        <w:trPr>
          <w:trHeight w:val="276"/>
        </w:trPr>
        <w:tc>
          <w:tcPr>
            <w:tcW w:w="6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20" w:type="dxa"/>
            <w:vAlign w:val="bottom"/>
          </w:tcPr>
          <w:p>
            <w:pPr>
              <w:jc w:val="right"/>
              <w:ind w:right="1608"/>
              <w:spacing w:after="0"/>
              <w:rPr>
                <w:sz w:val="20"/>
                <w:szCs w:val="20"/>
                <w:color w:val="auto"/>
              </w:rPr>
            </w:pPr>
            <w:r>
              <w:rPr>
                <w:rFonts w:ascii="Times New Roman" w:cs="Times New Roman" w:eastAsia="Times New Roman" w:hAnsi="Times New Roman"/>
                <w:sz w:val="14"/>
                <w:szCs w:val="14"/>
                <w:color w:val="auto"/>
              </w:rPr>
              <w:t>120</w:t>
            </w: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2"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2660" w:type="dxa"/>
        <w:tblCellMar>
          <w:top w:w="0" w:type="dxa"/>
          <w:left w:w="0" w:type="dxa"/>
          <w:bottom w:w="0" w:type="dxa"/>
          <w:right w:w="0" w:type="dxa"/>
        </w:tblCellMar>
      </w:tblPr>
      <w:tr>
        <w:trPr>
          <w:trHeight w:val="126"/>
        </w:trPr>
        <w:tc>
          <w:tcPr>
            <w:tcW w:w="6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4100" w:type="dxa"/>
            <w:vAlign w:val="bottom"/>
            <w:vMerge w:val="restart"/>
          </w:tcPr>
          <w:p>
            <w:pPr>
              <w:spacing w:after="0"/>
              <w:rPr>
                <w:sz w:val="11"/>
                <w:szCs w:val="11"/>
                <w:color w:val="auto"/>
              </w:rPr>
            </w:pP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 Shares of</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100" w:type="dxa"/>
            <w:vAlign w:val="bottom"/>
            <w:vMerge w:val="continue"/>
          </w:tcPr>
          <w:p>
            <w:pPr>
              <w:spacing w:after="0"/>
              <w:rPr>
                <w:sz w:val="12"/>
                <w:szCs w:val="12"/>
                <w:color w:val="auto"/>
              </w:rPr>
            </w:pP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0" w:type="dxa"/>
            <w:vAlign w:val="bottom"/>
          </w:tcPr>
          <w:p>
            <w:pPr>
              <w:spacing w:after="0"/>
              <w:rPr>
                <w:sz w:val="1"/>
                <w:szCs w:val="1"/>
                <w:color w:val="auto"/>
              </w:rPr>
            </w:pPr>
          </w:p>
        </w:tc>
      </w:tr>
      <w:tr>
        <w:trPr>
          <w:trHeight w:val="154"/>
        </w:trPr>
        <w:tc>
          <w:tcPr>
            <w:tcW w:w="478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Mischler Financial Group, Inc.</w:t>
            </w:r>
          </w:p>
        </w:tc>
        <w:tc>
          <w:tcPr>
            <w:tcW w:w="114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112,500</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 Seelaus &amp; Co., LLC</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Samuel A. Ramirez &amp; Company, Inc.</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112,500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Siebert Williams Shank &amp; Co., LLC</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Tigress Financial Partners LLC</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112,500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75,000,000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60" w:right="359" w:firstLine="351"/>
        <w:spacing w:after="0" w:line="293" w:lineRule="auto"/>
        <w:rPr>
          <w:sz w:val="20"/>
          <w:szCs w:val="20"/>
          <w:color w:val="auto"/>
        </w:rPr>
      </w:pPr>
      <w:r>
        <w:rPr>
          <w:rFonts w:ascii="Times New Roman" w:cs="Times New Roman" w:eastAsia="Times New Roman" w:hAnsi="Times New Roman"/>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123"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The underwriters have an option to purchase up to an additional 11,250,000 shares from the selling stockholders at the public offering price less the underwriting discount.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42" w:lineRule="exact"/>
        <w:rPr>
          <w:sz w:val="20"/>
          <w:szCs w:val="20"/>
          <w:color w:val="auto"/>
        </w:rPr>
      </w:pPr>
    </w:p>
    <w:p>
      <w:pPr>
        <w:ind w:left="1260" w:right="15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to be paid to the underwriters by the selling stockholders. Such amounts are shown assuming both no exercise and full exercise of the underwriters’ option to purchase 11,250,000 additional shares.</w:t>
      </w:r>
    </w:p>
    <w:p>
      <w:pPr>
        <w:spacing w:after="0" w:line="140" w:lineRule="exact"/>
        <w:rPr>
          <w:sz w:val="20"/>
          <w:szCs w:val="20"/>
          <w:color w:val="auto"/>
        </w:rPr>
      </w:pPr>
    </w:p>
    <w:tbl>
      <w:tblPr>
        <w:tblLayout w:type="fixed"/>
        <w:tblInd w:w="2300" w:type="dxa"/>
        <w:tblCellMar>
          <w:top w:w="0" w:type="dxa"/>
          <w:left w:w="0" w:type="dxa"/>
          <w:bottom w:w="0" w:type="dxa"/>
          <w:right w:w="0" w:type="dxa"/>
        </w:tblCellMar>
      </w:tblPr>
      <w:tr>
        <w:trPr>
          <w:trHeight w:val="138"/>
        </w:trPr>
        <w:tc>
          <w:tcPr>
            <w:tcW w:w="4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Full Exercise</w:t>
            </w:r>
          </w:p>
        </w:tc>
      </w:tr>
      <w:tr>
        <w:trPr>
          <w:trHeight w:val="163"/>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0.492</w:t>
            </w: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0.492</w:t>
            </w:r>
          </w:p>
        </w:tc>
        <w:tc>
          <w:tcPr>
            <w:tcW w:w="60" w:type="dxa"/>
            <w:vAlign w:val="bottom"/>
            <w:tcBorders>
              <w:top w:val="single" w:sz="8" w:color="CCEEFF"/>
            </w:tcBorders>
            <w:shd w:val="clear" w:color="auto" w:fill="CCEEFF"/>
          </w:tcPr>
          <w:p>
            <w:pPr>
              <w:spacing w:after="0"/>
              <w:rPr>
                <w:sz w:val="14"/>
                <w:szCs w:val="14"/>
                <w:color w:val="auto"/>
              </w:rPr>
            </w:pPr>
          </w:p>
        </w:tc>
      </w:tr>
      <w:tr>
        <w:trPr>
          <w:trHeight w:val="174"/>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36,900,000</w:t>
            </w:r>
          </w:p>
        </w:tc>
        <w:tc>
          <w:tcPr>
            <w:tcW w:w="3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42,435,000</w:t>
            </w:r>
          </w:p>
        </w:tc>
        <w:tc>
          <w:tcPr>
            <w:tcW w:w="60" w:type="dxa"/>
            <w:vAlign w:val="bottom"/>
          </w:tcPr>
          <w:p>
            <w:pPr>
              <w:spacing w:after="0"/>
              <w:rPr>
                <w:sz w:val="15"/>
                <w:szCs w:val="15"/>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8"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Shares of Class A common stock sold by the underwriters to the public will initially be offered at the public offering price set forth on the cover of this prospectus. Any shares sold by the underwriters to securities dealers may be sold at a discount of up to $0.2952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2" w:lineRule="exact"/>
        <w:rPr>
          <w:sz w:val="20"/>
          <w:szCs w:val="20"/>
          <w:color w:val="auto"/>
        </w:rPr>
      </w:pPr>
    </w:p>
    <w:p>
      <w:pPr>
        <w:ind w:left="1260" w:right="199" w:firstLine="351"/>
        <w:spacing w:after="0" w:line="265" w:lineRule="auto"/>
        <w:rPr>
          <w:sz w:val="20"/>
          <w:szCs w:val="20"/>
          <w:color w:val="auto"/>
        </w:rPr>
      </w:pPr>
      <w:r>
        <w:rPr>
          <w:rFonts w:ascii="Times New Roman" w:cs="Times New Roman" w:eastAsia="Times New Roman" w:hAnsi="Times New Roman"/>
          <w:sz w:val="14"/>
          <w:szCs w:val="14"/>
          <w:color w:val="auto"/>
        </w:rPr>
        <w:t>In connection with our IPO, we and our officers and directors and our pre-IPO owners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December 16, 2025, except with the prior written consent of either Goldman Sachs &amp; Co. LLC or Morgan Stanley &amp; Co. LLC, and one additional representative, on behalf of the underwriters, and the prior written notice to the other representatives.</w:t>
      </w:r>
    </w:p>
    <w:p>
      <w:pPr>
        <w:spacing w:after="0" w:line="144" w:lineRule="exact"/>
        <w:rPr>
          <w:sz w:val="20"/>
          <w:szCs w:val="20"/>
          <w:color w:val="auto"/>
        </w:rPr>
      </w:pPr>
    </w:p>
    <w:p>
      <w:pPr>
        <w:jc w:val="both"/>
        <w:ind w:left="1260" w:right="179" w:firstLine="351"/>
        <w:spacing w:after="0" w:line="265" w:lineRule="auto"/>
        <w:rPr>
          <w:sz w:val="20"/>
          <w:szCs w:val="20"/>
          <w:color w:val="auto"/>
        </w:rPr>
      </w:pPr>
      <w:r>
        <w:rPr>
          <w:rFonts w:ascii="Times New Roman" w:cs="Times New Roman" w:eastAsia="Times New Roman" w:hAnsi="Times New Roman"/>
          <w:sz w:val="14"/>
          <w:szCs w:val="14"/>
          <w:color w:val="auto"/>
        </w:rPr>
        <w:t>In connection with this offering, Goldman Sachs &amp; Co. LLC and Morgan Stanley &amp; Co. LLC have agreed to release, with respect to this offering, certain of the lock-up restrictions agreed to by each of the Company and the selling stockholders with respect to up to 86,250,000 shares of our Class A common stock (including the 11,250,000 additional shares of Class A common stock pursuant to the underwriters’ option to purchase additional shares) in this offering that are held by the selling stockholders, provided that the release of shares of the Company’s Class A common stock held by the selling stockholders is limited to the shares actually sold in this offering.</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92"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639" w:firstLine="351"/>
        <w:spacing w:after="0" w:line="293" w:lineRule="auto"/>
        <w:rPr>
          <w:sz w:val="20"/>
          <w:szCs w:val="20"/>
          <w:color w:val="auto"/>
        </w:rPr>
      </w:pPr>
      <w:r>
        <w:rPr>
          <w:rFonts w:ascii="Times New Roman" w:cs="Times New Roman" w:eastAsia="Times New Roman" w:hAnsi="Times New Roman"/>
          <w:sz w:val="14"/>
          <w:szCs w:val="14"/>
          <w:color w:val="auto"/>
        </w:rPr>
        <w:t>The foregoing restrictions on our officers, directors, our Principal Stockholders, our Other Pre-IPO Investors and certain other individuals (collectively, “security holders”) do not apply to, among other things, and subject in certain cases to various conditions:</w:t>
      </w:r>
    </w:p>
    <w:p>
      <w:pPr>
        <w:spacing w:after="0" w:line="48" w:lineRule="exact"/>
        <w:rPr>
          <w:sz w:val="20"/>
          <w:szCs w:val="20"/>
          <w:color w:val="auto"/>
        </w:rPr>
      </w:pPr>
    </w:p>
    <w:p>
      <w:pPr>
        <w:ind w:left="2020" w:hanging="422"/>
        <w:spacing w:after="0"/>
        <w:tabs>
          <w:tab w:leader="none" w:pos="20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by a security holder of shares or any securities convertible into, exchangeable for, exercisable for, or repayable with shares:</w:t>
      </w:r>
    </w:p>
    <w:p>
      <w:pPr>
        <w:spacing w:after="0" w:line="107" w:lineRule="exact"/>
        <w:rPr>
          <w:rFonts w:ascii="Times New Roman" w:cs="Times New Roman" w:eastAsia="Times New Roman" w:hAnsi="Times New Roman"/>
          <w:sz w:val="14"/>
          <w:szCs w:val="14"/>
          <w:color w:val="auto"/>
        </w:rPr>
      </w:pPr>
    </w:p>
    <w:p>
      <w:pPr>
        <w:ind w:left="2480" w:hanging="440"/>
        <w:spacing w:after="0"/>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will, other testamentary document or intestacy;</w:t>
      </w:r>
    </w:p>
    <w:p>
      <w:pPr>
        <w:spacing w:after="0" w:line="108" w:lineRule="exact"/>
        <w:rPr>
          <w:rFonts w:ascii="Times New Roman" w:cs="Times New Roman" w:eastAsia="Times New Roman" w:hAnsi="Times New Roman"/>
          <w:sz w:val="14"/>
          <w:szCs w:val="14"/>
          <w:color w:val="auto"/>
        </w:rPr>
      </w:pPr>
    </w:p>
    <w:p>
      <w:pPr>
        <w:ind w:left="2480" w:right="419" w:hanging="440"/>
        <w:spacing w:after="0" w:line="293"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bona fide gift or gifts, or for bona fide estate planning purposes, including without limitation to charitable organizations or educational institutions;</w:t>
      </w:r>
    </w:p>
    <w:p>
      <w:pPr>
        <w:spacing w:after="0" w:line="48" w:lineRule="exact"/>
        <w:rPr>
          <w:rFonts w:ascii="Times New Roman" w:cs="Times New Roman" w:eastAsia="Times New Roman" w:hAnsi="Times New Roman"/>
          <w:sz w:val="14"/>
          <w:szCs w:val="14"/>
          <w:color w:val="auto"/>
        </w:rPr>
      </w:pPr>
    </w:p>
    <w:p>
      <w:pPr>
        <w:ind w:left="2480" w:right="159" w:hanging="440"/>
        <w:spacing w:after="0" w:line="275"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spacing w:after="0" w:line="59" w:lineRule="exact"/>
        <w:rPr>
          <w:rFonts w:ascii="Times New Roman" w:cs="Times New Roman" w:eastAsia="Times New Roman" w:hAnsi="Times New Roman"/>
          <w:sz w:val="14"/>
          <w:szCs w:val="14"/>
          <w:color w:val="auto"/>
        </w:rPr>
      </w:pPr>
    </w:p>
    <w:p>
      <w:pPr>
        <w:ind w:left="2480" w:hanging="440"/>
        <w:spacing w:after="0"/>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immediate family member or other dependent of the security holder;</w:t>
      </w:r>
    </w:p>
    <w:p>
      <w:pPr>
        <w:spacing w:after="0" w:line="108" w:lineRule="exact"/>
        <w:rPr>
          <w:rFonts w:ascii="Times New Roman" w:cs="Times New Roman" w:eastAsia="Times New Roman" w:hAnsi="Times New Roman"/>
          <w:sz w:val="14"/>
          <w:szCs w:val="14"/>
          <w:color w:val="auto"/>
        </w:rPr>
      </w:pPr>
    </w:p>
    <w:p>
      <w:pPr>
        <w:ind w:left="2480" w:right="219" w:hanging="440"/>
        <w:spacing w:after="0" w:line="268"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spacing w:after="0" w:line="66" w:lineRule="exact"/>
        <w:rPr>
          <w:rFonts w:ascii="Times New Roman" w:cs="Times New Roman" w:eastAsia="Times New Roman" w:hAnsi="Times New Roman"/>
          <w:sz w:val="14"/>
          <w:szCs w:val="14"/>
          <w:color w:val="auto"/>
        </w:rPr>
      </w:pPr>
    </w:p>
    <w:p>
      <w:pPr>
        <w:ind w:left="2480" w:right="159" w:hanging="440"/>
        <w:spacing w:after="0" w:line="268"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spacing w:after="0" w:line="66" w:lineRule="exact"/>
        <w:rPr>
          <w:rFonts w:ascii="Times New Roman" w:cs="Times New Roman" w:eastAsia="Times New Roman" w:hAnsi="Times New Roman"/>
          <w:sz w:val="14"/>
          <w:szCs w:val="14"/>
          <w:color w:val="auto"/>
        </w:rPr>
      </w:pPr>
    </w:p>
    <w:p>
      <w:pPr>
        <w:ind w:left="2480" w:right="359" w:hanging="440"/>
        <w:spacing w:after="0" w:line="293"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nominee or custodian of a person or entity to whom a disposition or transfer would be permissible under clauses (i) through (vi) above;</w:t>
      </w:r>
    </w:p>
    <w:p>
      <w:pPr>
        <w:spacing w:after="0" w:line="48" w:lineRule="exact"/>
        <w:rPr>
          <w:rFonts w:ascii="Times New Roman" w:cs="Times New Roman" w:eastAsia="Times New Roman" w:hAnsi="Times New Roman"/>
          <w:sz w:val="14"/>
          <w:szCs w:val="14"/>
          <w:color w:val="auto"/>
        </w:rPr>
      </w:pPr>
    </w:p>
    <w:p>
      <w:pPr>
        <w:ind w:left="2480" w:right="239" w:hanging="440"/>
        <w:spacing w:after="0" w:line="293"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operation of law, including pursuant to an order of a court (including a final domestic order, divorce settlement, divorce decree or separation agreement or other order) or regulatory agency;</w:t>
      </w:r>
    </w:p>
    <w:p>
      <w:pPr>
        <w:spacing w:after="0" w:line="48" w:lineRule="exact"/>
        <w:rPr>
          <w:rFonts w:ascii="Times New Roman" w:cs="Times New Roman" w:eastAsia="Times New Roman" w:hAnsi="Times New Roman"/>
          <w:sz w:val="14"/>
          <w:szCs w:val="14"/>
          <w:color w:val="auto"/>
        </w:rPr>
      </w:pPr>
    </w:p>
    <w:p>
      <w:pPr>
        <w:ind w:left="2480" w:right="219" w:hanging="440"/>
        <w:spacing w:after="0" w:line="293"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from the security holder upon death, disability or termination of employment, in each case, of the security holder pursuant to any contractual arrangement that provides us with a right to purchase the security holder’s securities;</w:t>
      </w:r>
    </w:p>
    <w:p>
      <w:pPr>
        <w:spacing w:after="0" w:line="48" w:lineRule="exact"/>
        <w:rPr>
          <w:rFonts w:ascii="Times New Roman" w:cs="Times New Roman" w:eastAsia="Times New Roman" w:hAnsi="Times New Roman"/>
          <w:sz w:val="14"/>
          <w:szCs w:val="14"/>
          <w:color w:val="auto"/>
        </w:rPr>
      </w:pPr>
    </w:p>
    <w:p>
      <w:pPr>
        <w:ind w:left="2480" w:right="199" w:hanging="440"/>
        <w:spacing w:after="0" w:line="265"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transactions by any person other than us relating to shares of Class A common stock acquired (A) in open market transactions after the completion of the offering or (B) from the Underwriters in this Offering (for our Other Pre-IPO Investors only), provided that in the case of this clause (x) no public reports or filings (including filings under Section 16(a) of the Exchange Act) reporting a reduction in beneficial ownership of Class A common stock or Class B common stock shall be required or shall be voluntarily made during the lock-up period or any extension thereof;</w:t>
      </w:r>
    </w:p>
    <w:p>
      <w:pPr>
        <w:spacing w:after="0" w:line="68" w:lineRule="exact"/>
        <w:rPr>
          <w:rFonts w:ascii="Times New Roman" w:cs="Times New Roman" w:eastAsia="Times New Roman" w:hAnsi="Times New Roman"/>
          <w:sz w:val="14"/>
          <w:szCs w:val="14"/>
          <w:color w:val="auto"/>
        </w:rPr>
      </w:pPr>
    </w:p>
    <w:p>
      <w:pPr>
        <w:ind w:left="2480" w:right="399" w:hanging="440"/>
        <w:spacing w:after="0" w:line="268"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pursuant to the “net” or “cashless” exercise at expiration of options, warrants or other rights to purchase shares of Class A common stock or Class B common stock granted pursuant to any employee equity incentive plan outstanding at or prior to the closing of the offering and referred to herein, provided that any shares of Class A common stock, Class B common stock or Common Units received in connection therewith shall be subject to the terms of the lock-up agreement;</w:t>
      </w:r>
    </w:p>
    <w:p>
      <w:pPr>
        <w:spacing w:after="0" w:line="66" w:lineRule="exact"/>
        <w:rPr>
          <w:rFonts w:ascii="Times New Roman" w:cs="Times New Roman" w:eastAsia="Times New Roman" w:hAnsi="Times New Roman"/>
          <w:sz w:val="14"/>
          <w:szCs w:val="14"/>
          <w:color w:val="auto"/>
        </w:rPr>
      </w:pPr>
    </w:p>
    <w:p>
      <w:pPr>
        <w:ind w:left="2480" w:right="239" w:hanging="440"/>
        <w:spacing w:after="0" w:line="275" w:lineRule="auto"/>
        <w:tabs>
          <w:tab w:leader="none" w:pos="24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tax withholding payments (including estimated taxes) due upon the exercise at expiration of options or the vesting of any awards granted by us pursuant to any of our incentive plans, provided that any filings required to be made with the SEC or other publicity made regarding the same will indicate that such transactions relate to such tax withholding payments;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92"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480" w:right="139" w:hanging="440"/>
        <w:spacing w:after="0" w:line="293" w:lineRule="auto"/>
        <w:tabs>
          <w:tab w:leader="none" w:pos="2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securities to be sold by the security holder in the manner described in the final prospectus used to sell shares of Class A Common Stock;</w:t>
      </w:r>
    </w:p>
    <w:p>
      <w:pPr>
        <w:spacing w:after="0" w:line="48" w:lineRule="exact"/>
        <w:rPr>
          <w:rFonts w:ascii="Times New Roman" w:cs="Times New Roman" w:eastAsia="Times New Roman" w:hAnsi="Times New Roman"/>
          <w:sz w:val="14"/>
          <w:szCs w:val="14"/>
          <w:color w:val="auto"/>
        </w:rPr>
      </w:pPr>
    </w:p>
    <w:p>
      <w:pPr>
        <w:ind w:left="2480" w:right="259" w:hanging="440"/>
        <w:spacing w:after="0" w:line="268" w:lineRule="auto"/>
        <w:tabs>
          <w:tab w:leader="none" w:pos="2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bona fide third-party tender offer, merger, consolidation or other similar transaction that is approved by our board of directors and made to all holders of the our capital stock involving a change of control; provided that in the event that such tender offer, merger, consolidation or other similar transaction is not completed, the security holder’s shares shall remain subject to the provisions of the lock-up agreement; and/or</w:t>
      </w:r>
    </w:p>
    <w:p>
      <w:pPr>
        <w:spacing w:after="0" w:line="66" w:lineRule="exact"/>
        <w:rPr>
          <w:rFonts w:ascii="Times New Roman" w:cs="Times New Roman" w:eastAsia="Times New Roman" w:hAnsi="Times New Roman"/>
          <w:sz w:val="14"/>
          <w:szCs w:val="14"/>
          <w:color w:val="auto"/>
        </w:rPr>
      </w:pPr>
    </w:p>
    <w:p>
      <w:pPr>
        <w:ind w:left="2480" w:right="299" w:hanging="440"/>
        <w:spacing w:after="0" w:line="275" w:lineRule="auto"/>
        <w:tabs>
          <w:tab w:leader="none" w:pos="2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prior written consent of either Goldman Sachs &amp; Co. LLC or Morgan Stanley &amp; Co. LLC, and one additional representative, on behalf of the underwriters; provided that we or the security holder shall also provide prior written notice to the other Representatives;</w:t>
      </w:r>
    </w:p>
    <w:p>
      <w:pPr>
        <w:spacing w:after="0" w:line="49" w:lineRule="exact"/>
        <w:rPr>
          <w:sz w:val="20"/>
          <w:szCs w:val="20"/>
          <w:color w:val="auto"/>
        </w:rPr>
      </w:pPr>
    </w:p>
    <w:p>
      <w:pPr>
        <w:ind w:left="2040" w:right="119"/>
        <w:spacing w:after="0" w:line="259" w:lineRule="auto"/>
        <w:rPr>
          <w:sz w:val="20"/>
          <w:szCs w:val="20"/>
          <w:color w:val="auto"/>
        </w:rPr>
      </w:pPr>
      <w:r>
        <w:rPr>
          <w:rFonts w:ascii="Times New Roman" w:cs="Times New Roman" w:eastAsia="Times New Roman" w:hAnsi="Times New Roman"/>
          <w:sz w:val="14"/>
          <w:szCs w:val="14"/>
          <w:color w:val="auto"/>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 (ii) through (vii),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spacing w:after="0" w:line="245" w:lineRule="exact"/>
        <w:rPr>
          <w:sz w:val="20"/>
          <w:szCs w:val="20"/>
          <w:color w:val="auto"/>
        </w:rPr>
      </w:pPr>
    </w:p>
    <w:p>
      <w:pPr>
        <w:ind w:left="2020" w:right="159" w:hanging="422"/>
        <w:spacing w:after="0" w:line="265" w:lineRule="auto"/>
        <w:tabs>
          <w:tab w:leader="none" w:pos="20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Class A common stock, Class B common stock or Common Units subject to the provisions of the lock-up agreement and there shall be no further transfer of such shares of Class A common stock, Class B common stock or Common Units except in accordance with the lock-up agreement;</w:t>
      </w:r>
    </w:p>
    <w:p>
      <w:pPr>
        <w:spacing w:after="0" w:line="68" w:lineRule="exact"/>
        <w:rPr>
          <w:rFonts w:ascii="Times New Roman" w:cs="Times New Roman" w:eastAsia="Times New Roman" w:hAnsi="Times New Roman"/>
          <w:sz w:val="14"/>
          <w:szCs w:val="14"/>
          <w:color w:val="auto"/>
        </w:rPr>
      </w:pPr>
    </w:p>
    <w:p>
      <w:pPr>
        <w:ind w:left="2020" w:right="159" w:hanging="422"/>
        <w:spacing w:after="0" w:line="264" w:lineRule="auto"/>
        <w:tabs>
          <w:tab w:leader="none" w:pos="20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of a trading plan pursuant to Rule 10b5-1 under the Exchange Act, provided that (i) no transfers occur under such plan during the lock-up period and (ii) no public announcement, filing or report under the Exchange Act shall be voluntarily made by any person in connection therewith during the lock-up period (other than general disclosure in the Company’s periodic reports to the effect 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 or</w:t>
      </w:r>
    </w:p>
    <w:p>
      <w:pPr>
        <w:spacing w:after="0" w:line="67" w:lineRule="exact"/>
        <w:rPr>
          <w:rFonts w:ascii="Times New Roman" w:cs="Times New Roman" w:eastAsia="Times New Roman" w:hAnsi="Times New Roman"/>
          <w:sz w:val="14"/>
          <w:szCs w:val="14"/>
          <w:color w:val="auto"/>
        </w:rPr>
      </w:pPr>
    </w:p>
    <w:p>
      <w:pPr>
        <w:ind w:left="2020" w:right="559" w:hanging="422"/>
        <w:spacing w:after="0" w:line="293" w:lineRule="auto"/>
        <w:tabs>
          <w:tab w:leader="none" w:pos="20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Principal Stockholders and the Other Pre-IPO Investors, any pledge, charge, hypothecation or other granting of a security interest in the Class A common stock, Class B common</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92"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040" w:right="159"/>
        <w:spacing w:after="0" w:line="261" w:lineRule="auto"/>
        <w:rPr>
          <w:sz w:val="20"/>
          <w:szCs w:val="20"/>
          <w:color w:val="auto"/>
        </w:rPr>
      </w:pPr>
      <w:r>
        <w:rPr>
          <w:rFonts w:ascii="Times New Roman" w:cs="Times New Roman" w:eastAsia="Times New Roman" w:hAnsi="Times New Roman"/>
          <w:sz w:val="14"/>
          <w:szCs w:val="14"/>
          <w:color w:val="auto"/>
        </w:rPr>
        <w:t>stock, Common Units or any security convertible into Class A common stock or Class B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Class A common stock, Class B common stock, Common Units or such other securities to the applicable lender(s) or other third parties upon or following foreclosure upon or enforcement of such Class A common stock, Class B common stock, Common Units or such securities in accordance with the terms of the documentation governing any margin loan or other loan, advance, or extension of credit (including, without limitation, pursuant to any agreement or arrangement existing as of the date hereof), provided that the security holder or the Company, as the case may be, shall provide the representatives prior written notice informing them of any public filing, report or announcement with respect to such pledge, hypothecation or other grant of a security interest.</w:t>
      </w:r>
    </w:p>
    <w:p>
      <w:pPr>
        <w:spacing w:after="0" w:line="14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“MDLN.”</w:t>
      </w:r>
    </w:p>
    <w:p>
      <w:pPr>
        <w:spacing w:after="0" w:line="183" w:lineRule="exact"/>
        <w:rPr>
          <w:sz w:val="20"/>
          <w:szCs w:val="20"/>
          <w:color w:val="auto"/>
        </w:rPr>
      </w:pPr>
    </w:p>
    <w:p>
      <w:pPr>
        <w:ind w:left="1260" w:right="179" w:firstLine="351"/>
        <w:spacing w:after="0" w:line="259"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52" w:lineRule="exact"/>
        <w:rPr>
          <w:sz w:val="20"/>
          <w:szCs w:val="20"/>
          <w:color w:val="auto"/>
        </w:rPr>
      </w:pPr>
    </w:p>
    <w:p>
      <w:pPr>
        <w:ind w:left="1260" w:right="199" w:firstLine="351"/>
        <w:spacing w:after="0" w:line="275"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5"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underwriting discounts and commissions, will be approximately</w:t>
      </w:r>
    </w:p>
    <w:p>
      <w:pPr>
        <w:spacing w:after="0" w:line="25" w:lineRule="exact"/>
        <w:rPr>
          <w:sz w:val="20"/>
          <w:szCs w:val="20"/>
          <w:color w:val="auto"/>
        </w:rPr>
      </w:pPr>
    </w:p>
    <w:p>
      <w:pPr>
        <w:ind w:left="1260" w:right="279"/>
        <w:spacing w:after="0" w:line="273" w:lineRule="auto"/>
        <w:rPr>
          <w:sz w:val="20"/>
          <w:szCs w:val="20"/>
          <w:color w:val="auto"/>
        </w:rPr>
      </w:pPr>
      <w:r>
        <w:rPr>
          <w:rFonts w:ascii="Times New Roman" w:cs="Times New Roman" w:eastAsia="Times New Roman" w:hAnsi="Times New Roman"/>
          <w:sz w:val="14"/>
          <w:szCs w:val="14"/>
          <w:color w:val="auto"/>
        </w:rPr>
        <w:t>$4 million. We have also agreed to reimburse the underwriters for certain FINRA-related expenses incurred by them in connection with the offering in an amount up to $50,000.</w:t>
      </w:r>
    </w:p>
    <w:p>
      <w:pPr>
        <w:spacing w:after="0" w:line="137" w:lineRule="exact"/>
        <w:rPr>
          <w:sz w:val="20"/>
          <w:szCs w:val="20"/>
          <w:color w:val="auto"/>
        </w:rPr>
      </w:pPr>
    </w:p>
    <w:p>
      <w:pPr>
        <w:ind w:left="1260" w:right="619" w:firstLine="351"/>
        <w:spacing w:after="0" w:line="293" w:lineRule="auto"/>
        <w:rPr>
          <w:sz w:val="20"/>
          <w:szCs w:val="20"/>
          <w:color w:val="auto"/>
        </w:rPr>
      </w:pPr>
      <w:r>
        <w:rPr>
          <w:rFonts w:ascii="Times New Roman" w:cs="Times New Roman" w:eastAsia="Times New Roman" w:hAnsi="Times New Roman"/>
          <w:sz w:val="14"/>
          <w:szCs w:val="14"/>
          <w:color w:val="auto"/>
        </w:rPr>
        <w:t>We and the selling stockholders have agreed to indemnify the several underwriters against certain liabilities, including liabilities under the Securities Act.</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92"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99" w:firstLine="351"/>
        <w:spacing w:after="0" w:line="268"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9" w:lineRule="exact"/>
        <w:rPr>
          <w:sz w:val="20"/>
          <w:szCs w:val="20"/>
          <w:color w:val="auto"/>
        </w:rPr>
      </w:pPr>
    </w:p>
    <w:p>
      <w:pPr>
        <w:jc w:val="both"/>
        <w:ind w:left="1260" w:right="359" w:firstLine="351"/>
        <w:spacing w:after="0" w:line="268"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142" w:lineRule="exact"/>
        <w:rPr>
          <w:sz w:val="20"/>
          <w:szCs w:val="20"/>
          <w:color w:val="auto"/>
        </w:rPr>
      </w:pPr>
    </w:p>
    <w:p>
      <w:pPr>
        <w:ind w:left="1260" w:right="179" w:firstLine="351"/>
        <w:spacing w:after="0" w:line="261" w:lineRule="auto"/>
        <w:rPr>
          <w:sz w:val="20"/>
          <w:szCs w:val="20"/>
          <w:color w:val="auto"/>
        </w:rPr>
      </w:pPr>
      <w:r>
        <w:rPr>
          <w:rFonts w:ascii="Times New Roman" w:cs="Times New Roman" w:eastAsia="Times New Roman" w:hAnsi="Times New Roman"/>
          <w:sz w:val="14"/>
          <w:szCs w:val="14"/>
          <w:color w:val="auto"/>
        </w:rPr>
        <w:t>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 “Wolfe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49"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99" w:lineRule="exact"/>
        <w:rPr>
          <w:sz w:val="20"/>
          <w:szCs w:val="20"/>
          <w:color w:val="auto"/>
        </w:rPr>
      </w:pPr>
    </w:p>
    <w:p>
      <w:pPr>
        <w:ind w:left="1260" w:right="159" w:firstLine="351"/>
        <w:spacing w:after="0" w:line="264" w:lineRule="auto"/>
        <w:rPr>
          <w:sz w:val="20"/>
          <w:szCs w:val="20"/>
          <w:color w:val="auto"/>
        </w:rPr>
      </w:pPr>
      <w:r>
        <w:rPr>
          <w:rFonts w:ascii="Times New Roman" w:cs="Times New Roman" w:eastAsia="Times New Roman" w:hAnsi="Times New Roman"/>
          <w:sz w:val="14"/>
          <w:szCs w:val="14"/>
          <w:color w:val="auto"/>
        </w:rPr>
        <w:t>We expect that delivery of the shares of Class A common stock will be made against payment therefor on or about the closing date specified on the cover page of this prospectus supplement, which is the third business day following the date of pricing of the shares of Class A common stock (this settlement cycle being referred to as “T+3”). Under Rule 15c6-1 of the Exchange Act, trades in the secondary market generally are required to settle in one business day, unless the parties to any such trade expressly agree otherwise. Accordingly, purchasers who wish to trade the shares of Class A common stock on the date of pricing will be required, by virtue of the fact that the shares of Class A common stock initially will settle in T+3, to specify an alternate settlement cycle at the time of any such trade to prevent a failed settlement and should consult their own advisors.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9" w:lineRule="exact"/>
        <w:rPr>
          <w:sz w:val="20"/>
          <w:szCs w:val="20"/>
          <w:color w:val="auto"/>
        </w:rPr>
      </w:pPr>
    </w:p>
    <w:p>
      <w:pPr>
        <w:jc w:val="both"/>
        <w:ind w:left="1260" w:right="219" w:firstLine="351"/>
        <w:spacing w:after="0" w:line="275" w:lineRule="auto"/>
        <w:rPr>
          <w:sz w:val="20"/>
          <w:szCs w:val="20"/>
          <w:color w:val="auto"/>
        </w:rPr>
      </w:pPr>
      <w:r>
        <w:rPr>
          <w:rFonts w:ascii="Times New Roman" w:cs="Times New Roman" w:eastAsia="Times New Roman" w:hAnsi="Times New Roman"/>
          <w:sz w:val="14"/>
          <w:szCs w:val="14"/>
          <w:color w:val="auto"/>
        </w:rPr>
        <w:t>Affiliates of Blackstone and Carlyle beneficially own in excess of 10% of our issued and outstanding common stock and will receive in excess of 5% of the net proceeds of this offering. Because TCG Capital Markets L.L.C. and Blackstone Securities Partners L.P. are underwriters in this offering, and their affiliates own</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92"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39"/>
        <w:spacing w:after="0" w:line="262" w:lineRule="auto"/>
        <w:rPr>
          <w:sz w:val="20"/>
          <w:szCs w:val="20"/>
          <w:color w:val="auto"/>
        </w:rPr>
      </w:pPr>
      <w:r>
        <w:rPr>
          <w:rFonts w:ascii="Times New Roman" w:cs="Times New Roman" w:eastAsia="Times New Roman" w:hAnsi="Times New Roman"/>
          <w:sz w:val="14"/>
          <w:szCs w:val="14"/>
          <w:color w:val="auto"/>
        </w:rPr>
        <w:t>in excess of 10% of our issued and outstanding common stock and will receive in excess of 5% of the net proceeds of this offering, TCG Capital Markets L.L.C. and Blackstone Securities Partners L.P. are deemed to have a “conflict of interest” FINRA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 (f)(12)(E) of Rule 5121. TCG Capital Markets L.L.C. and Blackstone Securities Partners L.P. will not confirm sales of the securities to any account over which they exercise discretionary authority without the specific written approval of the account holder.</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9" w:lineRule="exact"/>
        <w:rPr>
          <w:sz w:val="20"/>
          <w:szCs w:val="20"/>
          <w:color w:val="auto"/>
        </w:rPr>
      </w:pPr>
    </w:p>
    <w:p>
      <w:pPr>
        <w:ind w:left="1260" w:right="159" w:firstLine="351"/>
        <w:spacing w:after="0" w:line="262"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European Economic Area</w:t>
      </w:r>
    </w:p>
    <w:p>
      <w:pPr>
        <w:spacing w:after="0" w:line="99" w:lineRule="exact"/>
        <w:rPr>
          <w:sz w:val="20"/>
          <w:szCs w:val="20"/>
          <w:color w:val="auto"/>
        </w:rPr>
      </w:pPr>
    </w:p>
    <w:p>
      <w:pPr>
        <w:ind w:left="1260" w:right="219" w:firstLine="351"/>
        <w:spacing w:after="0" w:line="265"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Class A common stock have been offered or will be offered pursuant to this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w:t>
      </w:r>
    </w:p>
    <w:p>
      <w:pPr>
        <w:spacing w:after="0" w:line="69" w:lineRule="exact"/>
        <w:rPr>
          <w:sz w:val="20"/>
          <w:szCs w:val="20"/>
          <w:color w:val="auto"/>
        </w:rPr>
      </w:pPr>
    </w:p>
    <w:p>
      <w:pPr>
        <w:ind w:left="2020" w:hanging="422"/>
        <w:spacing w:after="0"/>
        <w:tabs>
          <w:tab w:leader="none" w:pos="20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Article 2 of the Prospectus Regulation;</w:t>
      </w:r>
    </w:p>
    <w:p>
      <w:pPr>
        <w:spacing w:after="0" w:line="107" w:lineRule="exact"/>
        <w:rPr>
          <w:rFonts w:ascii="Times New Roman" w:cs="Times New Roman" w:eastAsia="Times New Roman" w:hAnsi="Times New Roman"/>
          <w:sz w:val="14"/>
          <w:szCs w:val="14"/>
          <w:color w:val="auto"/>
        </w:rPr>
      </w:pPr>
    </w:p>
    <w:p>
      <w:pPr>
        <w:ind w:left="2020" w:right="239" w:hanging="422"/>
        <w:spacing w:after="0" w:line="293" w:lineRule="auto"/>
        <w:tabs>
          <w:tab w:leader="none" w:pos="20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for any such offer; or</w:t>
      </w:r>
    </w:p>
    <w:p>
      <w:pPr>
        <w:spacing w:after="0" w:line="48" w:lineRule="exact"/>
        <w:rPr>
          <w:rFonts w:ascii="Times New Roman" w:cs="Times New Roman" w:eastAsia="Times New Roman" w:hAnsi="Times New Roman"/>
          <w:sz w:val="14"/>
          <w:szCs w:val="14"/>
          <w:color w:val="auto"/>
        </w:rPr>
      </w:pPr>
    </w:p>
    <w:p>
      <w:pPr>
        <w:ind w:left="2020" w:hanging="422"/>
        <w:spacing w:after="0"/>
        <w:tabs>
          <w:tab w:leader="none" w:pos="20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81" w:lineRule="exact"/>
        <w:rPr>
          <w:sz w:val="20"/>
          <w:szCs w:val="20"/>
          <w:color w:val="auto"/>
        </w:rPr>
      </w:pPr>
    </w:p>
    <w:p>
      <w:pPr>
        <w:ind w:left="1260" w:right="13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the shares of Class A common stock shall require us or any underwriter to publish a prospectus pursuant to Article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Prospectus Regulation, supplement a prospectus pursuant to Article 23 of the Prospectus Regulation or publish an Annex IX document pursuant to Article 1(4) of the Prospectus Regulation.</w:t>
      </w:r>
    </w:p>
    <w:p>
      <w:pPr>
        <w:spacing w:after="0" w:line="135" w:lineRule="exact"/>
        <w:rPr>
          <w:sz w:val="20"/>
          <w:szCs w:val="20"/>
          <w:color w:val="auto"/>
        </w:rPr>
      </w:pPr>
    </w:p>
    <w:p>
      <w:pPr>
        <w:ind w:left="1260" w:right="219" w:firstLine="351"/>
        <w:spacing w:after="0" w:line="268"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92"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United Kingdom</w:t>
      </w:r>
    </w:p>
    <w:p>
      <w:pPr>
        <w:spacing w:after="0" w:line="99" w:lineRule="exact"/>
        <w:rPr>
          <w:sz w:val="20"/>
          <w:szCs w:val="20"/>
          <w:color w:val="auto"/>
        </w:rPr>
      </w:pPr>
    </w:p>
    <w:p>
      <w:pPr>
        <w:ind w:left="1260" w:right="179" w:firstLine="351"/>
        <w:spacing w:after="0" w:line="293" w:lineRule="auto"/>
        <w:rPr>
          <w:sz w:val="20"/>
          <w:szCs w:val="20"/>
          <w:color w:val="auto"/>
        </w:rPr>
      </w:pPr>
      <w:r>
        <w:rPr>
          <w:rFonts w:ascii="Times New Roman" w:cs="Times New Roman" w:eastAsia="Times New Roman" w:hAnsi="Times New Roman"/>
          <w:sz w:val="14"/>
          <w:szCs w:val="14"/>
          <w:color w:val="auto"/>
        </w:rPr>
        <w:t>No shares of Class A common stock have been offered or will be offered pursuant to this offering to the public in the United Kingdom except that the shares of Class A common stock may be offered to the public in the United Kingdom at any time:</w:t>
      </w:r>
    </w:p>
    <w:p>
      <w:pPr>
        <w:spacing w:after="0" w:line="48" w:lineRule="exact"/>
        <w:rPr>
          <w:sz w:val="20"/>
          <w:szCs w:val="20"/>
          <w:color w:val="auto"/>
        </w:rPr>
      </w:pPr>
    </w:p>
    <w:p>
      <w:pPr>
        <w:ind w:left="2020" w:right="419" w:hanging="422"/>
        <w:spacing w:after="0" w:line="293" w:lineRule="auto"/>
        <w:tabs>
          <w:tab w:leader="none" w:pos="20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offer is conditional on the admission of the shares of Class A common stock to trading on the London Stock Exchange plc’s main market (in reliance on the exception in paragraph 6(a) of Schedule 1 of the POATR);</w:t>
      </w:r>
    </w:p>
    <w:p>
      <w:pPr>
        <w:spacing w:after="0" w:line="48" w:lineRule="exact"/>
        <w:rPr>
          <w:rFonts w:ascii="Times New Roman" w:cs="Times New Roman" w:eastAsia="Times New Roman" w:hAnsi="Times New Roman"/>
          <w:sz w:val="14"/>
          <w:szCs w:val="14"/>
          <w:color w:val="auto"/>
        </w:rPr>
      </w:pPr>
    </w:p>
    <w:p>
      <w:pPr>
        <w:ind w:left="2020" w:hanging="422"/>
        <w:spacing w:after="0"/>
        <w:tabs>
          <w:tab w:leader="none" w:pos="20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paragraph 15 of Schedule 1 of the POATR;</w:t>
      </w:r>
    </w:p>
    <w:p>
      <w:pPr>
        <w:spacing w:after="0" w:line="108" w:lineRule="exact"/>
        <w:rPr>
          <w:rFonts w:ascii="Times New Roman" w:cs="Times New Roman" w:eastAsia="Times New Roman" w:hAnsi="Times New Roman"/>
          <w:sz w:val="14"/>
          <w:szCs w:val="14"/>
          <w:color w:val="auto"/>
        </w:rPr>
      </w:pPr>
    </w:p>
    <w:p>
      <w:pPr>
        <w:ind w:left="2020" w:right="179" w:hanging="422"/>
        <w:spacing w:after="0" w:line="293" w:lineRule="auto"/>
        <w:tabs>
          <w:tab w:leader="none" w:pos="20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under paragraph 15 of Schedule 1 of the POATR), subject to obtaining the prior consent of the underwriters for any such offer; or</w:t>
      </w:r>
    </w:p>
    <w:p>
      <w:pPr>
        <w:spacing w:after="0" w:line="48" w:lineRule="exact"/>
        <w:rPr>
          <w:rFonts w:ascii="Times New Roman" w:cs="Times New Roman" w:eastAsia="Times New Roman" w:hAnsi="Times New Roman"/>
          <w:sz w:val="14"/>
          <w:szCs w:val="14"/>
          <w:color w:val="auto"/>
        </w:rPr>
      </w:pPr>
    </w:p>
    <w:p>
      <w:pPr>
        <w:ind w:left="2020" w:hanging="422"/>
        <w:spacing w:after="0"/>
        <w:tabs>
          <w:tab w:leader="none" w:pos="20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83" w:lineRule="exact"/>
        <w:rPr>
          <w:sz w:val="20"/>
          <w:szCs w:val="20"/>
          <w:color w:val="auto"/>
        </w:rPr>
      </w:pPr>
    </w:p>
    <w:p>
      <w:pPr>
        <w:ind w:left="1260" w:right="239" w:firstLine="351"/>
        <w:spacing w:after="0" w:line="266"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Class A common stock in the United Kingdom means the communication to any person which presents sufficient information on: (a) the shares of Class A common stock to be offered; and</w:t>
      </w:r>
    </w:p>
    <w:p>
      <w:pPr>
        <w:spacing w:after="0" w:line="1" w:lineRule="exact"/>
        <w:rPr>
          <w:sz w:val="20"/>
          <w:szCs w:val="20"/>
          <w:color w:val="auto"/>
        </w:rPr>
      </w:pPr>
    </w:p>
    <w:p>
      <w:pPr>
        <w:ind w:left="1260" w:right="619" w:hanging="6"/>
        <w:spacing w:after="0" w:line="273" w:lineRule="auto"/>
        <w:tabs>
          <w:tab w:leader="none" w:pos="1463"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on which they are to be offered, to enable an investor to decide to buy or subscribe for the shares of Class A common stock and the expressions “POATR” means the Public Offers and Admissions to Trading Regulations 2024.</w:t>
      </w:r>
    </w:p>
    <w:p>
      <w:pPr>
        <w:spacing w:after="0" w:line="137" w:lineRule="exact"/>
        <w:rPr>
          <w:sz w:val="20"/>
          <w:szCs w:val="20"/>
          <w:color w:val="auto"/>
        </w:rPr>
      </w:pPr>
    </w:p>
    <w:p>
      <w:pPr>
        <w:ind w:left="1260" w:right="259" w:firstLine="351"/>
        <w:spacing w:after="0" w:line="268" w:lineRule="auto"/>
        <w:rPr>
          <w:sz w:val="20"/>
          <w:szCs w:val="20"/>
          <w:color w:val="auto"/>
        </w:rPr>
      </w:pPr>
      <w:r>
        <w:rPr>
          <w:rFonts w:ascii="Times New Roman" w:cs="Times New Roman" w:eastAsia="Times New Roman" w:hAnsi="Times New Roman"/>
          <w:sz w:val="14"/>
          <w:szCs w:val="14"/>
          <w:color w:val="auto"/>
        </w:rPr>
        <w:t>Each person in the United Kingdom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Canada</w:t>
      </w:r>
    </w:p>
    <w:p>
      <w:pPr>
        <w:spacing w:after="0" w:line="99"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44" w:lineRule="exact"/>
        <w:rPr>
          <w:sz w:val="20"/>
          <w:szCs w:val="20"/>
          <w:color w:val="auto"/>
        </w:rPr>
      </w:pPr>
    </w:p>
    <w:p>
      <w:pPr>
        <w:ind w:left="1260" w:right="299" w:firstLine="351"/>
        <w:spacing w:after="0" w:line="268"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2" w:lineRule="exact"/>
        <w:rPr>
          <w:sz w:val="20"/>
          <w:szCs w:val="20"/>
          <w:color w:val="auto"/>
        </w:rPr>
      </w:pPr>
    </w:p>
    <w:p>
      <w:pPr>
        <w:ind w:left="1260" w:right="199" w:firstLine="351"/>
        <w:spacing w:after="0" w:line="29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Dubai International Financial Centre</w:t>
      </w:r>
    </w:p>
    <w:p>
      <w:pPr>
        <w:spacing w:after="0" w:line="99" w:lineRule="exact"/>
        <w:rPr>
          <w:sz w:val="20"/>
          <w:szCs w:val="20"/>
          <w:color w:val="auto"/>
        </w:rPr>
      </w:pPr>
    </w:p>
    <w:p>
      <w:pPr>
        <w:ind w:left="1260" w:right="359" w:firstLine="351"/>
        <w:spacing w:after="0" w:line="275"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392"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579"/>
        <w:spacing w:after="0" w:line="268" w:lineRule="auto"/>
        <w:rPr>
          <w:sz w:val="20"/>
          <w:szCs w:val="20"/>
          <w:color w:val="auto"/>
        </w:rPr>
      </w:pPr>
      <w:r>
        <w:rPr>
          <w:rFonts w:ascii="Times New Roman" w:cs="Times New Roman" w:eastAsia="Times New Roman" w:hAnsi="Times New Roman"/>
          <w:sz w:val="14"/>
          <w:szCs w:val="14"/>
          <w:color w:val="auto"/>
        </w:rPr>
        <w:t>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Switzerland</w:t>
      </w:r>
    </w:p>
    <w:p>
      <w:pPr>
        <w:spacing w:after="0" w:line="99" w:lineRule="exact"/>
        <w:rPr>
          <w:sz w:val="20"/>
          <w:szCs w:val="20"/>
          <w:color w:val="auto"/>
        </w:rPr>
      </w:pPr>
    </w:p>
    <w:p>
      <w:pPr>
        <w:ind w:left="1260" w:right="179" w:firstLine="351"/>
        <w:spacing w:after="0" w:line="265" w:lineRule="auto"/>
        <w:rPr>
          <w:sz w:val="20"/>
          <w:szCs w:val="20"/>
          <w:color w:val="auto"/>
        </w:rPr>
      </w:pPr>
      <w:r>
        <w:rPr>
          <w:rFonts w:ascii="Times New Roman" w:cs="Times New Roman" w:eastAsia="Times New Roman" w:hAnsi="Times New Roman"/>
          <w:sz w:val="14"/>
          <w:szCs w:val="14"/>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44"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Hong Kong</w:t>
      </w:r>
    </w:p>
    <w:p>
      <w:pPr>
        <w:spacing w:after="0" w:line="99" w:lineRule="exact"/>
        <w:rPr>
          <w:sz w:val="20"/>
          <w:szCs w:val="20"/>
          <w:color w:val="auto"/>
        </w:rPr>
      </w:pPr>
    </w:p>
    <w:p>
      <w:pPr>
        <w:ind w:left="1260" w:right="159" w:firstLine="351"/>
        <w:spacing w:after="0" w:line="261" w:lineRule="auto"/>
        <w:rPr>
          <w:sz w:val="20"/>
          <w:szCs w:val="20"/>
          <w:color w:val="auto"/>
        </w:rPr>
      </w:pPr>
      <w:r>
        <w:rPr>
          <w:rFonts w:ascii="Times New Roman" w:cs="Times New Roman" w:eastAsia="Times New Roman" w:hAnsi="Times New Roman"/>
          <w:sz w:val="14"/>
          <w:szCs w:val="14"/>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Australia</w:t>
      </w:r>
    </w:p>
    <w:p>
      <w:pPr>
        <w:spacing w:after="0" w:line="99" w:lineRule="exact"/>
        <w:rPr>
          <w:sz w:val="20"/>
          <w:szCs w:val="20"/>
          <w:color w:val="auto"/>
        </w:rPr>
      </w:pPr>
    </w:p>
    <w:p>
      <w:pPr>
        <w:ind w:left="1260" w:right="319" w:firstLine="351"/>
        <w:spacing w:after="0" w:line="268"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42" w:lineRule="exact"/>
        <w:rPr>
          <w:sz w:val="20"/>
          <w:szCs w:val="20"/>
          <w:color w:val="auto"/>
        </w:rPr>
      </w:pPr>
    </w:p>
    <w:p>
      <w:pPr>
        <w:ind w:left="1260" w:right="179" w:firstLine="351"/>
        <w:spacing w:after="0" w:line="268" w:lineRule="auto"/>
        <w:rPr>
          <w:sz w:val="20"/>
          <w:szCs w:val="20"/>
          <w:color w:val="auto"/>
        </w:rPr>
      </w:pPr>
      <w:r>
        <w:rPr>
          <w:rFonts w:ascii="Times New Roman" w:cs="Times New Roman" w:eastAsia="Times New Roman" w:hAnsi="Times New Roman"/>
          <w:sz w:val="14"/>
          <w:szCs w:val="14"/>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2" w:lineRule="exact"/>
        <w:rPr>
          <w:sz w:val="20"/>
          <w:szCs w:val="20"/>
          <w:color w:val="auto"/>
        </w:rPr>
      </w:pPr>
    </w:p>
    <w:p>
      <w:pPr>
        <w:ind w:left="1260" w:right="519" w:firstLine="351"/>
        <w:spacing w:after="0" w:line="293" w:lineRule="auto"/>
        <w:rPr>
          <w:sz w:val="20"/>
          <w:szCs w:val="20"/>
          <w:color w:val="auto"/>
        </w:rPr>
      </w:pPr>
      <w:r>
        <w:rPr>
          <w:rFonts w:ascii="Times New Roman" w:cs="Times New Roman" w:eastAsia="Times New Roman" w:hAnsi="Times New Roman"/>
          <w:sz w:val="14"/>
          <w:szCs w:val="14"/>
          <w:color w:val="auto"/>
        </w:rPr>
        <w:t>The shares applied for by Exempt Investors in Australia must not be offered for sale in Australia in the period of 12 months after the date of allotment under the offering, except in circumstances where disclosure to</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92"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479"/>
        <w:spacing w:after="0" w:line="275" w:lineRule="auto"/>
        <w:rPr>
          <w:sz w:val="20"/>
          <w:szCs w:val="20"/>
          <w:color w:val="auto"/>
        </w:rPr>
      </w:pPr>
      <w:r>
        <w:rPr>
          <w:rFonts w:ascii="Times New Roman" w:cs="Times New Roman" w:eastAsia="Times New Roman" w:hAnsi="Times New Roman"/>
          <w:sz w:val="14"/>
          <w:szCs w:val="14"/>
          <w:color w:val="auto"/>
        </w:rPr>
        <w:t>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35" w:lineRule="exact"/>
        <w:rPr>
          <w:sz w:val="20"/>
          <w:szCs w:val="20"/>
          <w:color w:val="auto"/>
        </w:rPr>
      </w:pPr>
    </w:p>
    <w:p>
      <w:pPr>
        <w:ind w:left="1260" w:right="199" w:firstLine="351"/>
        <w:spacing w:after="0" w:line="268"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Israel</w:t>
      </w:r>
    </w:p>
    <w:p>
      <w:pPr>
        <w:spacing w:after="0" w:line="99" w:lineRule="exact"/>
        <w:rPr>
          <w:sz w:val="20"/>
          <w:szCs w:val="20"/>
          <w:color w:val="auto"/>
        </w:rPr>
      </w:pPr>
    </w:p>
    <w:p>
      <w:pPr>
        <w:ind w:left="1260" w:right="219" w:firstLine="351"/>
        <w:spacing w:after="0" w:line="261" w:lineRule="auto"/>
        <w:rPr>
          <w:sz w:val="20"/>
          <w:szCs w:val="20"/>
          <w:color w:val="auto"/>
        </w:rPr>
      </w:pPr>
      <w:r>
        <w:rPr>
          <w:rFonts w:ascii="Times New Roman" w:cs="Times New Roman" w:eastAsia="Times New Roman" w:hAnsi="Times New Roman"/>
          <w:sz w:val="14"/>
          <w:szCs w:val="14"/>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46"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Japan</w:t>
      </w:r>
    </w:p>
    <w:p>
      <w:pPr>
        <w:spacing w:after="0" w:line="99" w:lineRule="exact"/>
        <w:rPr>
          <w:sz w:val="20"/>
          <w:szCs w:val="20"/>
          <w:color w:val="auto"/>
        </w:rPr>
      </w:pPr>
    </w:p>
    <w:p>
      <w:pPr>
        <w:ind w:left="1260" w:right="179" w:firstLine="351"/>
        <w:spacing w:after="0" w:line="264"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92"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Singapore</w:t>
      </w:r>
    </w:p>
    <w:p>
      <w:pPr>
        <w:spacing w:after="0" w:line="99"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ind w:left="1260" w:right="379" w:hanging="6"/>
        <w:spacing w:after="0" w:line="273" w:lineRule="auto"/>
        <w:tabs>
          <w:tab w:leader="none" w:pos="1511"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 in each case subject to conditions set forth in the SFA.</w:t>
      </w:r>
    </w:p>
    <w:p>
      <w:pPr>
        <w:spacing w:after="0" w:line="13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Where the shares of Class A common stock are subscribed or purchased under Section 275 of the SFA by a relevant person which is:</w:t>
      </w:r>
    </w:p>
    <w:p>
      <w:pPr>
        <w:spacing w:after="0" w:line="108" w:lineRule="exact"/>
        <w:rPr>
          <w:sz w:val="20"/>
          <w:szCs w:val="20"/>
          <w:color w:val="auto"/>
        </w:rPr>
      </w:pPr>
    </w:p>
    <w:p>
      <w:pPr>
        <w:ind w:left="2020" w:right="219" w:hanging="422"/>
        <w:spacing w:after="0" w:line="293" w:lineRule="auto"/>
        <w:tabs>
          <w:tab w:leader="none" w:pos="20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48" w:lineRule="exact"/>
        <w:rPr>
          <w:rFonts w:ascii="Times New Roman" w:cs="Times New Roman" w:eastAsia="Times New Roman" w:hAnsi="Times New Roman"/>
          <w:sz w:val="14"/>
          <w:szCs w:val="14"/>
          <w:color w:val="auto"/>
        </w:rPr>
      </w:pPr>
    </w:p>
    <w:p>
      <w:pPr>
        <w:ind w:left="2020" w:right="379" w:hanging="422"/>
        <w:spacing w:after="0" w:line="293" w:lineRule="auto"/>
        <w:tabs>
          <w:tab w:leader="none" w:pos="20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123" w:lineRule="exact"/>
        <w:rPr>
          <w:sz w:val="20"/>
          <w:szCs w:val="20"/>
          <w:color w:val="auto"/>
        </w:rPr>
      </w:pPr>
    </w:p>
    <w:p>
      <w:pPr>
        <w:ind w:left="1260" w:right="159"/>
        <w:spacing w:after="0" w:line="293" w:lineRule="auto"/>
        <w:rPr>
          <w:sz w:val="20"/>
          <w:szCs w:val="20"/>
          <w:color w:val="auto"/>
        </w:rPr>
      </w:pPr>
      <w:r>
        <w:rPr>
          <w:rFonts w:ascii="Times New Roman" w:cs="Times New Roman" w:eastAsia="Times New Roman" w:hAnsi="Times New Roman"/>
          <w:sz w:val="14"/>
          <w:szCs w:val="14"/>
          <w:color w:val="auto"/>
        </w:rPr>
        <w:t>the securities (as defined in Section 239(1) of the SFA) of that corporation shall not be transferable for six months after that corporation has acquired the shares under Section 275 of the SFA except:</w:t>
      </w:r>
    </w:p>
    <w:p>
      <w:pPr>
        <w:spacing w:after="0" w:line="48" w:lineRule="exact"/>
        <w:rPr>
          <w:sz w:val="20"/>
          <w:szCs w:val="20"/>
          <w:color w:val="auto"/>
        </w:rPr>
      </w:pPr>
    </w:p>
    <w:p>
      <w:pPr>
        <w:ind w:left="2020" w:hanging="422"/>
        <w:spacing w:after="0"/>
        <w:tabs>
          <w:tab w:leader="none" w:pos="20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276(4)(i)</w:t>
      </w:r>
    </w:p>
    <w:p>
      <w:pPr>
        <w:spacing w:after="0" w:line="24" w:lineRule="exact"/>
        <w:rPr>
          <w:rFonts w:ascii="Times New Roman" w:cs="Times New Roman" w:eastAsia="Times New Roman" w:hAnsi="Times New Roman"/>
          <w:sz w:val="14"/>
          <w:szCs w:val="14"/>
          <w:color w:val="auto"/>
        </w:rPr>
      </w:pPr>
    </w:p>
    <w:p>
      <w:pPr>
        <w:ind w:left="2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of the SFA;</w:t>
      </w:r>
    </w:p>
    <w:p>
      <w:pPr>
        <w:spacing w:after="0" w:line="94" w:lineRule="exact"/>
        <w:rPr>
          <w:rFonts w:ascii="Times New Roman" w:cs="Times New Roman" w:eastAsia="Times New Roman" w:hAnsi="Times New Roman"/>
          <w:sz w:val="14"/>
          <w:szCs w:val="14"/>
          <w:color w:val="auto"/>
        </w:rPr>
      </w:pPr>
    </w:p>
    <w:p>
      <w:pPr>
        <w:ind w:left="2020" w:hanging="422"/>
        <w:spacing w:after="0"/>
        <w:tabs>
          <w:tab w:leader="none" w:pos="20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08" w:lineRule="exact"/>
        <w:rPr>
          <w:rFonts w:ascii="Times New Roman" w:cs="Times New Roman" w:eastAsia="Times New Roman" w:hAnsi="Times New Roman"/>
          <w:sz w:val="14"/>
          <w:szCs w:val="14"/>
          <w:color w:val="auto"/>
        </w:rPr>
      </w:pPr>
    </w:p>
    <w:p>
      <w:pPr>
        <w:ind w:left="2020" w:hanging="422"/>
        <w:spacing w:after="0"/>
        <w:tabs>
          <w:tab w:leader="none" w:pos="20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 or</w:t>
      </w:r>
    </w:p>
    <w:p>
      <w:pPr>
        <w:spacing w:after="0" w:line="107" w:lineRule="exact"/>
        <w:rPr>
          <w:rFonts w:ascii="Times New Roman" w:cs="Times New Roman" w:eastAsia="Times New Roman" w:hAnsi="Times New Roman"/>
          <w:sz w:val="14"/>
          <w:szCs w:val="14"/>
          <w:color w:val="auto"/>
        </w:rPr>
      </w:pPr>
    </w:p>
    <w:p>
      <w:pPr>
        <w:ind w:left="2020" w:hanging="422"/>
        <w:spacing w:after="0"/>
        <w:tabs>
          <w:tab w:leader="none" w:pos="20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81" w:lineRule="exact"/>
        <w:rPr>
          <w:sz w:val="20"/>
          <w:szCs w:val="20"/>
          <w:color w:val="auto"/>
        </w:rPr>
      </w:pPr>
    </w:p>
    <w:p>
      <w:pPr>
        <w:ind w:left="1260" w:right="23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Singapore Securities and Futures Act Product Classification</w:t>
      </w:r>
      <w:r>
        <w:rPr>
          <w:rFonts w:ascii="Times New Roman" w:cs="Times New Roman" w:eastAsia="Times New Roman" w:hAnsi="Times New Roman"/>
          <w:sz w:val="14"/>
          <w:szCs w:val="14"/>
          <w:color w:val="auto"/>
        </w:rPr>
        <w:t>—Solely for the purposes of its obligations pursuant to Sections 309B(1)(a)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United Arab Emirates</w:t>
      </w:r>
    </w:p>
    <w:p>
      <w:pPr>
        <w:spacing w:after="0" w:line="99" w:lineRule="exact"/>
        <w:rPr>
          <w:sz w:val="20"/>
          <w:szCs w:val="20"/>
          <w:color w:val="auto"/>
        </w:rPr>
      </w:pPr>
    </w:p>
    <w:p>
      <w:pPr>
        <w:ind w:left="1260" w:right="139" w:firstLine="351"/>
        <w:spacing w:after="0" w:line="264"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Brazil</w:t>
      </w:r>
    </w:p>
    <w:p>
      <w:pPr>
        <w:spacing w:after="0" w:line="99" w:lineRule="exact"/>
        <w:rPr>
          <w:sz w:val="20"/>
          <w:szCs w:val="20"/>
          <w:color w:val="auto"/>
        </w:rPr>
      </w:pPr>
    </w:p>
    <w:p>
      <w:pPr>
        <w:ind w:left="1260" w:right="539" w:firstLine="351"/>
        <w:spacing w:after="0" w:line="293" w:lineRule="auto"/>
        <w:rPr>
          <w:sz w:val="20"/>
          <w:szCs w:val="20"/>
          <w:color w:val="auto"/>
        </w:rPr>
      </w:pPr>
      <w:r>
        <w:rPr>
          <w:rFonts w:ascii="Times New Roman" w:cs="Times New Roman" w:eastAsia="Times New Roman" w:hAnsi="Times New Roman"/>
          <w:sz w:val="14"/>
          <w:szCs w:val="14"/>
          <w:color w:val="auto"/>
        </w:rPr>
        <w:t>THE OFFER AND SALE OF THE SHARES OF CLASS A COMMON STOCK HAVE NOT BEEN AND WILL NOT BE REGISTERED WITH THE BRAZILIAN SECURITIES COMMISSION (COMISSÃO DE</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392"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both"/>
        <w:ind w:left="1260" w:right="239"/>
        <w:spacing w:after="0" w:line="266" w:lineRule="auto"/>
        <w:rPr>
          <w:sz w:val="20"/>
          <w:szCs w:val="20"/>
          <w:color w:val="auto"/>
        </w:rPr>
      </w:pPr>
      <w:r>
        <w:rPr>
          <w:rFonts w:ascii="Times New Roman" w:cs="Times New Roman" w:eastAsia="Times New Roman" w:hAnsi="Times New Roman"/>
          <w:sz w:val="14"/>
          <w:szCs w:val="14"/>
          <w:color w:val="auto"/>
        </w:rPr>
        <w:t>VALORES MOBILIÁRIOS, OR “CVM”) AND, THEREFORE, WILL NOT BE CARRIED OUT BY ANY MEANS THAT WOULD CONSTITUTE A PUBLIC OFFERING IN BRAZIL UNDER CVM RESOLUTION NO 160, DATED 13 JULY 2022, AS AMENDED (“CVM RESOLUTION 160”)</w:t>
      </w:r>
    </w:p>
    <w:p>
      <w:pPr>
        <w:spacing w:after="0" w:line="1" w:lineRule="exact"/>
        <w:rPr>
          <w:sz w:val="20"/>
          <w:szCs w:val="20"/>
          <w:color w:val="auto"/>
        </w:rPr>
      </w:pPr>
    </w:p>
    <w:p>
      <w:pPr>
        <w:ind w:left="1260" w:right="279"/>
        <w:spacing w:after="0" w:line="260" w:lineRule="auto"/>
        <w:rPr>
          <w:sz w:val="20"/>
          <w:szCs w:val="20"/>
          <w:color w:val="auto"/>
        </w:rPr>
      </w:pPr>
      <w:r>
        <w:rPr>
          <w:rFonts w:ascii="Times New Roman" w:cs="Times New Roman" w:eastAsia="Times New Roman" w:hAnsi="Times New Roman"/>
          <w:sz w:val="14"/>
          <w:szCs w:val="14"/>
          <w:color w:val="auto"/>
        </w:rPr>
        <w:t>OR UNAUTHORIZED DISTRIBUTION UNDER BRAZILIAN LAWS AND REGULATIONS. THE SHARES OF CLASS A COMMON STOCK WILL BE AUTHORIZED FOR TRADING ON ORGANIZED NON-BRAZILIAN SECURITIES MARKETS AND MAY ONLY BE OFFERED TO BRAZILIAN PROFESSIONAL INVESTORS (AS DEFINED BY APPLICABLE CVM REGULATION), WHO MAY ONLY ACQUIRE THE SHARES OF CLASS A COMMON STOCK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Saudi Arabia</w:t>
      </w:r>
    </w:p>
    <w:p>
      <w:pPr>
        <w:spacing w:after="0" w:line="99" w:lineRule="exact"/>
        <w:rPr>
          <w:sz w:val="20"/>
          <w:szCs w:val="20"/>
          <w:color w:val="auto"/>
        </w:rPr>
      </w:pPr>
    </w:p>
    <w:p>
      <w:pPr>
        <w:ind w:left="1260" w:right="159" w:firstLine="351"/>
        <w:spacing w:after="0" w:line="264" w:lineRule="auto"/>
        <w:rPr>
          <w:sz w:val="20"/>
          <w:szCs w:val="20"/>
          <w:color w:val="auto"/>
        </w:rPr>
      </w:pPr>
      <w:r>
        <w:rPr>
          <w:rFonts w:ascii="Times New Roman" w:cs="Times New Roman" w:eastAsia="Times New Roman" w:hAnsi="Times New Roman"/>
          <w:sz w:val="14"/>
          <w:szCs w:val="14"/>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Qatar</w:t>
      </w:r>
    </w:p>
    <w:p>
      <w:pPr>
        <w:spacing w:after="0" w:line="99" w:lineRule="exact"/>
        <w:rPr>
          <w:sz w:val="20"/>
          <w:szCs w:val="20"/>
          <w:color w:val="auto"/>
        </w:rPr>
      </w:pPr>
    </w:p>
    <w:p>
      <w:pPr>
        <w:ind w:left="1260" w:right="159" w:firstLine="351"/>
        <w:spacing w:after="0" w:line="265" w:lineRule="auto"/>
        <w:rPr>
          <w:sz w:val="20"/>
          <w:szCs w:val="20"/>
          <w:color w:val="auto"/>
        </w:rPr>
      </w:pPr>
      <w:r>
        <w:rPr>
          <w:rFonts w:ascii="Times New Roman" w:cs="Times New Roman" w:eastAsia="Times New Roman" w:hAnsi="Times New Roman"/>
          <w:sz w:val="14"/>
          <w:szCs w:val="14"/>
          <w:color w:val="auto"/>
        </w:rPr>
        <w:t>The shares of Class A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Kuwait</w:t>
      </w:r>
    </w:p>
    <w:p>
      <w:pPr>
        <w:spacing w:after="0" w:line="99" w:lineRule="exact"/>
        <w:rPr>
          <w:sz w:val="20"/>
          <w:szCs w:val="20"/>
          <w:color w:val="auto"/>
        </w:rPr>
      </w:pPr>
    </w:p>
    <w:p>
      <w:pPr>
        <w:ind w:left="1260" w:right="139" w:firstLine="351"/>
        <w:spacing w:after="0" w:line="264" w:lineRule="auto"/>
        <w:rPr>
          <w:sz w:val="20"/>
          <w:szCs w:val="20"/>
          <w:color w:val="auto"/>
        </w:rPr>
      </w:pPr>
      <w:r>
        <w:rPr>
          <w:rFonts w:ascii="Times New Roman" w:cs="Times New Roman" w:eastAsia="Times New Roman" w:hAnsi="Times New Roman"/>
          <w:sz w:val="14"/>
          <w:szCs w:val="14"/>
          <w:color w:val="auto"/>
        </w:rPr>
        <w:t>Unless all necessary approvals from the Kuwait Capital Markets Authority pursuant to Law No. 7/2010, its Executive Regulations and the various Resolutions and Announcements issued pursuant thereto or in connection therewith have been given in relation to the marketing of and sale of the shares of Class A common stock, the shares of Class A common stock may not be offered for sale, nor sold in the State of Kuwait (“Kuwait”). Neither this prospectus nor any of the information contained herein is intended to lead to the conclusion of any contract of whatsoever nature within Kuwait. With regard to the contents of this document, we recommend that you consult a licensee as per the law and specialized in giving advice about the purchase of the shares of Class A common stock and other securities before making the subscription decision.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Bermuda</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shares of Class A common stock may be offered or sold in Bermuda only in compliance with the provisions of the Investment Business Act of</w:t>
      </w:r>
    </w:p>
    <w:p>
      <w:pPr>
        <w:spacing w:after="0" w:line="25" w:lineRule="exact"/>
        <w:rPr>
          <w:sz w:val="20"/>
          <w:szCs w:val="20"/>
          <w:color w:val="auto"/>
        </w:rPr>
      </w:pPr>
    </w:p>
    <w:p>
      <w:pPr>
        <w:ind w:left="1260" w:right="319"/>
        <w:spacing w:after="0" w:line="273" w:lineRule="auto"/>
        <w:rPr>
          <w:sz w:val="20"/>
          <w:szCs w:val="20"/>
          <w:color w:val="auto"/>
        </w:rPr>
      </w:pPr>
      <w:r>
        <w:rPr>
          <w:rFonts w:ascii="Times New Roman" w:cs="Times New Roman" w:eastAsia="Times New Roman" w:hAnsi="Times New Roman"/>
          <w:sz w:val="14"/>
          <w:szCs w:val="14"/>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British Virgin Islands</w:t>
      </w:r>
    </w:p>
    <w:p>
      <w:pPr>
        <w:spacing w:after="0" w:line="99" w:lineRule="exact"/>
        <w:rPr>
          <w:sz w:val="20"/>
          <w:szCs w:val="20"/>
          <w:color w:val="auto"/>
        </w:rPr>
      </w:pPr>
    </w:p>
    <w:p>
      <w:pPr>
        <w:ind w:left="1260" w:right="159" w:firstLine="351"/>
        <w:spacing w:after="0" w:line="293" w:lineRule="auto"/>
        <w:rPr>
          <w:sz w:val="20"/>
          <w:szCs w:val="20"/>
          <w:color w:val="auto"/>
        </w:rPr>
      </w:pPr>
      <w:r>
        <w:rPr>
          <w:rFonts w:ascii="Times New Roman" w:cs="Times New Roman" w:eastAsia="Times New Roman" w:hAnsi="Times New Roman"/>
          <w:sz w:val="14"/>
          <w:szCs w:val="14"/>
          <w:color w:val="auto"/>
        </w:rPr>
        <w:t>The shares of Class A common stock are not being, and may not be offered to the public or to any person in the British Virgin Islands for purchase or subscription by or on our behalf. The shares of Class A common stock</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392"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319"/>
        <w:spacing w:after="0" w:line="293" w:lineRule="auto"/>
        <w:rPr>
          <w:sz w:val="20"/>
          <w:szCs w:val="20"/>
          <w:color w:val="auto"/>
        </w:rPr>
      </w:pPr>
      <w:r>
        <w:rPr>
          <w:rFonts w:ascii="Times New Roman" w:cs="Times New Roman" w:eastAsia="Times New Roman" w:hAnsi="Times New Roman"/>
          <w:sz w:val="14"/>
          <w:szCs w:val="14"/>
          <w:color w:val="auto"/>
        </w:rPr>
        <w:t>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China</w:t>
      </w:r>
    </w:p>
    <w:p>
      <w:pPr>
        <w:spacing w:after="0" w:line="99" w:lineRule="exact"/>
        <w:rPr>
          <w:sz w:val="20"/>
          <w:szCs w:val="20"/>
          <w:color w:val="auto"/>
        </w:rPr>
      </w:pPr>
    </w:p>
    <w:p>
      <w:pPr>
        <w:ind w:left="1260" w:right="239" w:firstLine="351"/>
        <w:spacing w:after="0" w:line="265" w:lineRule="auto"/>
        <w:rPr>
          <w:sz w:val="20"/>
          <w:szCs w:val="20"/>
          <w:color w:val="auto"/>
        </w:rPr>
      </w:pPr>
      <w:r>
        <w:rPr>
          <w:rFonts w:ascii="Times New Roman" w:cs="Times New Roman" w:eastAsia="Times New Roman" w:hAnsi="Times New Roman"/>
          <w:sz w:val="14"/>
          <w:szCs w:val="14"/>
          <w:color w:val="auto"/>
        </w:rPr>
        <w:t>This prospectus will not be circulated or distributed in the People’s Republic of China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Korea</w:t>
      </w:r>
    </w:p>
    <w:p>
      <w:pPr>
        <w:spacing w:after="0" w:line="99" w:lineRule="exact"/>
        <w:rPr>
          <w:sz w:val="20"/>
          <w:szCs w:val="20"/>
          <w:color w:val="auto"/>
        </w:rPr>
      </w:pPr>
    </w:p>
    <w:p>
      <w:pPr>
        <w:ind w:left="1260" w:right="139" w:firstLine="351"/>
        <w:spacing w:after="0" w:line="260"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Malaysia</w:t>
      </w:r>
    </w:p>
    <w:p>
      <w:pPr>
        <w:spacing w:after="0" w:line="99" w:lineRule="exact"/>
        <w:rPr>
          <w:sz w:val="20"/>
          <w:szCs w:val="20"/>
          <w:color w:val="auto"/>
        </w:rPr>
      </w:pPr>
    </w:p>
    <w:p>
      <w:pPr>
        <w:ind w:left="1260" w:right="139" w:firstLine="351"/>
        <w:spacing w:after="0" w:line="258" w:lineRule="auto"/>
        <w:rPr>
          <w:sz w:val="20"/>
          <w:szCs w:val="20"/>
          <w:color w:val="auto"/>
        </w:rPr>
      </w:pPr>
      <w:r>
        <w:rPr>
          <w:rFonts w:ascii="Times New Roman" w:cs="Times New Roman" w:eastAsia="Times New Roman" w:hAnsi="Times New Roman"/>
          <w:sz w:val="14"/>
          <w:szCs w:val="14"/>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3" w:lineRule="exact"/>
        <w:rPr>
          <w:sz w:val="20"/>
          <w:szCs w:val="20"/>
          <w:color w:val="auto"/>
        </w:rPr>
      </w:pPr>
    </w:p>
    <w:p>
      <w:pPr>
        <w:ind w:left="1260" w:right="339" w:hanging="6"/>
        <w:spacing w:after="0" w:line="273" w:lineRule="auto"/>
        <w:tabs>
          <w:tab w:leader="none" w:pos="1583"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with total net assets exceeding RM10 million (or its equivalent in foreign currencies); (ix) a bank licensee or insurance licensee as defined in the Labuan Financial Services and Securities Act 2010; (x) an Islamic bank licensee or takaful</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92"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60" w:right="139"/>
        <w:spacing w:after="0" w:line="265" w:lineRule="auto"/>
        <w:rPr>
          <w:sz w:val="20"/>
          <w:szCs w:val="20"/>
          <w:color w:val="auto"/>
        </w:rPr>
      </w:pPr>
      <w:r>
        <w:rPr>
          <w:rFonts w:ascii="Times New Roman" w:cs="Times New Roman" w:eastAsia="Times New Roman" w:hAnsi="Times New Roman"/>
          <w:sz w:val="14"/>
          <w:szCs w:val="14"/>
          <w:color w:val="auto"/>
        </w:rPr>
        <w:t>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Taiwan</w:t>
      </w:r>
    </w:p>
    <w:p>
      <w:pPr>
        <w:spacing w:after="0" w:line="99" w:lineRule="exact"/>
        <w:rPr>
          <w:sz w:val="20"/>
          <w:szCs w:val="20"/>
          <w:color w:val="auto"/>
        </w:rPr>
      </w:pPr>
    </w:p>
    <w:p>
      <w:pPr>
        <w:ind w:left="1260" w:right="139" w:firstLine="351"/>
        <w:spacing w:after="0" w:line="265"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South Africa</w:t>
      </w:r>
    </w:p>
    <w:p>
      <w:pPr>
        <w:spacing w:after="0" w:line="99" w:lineRule="exact"/>
        <w:rPr>
          <w:sz w:val="20"/>
          <w:szCs w:val="20"/>
          <w:color w:val="auto"/>
        </w:rPr>
      </w:pPr>
    </w:p>
    <w:p>
      <w:pPr>
        <w:ind w:left="1260" w:right="159" w:firstLine="351"/>
        <w:spacing w:after="0" w:line="262" w:lineRule="auto"/>
        <w:rPr>
          <w:sz w:val="20"/>
          <w:szCs w:val="20"/>
          <w:color w:val="auto"/>
        </w:rPr>
      </w:pPr>
      <w:r>
        <w:rPr>
          <w:rFonts w:ascii="Times New Roman" w:cs="Times New Roman" w:eastAsia="Times New Roman" w:hAnsi="Times New Roman"/>
          <w:sz w:val="14"/>
          <w:szCs w:val="14"/>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0159"/>
          </w:cols>
          <w:pgMar w:left="300" w:top="392" w:right="1440" w:bottom="1440" w:gutter="0" w:footer="0" w:header="0"/>
        </w:sectPr>
      </w:pP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Section 96(1) (a)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offer, transfer, sale, renunciation or delivery is to:</w:t>
      </w:r>
    </w:p>
    <w:p>
      <w:pPr>
        <w:spacing w:after="0" w:line="108" w:lineRule="exact"/>
        <w:rPr>
          <w:sz w:val="20"/>
          <w:szCs w:val="20"/>
          <w:color w:val="auto"/>
        </w:rPr>
      </w:pPr>
    </w:p>
    <w:p>
      <w:pPr>
        <w:sectPr>
          <w:pgSz w:w="11900" w:h="16838" w:orient="portrait"/>
          <w:cols w:equalWidth="0" w:num="2">
            <w:col w:w="2220" w:space="520"/>
            <w:col w:w="7419"/>
          </w:cols>
          <w:pgMar w:left="300" w:top="392" w:right="1440" w:bottom="1440" w:gutter="0" w:footer="0" w:header="0"/>
          <w:type w:val="continuous"/>
        </w:sectPr>
      </w:pPr>
    </w:p>
    <w:p>
      <w:pPr>
        <w:ind w:left="2740"/>
        <w:spacing w:after="0"/>
        <w:rPr>
          <w:sz w:val="20"/>
          <w:szCs w:val="20"/>
          <w:color w:val="auto"/>
        </w:rPr>
      </w:pPr>
      <w:r>
        <w:rPr>
          <w:rFonts w:ascii="Times New Roman" w:cs="Times New Roman" w:eastAsia="Times New Roman" w:hAnsi="Times New Roman"/>
          <w:sz w:val="14"/>
          <w:szCs w:val="14"/>
          <w:color w:val="auto"/>
        </w:rPr>
        <w:t>(i) persons whose ordinary business, or part of whose ordinary business, is to deal in securities, as principal or agent;</w:t>
      </w:r>
    </w:p>
    <w:p>
      <w:pPr>
        <w:spacing w:after="0" w:line="10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(ii) the South African Public Investment Corporation;</w:t>
      </w:r>
    </w:p>
    <w:p>
      <w:pPr>
        <w:spacing w:after="0" w:line="10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(iii) persons or entities regulated by the Reserve Bank of South Africa;</w:t>
      </w:r>
    </w:p>
    <w:p>
      <w:pPr>
        <w:spacing w:after="0" w:line="10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(iv) authorised financial service providers under South African law;</w:t>
      </w:r>
    </w:p>
    <w:p>
      <w:pPr>
        <w:spacing w:after="0" w:line="10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(v) financial institutions recognised as such under South African law;</w:t>
      </w:r>
    </w:p>
    <w:p>
      <w:pPr>
        <w:spacing w:after="0" w:line="108" w:lineRule="exact"/>
        <w:rPr>
          <w:sz w:val="20"/>
          <w:szCs w:val="20"/>
          <w:color w:val="auto"/>
        </w:rPr>
      </w:pPr>
    </w:p>
    <w:p>
      <w:pPr>
        <w:ind w:left="2740" w:right="419"/>
        <w:spacing w:after="0" w:line="275" w:lineRule="auto"/>
        <w:rPr>
          <w:sz w:val="20"/>
          <w:szCs w:val="20"/>
          <w:color w:val="auto"/>
        </w:rPr>
      </w:pPr>
      <w:r>
        <w:rPr>
          <w:rFonts w:ascii="Times New Roman" w:cs="Times New Roman" w:eastAsia="Times New Roman" w:hAnsi="Times New Roman"/>
          <w:sz w:val="14"/>
          <w:szCs w:val="14"/>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6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(vii) any combination of the person in (i) to (vi); or</w:t>
      </w:r>
    </w:p>
    <w:p>
      <w:pPr>
        <w:sectPr>
          <w:pgSz w:w="11900" w:h="16838" w:orient="portrait"/>
          <w:cols w:equalWidth="0" w:num="1">
            <w:col w:w="10159"/>
          </w:cols>
          <w:pgMar w:left="300" w:top="392" w:right="1440" w:bottom="1440" w:gutter="0" w:footer="0" w:header="0"/>
          <w:type w:val="continuous"/>
        </w:sectPr>
      </w:pPr>
    </w:p>
    <w:p>
      <w:pPr>
        <w:spacing w:after="0" w:line="1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Section 96(1) (b)</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ind w:right="219"/>
        <w:spacing w:after="0" w:line="275" w:lineRule="auto"/>
        <w:rPr>
          <w:sz w:val="20"/>
          <w:szCs w:val="20"/>
          <w:color w:val="auto"/>
        </w:rPr>
      </w:pPr>
      <w:r>
        <w:rPr>
          <w:rFonts w:ascii="Times New Roman" w:cs="Times New Roman" w:eastAsia="Times New Roman" w:hAnsi="Times New Roman"/>
          <w:sz w:val="14"/>
          <w:szCs w:val="14"/>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35" w:lineRule="exact"/>
        <w:rPr>
          <w:sz w:val="20"/>
          <w:szCs w:val="20"/>
          <w:color w:val="auto"/>
        </w:rPr>
      </w:pPr>
    </w:p>
    <w:p>
      <w:pPr>
        <w:sectPr>
          <w:pgSz w:w="11900" w:h="16838" w:orient="portrait"/>
          <w:cols w:equalWidth="0" w:num="2">
            <w:col w:w="2240" w:space="500"/>
            <w:col w:w="7419"/>
          </w:cols>
          <w:pgMar w:left="300" w:top="392" w:right="1440" w:bottom="1440" w:gutter="0" w:footer="0" w:header="0"/>
          <w:type w:val="continuous"/>
        </w:sectPr>
      </w:pPr>
    </w:p>
    <w:p>
      <w:pPr>
        <w:ind w:left="1260" w:right="579" w:firstLine="351"/>
        <w:spacing w:after="0" w:line="293" w:lineRule="auto"/>
        <w:rPr>
          <w:sz w:val="20"/>
          <w:szCs w:val="20"/>
          <w:color w:val="auto"/>
        </w:rPr>
      </w:pPr>
      <w:r>
        <w:rPr>
          <w:rFonts w:ascii="Times New Roman" w:cs="Times New Roman" w:eastAsia="Times New Roman" w:hAnsi="Times New Roman"/>
          <w:sz w:val="14"/>
          <w:szCs w:val="14"/>
          <w:color w:val="auto"/>
        </w:rPr>
        <w:t>Information made available in this prospectus should not be considered as “advice” as defined in the South African Financial Advisory and Intermediary Services Act, 2002.</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392" w:right="1440"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5" w:lineRule="exact"/>
        <w:rPr>
          <w:sz w:val="20"/>
          <w:szCs w:val="20"/>
          <w:color w:val="auto"/>
        </w:rPr>
      </w:pPr>
    </w:p>
    <w:p>
      <w:pPr>
        <w:ind w:left="1260" w:right="379" w:firstLine="351"/>
        <w:spacing w:after="0" w:line="268" w:lineRule="auto"/>
        <w:rPr>
          <w:sz w:val="20"/>
          <w:szCs w:val="20"/>
          <w:color w:val="auto"/>
        </w:rPr>
      </w:pPr>
      <w:r>
        <w:rPr>
          <w:rFonts w:ascii="Times New Roman" w:cs="Times New Roman" w:eastAsia="Times New Roman" w:hAnsi="Times New Roman"/>
          <w:sz w:val="14"/>
          <w:szCs w:val="14"/>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5" w:lineRule="exact"/>
        <w:rPr>
          <w:sz w:val="20"/>
          <w:szCs w:val="20"/>
          <w:color w:val="auto"/>
        </w:rPr>
      </w:pPr>
    </w:p>
    <w:p>
      <w:pPr>
        <w:ind w:left="1260" w:right="159" w:firstLine="351"/>
        <w:spacing w:after="0" w:line="268"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5" w:lineRule="exact"/>
        <w:rPr>
          <w:sz w:val="20"/>
          <w:szCs w:val="20"/>
          <w:color w:val="auto"/>
        </w:rPr>
      </w:pPr>
    </w:p>
    <w:p>
      <w:pPr>
        <w:ind w:left="1260" w:right="1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4"/>
          <w:szCs w:val="14"/>
          <w:i w:val="1"/>
          <w:iCs w:val="1"/>
          <w:color w:val="auto"/>
        </w:rPr>
        <w:t>www.sec.gov.</w:t>
      </w:r>
    </w:p>
    <w:p>
      <w:pPr>
        <w:spacing w:after="0" w:line="317" w:lineRule="exact"/>
        <w:rPr>
          <w:sz w:val="20"/>
          <w:szCs w:val="20"/>
          <w:color w:val="auto"/>
        </w:rPr>
      </w:pPr>
    </w:p>
    <w:p>
      <w:pPr>
        <w:ind w:left="1260" w:right="119" w:firstLine="351"/>
        <w:spacing w:after="0" w:line="296" w:lineRule="auto"/>
        <w:rPr>
          <w:sz w:val="20"/>
          <w:szCs w:val="20"/>
          <w:color w:val="auto"/>
        </w:rPr>
      </w:pPr>
      <w:r>
        <w:rPr>
          <w:rFonts w:ascii="Times New Roman" w:cs="Times New Roman" w:eastAsia="Times New Roman" w:hAnsi="Times New Roman"/>
          <w:sz w:val="14"/>
          <w:szCs w:val="14"/>
          <w:color w:val="auto"/>
        </w:rPr>
        <w:t xml:space="preserve">We maintain an internet 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xml:space="preserve"> The information on, or accessible from, our website is not part of this prospectus by reference or otherwise.</w:t>
      </w:r>
    </w:p>
    <w:p>
      <w:pPr>
        <w:spacing w:after="0" w:line="121" w:lineRule="exact"/>
        <w:rPr>
          <w:sz w:val="20"/>
          <w:szCs w:val="20"/>
          <w:color w:val="auto"/>
        </w:rPr>
      </w:pPr>
    </w:p>
    <w:p>
      <w:pPr>
        <w:ind w:left="1260" w:right="299" w:firstLine="351"/>
        <w:spacing w:after="0" w:line="293"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and as a result file annual, quarterly and current reports, proxy statements and other information with the SEC. You are able to inspect copies of these materials without charge at the SEC’s website.</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92"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85" w:lineRule="exact"/>
        <w:rPr>
          <w:sz w:val="20"/>
          <w:szCs w:val="20"/>
          <w:color w:val="auto"/>
        </w:rPr>
      </w:pPr>
    </w:p>
    <w:p>
      <w:pPr>
        <w:ind w:left="1260" w:right="159" w:firstLine="351"/>
        <w:spacing w:after="0" w:line="275" w:lineRule="auto"/>
        <w:rPr>
          <w:sz w:val="20"/>
          <w:szCs w:val="20"/>
          <w:color w:val="auto"/>
        </w:rPr>
      </w:pPr>
      <w:r>
        <w:rPr>
          <w:rFonts w:ascii="Times New Roman" w:cs="Times New Roman" w:eastAsia="Times New Roman" w:hAnsi="Times New Roman"/>
          <w:sz w:val="14"/>
          <w:szCs w:val="14"/>
          <w:color w:val="auto"/>
        </w:rPr>
        <w:t>The rules of the SEC allow us to incorporate information into this prospectus by reference. This means that we can disclose important information to you by referring you to another document. The information incorporated by reference is considered to be a part of this prospectus. This prospectus incorporates by reference the documents listed below.</w:t>
      </w:r>
    </w:p>
    <w:p>
      <w:pPr>
        <w:spacing w:after="0" w:line="60" w:lineRule="exact"/>
        <w:rPr>
          <w:sz w:val="20"/>
          <w:szCs w:val="20"/>
          <w:color w:val="auto"/>
        </w:rPr>
      </w:pPr>
    </w:p>
    <w:p>
      <w:pPr>
        <w:ind w:left="2020" w:hanging="335"/>
        <w:spacing w:after="0"/>
        <w:tabs>
          <w:tab w:leader="none" w:pos="20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1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on February 25, 2026; and</w:t>
      </w:r>
    </w:p>
    <w:p>
      <w:pPr>
        <w:spacing w:after="0" w:line="108" w:lineRule="exact"/>
        <w:rPr>
          <w:rFonts w:ascii="Times New Roman" w:cs="Times New Roman" w:eastAsia="Times New Roman" w:hAnsi="Times New Roman"/>
          <w:sz w:val="14"/>
          <w:szCs w:val="14"/>
          <w:color w:val="auto"/>
        </w:rPr>
      </w:pPr>
    </w:p>
    <w:p>
      <w:pPr>
        <w:ind w:left="2020" w:right="359" w:hanging="335"/>
        <w:spacing w:after="0" w:line="293" w:lineRule="auto"/>
        <w:tabs>
          <w:tab w:leader="none" w:pos="20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shares of Class A common stock contained in our Annual Report on </w:t>
      </w:r>
      <w:hyperlink r:id="rId21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w:t>
      </w:r>
    </w:p>
    <w:p>
      <w:pPr>
        <w:spacing w:after="0" w:line="123" w:lineRule="exact"/>
        <w:rPr>
          <w:rFonts w:ascii="Times New Roman" w:cs="Times New Roman" w:eastAsia="Times New Roman" w:hAnsi="Times New Roman"/>
          <w:sz w:val="14"/>
          <w:szCs w:val="14"/>
          <w:color w:val="auto"/>
        </w:rPr>
      </w:pPr>
    </w:p>
    <w:p>
      <w:pPr>
        <w:ind w:left="1260" w:right="299" w:firstLine="351"/>
        <w:spacing w:after="0" w:line="268" w:lineRule="auto"/>
        <w:rPr>
          <w:sz w:val="20"/>
          <w:szCs w:val="20"/>
          <w:color w:val="auto"/>
        </w:rPr>
      </w:pPr>
      <w:r>
        <w:rPr>
          <w:rFonts w:ascii="Times New Roman" w:cs="Times New Roman" w:eastAsia="Times New Roman" w:hAnsi="Times New Roman"/>
          <w:sz w:val="14"/>
          <w:szCs w:val="14"/>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as so modified or superseded, except as so modified or superseded, to constitute a part of this prospectus.</w:t>
      </w:r>
    </w:p>
    <w:p>
      <w:pPr>
        <w:spacing w:after="0" w:line="142" w:lineRule="exact"/>
        <w:rPr>
          <w:rFonts w:ascii="Times New Roman" w:cs="Times New Roman" w:eastAsia="Times New Roman" w:hAnsi="Times New Roman"/>
          <w:sz w:val="14"/>
          <w:szCs w:val="14"/>
          <w:color w:val="auto"/>
        </w:rPr>
      </w:pPr>
    </w:p>
    <w:p>
      <w:pPr>
        <w:ind w:left="1260" w:right="319" w:firstLine="351"/>
        <w:spacing w:after="0" w:line="268" w:lineRule="auto"/>
        <w:rPr>
          <w:sz w:val="20"/>
          <w:szCs w:val="20"/>
          <w:color w:val="auto"/>
        </w:rPr>
      </w:pPr>
      <w:r>
        <w:rPr>
          <w:rFonts w:ascii="Times New Roman" w:cs="Times New Roman" w:eastAsia="Times New Roman" w:hAnsi="Times New Roman"/>
          <w:sz w:val="14"/>
          <w:szCs w:val="14"/>
          <w:color w:val="auto"/>
        </w:rPr>
        <w:t xml:space="preserve">You can obtain any of the filings incorporated by reference into this prospectus through us or from the SEC through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We will provide, without charge, to each person, including any beneficial owner, to whom a copy of this prospectus is delivered,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written or oral request of such person, a copy of any or all of the reports and documents referred to above which have been or may be incorporated by reference into this prospectus. You should direct requests for those documents to:</w:t>
      </w:r>
    </w:p>
    <w:p>
      <w:pPr>
        <w:spacing w:after="0" w:line="14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Medline Inc.</w:t>
      </w:r>
    </w:p>
    <w:p>
      <w:pPr>
        <w:spacing w:after="0" w:line="2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 Lakes Drive</w:t>
      </w:r>
    </w:p>
    <w:p>
      <w:pPr>
        <w:spacing w:after="0" w:line="1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Northfield, Illinois 60093</w:t>
      </w:r>
    </w:p>
    <w:p>
      <w:pPr>
        <w:spacing w:after="0" w:line="1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IR@medline.com</w:t>
      </w:r>
    </w:p>
    <w:p>
      <w:pPr>
        <w:spacing w:after="0" w:line="168" w:lineRule="exact"/>
        <w:rPr>
          <w:rFonts w:ascii="Times New Roman" w:cs="Times New Roman" w:eastAsia="Times New Roman" w:hAnsi="Times New Roman"/>
          <w:sz w:val="14"/>
          <w:szCs w:val="14"/>
          <w:color w:val="auto"/>
        </w:rPr>
      </w:pPr>
    </w:p>
    <w:p>
      <w:pPr>
        <w:ind w:left="1260" w:right="499" w:firstLine="351"/>
        <w:spacing w:after="0" w:line="296" w:lineRule="auto"/>
        <w:rPr>
          <w:sz w:val="20"/>
          <w:szCs w:val="20"/>
          <w:color w:val="auto"/>
        </w:rPr>
      </w:pPr>
      <w:r>
        <w:rPr>
          <w:rFonts w:ascii="Times New Roman" w:cs="Times New Roman" w:eastAsia="Times New Roman" w:hAnsi="Times New Roman"/>
          <w:sz w:val="14"/>
          <w:szCs w:val="14"/>
          <w:color w:val="auto"/>
        </w:rPr>
        <w:t xml:space="preserve">We maintain an internet 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Our website and the information contained on or connected to it shall not be deemed to be incorporated into this prospectus or the registration statement of which it forms a part.</w:t>
      </w:r>
    </w:p>
    <w:p>
      <w:pPr>
        <w:spacing w:after="0" w:line="68"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392"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195580</wp:posOffset>
            </wp:positionV>
            <wp:extent cx="5575300"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5575300" cy="1397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236220</wp:posOffset>
            </wp:positionV>
            <wp:extent cx="557530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10159"/>
          </w:cols>
          <w:pgMar w:left="300" w:top="3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6"/>
          <w:szCs w:val="26"/>
          <w:b w:val="1"/>
          <w:bCs w:val="1"/>
          <w:color w:val="auto"/>
        </w:rPr>
        <w:t>75,000,000 Shares</w:t>
      </w:r>
    </w:p>
    <w:p>
      <w:pPr>
        <w:spacing w:after="0" w:line="24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34"/>
          <w:szCs w:val="34"/>
          <w:b w:val="1"/>
          <w:bCs w:val="1"/>
          <w:color w:val="auto"/>
        </w:rPr>
        <w:t>Medline Inc.</w:t>
      </w:r>
    </w:p>
    <w:p>
      <w:pPr>
        <w:spacing w:after="0" w:line="3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858520</wp:posOffset>
            </wp:positionV>
            <wp:extent cx="117538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175385" cy="698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140970</wp:posOffset>
            </wp:positionV>
            <wp:extent cx="532765" cy="532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532765" cy="53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195580</wp:posOffset>
            </wp:positionV>
            <wp:extent cx="117538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i w:val="1"/>
          <w:iCs w:val="1"/>
          <w:color w:val="auto"/>
        </w:rPr>
        <w:t>Global Coordinators and Joint Bookrunning Managers</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265"/>
        </w:trPr>
        <w:tc>
          <w:tcPr>
            <w:tcW w:w="5780" w:type="dxa"/>
            <w:vAlign w:val="bottom"/>
            <w:gridSpan w:val="2"/>
          </w:tcPr>
          <w:p>
            <w:pPr>
              <w:jc w:val="center"/>
              <w:ind w:right="622"/>
              <w:spacing w:after="0"/>
              <w:rPr>
                <w:sz w:val="20"/>
                <w:szCs w:val="20"/>
                <w:color w:val="auto"/>
              </w:rPr>
            </w:pPr>
            <w:r>
              <w:rPr>
                <w:rFonts w:ascii="Times New Roman" w:cs="Times New Roman" w:eastAsia="Times New Roman" w:hAnsi="Times New Roman"/>
                <w:sz w:val="20"/>
                <w:szCs w:val="20"/>
                <w:b w:val="1"/>
                <w:bCs w:val="1"/>
                <w:color w:val="auto"/>
                <w:w w:val="99"/>
              </w:rPr>
              <w:t>Goldman Sachs &amp; Co. LLC</w:t>
            </w:r>
          </w:p>
        </w:tc>
        <w:tc>
          <w:tcPr>
            <w:tcW w:w="3000" w:type="dxa"/>
            <w:vAlign w:val="bottom"/>
          </w:tcPr>
          <w:p>
            <w:pPr>
              <w:jc w:val="center"/>
              <w:ind w:right="539"/>
              <w:spacing w:after="0"/>
              <w:rPr>
                <w:sz w:val="20"/>
                <w:szCs w:val="20"/>
                <w:color w:val="auto"/>
              </w:rPr>
            </w:pPr>
            <w:r>
              <w:rPr>
                <w:rFonts w:ascii="Times New Roman" w:cs="Times New Roman" w:eastAsia="Times New Roman" w:hAnsi="Times New Roman"/>
                <w:sz w:val="20"/>
                <w:szCs w:val="20"/>
                <w:b w:val="1"/>
                <w:bCs w:val="1"/>
                <w:color w:val="auto"/>
              </w:rPr>
              <w:t>Morgan Stanley</w:t>
            </w:r>
          </w:p>
        </w:tc>
      </w:tr>
      <w:tr>
        <w:trPr>
          <w:trHeight w:val="323"/>
        </w:trPr>
        <w:tc>
          <w:tcPr>
            <w:tcW w:w="3400" w:type="dxa"/>
            <w:vAlign w:val="bottom"/>
          </w:tcPr>
          <w:p>
            <w:pPr>
              <w:jc w:val="center"/>
              <w:ind w:left="1619"/>
              <w:spacing w:after="0"/>
              <w:rPr>
                <w:sz w:val="20"/>
                <w:szCs w:val="20"/>
                <w:color w:val="auto"/>
              </w:rPr>
            </w:pPr>
            <w:r>
              <w:rPr>
                <w:rFonts w:ascii="Times New Roman" w:cs="Times New Roman" w:eastAsia="Times New Roman" w:hAnsi="Times New Roman"/>
                <w:sz w:val="20"/>
                <w:szCs w:val="20"/>
                <w:b w:val="1"/>
                <w:bCs w:val="1"/>
                <w:color w:val="auto"/>
              </w:rPr>
              <w:t>BofA Securities</w:t>
            </w:r>
          </w:p>
        </w:tc>
        <w:tc>
          <w:tcPr>
            <w:tcW w:w="2380" w:type="dxa"/>
            <w:vAlign w:val="bottom"/>
          </w:tcPr>
          <w:p>
            <w:pPr>
              <w:spacing w:after="0"/>
              <w:rPr>
                <w:sz w:val="24"/>
                <w:szCs w:val="24"/>
                <w:color w:val="auto"/>
              </w:rPr>
            </w:pPr>
          </w:p>
        </w:tc>
        <w:tc>
          <w:tcPr>
            <w:tcW w:w="3000" w:type="dxa"/>
            <w:vAlign w:val="bottom"/>
          </w:tcPr>
          <w:p>
            <w:pPr>
              <w:jc w:val="center"/>
              <w:ind w:right="519"/>
              <w:spacing w:after="0"/>
              <w:rPr>
                <w:sz w:val="20"/>
                <w:szCs w:val="20"/>
                <w:color w:val="auto"/>
              </w:rPr>
            </w:pPr>
            <w:r>
              <w:rPr>
                <w:rFonts w:ascii="Times New Roman" w:cs="Times New Roman" w:eastAsia="Times New Roman" w:hAnsi="Times New Roman"/>
                <w:sz w:val="20"/>
                <w:szCs w:val="20"/>
                <w:b w:val="1"/>
                <w:bCs w:val="1"/>
                <w:color w:val="auto"/>
                <w:w w:val="97"/>
              </w:rPr>
              <w:t>J.P. Morgan</w:t>
            </w:r>
          </w:p>
        </w:tc>
      </w:tr>
      <w:tr>
        <w:trPr>
          <w:trHeight w:val="322"/>
        </w:trPr>
        <w:tc>
          <w:tcPr>
            <w:tcW w:w="3400" w:type="dxa"/>
            <w:vAlign w:val="bottom"/>
          </w:tcPr>
          <w:p>
            <w:pPr>
              <w:spacing w:after="0"/>
              <w:rPr>
                <w:sz w:val="24"/>
                <w:szCs w:val="24"/>
                <w:color w:val="auto"/>
              </w:rPr>
            </w:pPr>
          </w:p>
        </w:tc>
        <w:tc>
          <w:tcPr>
            <w:tcW w:w="2380" w:type="dxa"/>
            <w:vAlign w:val="bottom"/>
          </w:tcPr>
          <w:p>
            <w:pPr>
              <w:jc w:val="center"/>
              <w:ind w:right="342"/>
              <w:spacing w:after="0"/>
              <w:rPr>
                <w:sz w:val="20"/>
                <w:szCs w:val="20"/>
                <w:color w:val="auto"/>
              </w:rPr>
            </w:pPr>
            <w:r>
              <w:rPr>
                <w:rFonts w:ascii="Times New Roman" w:cs="Times New Roman" w:eastAsia="Times New Roman" w:hAnsi="Times New Roman"/>
                <w:sz w:val="13"/>
                <w:szCs w:val="13"/>
                <w:b w:val="1"/>
                <w:bCs w:val="1"/>
                <w:i w:val="1"/>
                <w:iCs w:val="1"/>
                <w:color w:val="auto"/>
                <w:w w:val="99"/>
              </w:rPr>
              <w:t>Joint Bookrunning Managers</w:t>
            </w:r>
          </w:p>
        </w:tc>
        <w:tc>
          <w:tcPr>
            <w:tcW w:w="3000" w:type="dxa"/>
            <w:vAlign w:val="bottom"/>
          </w:tcPr>
          <w:p>
            <w:pPr>
              <w:spacing w:after="0"/>
              <w:rPr>
                <w:sz w:val="24"/>
                <w:szCs w:val="24"/>
                <w:color w:val="auto"/>
              </w:rPr>
            </w:pPr>
          </w:p>
        </w:tc>
      </w:tr>
      <w:tr>
        <w:trPr>
          <w:trHeight w:val="444"/>
        </w:trPr>
        <w:tc>
          <w:tcPr>
            <w:tcW w:w="3400" w:type="dxa"/>
            <w:vAlign w:val="bottom"/>
          </w:tcPr>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Barclays</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7"/>
                <w:szCs w:val="17"/>
                <w:b w:val="1"/>
                <w:bCs w:val="1"/>
                <w:color w:val="auto"/>
                <w:w w:val="98"/>
              </w:rPr>
              <w:t>Citigroup</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Deutsche Bank Securities</w:t>
            </w:r>
          </w:p>
        </w:tc>
      </w:tr>
      <w:tr>
        <w:trPr>
          <w:trHeight w:val="237"/>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Jefferies</w:t>
            </w:r>
          </w:p>
        </w:tc>
        <w:tc>
          <w:tcPr>
            <w:tcW w:w="2380" w:type="dxa"/>
            <w:vAlign w:val="bottom"/>
          </w:tcPr>
          <w:p>
            <w:pPr>
              <w:spacing w:after="0"/>
              <w:rPr>
                <w:sz w:val="20"/>
                <w:szCs w:val="20"/>
                <w:color w:val="auto"/>
              </w:rPr>
            </w:pP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UBS Investment Bank</w:t>
            </w:r>
          </w:p>
        </w:tc>
      </w:tr>
      <w:tr>
        <w:trPr>
          <w:trHeight w:val="237"/>
        </w:trPr>
        <w:tc>
          <w:tcPr>
            <w:tcW w:w="3400" w:type="dxa"/>
            <w:vAlign w:val="bottom"/>
          </w:tcPr>
          <w:p>
            <w:pPr>
              <w:spacing w:after="0"/>
              <w:rPr>
                <w:sz w:val="20"/>
                <w:szCs w:val="20"/>
                <w:color w:val="auto"/>
              </w:rPr>
            </w:pP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7"/>
                <w:szCs w:val="17"/>
                <w:b w:val="1"/>
                <w:bCs w:val="1"/>
                <w:color w:val="auto"/>
              </w:rPr>
              <w:t>Evercore ISI</w:t>
            </w:r>
          </w:p>
        </w:tc>
        <w:tc>
          <w:tcPr>
            <w:tcW w:w="3000" w:type="dxa"/>
            <w:vAlign w:val="bottom"/>
          </w:tcPr>
          <w:p>
            <w:pPr>
              <w:spacing w:after="0"/>
              <w:rPr>
                <w:sz w:val="20"/>
                <w:szCs w:val="20"/>
                <w:color w:val="auto"/>
              </w:rPr>
            </w:pPr>
          </w:p>
        </w:tc>
      </w:tr>
      <w:tr>
        <w:trPr>
          <w:trHeight w:val="237"/>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BMO Capital Markets</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7"/>
                <w:szCs w:val="17"/>
                <w:b w:val="1"/>
                <w:bCs w:val="1"/>
                <w:color w:val="auto"/>
              </w:rPr>
              <w:t>BNP PARIBAS</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MUFG</w:t>
            </w:r>
          </w:p>
        </w:tc>
      </w:tr>
      <w:tr>
        <w:trPr>
          <w:trHeight w:val="237"/>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RBC Capital Markets</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7"/>
                <w:szCs w:val="17"/>
                <w:b w:val="1"/>
                <w:bCs w:val="1"/>
                <w:color w:val="auto"/>
              </w:rPr>
              <w:t>Santander</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SOCIETE GENERALE</w:t>
            </w:r>
          </w:p>
        </w:tc>
      </w:tr>
      <w:tr>
        <w:trPr>
          <w:trHeight w:val="237"/>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TD Cowen</w:t>
            </w:r>
          </w:p>
        </w:tc>
        <w:tc>
          <w:tcPr>
            <w:tcW w:w="2380" w:type="dxa"/>
            <w:vAlign w:val="bottom"/>
          </w:tcPr>
          <w:p>
            <w:pPr>
              <w:jc w:val="center"/>
              <w:ind w:right="222"/>
              <w:spacing w:after="0"/>
              <w:rPr>
                <w:sz w:val="20"/>
                <w:szCs w:val="20"/>
                <w:color w:val="auto"/>
              </w:rPr>
            </w:pPr>
            <w:r>
              <w:rPr>
                <w:rFonts w:ascii="Times New Roman" w:cs="Times New Roman" w:eastAsia="Times New Roman" w:hAnsi="Times New Roman"/>
                <w:sz w:val="17"/>
                <w:szCs w:val="17"/>
                <w:b w:val="1"/>
                <w:bCs w:val="1"/>
                <w:color w:val="auto"/>
              </w:rPr>
              <w:t>Wells Fargo Securities</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Wolfe | Nomura Alliance</w:t>
            </w:r>
          </w:p>
        </w:tc>
      </w:tr>
      <w:tr>
        <w:trPr>
          <w:trHeight w:val="237"/>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Leerink Partners</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7"/>
                <w:szCs w:val="17"/>
                <w:b w:val="1"/>
                <w:bCs w:val="1"/>
                <w:color w:val="auto"/>
              </w:rPr>
              <w:t>Macquarie Capital</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Mizuho</w:t>
            </w:r>
          </w:p>
        </w:tc>
      </w:tr>
      <w:tr>
        <w:trPr>
          <w:trHeight w:val="237"/>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Piper Sandler</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7"/>
                <w:szCs w:val="17"/>
                <w:b w:val="1"/>
                <w:bCs w:val="1"/>
                <w:color w:val="auto"/>
              </w:rPr>
              <w:t>Truist Securities</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William Blair</w:t>
            </w:r>
          </w:p>
        </w:tc>
      </w:tr>
      <w:tr>
        <w:trPr>
          <w:trHeight w:val="320"/>
        </w:trPr>
        <w:tc>
          <w:tcPr>
            <w:tcW w:w="3400" w:type="dxa"/>
            <w:vAlign w:val="bottom"/>
          </w:tcPr>
          <w:p>
            <w:pPr>
              <w:spacing w:after="0"/>
              <w:rPr>
                <w:sz w:val="24"/>
                <w:szCs w:val="24"/>
                <w:color w:val="auto"/>
              </w:rPr>
            </w:pPr>
          </w:p>
        </w:tc>
        <w:tc>
          <w:tcPr>
            <w:tcW w:w="2380" w:type="dxa"/>
            <w:vAlign w:val="bottom"/>
          </w:tcPr>
          <w:p>
            <w:pPr>
              <w:jc w:val="center"/>
              <w:ind w:right="342"/>
              <w:spacing w:after="0"/>
              <w:rPr>
                <w:sz w:val="20"/>
                <w:szCs w:val="20"/>
                <w:color w:val="auto"/>
              </w:rPr>
            </w:pPr>
            <w:r>
              <w:rPr>
                <w:rFonts w:ascii="Times New Roman" w:cs="Times New Roman" w:eastAsia="Times New Roman" w:hAnsi="Times New Roman"/>
                <w:sz w:val="13"/>
                <w:szCs w:val="13"/>
                <w:b w:val="1"/>
                <w:bCs w:val="1"/>
                <w:i w:val="1"/>
                <w:iCs w:val="1"/>
                <w:color w:val="auto"/>
                <w:w w:val="97"/>
              </w:rPr>
              <w:t>Co-Managers</w:t>
            </w:r>
          </w:p>
        </w:tc>
        <w:tc>
          <w:tcPr>
            <w:tcW w:w="3000" w:type="dxa"/>
            <w:vAlign w:val="bottom"/>
          </w:tcPr>
          <w:p>
            <w:pPr>
              <w:spacing w:after="0"/>
              <w:rPr>
                <w:sz w:val="24"/>
                <w:szCs w:val="24"/>
                <w:color w:val="auto"/>
              </w:rPr>
            </w:pPr>
          </w:p>
        </w:tc>
      </w:tr>
      <w:tr>
        <w:trPr>
          <w:trHeight w:val="354"/>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Blackstone Capital Markets</w:t>
            </w:r>
          </w:p>
        </w:tc>
        <w:tc>
          <w:tcPr>
            <w:tcW w:w="2380" w:type="dxa"/>
            <w:vAlign w:val="bottom"/>
          </w:tcPr>
          <w:p>
            <w:pPr>
              <w:spacing w:after="0"/>
              <w:rPr>
                <w:sz w:val="24"/>
                <w:szCs w:val="24"/>
                <w:color w:val="auto"/>
              </w:rPr>
            </w:pP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Carlyle</w:t>
            </w:r>
          </w:p>
        </w:tc>
      </w:tr>
      <w:tr>
        <w:trPr>
          <w:trHeight w:val="172"/>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w w:val="99"/>
              </w:rPr>
              <w:t>Baird</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Rothschild &amp; Co</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6"/>
              </w:rPr>
              <w:t>Stifel</w:t>
            </w:r>
          </w:p>
        </w:tc>
      </w:tr>
      <w:tr>
        <w:trPr>
          <w:trHeight w:val="172"/>
        </w:trPr>
        <w:tc>
          <w:tcPr>
            <w:tcW w:w="340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BTIG</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8"/>
              </w:rPr>
              <w:t>ING</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IMI - Intesa Sanpaolo</w:t>
            </w:r>
          </w:p>
        </w:tc>
      </w:tr>
      <w:tr>
        <w:trPr>
          <w:trHeight w:val="172"/>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NCMG</w:t>
            </w:r>
          </w:p>
        </w:tc>
        <w:tc>
          <w:tcPr>
            <w:tcW w:w="2380" w:type="dxa"/>
            <w:vAlign w:val="bottom"/>
          </w:tcPr>
          <w:p>
            <w:pPr>
              <w:spacing w:after="0"/>
              <w:rPr>
                <w:sz w:val="14"/>
                <w:szCs w:val="14"/>
                <w:color w:val="auto"/>
              </w:rPr>
            </w:pP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Perella Weinberg</w:t>
            </w:r>
          </w:p>
        </w:tc>
      </w:tr>
      <w:tr>
        <w:trPr>
          <w:trHeight w:val="172"/>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Academy Securities</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AmeriVet Securities</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Blaylock Van, LLC</w:t>
            </w:r>
          </w:p>
        </w:tc>
      </w:tr>
      <w:tr>
        <w:trPr>
          <w:trHeight w:val="172"/>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C.L. King &amp; Associates</w:t>
            </w:r>
          </w:p>
        </w:tc>
        <w:tc>
          <w:tcPr>
            <w:tcW w:w="23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Drexel Hamilton</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Loop Capital Markets</w:t>
            </w:r>
          </w:p>
        </w:tc>
      </w:tr>
      <w:tr>
        <w:trPr>
          <w:trHeight w:val="172"/>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Mischler Financial Group, Inc.</w:t>
            </w:r>
          </w:p>
        </w:tc>
        <w:tc>
          <w:tcPr>
            <w:tcW w:w="23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R. Seelaus &amp; Co., LLC</w:t>
            </w: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Ramirez &amp; Co., Inc.</w:t>
            </w:r>
          </w:p>
        </w:tc>
      </w:tr>
      <w:tr>
        <w:trPr>
          <w:trHeight w:val="188"/>
        </w:trPr>
        <w:tc>
          <w:tcPr>
            <w:tcW w:w="340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Siebert Williams Shank</w:t>
            </w:r>
          </w:p>
        </w:tc>
        <w:tc>
          <w:tcPr>
            <w:tcW w:w="2380" w:type="dxa"/>
            <w:vAlign w:val="bottom"/>
          </w:tcPr>
          <w:p>
            <w:pPr>
              <w:spacing w:after="0"/>
              <w:rPr>
                <w:sz w:val="16"/>
                <w:szCs w:val="16"/>
                <w:color w:val="auto"/>
              </w:rPr>
            </w:pPr>
          </w:p>
        </w:tc>
        <w:tc>
          <w:tcPr>
            <w:tcW w:w="300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Tigress Financial Partners</w:t>
            </w:r>
          </w:p>
        </w:tc>
      </w:tr>
      <w:tr>
        <w:trPr>
          <w:trHeight w:val="184"/>
        </w:trPr>
        <w:tc>
          <w:tcPr>
            <w:tcW w:w="34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r>
      <w:tr>
        <w:trPr>
          <w:trHeight w:val="68"/>
        </w:trPr>
        <w:tc>
          <w:tcPr>
            <w:tcW w:w="340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0159"/>
      </w:cols>
      <w:pgMar w:left="300" w:top="39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decimal"/>
      <w:start w:val="1"/>
    </w:lvl>
    <w:lvl w:ilvl="1">
      <w:lvlJc w:val="left"/>
      <w:lvlText w:val="•"/>
      <w:numFmt w:val="bullet"/>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lvl w:ilvl="1">
      <w:lvlJc w:val="left"/>
      <w:lvlText w:val="•"/>
      <w:numFmt w:val="bullet"/>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1)"/>
      <w:numFmt w:val="lowerRoman"/>
      <w:start w:val="5"/>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1)"/>
      <w:numFmt w:val="decimal"/>
      <w:start w:val="4"/>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1)"/>
      <w:numFmt w:val="decimal"/>
      <w:start w:val="1"/>
    </w:lvl>
    <w:lvl w:ilvl="1">
      <w:lvlJc w:val="left"/>
      <w:lvlText w:val="•"/>
      <w:numFmt w:val="bullet"/>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1."/>
      <w:numFmt w:val="decimal"/>
      <w:start w:val="2"/>
    </w:lvl>
  </w:abstractNum>
  <w:abstractNum w:abstractNumId="30">
    <w:nsid w:val="15014ACB"/>
    <w:multiLevelType w:val="hybridMultilevel"/>
    <w:lvl w:ilvl="0">
      <w:lvlJc w:val="left"/>
      <w:lvlText w:val="%1)"/>
      <w:numFmt w:val="lowerLetter"/>
      <w:start w:val="1"/>
    </w:lvl>
    <w:lvl w:ilvl="1">
      <w:lvlJc w:val="left"/>
      <w:lvlText w:val="(%2)"/>
      <w:numFmt w:val="lowerRoman"/>
      <w:start w:val="1"/>
    </w:lvl>
  </w:abstractNum>
  <w:abstractNum w:abstractNumId="31">
    <w:nsid w:val="5F5E7FD0"/>
    <w:multiLevelType w:val="hybridMultilevel"/>
    <w:lvl w:ilvl="0">
      <w:lvlJc w:val="left"/>
      <w:lvlText w:val="%1"/>
      <w:numFmt w:val="lowerLetter"/>
      <w:start w:val="1"/>
    </w:lvl>
    <w:lvl w:ilvl="1">
      <w:lvlJc w:val="left"/>
      <w:lvlText w:val="(%2)"/>
      <w:numFmt w:val="lowerRoman"/>
      <w:start w:val="3"/>
    </w:lvl>
  </w:abstractNum>
  <w:abstractNum w:abstractNumId="32">
    <w:nsid w:val="98A3148"/>
    <w:multiLevelType w:val="hybridMultilevel"/>
    <w:lvl w:ilvl="0">
      <w:lvlJc w:val="left"/>
      <w:lvlText w:val="%1)"/>
      <w:numFmt w:val="lowerLetter"/>
      <w:start w:val="3"/>
    </w:lvl>
  </w:abstractNum>
  <w:abstractNum w:abstractNumId="33">
    <w:nsid w:val="799D0247"/>
    <w:multiLevelType w:val="hybridMultilevel"/>
    <w:lvl w:ilvl="0">
      <w:lvlJc w:val="left"/>
      <w:lvlText w:val="%1)"/>
      <w:numFmt w:val="lowerLetter"/>
      <w:start w:val="4"/>
    </w:lvl>
  </w:abstractNum>
  <w:abstractNum w:abstractNumId="34">
    <w:nsid w:val="6B94764"/>
    <w:multiLevelType w:val="hybridMultilevel"/>
    <w:lvl w:ilvl="0">
      <w:lvlJc w:val="left"/>
      <w:lvlText w:val="%1."/>
      <w:numFmt w:val="decimal"/>
      <w:start w:val="3"/>
    </w:lvl>
  </w:abstractNum>
  <w:abstractNum w:abstractNumId="35">
    <w:nsid w:val="42C296BD"/>
    <w:multiLevelType w:val="hybridMultilevel"/>
    <w:lvl w:ilvl="0">
      <w:lvlJc w:val="left"/>
      <w:lvlText w:val="%1)"/>
      <w:numFmt w:val="lowerLetter"/>
      <w:start w:val="5"/>
    </w:lvl>
    <w:lvl w:ilvl="1">
      <w:lvlJc w:val="left"/>
      <w:lvlText w:val="%2."/>
      <w:numFmt w:val="lowerRoman"/>
      <w:start w:val="1"/>
    </w:lvl>
  </w:abstractNum>
  <w:abstractNum w:abstractNumId="36">
    <w:nsid w:val="168E121F"/>
    <w:multiLevelType w:val="hybridMultilevel"/>
    <w:lvl w:ilvl="0">
      <w:lvlJc w:val="left"/>
      <w:lvlText w:val="%1)"/>
      <w:numFmt w:val="lowerLetter"/>
      <w:start w:val="8"/>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1)"/>
      <w:numFmt w:val="decimal"/>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1)"/>
      <w:numFmt w:val="decimal"/>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1)"/>
      <w:numFmt w:val="lowerRoman"/>
      <w:start w:val="3"/>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 "/>
      <w:numFmt w:val="bullet"/>
      <w:start w:val="1"/>
    </w:lvl>
  </w:abstractNum>
  <w:abstractNum w:abstractNumId="57">
    <w:nsid w:val="1A27709E"/>
    <w:multiLevelType w:val="hybridMultilevel"/>
    <w:lvl w:ilvl="0">
      <w:lvlJc w:val="left"/>
      <w:lvlText w:val="(%1)"/>
      <w:numFmt w:val="decimal"/>
      <w:start w:val="3"/>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1)"/>
      <w:numFmt w:val="decimal"/>
      <w:start w:val="1"/>
    </w:lvl>
  </w:abstractNum>
  <w:abstractNum w:abstractNumId="63">
    <w:nsid w:val="94211F2"/>
    <w:multiLevelType w:val="hybridMultilevel"/>
    <w:lvl w:ilvl="0">
      <w:lvlJc w:val="left"/>
      <w:lvlText w:val="(%1)"/>
      <w:numFmt w:val="decimal"/>
      <w:start w:val="2"/>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1)"/>
      <w:numFmt w:val="lowerRoman"/>
      <w:start w:val="3"/>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1)"/>
      <w:numFmt w:val="decimal"/>
      <w:start w:val="6"/>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1)"/>
      <w:numFmt w:val="decimal"/>
      <w:start w:val="2"/>
    </w:lvl>
  </w:abstractNum>
  <w:abstractNum w:abstractNumId="75">
    <w:nsid w:val="39EE015C"/>
    <w:multiLevelType w:val="hybridMultilevel"/>
    <w:lvl w:ilvl="0">
      <w:lvlJc w:val="left"/>
      <w:lvlText w:val=" "/>
      <w:numFmt w:val="bullet"/>
      <w:start w:val="1"/>
    </w:lvl>
  </w:abstractNum>
  <w:abstractNum w:abstractNumId="76">
    <w:nsid w:val="57FC4FBB"/>
    <w:multiLevelType w:val="hybridMultilevel"/>
    <w:lvl w:ilvl="0">
      <w:lvlJc w:val="left"/>
      <w:lvlText w:val="(%1)"/>
      <w:numFmt w:val="decimal"/>
      <w:start w:val="3"/>
    </w:lvl>
  </w:abstractNum>
  <w:abstractNum w:abstractNumId="77">
    <w:nsid w:val="CC1016F"/>
    <w:multiLevelType w:val="hybridMultilevel"/>
    <w:lvl w:ilvl="0">
      <w:lvlJc w:val="left"/>
      <w:lvlText w:val=" "/>
      <w:numFmt w:val="bullet"/>
      <w:start w:val="1"/>
    </w:lvl>
  </w:abstractNum>
  <w:abstractNum w:abstractNumId="78">
    <w:nsid w:val="43F18422"/>
    <w:multiLevelType w:val="hybridMultilevel"/>
    <w:lvl w:ilvl="0">
      <w:lvlJc w:val="left"/>
      <w:lvlText w:val=" "/>
      <w:numFmt w:val="bullet"/>
      <w:start w:val="1"/>
    </w:lvl>
  </w:abstractNum>
  <w:abstractNum w:abstractNumId="79">
    <w:nsid w:val="60EF0119"/>
    <w:multiLevelType w:val="hybridMultilevel"/>
    <w:lvl w:ilvl="0">
      <w:lvlJc w:val="left"/>
      <w:lvlText w:val="(%1)"/>
      <w:numFmt w:val="decimal"/>
      <w:start w:val="5"/>
    </w:lvl>
  </w:abstractNum>
  <w:abstractNum w:abstractNumId="80">
    <w:nsid w:val="26F324BA"/>
    <w:multiLevelType w:val="hybridMultilevel"/>
    <w:lvl w:ilvl="0">
      <w:lvlJc w:val="left"/>
      <w:lvlText w:val=" "/>
      <w:numFmt w:val="bullet"/>
      <w:start w:val="1"/>
    </w:lvl>
  </w:abstractNum>
  <w:abstractNum w:abstractNumId="81">
    <w:nsid w:val="7F01579B"/>
    <w:multiLevelType w:val="hybridMultilevel"/>
    <w:lvl w:ilvl="0">
      <w:lvlJc w:val="left"/>
      <w:lvlText w:val=" "/>
      <w:numFmt w:val="bullet"/>
      <w:start w:val="1"/>
    </w:lvl>
  </w:abstractNum>
  <w:abstractNum w:abstractNumId="82">
    <w:nsid w:val="49DA307D"/>
    <w:multiLevelType w:val="hybridMultilevel"/>
    <w:lvl w:ilvl="0">
      <w:lvlJc w:val="left"/>
      <w:lvlText w:val="(%1)"/>
      <w:numFmt w:val="decimal"/>
      <w:start w:val="6"/>
    </w:lvl>
  </w:abstractNum>
  <w:abstractNum w:abstractNumId="83">
    <w:nsid w:val="7055A5F5"/>
    <w:multiLevelType w:val="hybridMultilevel"/>
    <w:lvl w:ilvl="0">
      <w:lvlJc w:val="left"/>
      <w:lvlText w:val=" "/>
      <w:numFmt w:val="bullet"/>
      <w:start w:val="1"/>
    </w:lvl>
  </w:abstractNum>
  <w:abstractNum w:abstractNumId="84">
    <w:nsid w:val="5FB8370B"/>
    <w:multiLevelType w:val="hybridMultilevel"/>
    <w:lvl w:ilvl="0">
      <w:lvlJc w:val="left"/>
      <w:lvlText w:val="(%1)"/>
      <w:numFmt w:val="decimal"/>
      <w:start w:val="7"/>
    </w:lvl>
  </w:abstractNum>
  <w:abstractNum w:abstractNumId="85">
    <w:nsid w:val="50801EE1"/>
    <w:multiLevelType w:val="hybridMultilevel"/>
    <w:lvl w:ilvl="0">
      <w:lvlJc w:val="left"/>
      <w:lvlText w:val="(%1)"/>
      <w:numFmt w:val="decimal"/>
      <w:start w:val="11"/>
    </w:lvl>
  </w:abstractNum>
  <w:abstractNum w:abstractNumId="86">
    <w:nsid w:val="488AC1A"/>
    <w:multiLevelType w:val="hybridMultilevel"/>
    <w:lvl w:ilvl="0">
      <w:lvlJc w:val="left"/>
      <w:lvlText w:val="(%1)"/>
      <w:numFmt w:val="lowerRoman"/>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1)"/>
      <w:numFmt w:val="lowerRoman"/>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1)"/>
      <w:numFmt w:val="lowerLetter"/>
      <w:start w:val="1"/>
    </w:lvl>
    <w:lvl w:ilvl="1">
      <w:lvlJc w:val="left"/>
      <w:lvlText w:val="(%2)"/>
      <w:numFmt w:val="lowerRoman"/>
      <w:start w:val="1"/>
    </w:lvl>
  </w:abstractNum>
  <w:abstractNum w:abstractNumId="98">
    <w:nsid w:val="14FCE74E"/>
    <w:multiLevelType w:val="hybridMultilevel"/>
    <w:lvl w:ilvl="0">
      <w:lvlJc w:val="left"/>
      <w:lvlText w:val="(%1)"/>
      <w:numFmt w:val="lowerRoman"/>
      <w:start w:val="13"/>
    </w:lvl>
  </w:abstractNum>
  <w:abstractNum w:abstractNumId="99">
    <w:nsid w:val="6A3DD3E8"/>
    <w:multiLevelType w:val="hybridMultilevel"/>
    <w:lvl w:ilvl="0">
      <w:lvlJc w:val="left"/>
      <w:lvlText w:val="(%1)"/>
      <w:numFmt w:val="lowerLetter"/>
      <w:start w:val="2"/>
    </w:lvl>
  </w:abstractNum>
  <w:abstractNum w:abstractNumId="100">
    <w:nsid w:val="71C91298"/>
    <w:multiLevelType w:val="hybridMultilevel"/>
    <w:lvl w:ilvl="0">
      <w:lvlJc w:val="left"/>
      <w:lvlText w:val="(%1)"/>
      <w:numFmt w:val="lowerLetter"/>
      <w:start w:val="1"/>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lowerLetter"/>
      <w:start w:val="2"/>
    </w:lvl>
  </w:abstractNum>
  <w:abstractNum w:abstractNumId="103">
    <w:nsid w:val="1FBFE8E0"/>
    <w:multiLevelType w:val="hybridMultilevel"/>
    <w:lvl w:ilvl="0">
      <w:lvlJc w:val="left"/>
      <w:lvlText w:val="(%1)"/>
      <w:numFmt w:val="lowerRoman"/>
      <w:start w:val="3"/>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lowerLetter"/>
      <w:start w:val="1"/>
    </w:lvl>
  </w:abstractNum>
  <w:abstractNum w:abstractNumId="106">
    <w:nsid w:val="59ADEA3D"/>
    <w:multiLevelType w:val="hybridMultilevel"/>
    <w:lvl w:ilvl="0">
      <w:lvlJc w:val="left"/>
      <w:lvlText w:val="(%1)"/>
      <w:numFmt w:val="lowerRoman"/>
      <w:start w:val="8"/>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14" Type="http://schemas.openxmlformats.org/officeDocument/2006/relationships/hyperlink" Target="http://www.sec.gov/ix?doc=/Archives/edgar/data/2046386/000204638626000009/mdln-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2026-03-06T15:08:57Z</dcterms:created>
  <dcterms:modified xsi:type="dcterms:W3CDTF">2026-03-06T15:08:57Z</dcterms:modified>
</cp:coreProperties>
</file>