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BCP 8 Holdings Mozart Manager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Medline Inc.</w:t>
              </w:r>
            </w:hyperlink>
            <w:r>
              <w:rPr/>
              <w:t xml:space="preserve"> [ </w:t>
            </w:r>
            <w:r>
              <w:rPr>
                <w:rFonts w:ascii="Times;serif" w:hAnsi="Times;serif"/>
                <w:color w:val="0000FF"/>
                <w:sz w:val="24"/>
                <w:shd w:fill="FFFFFF" w:val="clear"/>
              </w:rPr>
              <w:t>MDLN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16"/>
        <w:gridCol w:w="909"/>
        <w:gridCol w:w="781"/>
        <w:gridCol w:w="604"/>
        <w:gridCol w:w="335"/>
        <w:gridCol w:w="1141"/>
        <w:gridCol w:w="411"/>
        <w:gridCol w:w="576"/>
        <w:gridCol w:w="1427"/>
        <w:gridCol w:w="949"/>
        <w:gridCol w:w="115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03/04/2026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7,166,716</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7,176,901</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(2)(4)(5)(6)</w:t>
            </w:r>
            <w:r>
              <w:rPr/>
              <w:t xml:space="preserve"> </w:t>
            </w:r>
          </w:p>
        </w:tc>
      </w:tr>
      <w:tr>
        <w:trPr/>
        <w:tc>
          <w:tcPr>
            <w:tcW w:w="19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03/04/2026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1,083,082</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1,084,621</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(3)(4)(5)(6)</w:t>
            </w:r>
            <w:r>
              <w:rPr/>
              <w:t xml:space="preserve"> </w:t>
            </w:r>
          </w:p>
        </w:tc>
      </w:tr>
      <w:tr>
        <w:trPr/>
        <w:tc>
          <w:tcPr>
            <w:tcW w:w="19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03/04/2026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(10)</w:t>
            </w:r>
            <w:r>
              <w:rPr/>
              <w:t xml:space="preserve"> </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7,166,716</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1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55,704,409</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(2)(4)(5)(6)</w:t>
            </w:r>
            <w:r>
              <w:rPr/>
              <w:t xml:space="preserve"> </w:t>
            </w:r>
          </w:p>
        </w:tc>
      </w:tr>
      <w:tr>
        <w:trPr/>
        <w:tc>
          <w:tcPr>
            <w:tcW w:w="19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03/04/2026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(10)</w:t>
            </w:r>
            <w:r>
              <w:rPr/>
              <w:t xml:space="preserve"> </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1,083,082</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1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8,418,425</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(3)(4)(5)(6)</w:t>
            </w:r>
            <w:r>
              <w:rPr/>
              <w:t xml:space="preserve"> </w:t>
            </w:r>
          </w:p>
        </w:tc>
      </w:tr>
      <w:tr>
        <w:trPr/>
        <w:tc>
          <w:tcPr>
            <w:tcW w:w="19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03/05/2026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1,075,007</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8,251,908</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(2)(4)(5)(6)</w:t>
            </w:r>
            <w:r>
              <w:rPr/>
              <w:t xml:space="preserve"> </w:t>
            </w:r>
          </w:p>
        </w:tc>
      </w:tr>
      <w:tr>
        <w:trPr/>
        <w:tc>
          <w:tcPr>
            <w:tcW w:w="19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03/05/2026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162,462</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1,247,083</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(3)(4)(5)(6)</w:t>
            </w:r>
            <w:r>
              <w:rPr/>
              <w:t xml:space="preserve"> </w:t>
            </w:r>
          </w:p>
        </w:tc>
      </w:tr>
      <w:tr>
        <w:trPr/>
        <w:tc>
          <w:tcPr>
            <w:tcW w:w="19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03/05/2026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(10)</w:t>
            </w:r>
            <w:r>
              <w:rPr/>
              <w:t xml:space="preserve"> </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1,075,007</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1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54,629,402</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(2)(4)(5)(6)</w:t>
            </w:r>
            <w:r>
              <w:rPr/>
              <w:t xml:space="preserve"> </w:t>
            </w:r>
          </w:p>
        </w:tc>
      </w:tr>
      <w:tr>
        <w:trPr/>
        <w:tc>
          <w:tcPr>
            <w:tcW w:w="19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03/05/2026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(10)</w:t>
            </w:r>
            <w:r>
              <w:rPr/>
              <w:t xml:space="preserve"> </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162,462</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1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8,255,963</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(3)(4)(5)(6)</w:t>
            </w:r>
            <w:r>
              <w:rPr/>
              <w:t xml:space="preserve"> </w:t>
            </w:r>
          </w:p>
        </w:tc>
      </w:tr>
      <w:tr>
        <w:trPr/>
        <w:tc>
          <w:tcPr>
            <w:tcW w:w="19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125,729,322</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(4)(5)(6)(7)</w:t>
            </w:r>
            <w:r>
              <w:rPr/>
              <w:t xml:space="preserve"> </w:t>
            </w:r>
          </w:p>
        </w:tc>
      </w:tr>
      <w:tr>
        <w:trPr/>
        <w:tc>
          <w:tcPr>
            <w:tcW w:w="191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14,394,340</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(4)(5)(6)(8)</w:t>
            </w:r>
            <w:r>
              <w:rPr/>
              <w:t xml:space="preserve"> </w:t>
            </w:r>
          </w:p>
        </w:tc>
      </w:tr>
      <w:tr>
        <w:trPr/>
        <w:tc>
          <w:tcPr>
            <w:tcW w:w="19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2,795,018</w:t>
            </w:r>
          </w:p>
        </w:tc>
        <w:tc>
          <w:tcPr>
            <w:tcW w:w="9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(4)(5)(6)(9)</w:t>
            </w:r>
            <w:r>
              <w:rPr/>
              <w:t xml:space="preserve"> </w:t>
            </w:r>
          </w:p>
        </w:tc>
      </w:tr>
    </w:tbl>
    <w:tbl>
      <w:tblPr>
        <w:tblW w:w="13034" w:type="dxa"/>
        <w:jc w:val="left"/>
        <w:tblInd w:w="-7" w:type="dxa"/>
        <w:tblLayout w:type="fixed"/>
        <w:tblCellMar>
          <w:top w:w="60" w:type="dxa"/>
          <w:left w:w="60" w:type="dxa"/>
          <w:bottom w:w="60" w:type="dxa"/>
          <w:right w:w="60" w:type="dxa"/>
        </w:tblCellMar>
      </w:tblPr>
      <w:tblGrid>
        <w:gridCol w:w="950"/>
        <w:gridCol w:w="861"/>
        <w:gridCol w:w="891"/>
        <w:gridCol w:w="771"/>
        <w:gridCol w:w="591"/>
        <w:gridCol w:w="300"/>
        <w:gridCol w:w="276"/>
        <w:gridCol w:w="966"/>
        <w:gridCol w:w="906"/>
        <w:gridCol w:w="801"/>
        <w:gridCol w:w="891"/>
        <w:gridCol w:w="1101"/>
        <w:gridCol w:w="801"/>
        <w:gridCol w:w="1071"/>
        <w:gridCol w:w="831"/>
        <w:gridCol w:w="1026"/>
      </w:tblGrid>
      <w:tr>
        <w:trPr>
          <w:tblHeader w:val="true"/>
        </w:trPr>
        <w:tc>
          <w:tcPr>
            <w:tcW w:w="130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5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5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5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Units of Medline Holdings, LP</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7,166,716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7,166,716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55,704,409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(2)(4)(5)(6)</w:t>
            </w:r>
            <w:r>
              <w:rPr/>
              <w:t xml:space="preserve"> </w:t>
            </w:r>
          </w:p>
        </w:tc>
      </w:tr>
      <w:tr>
        <w:trPr/>
        <w:tc>
          <w:tcPr>
            <w:tcW w:w="95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Units of Medline Holdings, LP</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1,083,082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1,083,082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8,418,425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(3)(4)(5)(6)</w:t>
            </w:r>
            <w:r>
              <w:rPr/>
              <w:t xml:space="preserve"> </w:t>
            </w:r>
          </w:p>
        </w:tc>
      </w:tr>
      <w:tr>
        <w:trPr/>
        <w:tc>
          <w:tcPr>
            <w:tcW w:w="95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Units of Medline Holdings, LP</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1,075,007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1,075,007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54,629,402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(2)(4)(5)(6)</w:t>
            </w:r>
            <w:r>
              <w:rPr/>
              <w:t xml:space="preserve"> </w:t>
            </w:r>
          </w:p>
        </w:tc>
      </w:tr>
      <w:tr>
        <w:trPr/>
        <w:tc>
          <w:tcPr>
            <w:tcW w:w="95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Units of Medline Holdings, LP</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162,462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162,462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8,255,963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(3)(4)(5)(6)</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BCP 8 Holdings Mozart Manager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BMA VIII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Blackstone Holdings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Blackstone Holdings I/II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Blackstone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Blackstone Group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SCHWARZMAN STEPHEN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BLACKSTONE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345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terms of an exchange agreement, dated as of December 16, 2025, holders have the right to exchange their common units of Medline Holdings, LP ("Common Units") for shares of Medline Inc.'s (the "Issuer") Class A common stock ("Class A Common Stock") on a one-for-one basis, subject to customary conversion rate adjustments for stock splits, stock dividends and reclassifications. These exchange rights do not expire.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of the Issuer held directly by BX Mozart ML-1 Holdco L.P. BX Mozart ML-1 Holdco GP L.L.C. is the general partner of BX Mozart ML-1 Holdco L.P. BCP Mozart Aggregator L.P. is the managing member of BX Mozart ML-1 Holdco GP L.L.C. BCP 8 Holdings Mozart Manager L.L.C. is the general partner of BCP Mozart Aggregator L.P. BMA VIII L.L.C. is the managing member of BCP 8 Holdings Mozart Manager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securities of the Issuer held directly by Mozart Aggregator UNLV Holdco L.P. BCP 8 Holdings Mozart Manager L.L.C. is the general partner of Mozart Aggregator UNLV Holdco L.P. BMA VIII L.L.C. is the managing member of BCP 8 Holdings Mozart Manager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Blackstone Holdings II L.P. is the managing member of BMA VIII L.L.C. Blackstone Holdings I/II GP L.L.C. is the general partner of Blackstone Holdings II L.P. Blackstone Inc. is the sole member of Blackstone Holdings I/II GP L.L.C. The sole holder of the Series II preferred stock of Blackstone Inc. is Blackstone Group Management L.L.C. Blackstone Group Management L.L.C. is wholly-owned by Blackstone's senior managing directors and controlled by its founder, Stephen A. Schwarzman.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of the Reporting Persons (other than to the extent it directly holds securities reported herein) disclaims beneficial ownership of the securities held by the other Reporting Persons, except to the extent of such Reporting Person's pecuniary interest therein, and, pursuant to Rule 16a-1(a)(4) under the Securities Exchange Act of 1934, each of the Reporting Persons (other than to the extent it directly holds securities reported herein) states that the inclusion of these securities in this report shall not be deemed an admission of beneficial ownership of all of the reported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Information with respect to each of the Reporting Persons is given solely by such Reporting Person, and no Reporting Person has responsibility for the accuracy or completeness of information supplied by another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Reflects securities of the Issuer held directly by BX Mozart ML-2 Holdco L.P. BX Mozart ML-2 Holdco GP L.L.C. is the general partner of BX Mozart ML-2 Holdco L.P. Mozart Aggregator II L.P. is the managing member of BX Mozart ML-2 Holdco GP L.L.C. Blackstone Management Associates VIII L.P. is the general partner of Mozart Aggregator II LP. BMA VIII L.L.C. is the general partner of Blackstone Management Associates VIII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Reflects securities of the Issuer held directly by Mozart Aggregator II UNLV Holdco L.P. Mozart Aggregator II LP is the sole limited partner of Mozart Aggregator II UNLV Holdco L.P. Blackstone Management Associates VIII L.P. is the general partner of Mozart Aggregator II LP and of Mozart Aggregator II UNLV Holdco L.P. BMA VIII L.L.C. is the general partner of Blackstone Management Associates VIII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Reflects securities of the Issuer held directly by Mozart Aggregator II LP. Blackstone Management Associates VIII L.P. is the general partner of Mozart Aggregator II LP. BMA VIII L.L.C. is the general partner of Blackstone Management Associates VIII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Shares of the Issuer's Class B common stock ("Class B Common Stock") have no economic value and have one vote per share. One share of Class B Common Stock is issued for each Common Unit held. Upon the conversion of Common Units, an equivalent number of shares of Class B Common Stock were automatically cancelled.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Because no more than 10 reporting persons can file any one Form 4 through the Securities and Exchange Commission's EDGAR system, certain affiliates of the Reporting Persons have filed a separate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BCP 8 HOLDINGS MOZART MANAGER L.L.C., By: BMA VIII L.L.C., its managing member, By: /s/ Christopher Striano Name: Christopher Striano Title: Senior Managing Director and Chief Operating Officer of Global Finance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BMA VIII L.L.C., By: /s/ Christopher Striano Name: Christopher Striano Title: Senior Managing Director and Chief Operating Officer of Global Finance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BLACKSTONE HOLDINGS II L.P., By: Blackstone Holdings I/II GP L.L.C., its general partner, By: /s/ Victoria Portnoy, Name: Victoria Portnoy, Title: Managing Director - Assistant Secretary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BLACKSTONE HOLDINGS I/II GP L.L.C., By: /s/ Victoria Portnoy, Name: Victoria Portnoy, Title: Managing Director - Assistant Secretary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BLACKSTONE INC., By: /s/ Victoria Portnoy, Name: Victoria Portnoy, Title: Managing Director - Assistant Secretary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BLACKSTONE GROUP MANAGEMENT L.L.C., By: /s/ Victoria Portnoy, Name: Victoria Portnoy, Title: Managing Director - Assistant Secretary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Stephen A. Schwarzman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4484" TargetMode="External"/><Relationship Id="rId5" Type="http://schemas.openxmlformats.org/officeDocument/2006/relationships/hyperlink" Target="http://www.sec.gov/cgi-bin/browse-edgar?action=getcompany&amp;CIK=00020463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2094484" TargetMode="External"/><Relationship Id="rId9" Type="http://schemas.openxmlformats.org/officeDocument/2006/relationships/hyperlink" Target="http://www.sec.gov/cgi-bin/browse-edgar?action=getcompany&amp;CIK=0002084966" TargetMode="External"/><Relationship Id="rId10" Type="http://schemas.openxmlformats.org/officeDocument/2006/relationships/hyperlink" Target="http://www.sec.gov/cgi-bin/browse-edgar?action=getcompany&amp;CIK=0001484870" TargetMode="External"/><Relationship Id="rId11" Type="http://schemas.openxmlformats.org/officeDocument/2006/relationships/hyperlink" Target="http://www.sec.gov/cgi-bin/browse-edgar?action=getcompany&amp;CIK=0001464695" TargetMode="External"/><Relationship Id="rId12" Type="http://schemas.openxmlformats.org/officeDocument/2006/relationships/hyperlink" Target="http://www.sec.gov/cgi-bin/browse-edgar?action=getcompany&amp;CIK=0001393818" TargetMode="External"/><Relationship Id="rId13" Type="http://schemas.openxmlformats.org/officeDocument/2006/relationships/hyperlink" Target="http://www.sec.gov/cgi-bin/browse-edgar?action=getcompany&amp;CIK=0001404071" TargetMode="External"/><Relationship Id="rId14" Type="http://schemas.openxmlformats.org/officeDocument/2006/relationships/hyperlink" Target="http://www.sec.gov/cgi-bin/browse-edgar?action=getcompany&amp;CIK=0001070844"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1762</Words>
  <Characters>9587</Characters>
  <CharactersWithSpaces>11078</CharactersWithSpaces>
  <Paragraphs>343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