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TC Group Cayman 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2"/>
        <w:gridCol w:w="905"/>
        <w:gridCol w:w="778"/>
        <w:gridCol w:w="601"/>
        <w:gridCol w:w="332"/>
        <w:gridCol w:w="1284"/>
        <w:gridCol w:w="406"/>
        <w:gridCol w:w="570"/>
        <w:gridCol w:w="1418"/>
        <w:gridCol w:w="940"/>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26,105,840</w:t>
            </w:r>
            <w:r>
              <w:rPr>
                <w:rFonts w:ascii="Times;serif" w:hAnsi="Times;serif"/>
                <w:color w:val="008000"/>
                <w:position w:val="7"/>
                <w:sz w:val="16"/>
                <w:sz w:val="20"/>
                <w:shd w:fill="FFFFFF" w:val="clear"/>
              </w:rPr>
              <w:t>(1)</w:t>
            </w:r>
            <w:r>
              <w:rPr/>
              <w:t xml:space="preserve"> </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w:t>
            </w:r>
            <w:r>
              <w:rPr/>
              <w:t xml:space="preserve"> </w:t>
            </w:r>
          </w:p>
        </w:tc>
        <w:tc>
          <w:tcPr>
            <w:tcW w:w="1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127,567,724</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18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2,113,483</w:t>
            </w:r>
            <w:r>
              <w:rPr>
                <w:rFonts w:ascii="Times;serif" w:hAnsi="Times;serif"/>
                <w:color w:val="008000"/>
                <w:position w:val="7"/>
                <w:sz w:val="16"/>
                <w:sz w:val="20"/>
                <w:shd w:fill="FFFFFF" w:val="clear"/>
              </w:rPr>
              <w:t>(5)</w:t>
            </w:r>
            <w:r>
              <w:rPr/>
              <w:t xml:space="preserve"> </w:t>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125,454,241</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TC Group Cayman 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Carlyle Holdings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Carlyle Holdings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TC Group Cayman Investment Holdings Sub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TC Group VII,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TC Group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following shares of the Issuer's Class A common stock ("Class A Common Stock") sold: (i) 2,020,349 shares of Class A Common Stock held by Carlyle Mozart Coinvestment UNLV Holdco, L.P., (ii) 2,014,853 shares of Class A Common Stock held by CP Circle UNLV Holdco, L.P., (iii) 109,901 shares of Class A Common Stock held by CPEP Circle Holdings L.P., (iv) 2,311,623 shares of Class A Common Stock held by CP Circle ML-7 Holdco, L.P., (v) 319,841 shares of Class A Common Stock held by CP Circle ML-6 Holdco, L.P., (vi) 867,032 shares of Class A Common Stock held by CP Circle ML-5 Holdco, L.P., (vii) 3,493,666 shares of Class A Common Stock held by CP Circle ML-4 Holdco, L.P., (viii) 7,650,365 shares of Class A Common Stock held by CP Circle ML-3 Holdco, L.P., (ix) 35,180 shares of Class A Common Stock held by CP Circle ML-2 Holdco, L.P. and (x) 7,283,030 shares of Class A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sales reported herein, reflects (i) 16,125,094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pro-rata distribution for no consideration by Carlyle Mozart Coinvestment Holdings, L.P. to its limited partner. Pursuant to the terms of a lock-up agreement, the limited partner is bound to certain restrictions on the shares distributed,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Following the distribution reported herein, reflects (i) 14,011,611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The Carlyle Group Inc.,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CP Circle ML-1 Holdco GP, LLC, CP Circle ML-1 Holdco, L.P., CP Circle ML Holdco GP, LLC, CP Circle ML-2 Holdco, L.P., CP Circle ML-3 Holdco, L.P., CP Circle ML-4 Holdco, L.P., CP Circle ML-5 Holdco, L.P., CP Circle ML-6 Holdco, L.P. and CP Circle ML-7 Holdco, L.P. are filing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Cayman Investment Holdings, L.P., By: CG Subsidiary Holdings L.L.C., its general partner, By: /s/ Anne K.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II GP L.L.C., By: The Carlyle Group Inc., its sole member, By: /s/ Anne K. Frederick,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II L.L.C., By: /s/ Anne K.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Cayman Investment Holdings Sub L.P., By: TC Group Cayman Investment Holdings, L.P., its general partner, By: CG Subsidiary Holdings L.L.C., its general partner, By: /s/ Anne K.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L.L.C.,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L.P., By: TC Group VII, L.L.C., its general partner,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444"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75444" TargetMode="External"/><Relationship Id="rId9" Type="http://schemas.openxmlformats.org/officeDocument/2006/relationships/hyperlink" Target="http://www.sec.gov/cgi-bin/browse-edgar?action=getcompany&amp;CIK=0001548629" TargetMode="External"/><Relationship Id="rId10" Type="http://schemas.openxmlformats.org/officeDocument/2006/relationships/hyperlink" Target="http://www.sec.gov/cgi-bin/browse-edgar?action=getcompany&amp;CIK=0001548630" TargetMode="External"/><Relationship Id="rId11" Type="http://schemas.openxmlformats.org/officeDocument/2006/relationships/hyperlink" Target="http://www.sec.gov/cgi-bin/browse-edgar?action=getcompany&amp;CIK=0001548636" TargetMode="External"/><Relationship Id="rId12" Type="http://schemas.openxmlformats.org/officeDocument/2006/relationships/hyperlink" Target="http://www.sec.gov/cgi-bin/browse-edgar?action=getcompany&amp;CIK=0001791662" TargetMode="External"/><Relationship Id="rId13" Type="http://schemas.openxmlformats.org/officeDocument/2006/relationships/hyperlink" Target="http://www.sec.gov/cgi-bin/browse-edgar?action=getcompany&amp;CIK=0001791752"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1897</Words>
  <Characters>9639</Characters>
  <CharactersWithSpaces>11375</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