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32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-177800</wp:posOffset>
            </wp:positionV>
            <wp:extent cx="116205" cy="116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2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-547370</wp:posOffset>
            </wp:positionV>
            <wp:extent cx="116205" cy="116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612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41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5159375</wp:posOffset>
            </wp:positionH>
            <wp:positionV relativeFrom="paragraph">
              <wp:posOffset>-593090</wp:posOffset>
            </wp:positionV>
            <wp:extent cx="5651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3872865</wp:posOffset>
            </wp:positionH>
            <wp:positionV relativeFrom="paragraph">
              <wp:posOffset>-593090</wp:posOffset>
            </wp:positionV>
            <wp:extent cx="56515" cy="606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-1753235</wp:posOffset>
            </wp:positionH>
            <wp:positionV relativeFrom="paragraph">
              <wp:posOffset>628015</wp:posOffset>
            </wp:positionV>
            <wp:extent cx="7049770" cy="4590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770" cy="4590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8340"/>
          </w:cols>
          <w:pgMar w:left="460" w:top="21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spacing w:after="0" w:line="22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4"/>
                </w:rPr>
                <w:t>CP Circle Holdings, L.P.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spacing w:after="0" w:line="98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Medline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MDLN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Former 10% Owners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C/O THE CARLYLE GROUP INC.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 PENNSYLVANIA AVE. NW SUITE 220 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WASHINGTON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DC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20004-2505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9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9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02/11/2026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J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2,615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w w:val="90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0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7"/>
        </w:trPr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B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02/11/2026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J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15,369,974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w w:val="90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0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 of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15,369,974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15,369,974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1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1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Medline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02/11/2026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J</w:t>
            </w: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Holdings,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LP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420" w:hanging="6"/>
        <w:spacing w:after="0" w:line="269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Reflects transfers of securities by CP Circle Holdings, L.P. to an affiliated entity for no consideration. Pursuant to the terms of a lock-up agreement, the affiliated entity is bound to certain restrictions on the securities transferred, as set forth therein.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Following the transactions reported in this Form 4, CP Circle Holdings, L.P. no longer beneficially owns securities of the Issuer.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160" w:hanging="6"/>
        <w:spacing w:after="0" w:line="251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Shares of the Issuer's Class B common stock ("Class B Common Stock") have no economic value and have one vote per share. One share of Class B Common Stock is issued for each common unit of Medline Holdings, LP ("Common Units") held. Upon an exchange of Common Units for shares of the Issuer's Class A common stock ("Class A Common Stock"), an equivalent number of shares of Class B Common Stock held by such holder will be automatically cancelled.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00" w:hanging="6"/>
        <w:spacing w:after="0" w:line="269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Pursuant to the terms of an exchange agreement, dated as of December 16, 2025, holders have the right to exchange their Common Units for shares of Class A Common Stock on a one-for-one basis, subject to customary conversion rate adjustments for stock splits, stock dividends and reclassifications. These exchange rights do not expire.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CP Circle Holdings, L.P., By: TC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-6985</wp:posOffset>
            </wp:positionV>
            <wp:extent cx="134620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Group VII S1, L.P., its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-14605</wp:posOffset>
            </wp:positionV>
            <wp:extent cx="122872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partner, By: TC Group VII S1,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02/13/2026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-14605</wp:posOffset>
            </wp:positionV>
            <wp:extent cx="185420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L.L.C., its general partner, By: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-14605</wp:posOffset>
            </wp:positionV>
            <wp:extent cx="1355725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Jeremy Anderson, Vice President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-14605</wp:posOffset>
            </wp:positionV>
            <wp:extent cx="1342390" cy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4000" w:hanging="6"/>
        <w:spacing w:after="0" w:line="31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2091285" TargetMode="External"/><Relationship Id="rId14" Type="http://schemas.openxmlformats.org/officeDocument/2006/relationships/hyperlink" Target="http://www.sec.gov/cgi-bin/browse-edgar?action=getcompany&amp;CIK=00020463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2026-02-13T15:39:47Z</dcterms:created>
  <dcterms:modified xsi:type="dcterms:W3CDTF">2026-02-13T15:39:47Z</dcterms:modified>
</cp:coreProperties>
</file>