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9"/>
          <w:szCs w:val="19"/>
          <w:color w:val="auto"/>
        </w:rPr>
        <w:t>SEC Form 4</w:t>
      </w:r>
    </w:p>
    <w:p>
      <w:pPr>
        <w:spacing w:after="0" w:line="4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9" w:lineRule="exact"/>
        <w:rPr>
          <w:sz w:val="24"/>
          <w:szCs w:val="24"/>
          <w:color w:val="auto"/>
        </w:rPr>
      </w:pPr>
    </w:p>
    <w:p>
      <w:pPr>
        <w:ind w:left="34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wp:posOffset>
            </wp:positionH>
            <wp:positionV relativeFrom="paragraph">
              <wp:posOffset>-186690</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4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wp:posOffset>
            </wp:positionH>
            <wp:positionV relativeFrom="paragraph">
              <wp:posOffset>-542290</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6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1"/>
              <w:spacing w:after="0" w:line="13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-588010</wp:posOffset>
            </wp:positionV>
            <wp:extent cx="55880" cy="601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34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-588010</wp:posOffset>
            </wp:positionV>
            <wp:extent cx="55880" cy="601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34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621665</wp:posOffset>
            </wp:positionV>
            <wp:extent cx="7001510" cy="8871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8871585"/>
                    </a:xfrm>
                    <a:prstGeom prst="rect">
                      <a:avLst/>
                    </a:prstGeom>
                    <a:noFill/>
                  </pic:spPr>
                </pic:pic>
              </a:graphicData>
            </a:graphic>
          </wp:anchor>
        </w:drawing>
      </w:r>
    </w:p>
    <w:p>
      <w:pPr>
        <w:spacing w:after="0" w:line="987" w:lineRule="exact"/>
        <w:rPr>
          <w:sz w:val="24"/>
          <w:szCs w:val="24"/>
          <w:color w:val="auto"/>
        </w:rPr>
      </w:pPr>
    </w:p>
    <w:p>
      <w:pPr>
        <w:sectPr>
          <w:pgSz w:w="11900" w:h="16940" w:orient="portrait"/>
          <w:cols w:equalWidth="0" w:num="2">
            <w:col w:w="2340" w:space="440"/>
            <w:col w:w="8320"/>
          </w:cols>
          <w:pgMar w:left="440" w:top="211" w:right="359" w:bottom="0" w:gutter="0" w:footer="0" w:header="0"/>
        </w:sectPr>
      </w:pPr>
    </w:p>
    <w:tbl>
      <w:tblPr>
        <w:tblLayout w:type="fixed"/>
        <w:tblInd w:w="20" w:type="dxa"/>
        <w:tblCellMar>
          <w:top w:w="0" w:type="dxa"/>
          <w:left w:w="0" w:type="dxa"/>
          <w:bottom w:w="0" w:type="dxa"/>
          <w:right w:w="0" w:type="dxa"/>
        </w:tblCellMar>
      </w:tblPr>
      <w:tr>
        <w:trPr>
          <w:trHeight w:val="230"/>
        </w:trPr>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0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320" w:type="dxa"/>
            <w:vAlign w:val="bottom"/>
            <w:gridSpan w:val="6"/>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Carlyle Group Inc.</w:t>
              </w:r>
            </w:hyperlink>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980" w:type="dxa"/>
            <w:vAlign w:val="bottom"/>
            <w:gridSpan w:val="7"/>
          </w:tcPr>
          <w:p>
            <w:pPr>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Medline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MDLN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320" w:type="dxa"/>
            <w:vAlign w:val="bottom"/>
            <w:gridSpan w:val="6"/>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520" w:type="dxa"/>
            <w:vAlign w:val="bottom"/>
            <w:tcBorders>
              <w:bottom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20" w:type="dxa"/>
            <w:vAlign w:val="bottom"/>
            <w:gridSpan w:val="4"/>
            <w:vMerge w:val="continue"/>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20" w:type="dxa"/>
            <w:vAlign w:val="bottom"/>
            <w:gridSpan w:val="6"/>
            <w:vMerge w:val="continue"/>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restart"/>
          </w:tcPr>
          <w:p>
            <w:pPr>
              <w:ind w:left="340"/>
              <w:spacing w:after="0"/>
              <w:rPr>
                <w:sz w:val="20"/>
                <w:szCs w:val="20"/>
                <w:color w:val="auto"/>
              </w:rPr>
            </w:pPr>
            <w:r>
              <w:rPr>
                <w:rFonts w:ascii="Arial" w:cs="Arial" w:eastAsia="Arial" w:hAnsi="Arial"/>
                <w:sz w:val="12"/>
                <w:szCs w:val="12"/>
                <w:color w:val="auto"/>
              </w:rPr>
              <w:t>Director</w:t>
            </w:r>
          </w:p>
        </w:tc>
        <w:tc>
          <w:tcPr>
            <w:tcW w:w="42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80" w:type="dxa"/>
            <w:vAlign w:val="bottom"/>
            <w:gridSpan w:val="2"/>
            <w:vMerge w:val="restart"/>
          </w:tcPr>
          <w:p>
            <w:pPr>
              <w:ind w:left="340"/>
              <w:spacing w:after="0"/>
              <w:rPr>
                <w:sz w:val="20"/>
                <w:szCs w:val="20"/>
                <w:color w:val="auto"/>
              </w:rPr>
            </w:pPr>
            <w:r>
              <w:rPr>
                <w:rFonts w:ascii="Arial" w:cs="Arial" w:eastAsia="Arial" w:hAnsi="Arial"/>
                <w:sz w:val="12"/>
                <w:szCs w:val="12"/>
                <w:color w:val="auto"/>
              </w:rPr>
              <w:t>Officer (give title</w:t>
            </w:r>
          </w:p>
        </w:tc>
        <w:tc>
          <w:tcPr>
            <w:tcW w:w="42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3"/>
                <w:szCs w:val="3"/>
                <w:color w:val="auto"/>
              </w:rPr>
            </w:pPr>
          </w:p>
        </w:tc>
        <w:tc>
          <w:tcPr>
            <w:tcW w:w="1100" w:type="dxa"/>
            <w:vAlign w:val="bottom"/>
            <w:gridSpan w:val="3"/>
            <w:vMerge w:val="restart"/>
          </w:tcPr>
          <w:p>
            <w:pPr>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color w:val="auto"/>
                <w:w w:val="96"/>
              </w:rPr>
              <w:t>below)</w:t>
            </w: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color w:val="auto"/>
                <w:w w:val="96"/>
              </w:rPr>
              <w:t>below)</w:t>
            </w: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80" w:type="dxa"/>
            <w:vAlign w:val="bottom"/>
            <w:gridSpan w:val="8"/>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gridSpan w:val="8"/>
            <w:vMerge w:val="continue"/>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C/O THE CARLYLE GROUP INC.</w:t>
            </w:r>
          </w:p>
        </w:tc>
        <w:tc>
          <w:tcPr>
            <w:tcW w:w="940" w:type="dxa"/>
            <w:vAlign w:val="bottom"/>
          </w:tcPr>
          <w:p>
            <w:pPr>
              <w:spacing w:after="0"/>
              <w:rPr>
                <w:sz w:val="20"/>
                <w:szCs w:val="20"/>
                <w:color w:val="auto"/>
              </w:rPr>
            </w:pPr>
          </w:p>
        </w:tc>
        <w:tc>
          <w:tcPr>
            <w:tcW w:w="1540" w:type="dxa"/>
            <w:vAlign w:val="bottom"/>
            <w:gridSpan w:val="8"/>
          </w:tcPr>
          <w:p>
            <w:pPr>
              <w:ind w:left="540"/>
              <w:spacing w:after="0"/>
              <w:rPr>
                <w:sz w:val="20"/>
                <w:szCs w:val="20"/>
                <w:color w:val="auto"/>
              </w:rPr>
            </w:pPr>
            <w:r>
              <w:rPr>
                <w:rFonts w:ascii="Times New Roman" w:cs="Times New Roman" w:eastAsia="Times New Roman" w:hAnsi="Times New Roman"/>
                <w:sz w:val="16"/>
                <w:szCs w:val="16"/>
                <w:color w:val="0000FF"/>
              </w:rPr>
              <w:t>12/18/2025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1001 PENNSYLVANIA AVE. NW, SUITE 220 S</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3060" w:type="dxa"/>
            <w:vAlign w:val="bottom"/>
            <w:tcBorders>
              <w:bottom w:val="single" w:sz="8" w:color="2C2C2C"/>
            </w:tcBorders>
            <w:gridSpan w:val="5"/>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94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3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00" w:type="dxa"/>
            <w:vAlign w:val="bottom"/>
            <w:gridSpan w:val="10"/>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480" w:type="dxa"/>
            <w:vAlign w:val="bottom"/>
          </w:tcPr>
          <w:p>
            <w:pPr>
              <w:spacing w:after="0"/>
              <w:rPr>
                <w:sz w:val="2"/>
                <w:szCs w:val="2"/>
                <w:color w:val="auto"/>
              </w:rPr>
            </w:pPr>
          </w:p>
        </w:tc>
        <w:tc>
          <w:tcPr>
            <w:tcW w:w="3300" w:type="dxa"/>
            <w:vAlign w:val="bottom"/>
            <w:gridSpan w:val="7"/>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00" w:type="dxa"/>
            <w:vAlign w:val="bottom"/>
            <w:gridSpan w:val="10"/>
            <w:vMerge w:val="continue"/>
          </w:tcPr>
          <w:p>
            <w:pPr>
              <w:spacing w:after="0"/>
              <w:rPr>
                <w:sz w:val="12"/>
                <w:szCs w:val="12"/>
                <w:color w:val="auto"/>
              </w:rPr>
            </w:pPr>
          </w:p>
        </w:tc>
        <w:tc>
          <w:tcPr>
            <w:tcW w:w="480" w:type="dxa"/>
            <w:vAlign w:val="bottom"/>
          </w:tcPr>
          <w:p>
            <w:pPr>
              <w:spacing w:after="0"/>
              <w:rPr>
                <w:sz w:val="12"/>
                <w:szCs w:val="12"/>
                <w:color w:val="auto"/>
              </w:rPr>
            </w:pPr>
          </w:p>
        </w:tc>
        <w:tc>
          <w:tcPr>
            <w:tcW w:w="330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6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5"/>
            <w:vMerge w:val="restart"/>
          </w:tcPr>
          <w:p>
            <w:pPr>
              <w:ind w:left="36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DC</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20004-2505</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6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60" w:type="dxa"/>
            <w:vAlign w:val="bottom"/>
            <w:gridSpan w:val="5"/>
            <w:vMerge w:val="restart"/>
          </w:tcPr>
          <w:p>
            <w:pPr>
              <w:ind w:left="36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6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2"/>
                <w:szCs w:val="12"/>
                <w:color w:val="auto"/>
              </w:rPr>
              <w:t>(State)</w:t>
            </w:r>
          </w:p>
        </w:tc>
        <w:tc>
          <w:tcPr>
            <w:tcW w:w="94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0" w:type="dxa"/>
            <w:vAlign w:val="bottom"/>
            <w:gridSpan w:val="19"/>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gridSpan w:val="6"/>
          </w:tcPr>
          <w:p>
            <w:pPr>
              <w:ind w:left="7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5"/>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12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ind w:left="700"/>
              <w:spacing w:after="0" w:line="121" w:lineRule="exact"/>
              <w:rPr>
                <w:sz w:val="20"/>
                <w:szCs w:val="20"/>
                <w:color w:val="auto"/>
              </w:rPr>
            </w:pPr>
            <w:r>
              <w:rPr>
                <w:rFonts w:ascii="Arial" w:cs="Arial" w:eastAsia="Arial" w:hAnsi="Arial"/>
                <w:sz w:val="11"/>
                <w:szCs w:val="11"/>
                <w:b w:val="1"/>
                <w:bCs w:val="1"/>
                <w:color w:val="auto"/>
                <w:w w:val="92"/>
              </w:rPr>
              <w:t>Date</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4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200" w:type="dxa"/>
            <w:vAlign w:val="bottom"/>
            <w:gridSpan w:val="2"/>
          </w:tcPr>
          <w:p>
            <w:pPr>
              <w:ind w:left="440"/>
              <w:spacing w:after="0" w:line="121" w:lineRule="exact"/>
              <w:rPr>
                <w:sz w:val="20"/>
                <w:szCs w:val="20"/>
                <w:color w:val="auto"/>
              </w:rPr>
            </w:pPr>
            <w:r>
              <w:rPr>
                <w:rFonts w:ascii="Arial" w:cs="Arial" w:eastAsia="Arial" w:hAnsi="Arial"/>
                <w:sz w:val="11"/>
                <w:szCs w:val="11"/>
                <w:b w:val="1"/>
                <w:bCs w:val="1"/>
                <w:color w:val="auto"/>
              </w:rPr>
              <w:t>Form: Direct</w:t>
            </w:r>
          </w:p>
        </w:tc>
        <w:tc>
          <w:tcPr>
            <w:tcW w:w="1160" w:type="dxa"/>
            <w:vAlign w:val="bottom"/>
            <w:gridSpan w:val="2"/>
          </w:tcPr>
          <w:p>
            <w:pPr>
              <w:ind w:left="140"/>
              <w:spacing w:after="0" w:line="121"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gridSpan w:val="6"/>
          </w:tcPr>
          <w:p>
            <w:pPr>
              <w:ind w:left="700"/>
              <w:spacing w:after="0" w:line="121"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Beneficially Owned  (D) or Indirect</w:t>
            </w:r>
          </w:p>
        </w:tc>
        <w:tc>
          <w:tcPr>
            <w:tcW w:w="1160" w:type="dxa"/>
            <w:vAlign w:val="bottom"/>
            <w:gridSpan w:val="2"/>
          </w:tcPr>
          <w:p>
            <w:pPr>
              <w:ind w:left="140"/>
              <w:spacing w:after="0" w:line="121"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1200" w:type="dxa"/>
            <w:vAlign w:val="bottom"/>
            <w:gridSpan w:val="2"/>
          </w:tcPr>
          <w:p>
            <w:pPr>
              <w:ind w:left="440"/>
              <w:spacing w:after="0" w:line="121" w:lineRule="exact"/>
              <w:rPr>
                <w:sz w:val="20"/>
                <w:szCs w:val="20"/>
                <w:color w:val="auto"/>
              </w:rPr>
            </w:pPr>
            <w:r>
              <w:rPr>
                <w:rFonts w:ascii="Arial" w:cs="Arial" w:eastAsia="Arial" w:hAnsi="Arial"/>
                <w:sz w:val="11"/>
                <w:szCs w:val="11"/>
                <w:b w:val="1"/>
                <w:bCs w:val="1"/>
                <w:color w:val="auto"/>
              </w:rPr>
              <w:t>(I) (Instr. 4)</w:t>
            </w:r>
          </w:p>
        </w:tc>
        <w:tc>
          <w:tcPr>
            <w:tcW w:w="38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4)</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700" w:type="dxa"/>
            <w:vAlign w:val="bottom"/>
            <w:vMerge w:val="restart"/>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4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vMerge w:val="restart"/>
          </w:tcPr>
          <w:p>
            <w:pPr>
              <w:jc w:val="right"/>
              <w:ind w:right="111"/>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42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6"/>
            <w:vMerge w:val="restart"/>
          </w:tcPr>
          <w:p>
            <w:pPr>
              <w:ind w:left="780"/>
              <w:spacing w:after="0"/>
              <w:rPr>
                <w:sz w:val="20"/>
                <w:szCs w:val="20"/>
                <w:color w:val="auto"/>
              </w:rPr>
            </w:pPr>
            <w:r>
              <w:rPr>
                <w:rFonts w:ascii="Times New Roman" w:cs="Times New Roman" w:eastAsia="Times New Roman" w:hAnsi="Times New Roman"/>
                <w:sz w:val="16"/>
                <w:szCs w:val="16"/>
                <w:color w:val="0000FF"/>
              </w:rPr>
              <w:t>12/18/2025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2"/>
              </w:rPr>
              <w:t>6,815,617</w:t>
            </w:r>
            <w:r>
              <w:rPr>
                <w:rFonts w:ascii="Times New Roman" w:cs="Times New Roman" w:eastAsia="Times New Roman" w:hAnsi="Times New Roman"/>
                <w:sz w:val="20"/>
                <w:szCs w:val="20"/>
                <w:color w:val="008000"/>
                <w:w w:val="92"/>
                <w:vertAlign w:val="superscript"/>
              </w:rPr>
              <w:t>(1)</w:t>
            </w: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480" w:type="dxa"/>
            <w:vAlign w:val="bottom"/>
            <w:vMerge w:val="restart"/>
          </w:tcPr>
          <w:p>
            <w:pPr>
              <w:jc w:val="center"/>
              <w:ind w:left="222"/>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9"/>
                <w:szCs w:val="19"/>
                <w:color w:val="auto"/>
              </w:rPr>
            </w:pPr>
          </w:p>
        </w:tc>
        <w:tc>
          <w:tcPr>
            <w:tcW w:w="1520" w:type="dxa"/>
            <w:vAlign w:val="bottom"/>
            <w:gridSpan w:val="3"/>
            <w:vMerge w:val="restart"/>
          </w:tcPr>
          <w:p>
            <w:pPr>
              <w:jc w:val="center"/>
              <w:ind w:right="365"/>
              <w:spacing w:after="0"/>
              <w:rPr>
                <w:sz w:val="20"/>
                <w:szCs w:val="20"/>
                <w:color w:val="auto"/>
              </w:rPr>
            </w:pPr>
            <w:r>
              <w:rPr>
                <w:rFonts w:ascii="Times New Roman" w:cs="Times New Roman" w:eastAsia="Times New Roman" w:hAnsi="Times New Roman"/>
                <w:sz w:val="16"/>
                <w:szCs w:val="16"/>
                <w:color w:val="0000FF"/>
                <w:w w:val="97"/>
              </w:rPr>
              <w:t>165,061,257</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0000FF"/>
                <w:w w:val="95"/>
              </w:rPr>
              <w:t>See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420" w:type="dxa"/>
            <w:vAlign w:val="bottom"/>
            <w:gridSpan w:val="7"/>
            <w:vMerge w:val="continue"/>
          </w:tcPr>
          <w:p>
            <w:pPr>
              <w:spacing w:after="0"/>
              <w:rPr>
                <w:sz w:val="13"/>
                <w:szCs w:val="13"/>
                <w:color w:val="auto"/>
              </w:rPr>
            </w:pPr>
          </w:p>
        </w:tc>
        <w:tc>
          <w:tcPr>
            <w:tcW w:w="17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42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700" w:type="dxa"/>
            <w:vAlign w:val="bottom"/>
            <w:gridSpan w:val="6"/>
            <w:vMerge w:val="restart"/>
          </w:tcPr>
          <w:p>
            <w:pPr>
              <w:ind w:left="780"/>
              <w:spacing w:after="0"/>
              <w:rPr>
                <w:sz w:val="20"/>
                <w:szCs w:val="20"/>
                <w:color w:val="auto"/>
              </w:rPr>
            </w:pPr>
            <w:r>
              <w:rPr>
                <w:rFonts w:ascii="Times New Roman" w:cs="Times New Roman" w:eastAsia="Times New Roman" w:hAnsi="Times New Roman"/>
                <w:sz w:val="16"/>
                <w:szCs w:val="16"/>
                <w:color w:val="0000FF"/>
              </w:rPr>
              <w:t>12/18/2025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J</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2"/>
              </w:rPr>
              <w:t>6,815,617</w:t>
            </w:r>
            <w:r>
              <w:rPr>
                <w:rFonts w:ascii="Times New Roman" w:cs="Times New Roman" w:eastAsia="Times New Roman" w:hAnsi="Times New Roman"/>
                <w:sz w:val="20"/>
                <w:szCs w:val="20"/>
                <w:color w:val="008000"/>
                <w:w w:val="92"/>
                <w:vertAlign w:val="superscript"/>
              </w:rPr>
              <w:t>(5)</w:t>
            </w: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480" w:type="dxa"/>
            <w:vAlign w:val="bottom"/>
            <w:vMerge w:val="restart"/>
          </w:tcPr>
          <w:p>
            <w:pPr>
              <w:jc w:val="center"/>
              <w:ind w:left="222"/>
              <w:spacing w:after="0"/>
              <w:rPr>
                <w:sz w:val="20"/>
                <w:szCs w:val="20"/>
                <w:color w:val="auto"/>
              </w:rPr>
            </w:pPr>
            <w:r>
              <w:rPr>
                <w:rFonts w:ascii="Times New Roman" w:cs="Times New Roman" w:eastAsia="Times New Roman" w:hAnsi="Times New Roman"/>
                <w:sz w:val="10"/>
                <w:szCs w:val="10"/>
                <w:color w:val="008000"/>
              </w:rPr>
              <w:t>(5)</w:t>
            </w:r>
          </w:p>
        </w:tc>
        <w:tc>
          <w:tcPr>
            <w:tcW w:w="200" w:type="dxa"/>
            <w:vAlign w:val="bottom"/>
          </w:tcPr>
          <w:p>
            <w:pPr>
              <w:spacing w:after="0"/>
              <w:rPr>
                <w:sz w:val="19"/>
                <w:szCs w:val="19"/>
                <w:color w:val="auto"/>
              </w:rPr>
            </w:pPr>
          </w:p>
        </w:tc>
        <w:tc>
          <w:tcPr>
            <w:tcW w:w="1520" w:type="dxa"/>
            <w:vAlign w:val="bottom"/>
            <w:gridSpan w:val="3"/>
            <w:vMerge w:val="restart"/>
          </w:tcPr>
          <w:p>
            <w:pPr>
              <w:jc w:val="center"/>
              <w:ind w:right="345"/>
              <w:spacing w:after="0"/>
              <w:rPr>
                <w:sz w:val="20"/>
                <w:szCs w:val="20"/>
                <w:color w:val="auto"/>
              </w:rPr>
            </w:pPr>
            <w:r>
              <w:rPr>
                <w:rFonts w:ascii="Times New Roman" w:cs="Times New Roman" w:eastAsia="Times New Roman" w:hAnsi="Times New Roman"/>
                <w:sz w:val="16"/>
                <w:szCs w:val="16"/>
                <w:color w:val="0000FF"/>
                <w:w w:val="99"/>
              </w:rPr>
              <w:t>70,927,355</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0000FF"/>
                <w:w w:val="95"/>
              </w:rPr>
              <w:t>See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420" w:type="dxa"/>
            <w:vAlign w:val="bottom"/>
            <w:gridSpan w:val="7"/>
            <w:vMerge w:val="continue"/>
          </w:tcPr>
          <w:p>
            <w:pPr>
              <w:spacing w:after="0"/>
              <w:rPr>
                <w:sz w:val="13"/>
                <w:szCs w:val="13"/>
                <w:color w:val="auto"/>
              </w:rPr>
            </w:pPr>
          </w:p>
        </w:tc>
        <w:tc>
          <w:tcPr>
            <w:tcW w:w="17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42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6"/>
            <w:vMerge w:val="restart"/>
          </w:tcPr>
          <w:p>
            <w:pPr>
              <w:ind w:left="780"/>
              <w:spacing w:after="0"/>
              <w:rPr>
                <w:sz w:val="20"/>
                <w:szCs w:val="20"/>
                <w:color w:val="auto"/>
              </w:rPr>
            </w:pPr>
            <w:r>
              <w:rPr>
                <w:rFonts w:ascii="Times New Roman" w:cs="Times New Roman" w:eastAsia="Times New Roman" w:hAnsi="Times New Roman"/>
                <w:sz w:val="16"/>
                <w:szCs w:val="16"/>
                <w:color w:val="0000FF"/>
              </w:rPr>
              <w:t>12/18/2025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19,136,333</w:t>
            </w:r>
            <w:r>
              <w:rPr>
                <w:rFonts w:ascii="Times New Roman" w:cs="Times New Roman" w:eastAsia="Times New Roman" w:hAnsi="Times New Roman"/>
                <w:sz w:val="20"/>
                <w:szCs w:val="20"/>
                <w:color w:val="008000"/>
                <w:w w:val="93"/>
                <w:vertAlign w:val="superscript"/>
              </w:rPr>
              <w:t>(6)</w:t>
            </w: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gridSpan w:val="2"/>
            <w:vMerge w:val="restart"/>
          </w:tcPr>
          <w:p>
            <w:pPr>
              <w:jc w:val="center"/>
              <w:ind w:left="22"/>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29</w:t>
            </w:r>
          </w:p>
        </w:tc>
        <w:tc>
          <w:tcPr>
            <w:tcW w:w="1520" w:type="dxa"/>
            <w:vAlign w:val="bottom"/>
            <w:gridSpan w:val="3"/>
            <w:vMerge w:val="restart"/>
          </w:tcPr>
          <w:p>
            <w:pPr>
              <w:jc w:val="center"/>
              <w:ind w:right="365"/>
              <w:spacing w:after="0"/>
              <w:rPr>
                <w:sz w:val="20"/>
                <w:szCs w:val="20"/>
                <w:color w:val="auto"/>
              </w:rPr>
            </w:pPr>
            <w:r>
              <w:rPr>
                <w:rFonts w:ascii="Times New Roman" w:cs="Times New Roman" w:eastAsia="Times New Roman" w:hAnsi="Times New Roman"/>
                <w:sz w:val="16"/>
                <w:szCs w:val="16"/>
                <w:color w:val="0000FF"/>
                <w:w w:val="97"/>
              </w:rPr>
              <w:t>145,924,924</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0000FF"/>
                <w:w w:val="95"/>
              </w:rPr>
              <w:t>See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420" w:type="dxa"/>
            <w:vAlign w:val="bottom"/>
            <w:gridSpan w:val="7"/>
            <w:vMerge w:val="continue"/>
          </w:tcPr>
          <w:p>
            <w:pPr>
              <w:spacing w:after="0"/>
              <w:rPr>
                <w:sz w:val="13"/>
                <w:szCs w:val="13"/>
                <w:color w:val="auto"/>
              </w:rPr>
            </w:pPr>
          </w:p>
        </w:tc>
        <w:tc>
          <w:tcPr>
            <w:tcW w:w="17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42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00" w:type="dxa"/>
            <w:vAlign w:val="bottom"/>
            <w:gridSpan w:val="6"/>
            <w:vMerge w:val="restart"/>
          </w:tcPr>
          <w:p>
            <w:pPr>
              <w:ind w:left="780"/>
              <w:spacing w:after="0"/>
              <w:rPr>
                <w:sz w:val="20"/>
                <w:szCs w:val="20"/>
                <w:color w:val="auto"/>
              </w:rPr>
            </w:pPr>
            <w:r>
              <w:rPr>
                <w:rFonts w:ascii="Times New Roman" w:cs="Times New Roman" w:eastAsia="Times New Roman" w:hAnsi="Times New Roman"/>
                <w:sz w:val="16"/>
                <w:szCs w:val="16"/>
                <w:color w:val="0000FF"/>
              </w:rPr>
              <w:t>12/18/2025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J</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2"/>
              </w:rPr>
              <w:t>1,549,243</w:t>
            </w:r>
            <w:r>
              <w:rPr>
                <w:rFonts w:ascii="Times New Roman" w:cs="Times New Roman" w:eastAsia="Times New Roman" w:hAnsi="Times New Roman"/>
                <w:sz w:val="20"/>
                <w:szCs w:val="20"/>
                <w:color w:val="008000"/>
                <w:w w:val="92"/>
                <w:vertAlign w:val="superscript"/>
              </w:rPr>
              <w:t>(7)</w:t>
            </w: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480" w:type="dxa"/>
            <w:vAlign w:val="bottom"/>
            <w:vMerge w:val="restart"/>
          </w:tcPr>
          <w:p>
            <w:pPr>
              <w:jc w:val="center"/>
              <w:ind w:left="222"/>
              <w:spacing w:after="0"/>
              <w:rPr>
                <w:sz w:val="20"/>
                <w:szCs w:val="20"/>
                <w:color w:val="auto"/>
              </w:rPr>
            </w:pPr>
            <w:r>
              <w:rPr>
                <w:rFonts w:ascii="Times New Roman" w:cs="Times New Roman" w:eastAsia="Times New Roman" w:hAnsi="Times New Roman"/>
                <w:sz w:val="10"/>
                <w:szCs w:val="10"/>
                <w:color w:val="008000"/>
              </w:rPr>
              <w:t>(7)</w:t>
            </w:r>
          </w:p>
        </w:tc>
        <w:tc>
          <w:tcPr>
            <w:tcW w:w="200" w:type="dxa"/>
            <w:vAlign w:val="bottom"/>
          </w:tcPr>
          <w:p>
            <w:pPr>
              <w:spacing w:after="0"/>
              <w:rPr>
                <w:sz w:val="19"/>
                <w:szCs w:val="19"/>
                <w:color w:val="auto"/>
              </w:rPr>
            </w:pPr>
          </w:p>
        </w:tc>
        <w:tc>
          <w:tcPr>
            <w:tcW w:w="1520" w:type="dxa"/>
            <w:vAlign w:val="bottom"/>
            <w:gridSpan w:val="3"/>
            <w:vMerge w:val="restart"/>
          </w:tcPr>
          <w:p>
            <w:pPr>
              <w:jc w:val="center"/>
              <w:ind w:right="365"/>
              <w:spacing w:after="0"/>
              <w:rPr>
                <w:sz w:val="20"/>
                <w:szCs w:val="20"/>
                <w:color w:val="auto"/>
              </w:rPr>
            </w:pPr>
            <w:r>
              <w:rPr>
                <w:rFonts w:ascii="Times New Roman" w:cs="Times New Roman" w:eastAsia="Times New Roman" w:hAnsi="Times New Roman"/>
                <w:sz w:val="16"/>
                <w:szCs w:val="16"/>
                <w:color w:val="0000FF"/>
                <w:w w:val="97"/>
              </w:rPr>
              <w:t>144,375,681</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0000FF"/>
                <w:w w:val="95"/>
              </w:rPr>
              <w:t>See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420" w:type="dxa"/>
            <w:vAlign w:val="bottom"/>
            <w:gridSpan w:val="7"/>
            <w:vMerge w:val="continue"/>
          </w:tcPr>
          <w:p>
            <w:pPr>
              <w:spacing w:after="0"/>
              <w:rPr>
                <w:sz w:val="13"/>
                <w:szCs w:val="13"/>
                <w:color w:val="auto"/>
              </w:rPr>
            </w:pPr>
          </w:p>
        </w:tc>
        <w:tc>
          <w:tcPr>
            <w:tcW w:w="17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4"/>
              </w:rPr>
              <w:t>footnotes</w:t>
            </w:r>
            <w:r>
              <w:rPr>
                <w:rFonts w:ascii="Times New Roman" w:cs="Times New Roman" w:eastAsia="Times New Roman" w:hAnsi="Times New Roman"/>
                <w:sz w:val="20"/>
                <w:szCs w:val="20"/>
                <w:color w:val="008000"/>
                <w:w w:val="94"/>
                <w:vertAlign w:val="superscript"/>
              </w:rPr>
              <w:t>(3)(4)(8)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gridSpan w:val="2"/>
            <w:vMerge w:val="continue"/>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0" w:type="dxa"/>
            <w:vAlign w:val="bottom"/>
            <w:gridSpan w:val="19"/>
          </w:tcPr>
          <w:p>
            <w:pPr>
              <w:jc w:val="center"/>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20" w:type="dxa"/>
            <w:vAlign w:val="bottom"/>
            <w:gridSpan w:val="16"/>
          </w:tcPr>
          <w:p>
            <w:pPr>
              <w:jc w:val="center"/>
              <w:ind w:right="10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3"/>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5"/>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4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gridSpan w:val="3"/>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102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780" w:type="dxa"/>
            <w:vAlign w:val="bottom"/>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3"/>
          </w:tcPr>
          <w:p>
            <w:pPr>
              <w:ind w:left="12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w w:val="96"/>
              </w:rPr>
              <w:t>Form:</w:t>
            </w:r>
          </w:p>
        </w:tc>
        <w:tc>
          <w:tcPr>
            <w:tcW w:w="380" w:type="dxa"/>
            <w:vAlign w:val="bottom"/>
          </w:tcPr>
          <w:p>
            <w:pPr>
              <w:spacing w:after="0"/>
              <w:rPr>
                <w:sz w:val="10"/>
                <w:szCs w:val="10"/>
                <w:color w:val="auto"/>
              </w:rPr>
            </w:pPr>
          </w:p>
        </w:tc>
        <w:tc>
          <w:tcPr>
            <w:tcW w:w="780" w:type="dxa"/>
            <w:vAlign w:val="bottom"/>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780" w:type="dxa"/>
            <w:vAlign w:val="bottom"/>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780" w:type="dxa"/>
            <w:vAlign w:val="bottom"/>
          </w:tcPr>
          <w:p>
            <w:pPr>
              <w:spacing w:after="0" w:line="121"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7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restart"/>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gridSpan w:val="5"/>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8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color w:val="0000FF"/>
                <w:w w:val="98"/>
              </w:rPr>
              <w:t>12/18/2025</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20" w:type="dxa"/>
            <w:vAlign w:val="bottom"/>
            <w:gridSpan w:val="5"/>
            <w:vMerge w:val="restart"/>
          </w:tcPr>
          <w:p>
            <w:pPr>
              <w:ind w:left="400"/>
              <w:spacing w:after="0"/>
              <w:rPr>
                <w:sz w:val="20"/>
                <w:szCs w:val="20"/>
                <w:color w:val="auto"/>
              </w:rPr>
            </w:pPr>
            <w:r>
              <w:rPr>
                <w:rFonts w:ascii="Times New Roman" w:cs="Times New Roman" w:eastAsia="Times New Roman" w:hAnsi="Times New Roman"/>
                <w:sz w:val="12"/>
                <w:szCs w:val="12"/>
                <w:color w:val="0000FF"/>
                <w:w w:val="94"/>
              </w:rPr>
              <w:t>6,815,617</w:t>
            </w:r>
            <w:r>
              <w:rPr>
                <w:rFonts w:ascii="Times New Roman" w:cs="Times New Roman" w:eastAsia="Times New Roman" w:hAnsi="Times New Roman"/>
                <w:sz w:val="20"/>
                <w:szCs w:val="20"/>
                <w:color w:val="008000"/>
                <w:w w:val="94"/>
                <w:vertAlign w:val="superscript"/>
              </w:rPr>
              <w:t>(1)</w:t>
            </w:r>
          </w:p>
        </w:tc>
        <w:tc>
          <w:tcPr>
            <w:tcW w:w="740" w:type="dxa"/>
            <w:vAlign w:val="bottom"/>
            <w:vMerge w:val="restart"/>
          </w:tcPr>
          <w:p>
            <w:pPr>
              <w:jc w:val="center"/>
              <w:ind w:left="44"/>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w w:val="96"/>
              </w:rPr>
              <w:t>6,815,617</w:t>
            </w:r>
          </w:p>
        </w:tc>
        <w:tc>
          <w:tcPr>
            <w:tcW w:w="740" w:type="dxa"/>
            <w:vAlign w:val="bottom"/>
            <w:gridSpan w:val="2"/>
            <w:vMerge w:val="restart"/>
          </w:tcPr>
          <w:p>
            <w:pPr>
              <w:jc w:val="right"/>
              <w:ind w:right="2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70,927,355</w:t>
            </w:r>
          </w:p>
        </w:tc>
        <w:tc>
          <w:tcPr>
            <w:tcW w:w="420" w:type="dxa"/>
            <w:vAlign w:val="bottom"/>
            <w:vMerge w:val="restart"/>
          </w:tcPr>
          <w:p>
            <w:pPr>
              <w:ind w:left="380"/>
              <w:spacing w:after="0"/>
              <w:rPr>
                <w:sz w:val="20"/>
                <w:szCs w:val="20"/>
                <w:color w:val="auto"/>
              </w:rPr>
            </w:pPr>
            <w:r>
              <w:rPr>
                <w:rFonts w:ascii="Times New Roman" w:cs="Times New Roman" w:eastAsia="Times New Roman" w:hAnsi="Times New Roman"/>
                <w:sz w:val="8"/>
                <w:szCs w:val="8"/>
                <w:color w:val="0000FF"/>
                <w:w w:val="73"/>
              </w:rPr>
              <w:t>I</w:t>
            </w:r>
          </w:p>
        </w:tc>
        <w:tc>
          <w:tcPr>
            <w:tcW w:w="380" w:type="dxa"/>
            <w:vAlign w:val="bottom"/>
          </w:tcPr>
          <w:p>
            <w:pPr>
              <w:spacing w:after="0"/>
              <w:rPr>
                <w:sz w:val="16"/>
                <w:szCs w:val="16"/>
                <w:color w:val="auto"/>
              </w:rPr>
            </w:pPr>
          </w:p>
        </w:tc>
        <w:tc>
          <w:tcPr>
            <w:tcW w:w="780" w:type="dxa"/>
            <w:vAlign w:val="bottom"/>
          </w:tcPr>
          <w:p>
            <w:pPr>
              <w:spacing w:after="0" w:line="194" w:lineRule="exact"/>
              <w:rPr>
                <w:sz w:val="20"/>
                <w:szCs w:val="20"/>
                <w:color w:val="auto"/>
              </w:rPr>
            </w:pPr>
            <w:r>
              <w:rPr>
                <w:rFonts w:ascii="Times New Roman" w:cs="Times New Roman" w:eastAsia="Times New Roman" w:hAnsi="Times New Roman"/>
                <w:sz w:val="12"/>
                <w:szCs w:val="12"/>
                <w:color w:val="0000FF"/>
                <w:w w:val="94"/>
              </w:rPr>
              <w:t>See footnotes</w:t>
            </w:r>
            <w:r>
              <w:rPr>
                <w:rFonts w:ascii="Times New Roman" w:cs="Times New Roman" w:eastAsia="Times New Roman" w:hAnsi="Times New Roman"/>
                <w:sz w:val="20"/>
                <w:szCs w:val="20"/>
                <w:color w:val="008000"/>
                <w:w w:val="94"/>
                <w:vertAlign w:val="superscript"/>
              </w:rPr>
              <w:t>(3)</w:t>
            </w: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660" w:type="dxa"/>
            <w:vAlign w:val="bottom"/>
            <w:gridSpan w:val="3"/>
          </w:tcPr>
          <w:p>
            <w:pPr>
              <w:ind w:left="60"/>
              <w:spacing w:after="0" w:line="86" w:lineRule="exact"/>
              <w:rPr>
                <w:sz w:val="20"/>
                <w:szCs w:val="20"/>
                <w:color w:val="auto"/>
              </w:rPr>
            </w:pPr>
            <w:r>
              <w:rPr>
                <w:rFonts w:ascii="Times New Roman" w:cs="Times New Roman" w:eastAsia="Times New Roman" w:hAnsi="Times New Roman"/>
                <w:sz w:val="9"/>
                <w:szCs w:val="9"/>
                <w:color w:val="0000FF"/>
              </w:rPr>
              <w:t>Medline</w:t>
            </w:r>
          </w:p>
        </w:tc>
        <w:tc>
          <w:tcPr>
            <w:tcW w:w="66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1020" w:type="dxa"/>
            <w:vAlign w:val="bottom"/>
            <w:gridSpan w:val="5"/>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gridSpan w:val="2"/>
          </w:tcPr>
          <w:p>
            <w:pPr>
              <w:ind w:left="80"/>
              <w:spacing w:after="0" w:line="86" w:lineRule="exact"/>
              <w:rPr>
                <w:sz w:val="20"/>
                <w:szCs w:val="20"/>
                <w:color w:val="auto"/>
              </w:rPr>
            </w:pPr>
            <w:r>
              <w:rPr>
                <w:rFonts w:ascii="Times New Roman" w:cs="Times New Roman" w:eastAsia="Times New Roman" w:hAnsi="Times New Roman"/>
                <w:sz w:val="9"/>
                <w:szCs w:val="9"/>
                <w:color w:val="0000FF"/>
              </w:rPr>
              <w:t>Common</w:t>
            </w:r>
          </w:p>
        </w:tc>
        <w:tc>
          <w:tcPr>
            <w:tcW w:w="68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line="86" w:lineRule="exact"/>
              <w:rPr>
                <w:sz w:val="20"/>
                <w:szCs w:val="20"/>
                <w:color w:val="auto"/>
              </w:rPr>
            </w:pPr>
            <w:r>
              <w:rPr>
                <w:rFonts w:ascii="Times New Roman" w:cs="Times New Roman" w:eastAsia="Times New Roman" w:hAnsi="Times New Roman"/>
                <w:sz w:val="9"/>
                <w:szCs w:val="9"/>
                <w:color w:val="008000"/>
              </w:rPr>
              <w:t>(4)(8)</w:t>
            </w: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60" w:type="dxa"/>
            <w:vAlign w:val="bottom"/>
            <w:gridSpan w:val="3"/>
          </w:tcPr>
          <w:p>
            <w:pPr>
              <w:ind w:left="60"/>
              <w:spacing w:after="0" w:line="120" w:lineRule="exact"/>
              <w:rPr>
                <w:sz w:val="20"/>
                <w:szCs w:val="20"/>
                <w:color w:val="auto"/>
              </w:rPr>
            </w:pPr>
            <w:r>
              <w:rPr>
                <w:rFonts w:ascii="Times New Roman" w:cs="Times New Roman" w:eastAsia="Times New Roman" w:hAnsi="Times New Roman"/>
                <w:sz w:val="12"/>
                <w:szCs w:val="12"/>
                <w:color w:val="0000FF"/>
              </w:rPr>
              <w:t>Holdings,</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jc w:val="right"/>
              <w:ind w:right="111"/>
              <w:spacing w:after="0" w:line="120" w:lineRule="exact"/>
              <w:rPr>
                <w:sz w:val="20"/>
                <w:szCs w:val="20"/>
                <w:color w:val="auto"/>
              </w:rPr>
            </w:pPr>
            <w:r>
              <w:rPr>
                <w:rFonts w:ascii="Times New Roman" w:cs="Times New Roman" w:eastAsia="Times New Roman" w:hAnsi="Times New Roman"/>
                <w:sz w:val="12"/>
                <w:szCs w:val="12"/>
                <w:color w:val="0000FF"/>
                <w:w w:val="94"/>
              </w:rPr>
              <w:t>Stock</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20" w:type="dxa"/>
            <w:vAlign w:val="bottom"/>
            <w:gridSpan w:val="7"/>
          </w:tcPr>
          <w:p>
            <w:pPr>
              <w:ind w:left="60"/>
              <w:spacing w:after="0" w:line="213"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320" w:type="dxa"/>
            <w:vAlign w:val="bottom"/>
            <w:gridSpan w:val="6"/>
          </w:tcPr>
          <w:p>
            <w:pPr>
              <w:spacing w:after="0" w:line="20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Carlyle Group Inc.</w:t>
              </w:r>
            </w:hyperlink>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00" w:type="dxa"/>
            <w:vAlign w:val="bottom"/>
            <w:gridSpan w:val="3"/>
          </w:tcPr>
          <w:p>
            <w:pPr>
              <w:ind w:left="180"/>
              <w:spacing w:after="0"/>
              <w:rPr>
                <w:sz w:val="20"/>
                <w:szCs w:val="20"/>
                <w:color w:val="auto"/>
              </w:rPr>
            </w:pPr>
            <w:r>
              <w:rPr>
                <w:rFonts w:ascii="Arial" w:cs="Arial" w:eastAsia="Arial" w:hAnsi="Arial"/>
                <w:sz w:val="12"/>
                <w:szCs w:val="12"/>
                <w:color w:val="auto"/>
              </w:rPr>
              <w:t>(First)</w:t>
            </w:r>
          </w:p>
        </w:tc>
        <w:tc>
          <w:tcPr>
            <w:tcW w:w="940" w:type="dxa"/>
            <w:vAlign w:val="bottom"/>
          </w:tcPr>
          <w:p>
            <w:pPr>
              <w:ind w:left="500"/>
              <w:spacing w:after="0"/>
              <w:rPr>
                <w:sz w:val="20"/>
                <w:szCs w:val="20"/>
                <w:color w:val="auto"/>
              </w:rPr>
            </w:pPr>
            <w:r>
              <w:rPr>
                <w:rFonts w:ascii="Arial" w:cs="Arial" w:eastAsia="Arial" w:hAnsi="Arial"/>
                <w:sz w:val="12"/>
                <w:szCs w:val="12"/>
                <w:color w:val="auto"/>
                <w:w w:val="96"/>
              </w:rPr>
              <w:t>(Middle)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C/O THE CARLYLE GROUP INC.</w:t>
            </w: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1001 PENNSYLVANIA AVE. NW, SUITE 220 S</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12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0000FF"/>
              </w:rPr>
              <w:t>DC</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0000FF"/>
              </w:rPr>
              <w:t>20004-2505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gridSpan w:val="3"/>
          </w:tcPr>
          <w:p>
            <w:pPr>
              <w:ind w:left="180"/>
              <w:spacing w:after="0"/>
              <w:rPr>
                <w:sz w:val="20"/>
                <w:szCs w:val="20"/>
                <w:color w:val="auto"/>
              </w:rPr>
            </w:pPr>
            <w:r>
              <w:rPr>
                <w:rFonts w:ascii="Arial" w:cs="Arial" w:eastAsia="Arial" w:hAnsi="Arial"/>
                <w:sz w:val="12"/>
                <w:szCs w:val="12"/>
                <w:color w:val="auto"/>
              </w:rPr>
              <w:t>(State)</w:t>
            </w:r>
          </w:p>
        </w:tc>
        <w:tc>
          <w:tcPr>
            <w:tcW w:w="940" w:type="dxa"/>
            <w:vAlign w:val="bottom"/>
          </w:tcPr>
          <w:p>
            <w:pPr>
              <w:ind w:left="50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320" w:type="dxa"/>
            <w:vAlign w:val="bottom"/>
            <w:gridSpan w:val="6"/>
          </w:tcPr>
          <w:p>
            <w:pPr>
              <w:spacing w:after="0" w:line="206"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Carlyle Holdings I GP Inc.</w:t>
              </w:r>
            </w:hyperlink>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00" w:type="dxa"/>
            <w:vAlign w:val="bottom"/>
            <w:gridSpan w:val="3"/>
          </w:tcPr>
          <w:p>
            <w:pPr>
              <w:ind w:left="180"/>
              <w:spacing w:after="0"/>
              <w:rPr>
                <w:sz w:val="20"/>
                <w:szCs w:val="20"/>
                <w:color w:val="auto"/>
              </w:rPr>
            </w:pPr>
            <w:r>
              <w:rPr>
                <w:rFonts w:ascii="Arial" w:cs="Arial" w:eastAsia="Arial" w:hAnsi="Arial"/>
                <w:sz w:val="12"/>
                <w:szCs w:val="12"/>
                <w:color w:val="auto"/>
              </w:rPr>
              <w:t>(First)</w:t>
            </w:r>
          </w:p>
        </w:tc>
        <w:tc>
          <w:tcPr>
            <w:tcW w:w="940" w:type="dxa"/>
            <w:vAlign w:val="bottom"/>
          </w:tcPr>
          <w:p>
            <w:pPr>
              <w:ind w:left="500"/>
              <w:spacing w:after="0"/>
              <w:rPr>
                <w:sz w:val="20"/>
                <w:szCs w:val="20"/>
                <w:color w:val="auto"/>
              </w:rPr>
            </w:pPr>
            <w:r>
              <w:rPr>
                <w:rFonts w:ascii="Arial" w:cs="Arial" w:eastAsia="Arial" w:hAnsi="Arial"/>
                <w:sz w:val="12"/>
                <w:szCs w:val="12"/>
                <w:color w:val="auto"/>
                <w:w w:val="96"/>
              </w:rPr>
              <w:t>(Middle)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C/O THE CARLYLE GROUP INC.</w:t>
            </w: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1001 PENNSYLVANIA AVE. NW SUITE 220 S</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12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0000FF"/>
              </w:rPr>
              <w:t>DC</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0000FF"/>
              </w:rPr>
              <w:t>20004-2505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gridSpan w:val="3"/>
          </w:tcPr>
          <w:p>
            <w:pPr>
              <w:ind w:left="180"/>
              <w:spacing w:after="0"/>
              <w:rPr>
                <w:sz w:val="20"/>
                <w:szCs w:val="20"/>
                <w:color w:val="auto"/>
              </w:rPr>
            </w:pPr>
            <w:r>
              <w:rPr>
                <w:rFonts w:ascii="Arial" w:cs="Arial" w:eastAsia="Arial" w:hAnsi="Arial"/>
                <w:sz w:val="12"/>
                <w:szCs w:val="12"/>
                <w:color w:val="auto"/>
              </w:rPr>
              <w:t>(State)</w:t>
            </w:r>
          </w:p>
        </w:tc>
        <w:tc>
          <w:tcPr>
            <w:tcW w:w="940" w:type="dxa"/>
            <w:vAlign w:val="bottom"/>
          </w:tcPr>
          <w:p>
            <w:pPr>
              <w:ind w:left="50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7020560</wp:posOffset>
            </wp:positionH>
            <wp:positionV relativeFrom="paragraph">
              <wp:posOffset>-4869180</wp:posOffset>
            </wp:positionV>
            <wp:extent cx="27940" cy="1677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1677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sz w:val="1"/>
          <w:szCs w:val="1"/>
          <w:color w:val="auto"/>
        </w:rPr>
        <w:drawing>
          <wp:inline distT="0" distB="0" distL="0" distR="0">
            <wp:extent cx="33020" cy="2044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020" cy="204470"/>
                    </a:xfrm>
                    <a:prstGeom prst="rect">
                      <a:avLst/>
                    </a:prstGeom>
                    <a:noFill/>
                    <a:ln>
                      <a:noFill/>
                    </a:ln>
                  </pic:spPr>
                </pic:pic>
              </a:graphicData>
            </a:graphic>
          </wp:inline>
        </w:drawing>
      </w:r>
      <w:r>
        <w:rPr>
          <w:rFonts w:ascii="Arial" w:cs="Arial" w:eastAsia="Arial" w:hAnsi="Arial"/>
          <w:sz w:val="12"/>
          <w:szCs w:val="12"/>
          <w:color w:val="auto"/>
        </w:rPr>
        <w:t xml:space="preserve"> 1. Name and Address of Reporting Person</w:t>
      </w:r>
      <w:r>
        <w:rPr>
          <w:rFonts w:ascii="Arial" w:cs="Arial" w:eastAsia="Arial" w:hAnsi="Arial"/>
          <w:sz w:val="20"/>
          <w:szCs w:val="20"/>
          <w:color w:val="auto"/>
          <w:vertAlign w:val="superscript"/>
        </w:rPr>
        <w:t>*</w:t>
      </w:r>
    </w:p>
    <w:p>
      <w:pPr>
        <w:sectPr>
          <w:pgSz w:w="11900" w:h="16940" w:orient="portrait"/>
          <w:cols w:equalWidth="0" w:num="1">
            <w:col w:w="11100"/>
          </w:cols>
          <w:pgMar w:left="440" w:top="211" w:right="359" w:bottom="0" w:gutter="0" w:footer="0" w:header="0"/>
          <w:type w:val="continuous"/>
        </w:sectPr>
      </w:pPr>
    </w:p>
    <w:bookmarkStart w:id="1" w:name="page2"/>
    <w:bookmarkEnd w:id="1"/>
    <w:p>
      <w:pPr>
        <w:spacing w:after="0" w:line="34" w:lineRule="exact"/>
        <w:rPr>
          <w:sz w:val="20"/>
          <w:szCs w:val="20"/>
          <w:color w:val="auto"/>
        </w:rPr>
      </w:pPr>
    </w:p>
    <w:p>
      <w:pPr>
        <w:ind w:left="100"/>
        <w:spacing w:after="0"/>
        <w:rPr>
          <w:rFonts w:ascii="Times New Roman" w:cs="Times New Roman" w:eastAsia="Times New Roman" w:hAnsi="Times New Roman"/>
          <w:sz w:val="19"/>
          <w:szCs w:val="19"/>
          <w:u w:val="single" w:color="auto"/>
          <w:color w:val="0000EE"/>
        </w:rPr>
      </w:pPr>
      <w:hyperlink r:id="rId18">
        <w:r>
          <w:rPr>
            <w:rFonts w:ascii="Times New Roman" w:cs="Times New Roman" w:eastAsia="Times New Roman" w:hAnsi="Times New Roman"/>
            <w:sz w:val="19"/>
            <w:szCs w:val="19"/>
            <w:u w:val="single" w:color="auto"/>
            <w:color w:val="0000EE"/>
          </w:rPr>
          <w:t>Carlyle Holdings I GP Sub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-122555</wp:posOffset>
            </wp:positionV>
            <wp:extent cx="2814320" cy="7957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14320" cy="795718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auto"/>
              </w:rPr>
              <w:t>(Last)</w:t>
            </w:r>
          </w:p>
        </w:tc>
        <w:tc>
          <w:tcPr>
            <w:tcW w:w="132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THE CARLYLE GROUP INC.</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1001 PENNSYLVANIA AVE. NW SUITE 220 S</w:t>
            </w:r>
          </w:p>
        </w:tc>
      </w:tr>
      <w:tr>
        <w:trPr>
          <w:trHeight w:val="138"/>
        </w:trPr>
        <w:tc>
          <w:tcPr>
            <w:tcW w:w="120" w:type="dxa"/>
            <w:vAlign w:val="bottom"/>
            <w:gridSpan w:val="2"/>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4"/>
        </w:trPr>
        <w:tc>
          <w:tcPr>
            <w:tcW w:w="13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0000FF"/>
              </w:rPr>
              <w:t>DC</w:t>
            </w:r>
          </w:p>
        </w:tc>
        <w:tc>
          <w:tcPr>
            <w:tcW w:w="162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20004-2505</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1"/>
                <w:szCs w:val="11"/>
                <w:color w:val="auto"/>
              </w:rPr>
            </w:pPr>
          </w:p>
        </w:tc>
        <w:tc>
          <w:tcPr>
            <w:tcW w:w="1240" w:type="dxa"/>
            <w:vAlign w:val="bottom"/>
            <w:tcBorders>
              <w:bottom w:val="single" w:sz="8" w:color="9A9A9A"/>
            </w:tcBorders>
            <w:gridSpan w:val="2"/>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0"/>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auto"/>
              </w:rPr>
              <w:t>(City)</w:t>
            </w:r>
          </w:p>
        </w:tc>
        <w:tc>
          <w:tcPr>
            <w:tcW w:w="132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9"/>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100" w:type="dxa"/>
            <w:vAlign w:val="bottom"/>
          </w:tcPr>
          <w:p>
            <w:pPr>
              <w:spacing w:after="0"/>
              <w:rPr>
                <w:sz w:val="17"/>
                <w:szCs w:val="17"/>
                <w:color w:val="auto"/>
              </w:rPr>
            </w:pPr>
          </w:p>
        </w:tc>
        <w:tc>
          <w:tcPr>
            <w:tcW w:w="2560" w:type="dxa"/>
            <w:vAlign w:val="bottom"/>
            <w:gridSpan w:val="4"/>
          </w:tcPr>
          <w:p>
            <w:pPr>
              <w:spacing w:after="0" w:line="206"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Carlyle Holdings I L.P.</w:t>
              </w:r>
            </w:hyperlink>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auto"/>
              </w:rPr>
              <w:t>(Last)</w:t>
            </w:r>
          </w:p>
        </w:tc>
        <w:tc>
          <w:tcPr>
            <w:tcW w:w="132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bl>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THE CARLYLE GROUP INC.</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1001 PENNSYLVANIA AVE. NW SUITE 220 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DC</w:t>
            </w:r>
          </w:p>
        </w:tc>
        <w:tc>
          <w:tcPr>
            <w:tcW w:w="15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20004-2505</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0"/>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9"/>
        </w:trPr>
        <w:tc>
          <w:tcPr>
            <w:tcW w:w="27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100" w:type="dxa"/>
            <w:vAlign w:val="bottom"/>
          </w:tcPr>
          <w:p>
            <w:pPr>
              <w:spacing w:after="0"/>
              <w:rPr>
                <w:sz w:val="17"/>
                <w:szCs w:val="17"/>
                <w:color w:val="auto"/>
              </w:rPr>
            </w:pPr>
          </w:p>
        </w:tc>
        <w:tc>
          <w:tcPr>
            <w:tcW w:w="2640" w:type="dxa"/>
            <w:vAlign w:val="bottom"/>
            <w:gridSpan w:val="5"/>
          </w:tcPr>
          <w:p>
            <w:pPr>
              <w:spacing w:after="0" w:line="206" w:lineRule="exact"/>
              <w:rPr>
                <w:rFonts w:ascii="Times New Roman" w:cs="Times New Roman" w:eastAsia="Times New Roman" w:hAnsi="Times New Roman"/>
                <w:sz w:val="19"/>
                <w:szCs w:val="19"/>
                <w:color w:val="0000EE"/>
              </w:rPr>
            </w:pPr>
            <w:hyperlink r:id="rId21">
              <w:r>
                <w:rPr>
                  <w:rFonts w:ascii="Times New Roman" w:cs="Times New Roman" w:eastAsia="Times New Roman" w:hAnsi="Times New Roman"/>
                  <w:sz w:val="19"/>
                  <w:szCs w:val="19"/>
                  <w:color w:val="0000EE"/>
                </w:rPr>
                <w:t>CG Subsidiary Holdings L.L.C.</w:t>
              </w:r>
            </w:hyperlink>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26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THE CARLYLE GROUP INC.</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1001 PENNSYLVANIA AVE. NW SUITE 220 S</w:t>
            </w:r>
          </w:p>
        </w:tc>
      </w:tr>
      <w:tr>
        <w:trPr>
          <w:trHeight w:val="138"/>
        </w:trPr>
        <w:tc>
          <w:tcPr>
            <w:tcW w:w="120" w:type="dxa"/>
            <w:vAlign w:val="bottom"/>
            <w:gridSpan w:val="2"/>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4"/>
        </w:trPr>
        <w:tc>
          <w:tcPr>
            <w:tcW w:w="14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DC</w:t>
            </w:r>
          </w:p>
        </w:tc>
        <w:tc>
          <w:tcPr>
            <w:tcW w:w="15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20004-2505</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1"/>
                <w:szCs w:val="11"/>
                <w:color w:val="auto"/>
              </w:rPr>
            </w:pPr>
          </w:p>
        </w:tc>
        <w:tc>
          <w:tcPr>
            <w:tcW w:w="1260" w:type="dxa"/>
            <w:vAlign w:val="bottom"/>
            <w:tcBorders>
              <w:bottom w:val="single" w:sz="8" w:color="9A9A9A"/>
            </w:tcBorders>
            <w:gridSpan w:val="2"/>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0"/>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(Zip)</w:t>
            </w:r>
          </w:p>
        </w:tc>
      </w:tr>
      <w:tr>
        <w:trPr>
          <w:trHeight w:val="75"/>
        </w:trPr>
        <w:tc>
          <w:tcPr>
            <w:tcW w:w="1360" w:type="dxa"/>
            <w:vAlign w:val="bottom"/>
            <w:tcBorders>
              <w:bottom w:val="single" w:sz="8" w:color="2C2C2C"/>
            </w:tcBorders>
            <w:gridSpan w:val="3"/>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9"/>
        </w:trPr>
        <w:tc>
          <w:tcPr>
            <w:tcW w:w="27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100" w:type="dxa"/>
            <w:vAlign w:val="bottom"/>
          </w:tcPr>
          <w:p>
            <w:pPr>
              <w:spacing w:after="0"/>
              <w:rPr>
                <w:sz w:val="17"/>
                <w:szCs w:val="17"/>
                <w:color w:val="auto"/>
              </w:rPr>
            </w:pPr>
          </w:p>
        </w:tc>
        <w:tc>
          <w:tcPr>
            <w:tcW w:w="1340" w:type="dxa"/>
            <w:vAlign w:val="bottom"/>
            <w:gridSpan w:val="3"/>
          </w:tcPr>
          <w:p>
            <w:pPr>
              <w:spacing w:after="0" w:line="206" w:lineRule="exact"/>
              <w:rPr>
                <w:rFonts w:ascii="Times New Roman" w:cs="Times New Roman" w:eastAsia="Times New Roman" w:hAnsi="Times New Roman"/>
                <w:sz w:val="19"/>
                <w:szCs w:val="19"/>
                <w:color w:val="0000EE"/>
              </w:rPr>
            </w:pPr>
            <w:hyperlink r:id="rId22">
              <w:r>
                <w:rPr>
                  <w:rFonts w:ascii="Times New Roman" w:cs="Times New Roman" w:eastAsia="Times New Roman" w:hAnsi="Times New Roman"/>
                  <w:sz w:val="19"/>
                  <w:szCs w:val="19"/>
                  <w:color w:val="0000EE"/>
                </w:rPr>
                <w:t>TC Group, LLC</w:t>
              </w:r>
            </w:hyperlink>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(Middle)</w:t>
            </w:r>
          </w:p>
        </w:tc>
      </w:tr>
    </w:tbl>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THE CARLYLE GROUP INC.</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1001 PENNSYLVANIA AVE. NW SUITE 220 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0000FF"/>
              </w:rPr>
              <w:t>DC</w:t>
            </w:r>
          </w:p>
        </w:tc>
        <w:tc>
          <w:tcPr>
            <w:tcW w:w="162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20004-2505</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0"/>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9"/>
        </w:trPr>
        <w:tc>
          <w:tcPr>
            <w:tcW w:w="26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100" w:type="dxa"/>
            <w:vAlign w:val="bottom"/>
          </w:tcPr>
          <w:p>
            <w:pPr>
              <w:spacing w:after="0"/>
              <w:rPr>
                <w:sz w:val="17"/>
                <w:szCs w:val="17"/>
                <w:color w:val="auto"/>
              </w:rPr>
            </w:pPr>
          </w:p>
        </w:tc>
        <w:tc>
          <w:tcPr>
            <w:tcW w:w="2560" w:type="dxa"/>
            <w:vAlign w:val="bottom"/>
            <w:gridSpan w:val="3"/>
          </w:tcPr>
          <w:p>
            <w:pPr>
              <w:spacing w:after="0" w:line="206" w:lineRule="exact"/>
              <w:rPr>
                <w:rFonts w:ascii="Times New Roman" w:cs="Times New Roman" w:eastAsia="Times New Roman" w:hAnsi="Times New Roman"/>
                <w:sz w:val="19"/>
                <w:szCs w:val="19"/>
                <w:color w:val="0000EE"/>
              </w:rPr>
            </w:pPr>
            <w:hyperlink r:id="rId23">
              <w:r>
                <w:rPr>
                  <w:rFonts w:ascii="Times New Roman" w:cs="Times New Roman" w:eastAsia="Times New Roman" w:hAnsi="Times New Roman"/>
                  <w:sz w:val="19"/>
                  <w:szCs w:val="19"/>
                  <w:color w:val="0000EE"/>
                </w:rPr>
                <w:t>TC Group Sub L.P.</w:t>
              </w:r>
            </w:hyperlink>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100" w:type="dxa"/>
            <w:vAlign w:val="bottom"/>
          </w:tcPr>
          <w:p>
            <w:pPr>
              <w:spacing w:after="0"/>
              <w:rPr>
                <w:sz w:val="13"/>
                <w:szCs w:val="13"/>
                <w:color w:val="auto"/>
              </w:rPr>
            </w:pPr>
          </w:p>
        </w:tc>
        <w:tc>
          <w:tcPr>
            <w:tcW w:w="124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bl>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THE CARLYLE GROUP INC.</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1001 PENNSYLVANIA AVE. NW SUITE 220 S</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12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WASHINGTON,</w:t>
            </w:r>
          </w:p>
        </w:tc>
        <w:tc>
          <w:tcPr>
            <w:tcW w:w="10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DC</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20004-2505</w:t>
            </w:r>
          </w:p>
        </w:tc>
      </w:tr>
      <w:tr>
        <w:trPr>
          <w:trHeight w:val="138"/>
        </w:trPr>
        <w:tc>
          <w:tcPr>
            <w:tcW w:w="4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880" w:type="dxa"/>
            <w:vAlign w:val="bottom"/>
            <w:tcBorders>
              <w:bottom w:val="single" w:sz="8" w:color="9A9A9A"/>
            </w:tcBorders>
          </w:tcPr>
          <w:p>
            <w:pPr>
              <w:spacing w:after="0"/>
              <w:rPr>
                <w:sz w:val="11"/>
                <w:szCs w:val="11"/>
                <w:color w:val="auto"/>
              </w:rPr>
            </w:pPr>
          </w:p>
        </w:tc>
      </w:tr>
      <w:tr>
        <w:trPr>
          <w:trHeight w:val="280"/>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060" w:type="dxa"/>
            <w:vAlign w:val="bottom"/>
          </w:tcPr>
          <w:p>
            <w:pPr>
              <w:ind w:left="16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1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exchange of common units of Medline Holdings, LP ("Common Units") to an equivalent number of shares of the Issuer's Class A common stock ("Class A Common Stock") held by CP Circle Holdings, L.P.</w:t>
      </w:r>
    </w:p>
    <w:p>
      <w:pPr>
        <w:spacing w:after="0" w:line="43" w:lineRule="exact"/>
        <w:rPr>
          <w:rFonts w:ascii="Times New Roman" w:cs="Times New Roman" w:eastAsia="Times New Roman" w:hAnsi="Times New Roman"/>
          <w:sz w:val="12"/>
          <w:szCs w:val="12"/>
          <w:color w:val="008000"/>
        </w:rPr>
      </w:pPr>
    </w:p>
    <w:p>
      <w:pPr>
        <w:ind w:left="40" w:right="14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9" w:lineRule="exact"/>
        <w:rPr>
          <w:rFonts w:ascii="Times New Roman" w:cs="Times New Roman" w:eastAsia="Times New Roman" w:hAnsi="Times New Roman"/>
          <w:sz w:val="12"/>
          <w:szCs w:val="12"/>
          <w:color w:val="008000"/>
        </w:rPr>
      </w:pPr>
    </w:p>
    <w:p>
      <w:pPr>
        <w:ind w:left="40" w:right="20" w:hanging="7"/>
        <w:spacing w:after="0" w:line="242"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CP VII Circle Holdings, L.P., CP VII Circle Holdings - A, L.P. and CP Circle Holdings, L.P. and the Delaware general partner of CP VII Circle AIF Holdings, S.C.Sp.</w:t>
      </w:r>
    </w:p>
    <w:p>
      <w:pPr>
        <w:spacing w:after="0" w:line="24" w:lineRule="exact"/>
        <w:rPr>
          <w:rFonts w:ascii="Times New Roman" w:cs="Times New Roman" w:eastAsia="Times New Roman" w:hAnsi="Times New Roman"/>
          <w:sz w:val="12"/>
          <w:szCs w:val="12"/>
          <w:color w:val="008000"/>
        </w:rPr>
      </w:pPr>
    </w:p>
    <w:p>
      <w:pPr>
        <w:ind w:left="40" w:right="160" w:hanging="7"/>
        <w:spacing w:after="0" w:line="242"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CG Subsidiary Holdings L.L.C. is also the sole member of TC Group VIII, L.L.C., which is the general partner of TC Group VIII, L.P., which is the Delaware general partner of CP VIII Circle AIF Holdings, S.C.Sp. and the general partner of CP VIII Circle Holdings, L.P. TC Group Sub L.P. is also the general partner of TC Group VII Lux GP, S.a r.l., which is the Luxembourg general partner of CP VII Circle AIF Holdings, S.C.Sp. CG Subsidiary Holdings L.L.C. is also the sole shareholder of TC Group VIII Lux GP, S.a r.l., which is the Luxembourg general partner of CP VIII Circle AIF Holdings, S.C.Sp., and the managing member of CPEP GP, LLC, which is the general partner of CPEP Circle Holdings L.P.</w:t>
      </w:r>
    </w:p>
    <w:p>
      <w:pPr>
        <w:spacing w:after="0" w:line="24" w:lineRule="exact"/>
        <w:rPr>
          <w:rFonts w:ascii="Times New Roman" w:cs="Times New Roman" w:eastAsia="Times New Roman" w:hAnsi="Times New Roman"/>
          <w:sz w:val="12"/>
          <w:szCs w:val="12"/>
          <w:color w:val="008000"/>
        </w:rPr>
      </w:pPr>
    </w:p>
    <w:p>
      <w:pPr>
        <w:jc w:val="both"/>
        <w:ind w:left="40" w:hanging="7"/>
        <w:spacing w:after="0" w:line="248"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cancellation of shares of the Issuer's Class B common stock ("Class B Common Stock") held by CP Circle Holdings, L.P. as a result of an exchange of an equivalent number of Common Units to shares of Class A Common Stock. Shares of Class B Common Stock have no economic value and have one vote per share. One share of Class B Common Stock is issued for each Common Unit held. Upon an exchange of Common Units for shares of Class A Common Stock, an equivalent number of shares of Class B Common Stock held by such holder will be automatically cancelled.</w:t>
      </w:r>
    </w:p>
    <w:p>
      <w:pPr>
        <w:spacing w:after="0" w:line="19" w:lineRule="exact"/>
        <w:rPr>
          <w:rFonts w:ascii="Times New Roman" w:cs="Times New Roman" w:eastAsia="Times New Roman" w:hAnsi="Times New Roman"/>
          <w:sz w:val="12"/>
          <w:szCs w:val="12"/>
          <w:color w:val="008000"/>
        </w:rPr>
      </w:pPr>
    </w:p>
    <w:p>
      <w:pPr>
        <w:ind w:left="40" w:right="140" w:hanging="7"/>
        <w:spacing w:after="0" w:line="248"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following shares of Class A Common Stock sold: (i) 3,175,460 shares by Carlyle Mozart Coinvestment Holdings, L.P., (ii) 234,453 shares by CP VII Circle AIF Holdings, S.C.Sp., (iii) 5,607,937 shares by CP VII Circle Holdings, L.P., (iv) 25,788 shares of Class A Common Stock held by CP VII Circle Holdings - A, L.P., (v) 635,559 shares by CP VIII Circle AIF Holdings, S.C.Sp., (vi) 2,560,958 shares by CP VIII Circle Holdings, L.P., (vii) 80,561 shares by CPEP Circle Holdings L.P. and (viii) 6,815,617 shares by CP Circle Holdings, L.P.</w:t>
      </w:r>
    </w:p>
    <w:p>
      <w:pPr>
        <w:spacing w:after="0" w:line="19" w:lineRule="exact"/>
        <w:rPr>
          <w:rFonts w:ascii="Times New Roman" w:cs="Times New Roman" w:eastAsia="Times New Roman" w:hAnsi="Times New Roman"/>
          <w:sz w:val="12"/>
          <w:szCs w:val="12"/>
          <w:color w:val="008000"/>
        </w:rPr>
      </w:pPr>
    </w:p>
    <w:p>
      <w:pPr>
        <w:ind w:left="40" w:right="12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pro-rata distribution for no consideration by Carlyle Mozart Coinvestment Holdings, L.P. to its limited partner. Pursuant to the terms of a lock-up agreement, the limited partner is bound to certain restrictions on the shares distributed, as set forth therein.</w:t>
      </w:r>
    </w:p>
    <w:p>
      <w:pPr>
        <w:spacing w:after="0" w:line="9" w:lineRule="exact"/>
        <w:rPr>
          <w:rFonts w:ascii="Times New Roman" w:cs="Times New Roman" w:eastAsia="Times New Roman" w:hAnsi="Times New Roman"/>
          <w:sz w:val="12"/>
          <w:szCs w:val="12"/>
          <w:color w:val="008000"/>
        </w:rPr>
      </w:pPr>
    </w:p>
    <w:p>
      <w:pPr>
        <w:ind w:left="40" w:right="140" w:hanging="7"/>
        <w:spacing w:after="0" w:line="242"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in this Form 4, includes (i) 49,176,441 shares of Class A Common Stock held by Carlyle Mozart Coinvestment Holdings, L.P., (ii) 2,440,275 shares of Class A Common Stock held by CP VII Circle AIF Holdings, S.C.Sp., (iii) 58,369,466 shares of Class A Common Stock held by CP VII Circle Holdings, L.P., (iv) 268,411 shares of Class A Common Stock held by CP VII Circle Holdings - A, L.P., (v) 6,615,133 shares of Class A Common Stock held by CP VIII Circle AIF Holdings, S.C.Sp., (vi) 26,655,381 shares of Class A Common Stock held by CP VIII Circle Holdings, L.P., (vii) 838,505 shares of Class A Common Stock held by CPEP Circle Holdings L.P. and (viii) 12,069 shares of Class A Common Stock and 70,927,355 Common Units and shares of Class B Common Stock held by CP Circle Holdings, L.P.</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72" w:orient="portrait"/>
          <w:cols w:equalWidth="0" w:num="1">
            <w:col w:w="10940"/>
          </w:cols>
          <w:pgMar w:left="460" w:top="115" w:right="499" w:bottom="0" w:gutter="0" w:footer="0" w:header="0"/>
        </w:sectPr>
      </w:pP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Due to the limitations of the electronic filing system, TC Group VII S1, L.L.C., TC Group VII S1, L.P., TC Group VIII, L.L.C., TC Group VIII, L.P., TC Group VII Lux GP, S.a r.l., TC Group VIII Lux GP, S.a r.l., CPEP GP,</w:t>
      </w:r>
    </w:p>
    <w:p>
      <w:pPr>
        <w:sectPr>
          <w:pgSz w:w="11900" w:h="16872" w:orient="portrait"/>
          <w:cols w:equalWidth="0" w:num="1">
            <w:col w:w="10940"/>
          </w:cols>
          <w:pgMar w:left="460" w:top="115" w:right="499" w:bottom="0" w:gutter="0" w:footer="0" w:header="0"/>
          <w:type w:val="continuous"/>
        </w:sectPr>
      </w:pPr>
    </w:p>
    <w:bookmarkStart w:id="2" w:name="page3"/>
    <w:bookmarkEnd w:id="2"/>
    <w:p>
      <w:pPr>
        <w:ind w:left="7"/>
        <w:spacing w:after="0" w:line="265" w:lineRule="auto"/>
        <w:rPr>
          <w:sz w:val="20"/>
          <w:szCs w:val="20"/>
          <w:color w:val="auto"/>
        </w:rPr>
      </w:pPr>
      <w:r>
        <w:rPr>
          <w:rFonts w:ascii="Times New Roman" w:cs="Times New Roman" w:eastAsia="Times New Roman" w:hAnsi="Times New Roman"/>
          <w:sz w:val="12"/>
          <w:szCs w:val="12"/>
          <w:color w:val="008000"/>
        </w:rPr>
        <w:t>LLC, Carlyle Mozart Coinvestment Holdings, L.P., CP VII Circle AIF Holdings, S.C.Sp., CP VII Circle Holdings, L.P., CP VII Circle Holdings - A, L.P., CP VIII Circle AIF Holdings, S.C.Sp., CP VIII Circle Holdings, L.P., CPEP Circle Holdings L.P. and CP Circle Holdings, L.P. are filing a separate Form 4.</w:t>
      </w:r>
    </w:p>
    <w:p>
      <w:pPr>
        <w:sectPr>
          <w:pgSz w:w="11900" w:h="16838" w:orient="portrait"/>
          <w:cols w:equalWidth="0" w:num="1">
            <w:col w:w="10827"/>
          </w:cols>
          <w:pgMar w:left="493" w:top="127" w:right="579" w:bottom="1440" w:gutter="0" w:footer="0" w:header="0"/>
        </w:sectPr>
      </w:pPr>
    </w:p>
    <w:p>
      <w:pPr>
        <w:spacing w:after="0" w:line="34"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The Carlyle Group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452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Anne Frederick,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0731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07315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3771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77190"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Carlyle Holdings I GP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674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6746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/s/ 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19824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9824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3327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32740"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Carlyle Holdings I GP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0763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76325"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L.L.C., By: Carlyle Holdings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2261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2618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GP Inc., its sole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2973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9730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07886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07886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3327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32740"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Carlyle Holdings I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376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37615"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07886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07886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3327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2740"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CG Subsidiary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954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By: /s/ 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13677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367790" cy="7620"/>
                    </a:xfrm>
                    <a:prstGeom prst="rect">
                      <a:avLst/>
                    </a:prstGeom>
                    <a:noFill/>
                  </pic:spPr>
                </pic:pic>
              </a:graphicData>
            </a:graphic>
          </wp:anchor>
        </w:drawing>
      </w:r>
    </w:p>
    <w:p>
      <w:pPr>
        <w:spacing w:after="0" w:line="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3327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2740"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TC Group, L.L.C.,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7635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7635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11950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5070"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TC Group Sub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11569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15695"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Group,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13608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60805" cy="7620"/>
                    </a:xfrm>
                    <a:prstGeom prst="rect">
                      <a:avLst/>
                    </a:prstGeom>
                    <a:noFill/>
                  </pic:spPr>
                </pic:pic>
              </a:graphicData>
            </a:graphic>
          </wp:anchor>
        </w:drawing>
      </w:r>
    </w:p>
    <w:p>
      <w:pPr>
        <w:spacing w:after="0" w:line="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By: /s/ Anne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13677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67790" cy="7620"/>
                    </a:xfrm>
                    <a:prstGeom prst="rect">
                      <a:avLst/>
                    </a:prstGeom>
                    <a:noFill/>
                  </pic:spPr>
                </pic:pic>
              </a:graphicData>
            </a:graphic>
          </wp:anchor>
        </w:drawing>
      </w:r>
    </w:p>
    <w:p>
      <w:pPr>
        <w:spacing w:after="0" w:line="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-15875</wp:posOffset>
            </wp:positionV>
            <wp:extent cx="3327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327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45529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8707" w:space="60"/>
            <w:col w:w="2060"/>
          </w:cols>
          <w:pgMar w:left="493" w:top="127" w:right="579" w:bottom="1440" w:gutter="0" w:footer="0" w:header="0"/>
          <w:type w:val="continuous"/>
        </w:sectPr>
      </w:pPr>
    </w:p>
    <w:p>
      <w:pPr>
        <w:ind w:left="6567"/>
        <w:spacing w:after="0"/>
        <w:tabs>
          <w:tab w:leader="none" w:pos="8747"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44" w:lineRule="exact"/>
        <w:rPr>
          <w:sz w:val="20"/>
          <w:szCs w:val="20"/>
          <w:color w:val="auto"/>
        </w:rPr>
      </w:pPr>
    </w:p>
    <w:p>
      <w:pPr>
        <w:ind w:left="7"/>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7" w:right="3840" w:hanging="7"/>
        <w:spacing w:after="0" w:line="315"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7"/>
      </w:cols>
      <w:pgMar w:left="493" w:top="12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13" Type="http://schemas.openxmlformats.org/officeDocument/2006/relationships/hyperlink" Target="http://www.sec.gov/cgi-bin/browse-edgar?action=getcompany&amp;CIK=0001527166" TargetMode="External"/><Relationship Id="rId14" Type="http://schemas.openxmlformats.org/officeDocument/2006/relationships/hyperlink" Target="http://www.sec.gov/cgi-bin/browse-edgar?action=getcompany&amp;CIK=0002046386" TargetMode="External"/><Relationship Id="rId15" Type="http://schemas.openxmlformats.org/officeDocument/2006/relationships/hyperlink" Target="http://www.sec.gov/cgi-bin/browse-edgar?action=getcompany&amp;CIK=0001548626" TargetMode="External"/><Relationship Id="rId18" Type="http://schemas.openxmlformats.org/officeDocument/2006/relationships/hyperlink" Target="http://www.sec.gov/cgi-bin/browse-edgar?action=getcompany&amp;CIK=0001548627" TargetMode="External"/><Relationship Id="rId20" Type="http://schemas.openxmlformats.org/officeDocument/2006/relationships/hyperlink" Target="http://www.sec.gov/cgi-bin/browse-edgar?action=getcompany&amp;CIK=0001548628" TargetMode="External"/><Relationship Id="rId21" Type="http://schemas.openxmlformats.org/officeDocument/2006/relationships/hyperlink" Target="http://www.sec.gov/cgi-bin/browse-edgar?action=getcompany&amp;CIK=0001790577" TargetMode="External"/><Relationship Id="rId22" Type="http://schemas.openxmlformats.org/officeDocument/2006/relationships/hyperlink" Target="http://www.sec.gov/cgi-bin/browse-edgar?action=getcompany&amp;CIK=0000933790" TargetMode="External"/><Relationship Id="rId23" Type="http://schemas.openxmlformats.org/officeDocument/2006/relationships/hyperlink" Target="http://www.sec.gov/cgi-bin/browse-edgar?action=getcompany&amp;CIK=00015486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2025-12-22T15:37:38Z</dcterms:created>
  <dcterms:modified xsi:type="dcterms:W3CDTF">2025-12-22T15:37:38Z</dcterms:modified>
</cp:coreProperties>
</file>