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67"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Carlyle Group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67"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THE CARLYLE GROUP INC.</w:t>
      </w:r>
    </w:p>
    <w:p>
      <w:pPr>
        <w:spacing w:after="0" w:line="93"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820" w:type="dxa"/>
            <w:vAlign w:val="bottom"/>
          </w:tcPr>
          <w:p>
            <w:pPr>
              <w:ind w:left="280"/>
              <w:spacing w:after="0"/>
              <w:rPr>
                <w:sz w:val="20"/>
                <w:szCs w:val="20"/>
                <w:color w:val="auto"/>
              </w:rPr>
            </w:pPr>
            <w:r>
              <w:rPr>
                <w:rFonts w:ascii="Times New Roman" w:cs="Times New Roman" w:eastAsia="Times New Roman" w:hAnsi="Times New Roman"/>
                <w:sz w:val="20"/>
                <w:szCs w:val="20"/>
                <w:color w:val="0000FF"/>
                <w:w w:val="91"/>
              </w:rPr>
              <w:t>20004-</w:t>
            </w:r>
          </w:p>
        </w:tc>
        <w:tc>
          <w:tcPr>
            <w:tcW w:w="0" w:type="dxa"/>
            <w:vAlign w:val="bottom"/>
          </w:tcPr>
          <w:p>
            <w:pPr>
              <w:spacing w:after="0"/>
              <w:rPr>
                <w:sz w:val="1"/>
                <w:szCs w:val="1"/>
                <w:color w:val="auto"/>
              </w:rPr>
            </w:pPr>
          </w:p>
        </w:tc>
      </w:tr>
      <w:tr>
        <w:trPr>
          <w:trHeight w:val="134"/>
        </w:trPr>
        <w:tc>
          <w:tcPr>
            <w:tcW w:w="1940" w:type="dxa"/>
            <w:vAlign w:val="bottom"/>
            <w:vMerge w:val="continue"/>
          </w:tcPr>
          <w:p>
            <w:pPr>
              <w:spacing w:after="0"/>
              <w:rPr>
                <w:sz w:val="11"/>
                <w:szCs w:val="11"/>
                <w:color w:val="auto"/>
              </w:rPr>
            </w:pPr>
          </w:p>
        </w:tc>
        <w:tc>
          <w:tcPr>
            <w:tcW w:w="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2505</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67"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2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20"/>
                <w:szCs w:val="20"/>
                <w:color w:val="0000FF"/>
              </w:rPr>
              <w:t>158,245,640</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380" w:type="dxa"/>
            <w:vAlign w:val="bottom"/>
            <w:tcBorders>
              <w:bottom w:val="single" w:sz="8" w:color="2C2C2C"/>
            </w:tcBorders>
            <w:gridSpan w:val="3"/>
          </w:tcPr>
          <w:p>
            <w:pPr>
              <w:jc w:val="center"/>
              <w:ind w:right="563"/>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rPr>
              <w:t>77,742,972</w:t>
            </w:r>
            <w:r>
              <w:rPr>
                <w:rFonts w:ascii="Times New Roman" w:cs="Times New Roman" w:eastAsia="Times New Roman" w:hAnsi="Times New Roman"/>
                <w:sz w:val="25"/>
                <w:szCs w:val="25"/>
                <w:color w:val="008000"/>
                <w:vertAlign w:val="superscript"/>
              </w:rPr>
              <w:t>(4)</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tcBorders>
              <w:bottom w:val="single" w:sz="8" w:color="2C2C2C"/>
            </w:tcBorders>
            <w:gridSpan w:val="4"/>
          </w:tcPr>
          <w:p>
            <w:pPr>
              <w:jc w:val="center"/>
              <w:ind w:right="660"/>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9"/>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720" w:type="dxa"/>
            <w:vAlign w:val="bottom"/>
            <w:gridSpan w:val="10"/>
          </w:tcPr>
          <w:p>
            <w:pPr>
              <w:ind w:left="4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8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132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120" w:type="dxa"/>
            <w:vAlign w:val="bottom"/>
            <w:gridSpan w:val="2"/>
            <w:vMerge w:val="restart"/>
          </w:tcPr>
          <w:p>
            <w:pPr>
              <w:jc w:val="right"/>
              <w:ind w:right="402"/>
              <w:spacing w:after="0"/>
              <w:rPr>
                <w:sz w:val="20"/>
                <w:szCs w:val="20"/>
                <w:color w:val="auto"/>
              </w:rPr>
            </w:pPr>
            <w:r>
              <w:rPr>
                <w:rFonts w:ascii="Times New Roman" w:cs="Times New Roman" w:eastAsia="Times New Roman" w:hAnsi="Times New Roman"/>
                <w:sz w:val="13"/>
                <w:szCs w:val="13"/>
                <w:color w:val="008000"/>
              </w:rPr>
              <w:t>(5)</w:t>
            </w: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008000"/>
              </w:rPr>
              <w:t>(5)</w:t>
            </w:r>
          </w:p>
        </w:tc>
        <w:tc>
          <w:tcPr>
            <w:tcW w:w="340" w:type="dxa"/>
            <w:vAlign w:val="bottom"/>
          </w:tcPr>
          <w:p>
            <w:pPr>
              <w:spacing w:after="0"/>
              <w:rPr>
                <w:sz w:val="24"/>
                <w:szCs w:val="24"/>
                <w:color w:val="auto"/>
              </w:rPr>
            </w:pPr>
          </w:p>
        </w:tc>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77,742,972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w w:val="99"/>
              </w:rPr>
              <w:t>See footnotes</w:t>
            </w:r>
            <w:r>
              <w:rPr>
                <w:rFonts w:ascii="Times New Roman" w:cs="Times New Roman" w:eastAsia="Times New Roman" w:hAnsi="Times New Roman"/>
                <w:sz w:val="25"/>
                <w:szCs w:val="25"/>
                <w:color w:val="008000"/>
                <w:w w:val="99"/>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gridSpan w:val="2"/>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Carlyle Group Inc.</w:t>
              </w:r>
            </w:hyperlink>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THE CARLYLE GROUP INC.</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1001 PENNSYLVANIA AVE. NW SUITE 220 S</w:t>
            </w: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w w:val="97"/>
              </w:rPr>
              <w:t>20004-2505</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5"/>
                <w:szCs w:val="15"/>
                <w:color w:val="auto"/>
              </w:rPr>
              <w:t>(State)</w:t>
            </w: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5"/>
                <w:szCs w:val="15"/>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Carlyle Holdings I GP Inc.</w:t>
              </w:r>
            </w:hyperlink>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5"/>
                <w:szCs w:val="15"/>
                <w:color w:val="auto"/>
              </w:rPr>
              <w:t>(First)</w:t>
            </w: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67"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2900" w:val="left"/>
        </w:tabs>
        <w:rPr>
          <w:sz w:val="20"/>
          <w:szCs w:val="20"/>
          <w:color w:val="auto"/>
        </w:rPr>
      </w:pPr>
      <w:r>
        <w:rPr>
          <w:rFonts w:ascii="Times New Roman" w:cs="Times New Roman" w:eastAsia="Times New Roman" w:hAnsi="Times New Roman"/>
          <w:sz w:val="20"/>
          <w:szCs w:val="20"/>
          <w:color w:val="0000FF"/>
        </w:rPr>
        <w:t>WASHINGTON, DC</w:t>
      </w:r>
      <w:r>
        <w:rPr>
          <w:sz w:val="20"/>
          <w:szCs w:val="20"/>
          <w:color w:val="auto"/>
        </w:rPr>
        <w:tab/>
      </w:r>
      <w:r>
        <w:rPr>
          <w:rFonts w:ascii="Times New Roman" w:cs="Times New Roman" w:eastAsia="Times New Roman" w:hAnsi="Times New Roman"/>
          <w:sz w:val="18"/>
          <w:szCs w:val="18"/>
          <w:color w:val="0000FF"/>
        </w:rPr>
        <w:t>20004-2505</w:t>
      </w:r>
    </w:p>
    <w:p>
      <w:pPr>
        <w:sectPr>
          <w:pgSz w:w="11900" w:h="16867" w:orient="portrait"/>
          <w:cols w:equalWidth="0" w:num="1">
            <w:col w:w="10940"/>
          </w:cols>
          <w:pgMar w:left="480" w:top="230"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475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47559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Carlyle Holdings I GP Sub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16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56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3"/>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Carlyle Holdings I L.P.</w:t>
              </w:r>
            </w:hyperlink>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56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CG Subsidiary Holdings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TC Group, LLC</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2260" w:type="dxa"/>
            <w:vAlign w:val="bottom"/>
          </w:tcPr>
          <w:p>
            <w:pPr>
              <w:ind w:left="940"/>
              <w:spacing w:after="0"/>
              <w:rPr>
                <w:sz w:val="20"/>
                <w:szCs w:val="20"/>
                <w:color w:val="auto"/>
              </w:rPr>
            </w:pPr>
            <w:r>
              <w:rPr>
                <w:rFonts w:ascii="Times New Roman" w:cs="Times New Roman" w:eastAsia="Times New Roman" w:hAnsi="Times New Roman"/>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920" w:type="dxa"/>
            <w:vAlign w:val="bottom"/>
          </w:tcPr>
          <w:p>
            <w:pPr>
              <w:ind w:left="460"/>
              <w:spacing w:after="0"/>
              <w:rPr>
                <w:sz w:val="20"/>
                <w:szCs w:val="20"/>
                <w:color w:val="auto"/>
              </w:rPr>
            </w:pPr>
            <w:r>
              <w:rPr>
                <w:rFonts w:ascii="Arial" w:cs="Arial" w:eastAsia="Arial" w:hAnsi="Arial"/>
                <w:sz w:val="15"/>
                <w:szCs w:val="15"/>
                <w:color w:val="auto"/>
                <w:w w:val="97"/>
              </w:rPr>
              <w:t>(State)</w:t>
            </w:r>
          </w:p>
        </w:tc>
        <w:tc>
          <w:tcPr>
            <w:tcW w:w="2380" w:type="dxa"/>
            <w:vAlign w:val="bottom"/>
            <w:gridSpan w:val="2"/>
          </w:tcPr>
          <w:p>
            <w:pPr>
              <w:ind w:left="9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4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7"/>
              </w:rPr>
            </w:pPr>
            <w:hyperlink r:id="rId19">
              <w:r>
                <w:rPr>
                  <w:rFonts w:ascii="Times New Roman" w:cs="Times New Roman" w:eastAsia="Times New Roman" w:hAnsi="Times New Roman"/>
                  <w:sz w:val="24"/>
                  <w:szCs w:val="24"/>
                  <w:color w:val="0000EE"/>
                  <w:w w:val="97"/>
                </w:rPr>
                <w:t>TC Group Sub L.P.</w:t>
              </w:r>
            </w:hyperlink>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920" w:type="dxa"/>
            <w:vAlign w:val="bottom"/>
          </w:tcPr>
          <w:p>
            <w:pPr>
              <w:ind w:left="460"/>
              <w:spacing w:after="0"/>
              <w:rPr>
                <w:sz w:val="20"/>
                <w:szCs w:val="20"/>
                <w:color w:val="auto"/>
              </w:rPr>
            </w:pPr>
            <w:r>
              <w:rPr>
                <w:rFonts w:ascii="Arial" w:cs="Arial" w:eastAsia="Arial" w:hAnsi="Arial"/>
                <w:sz w:val="15"/>
                <w:szCs w:val="15"/>
                <w:color w:val="auto"/>
              </w:rPr>
              <w:t>(First)</w:t>
            </w:r>
          </w:p>
        </w:tc>
        <w:tc>
          <w:tcPr>
            <w:tcW w:w="2380" w:type="dxa"/>
            <w:vAlign w:val="bottom"/>
            <w:gridSpan w:val="2"/>
          </w:tcPr>
          <w:p>
            <w:pPr>
              <w:ind w:left="9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260" w:type="dxa"/>
            <w:vAlign w:val="bottom"/>
          </w:tcPr>
          <w:p>
            <w:pPr>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7"/>
                <w:szCs w:val="17"/>
                <w:color w:val="auto"/>
              </w:rPr>
            </w:pPr>
          </w:p>
        </w:tc>
      </w:tr>
      <w:tr>
        <w:trPr>
          <w:trHeight w:val="265"/>
        </w:trPr>
        <w:tc>
          <w:tcPr>
            <w:tcW w:w="2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20004-2505</w:t>
            </w:r>
          </w:p>
        </w:tc>
      </w:tr>
    </w:tbl>
    <w:p>
      <w:pPr>
        <w:spacing w:after="0" w:line="200" w:lineRule="exact"/>
        <w:rPr>
          <w:sz w:val="20"/>
          <w:szCs w:val="20"/>
          <w:color w:val="auto"/>
        </w:rPr>
      </w:pPr>
    </w:p>
    <w:p>
      <w:pPr>
        <w:sectPr>
          <w:pgSz w:w="11900" w:h="16838" w:orient="portrait"/>
          <w:cols w:equalWidth="0" w:num="1">
            <w:col w:w="9959"/>
          </w:cols>
          <w:pgMar w:left="500" w:top="470" w:right="1440" w:bottom="0" w:gutter="0" w:footer="0" w:header="0"/>
        </w:sectPr>
      </w:pPr>
    </w:p>
    <w:p>
      <w:pPr>
        <w:spacing w:after="0" w:line="14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9959"/>
          </w:cols>
          <w:pgMar w:left="500" w:top="470" w:right="1440" w:bottom="0" w:gutter="0" w:footer="0" w:header="0"/>
          <w:type w:val="continuous"/>
        </w:sectPr>
      </w:pPr>
    </w:p>
    <w:bookmarkStart w:id="2" w:name="page3"/>
    <w:bookmarkEnd w:id="2"/>
    <w:p>
      <w:pPr>
        <w:spacing w:after="0"/>
        <w:rPr>
          <w:sz w:val="20"/>
          <w:szCs w:val="20"/>
          <w:color w:val="auto"/>
        </w:rPr>
      </w:pPr>
      <w:r>
        <w:rPr>
          <w:rFonts w:ascii="Arial" w:cs="Arial" w:eastAsia="Arial" w:hAnsi="Arial"/>
          <w:sz w:val="15"/>
          <w:szCs w:val="15"/>
          <w:b w:val="1"/>
          <w:bCs w:val="1"/>
          <w:color w:val="auto"/>
        </w:rPr>
        <w:t>Explanation of Responses:</w:t>
      </w:r>
    </w:p>
    <w:p>
      <w:pPr>
        <w:spacing w:after="0" w:line="54" w:lineRule="exact"/>
        <w:rPr>
          <w:sz w:val="20"/>
          <w:szCs w:val="20"/>
          <w:color w:val="auto"/>
        </w:rPr>
      </w:pPr>
    </w:p>
    <w:p>
      <w:pPr>
        <w:ind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(i) 53,901,144 shares of Class A Common Stock held by Carlyle Mozart Coinvestment Holdings, L.P., (ii) 2,674,728 shares of Class A Common Stock held by CP VII Circle AIF Holdings, S.C.Sp., (iii) 63,977,403 shares of Class A Common Stock held by CP VII Circle Holdings, L.P., (iv) 294,199 shares of Class A Common Stock held by CP VII Circle Holdings - A, L.P., (v) 7,250,692 shares of Class A Common Stock held by CP VIII Circle AIF Holdings, S.C.Sp., (vi) 29,216,339 shares of Class A Common Stock held by CP VIII Circle Holdings, L.P., (vii) 919,066 shares of Class A Common Stock held by CPEP Circle Holdings L.P. and (viii) 12,069 shares of Class A Common Stock and 77,742,972 Common Units and shares of Class B Common Stock held by CP Circle Holdings, L.P.</w:t>
      </w:r>
    </w:p>
    <w:p>
      <w:pPr>
        <w:spacing w:after="0" w:line="33" w:lineRule="exact"/>
        <w:rPr>
          <w:rFonts w:ascii="Times New Roman" w:cs="Times New Roman" w:eastAsia="Times New Roman" w:hAnsi="Times New Roman"/>
          <w:sz w:val="15"/>
          <w:szCs w:val="15"/>
          <w:color w:val="008000"/>
        </w:rPr>
      </w:pPr>
    </w:p>
    <w:p>
      <w:pPr>
        <w:ind w:right="22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33" w:lineRule="exact"/>
        <w:rPr>
          <w:rFonts w:ascii="Times New Roman" w:cs="Times New Roman" w:eastAsia="Times New Roman" w:hAnsi="Times New Roman"/>
          <w:sz w:val="15"/>
          <w:szCs w:val="15"/>
          <w:color w:val="008000"/>
        </w:rPr>
      </w:pPr>
    </w:p>
    <w:p>
      <w:pPr>
        <w:ind w:right="10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 and the managing member of CPEP GP, LLC, which is the general partner of CPEP Circle Holdings L.P.</w:t>
      </w:r>
    </w:p>
    <w:p>
      <w:pPr>
        <w:spacing w:after="0" w:line="33" w:lineRule="exact"/>
        <w:rPr>
          <w:rFonts w:ascii="Times New Roman" w:cs="Times New Roman" w:eastAsia="Times New Roman" w:hAnsi="Times New Roman"/>
          <w:sz w:val="15"/>
          <w:szCs w:val="15"/>
          <w:color w:val="008000"/>
        </w:rPr>
      </w:pPr>
    </w:p>
    <w:p>
      <w:pPr>
        <w:ind w:right="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right="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008000"/>
        </w:rPr>
        <w:t>Due to the limitations of the electronic filing system, TC Group VII S1, L.L.C., TC Group VII S1, L.P., TC Group VIII, L.L.C., TC Group VIII, L.P., TC Group VII Lux GP, S.a r.l., TC Group VIII Lux GP, S.a r.l., CPEP GP, LLC, Carlyle Mozart Coinvestment Holdings, L.P., CP VII Circle AIF Holdings, S.C.Sp., CP VII Circle Holdings, L.P., CP VII Circle Holdings - A, L.P., CP VIII Circle AIF Holdings, S.C.Sp., CP VIII Circle Holdings, L.P., CPEP Circle Holdings L.P. and CP Circle Holdings, L.P. are filing a separate Form 3.</w:t>
      </w:r>
    </w:p>
    <w:p>
      <w:pPr>
        <w:sectPr>
          <w:pgSz w:w="11900" w:h="16838" w:orient="portrait"/>
          <w:cols w:equalWidth="0" w:num="1">
            <w:col w:w="10860"/>
          </w:cols>
          <w:pgMar w:left="520" w:top="124" w:right="519" w:bottom="1440" w:gutter="0" w:footer="0" w:header="0"/>
        </w:sectPr>
      </w:pPr>
    </w:p>
    <w:p>
      <w:pPr>
        <w:spacing w:after="0" w:line="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The Carlyle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68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268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377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937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Carlyle Holdings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112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775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8775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54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329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Holdings I GP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55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member,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902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890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Carlyle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665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268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1793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333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Sub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9443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944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TC Group,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78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8660" w:space="60"/>
            <w:col w:w="2140"/>
          </w:cols>
          <w:pgMar w:left="520" w:top="124" w:right="5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20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2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10" Type="http://schemas.openxmlformats.org/officeDocument/2006/relationships/hyperlink" Target="http://www.sec.gov/cgi-bin/browse-edgar?action=getcompany&amp;CIK=0001527166"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1548626" TargetMode="External"/><Relationship Id="rId15" Type="http://schemas.openxmlformats.org/officeDocument/2006/relationships/hyperlink" Target="http://www.sec.gov/cgi-bin/browse-edgar?action=getcompany&amp;CIK=0001548627" TargetMode="External"/><Relationship Id="rId16" Type="http://schemas.openxmlformats.org/officeDocument/2006/relationships/hyperlink" Target="http://www.sec.gov/cgi-bin/browse-edgar?action=getcompany&amp;CIK=0001548628" TargetMode="External"/><Relationship Id="rId17" Type="http://schemas.openxmlformats.org/officeDocument/2006/relationships/hyperlink" Target="http://www.sec.gov/cgi-bin/browse-edgar?action=getcompany&amp;CIK=0001790577" TargetMode="External"/><Relationship Id="rId18" Type="http://schemas.openxmlformats.org/officeDocument/2006/relationships/hyperlink" Target="http://www.sec.gov/cgi-bin/browse-edgar?action=getcompany&amp;CIK=0000933790" TargetMode="External"/><Relationship Id="rId19" Type="http://schemas.openxmlformats.org/officeDocument/2006/relationships/hyperlink" Target="http://www.sec.gov/cgi-bin/browse-edgar?action=getcompany&amp;CIK=0001548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2025-12-17T18:19:34Z</dcterms:created>
  <dcterms:modified xsi:type="dcterms:W3CDTF">2025-12-17T18:19:34Z</dcterms:modified>
</cp:coreProperties>
</file>