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89"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8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40" w:type="dxa"/>
            <w:vAlign w:val="bottom"/>
          </w:tcPr>
          <w:p>
            <w:pPr>
              <w:ind w:left="18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4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Carlyle Mozart Coinvestment</w:t>
              </w:r>
            </w:hyperlink>
          </w:p>
        </w:tc>
        <w:tc>
          <w:tcPr>
            <w:tcW w:w="1540" w:type="dxa"/>
            <w:vAlign w:val="bottom"/>
          </w:tcPr>
          <w:p>
            <w:pPr>
              <w:ind w:left="18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40" w:type="dxa"/>
            <w:vAlign w:val="bottom"/>
            <w:gridSpan w:val="3"/>
            <w:vMerge w:val="continue"/>
          </w:tcPr>
          <w:p>
            <w:pPr>
              <w:spacing w:after="0"/>
              <w:rPr>
                <w:sz w:val="14"/>
                <w:szCs w:val="14"/>
                <w:color w:val="auto"/>
              </w:rPr>
            </w:pPr>
          </w:p>
        </w:tc>
        <w:tc>
          <w:tcPr>
            <w:tcW w:w="1540" w:type="dxa"/>
            <w:vAlign w:val="bottom"/>
          </w:tcPr>
          <w:p>
            <w:pPr>
              <w:ind w:left="18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840" w:type="dxa"/>
            <w:vAlign w:val="bottom"/>
            <w:tcBorders>
              <w:top w:val="single" w:sz="8" w:color="0000EE"/>
            </w:tcBorders>
            <w:gridSpan w:val="2"/>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Holdings, L.P.</w:t>
              </w:r>
            </w:hyperlink>
          </w:p>
        </w:tc>
        <w:tc>
          <w:tcPr>
            <w:tcW w:w="200" w:type="dxa"/>
            <w:vAlign w:val="bottom"/>
          </w:tcPr>
          <w:p>
            <w:pPr>
              <w:spacing w:after="0"/>
              <w:rPr>
                <w:sz w:val="21"/>
                <w:szCs w:val="21"/>
                <w:color w:val="auto"/>
              </w:rPr>
            </w:pPr>
          </w:p>
        </w:tc>
        <w:tc>
          <w:tcPr>
            <w:tcW w:w="154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12/17/2025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Medline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MDLN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508" w:lineRule="exact"/>
        <w:rPr>
          <w:sz w:val="20"/>
          <w:szCs w:val="20"/>
          <w:color w:val="auto"/>
        </w:rPr>
      </w:pPr>
    </w:p>
    <w:p>
      <w:pPr>
        <w:sectPr>
          <w:pgSz w:w="11900" w:h="16889" w:orient="portrait"/>
          <w:cols w:equalWidth="0" w:num="2">
            <w:col w:w="4720" w:space="280"/>
            <w:col w:w="5940"/>
          </w:cols>
          <w:pgMar w:left="480" w:top="230" w:right="479" w:bottom="0" w:gutter="0" w:footer="0" w:header="0"/>
          <w:type w:val="continuous"/>
        </w:sectPr>
      </w:pPr>
    </w:p>
    <w:p>
      <w:pPr>
        <w:spacing w:after="0" w:line="19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THE CARLYLE GROUP INC.</w:t>
      </w:r>
    </w:p>
    <w:p>
      <w:pPr>
        <w:spacing w:after="0" w:line="93" w:lineRule="exact"/>
        <w:rPr>
          <w:sz w:val="20"/>
          <w:szCs w:val="20"/>
          <w:color w:val="auto"/>
        </w:rPr>
      </w:pPr>
    </w:p>
    <w:p>
      <w:pPr>
        <w:ind w:left="140" w:right="1397"/>
        <w:spacing w:after="0" w:line="275" w:lineRule="auto"/>
        <w:rPr>
          <w:sz w:val="20"/>
          <w:szCs w:val="20"/>
          <w:color w:val="auto"/>
        </w:rPr>
      </w:pPr>
      <w:r>
        <w:rPr>
          <w:rFonts w:ascii="Times New Roman" w:cs="Times New Roman" w:eastAsia="Times New Roman" w:hAnsi="Times New Roman"/>
          <w:sz w:val="20"/>
          <w:szCs w:val="20"/>
          <w:color w:val="0000FF"/>
        </w:rPr>
        <w:t>1001 PENNSYLVANIA AVE. NW SUITE 220 S</w:t>
      </w:r>
    </w:p>
    <w:p>
      <w:pPr>
        <w:spacing w:after="0" w:line="269"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WASHINGTON DC</w:t>
            </w:r>
          </w:p>
        </w:tc>
        <w:tc>
          <w:tcPr>
            <w:tcW w:w="820" w:type="dxa"/>
            <w:vAlign w:val="bottom"/>
          </w:tcPr>
          <w:p>
            <w:pPr>
              <w:ind w:left="280"/>
              <w:spacing w:after="0"/>
              <w:rPr>
                <w:sz w:val="20"/>
                <w:szCs w:val="20"/>
                <w:color w:val="auto"/>
              </w:rPr>
            </w:pPr>
            <w:r>
              <w:rPr>
                <w:rFonts w:ascii="Times New Roman" w:cs="Times New Roman" w:eastAsia="Times New Roman" w:hAnsi="Times New Roman"/>
                <w:sz w:val="20"/>
                <w:szCs w:val="20"/>
                <w:color w:val="0000FF"/>
                <w:w w:val="91"/>
              </w:rPr>
              <w:t>20004-</w:t>
            </w:r>
          </w:p>
        </w:tc>
        <w:tc>
          <w:tcPr>
            <w:tcW w:w="0" w:type="dxa"/>
            <w:vAlign w:val="bottom"/>
          </w:tcPr>
          <w:p>
            <w:pPr>
              <w:spacing w:after="0"/>
              <w:rPr>
                <w:sz w:val="1"/>
                <w:szCs w:val="1"/>
                <w:color w:val="auto"/>
              </w:rPr>
            </w:pPr>
          </w:p>
        </w:tc>
      </w:tr>
      <w:tr>
        <w:trPr>
          <w:trHeight w:val="134"/>
        </w:trPr>
        <w:tc>
          <w:tcPr>
            <w:tcW w:w="1940" w:type="dxa"/>
            <w:vAlign w:val="bottom"/>
            <w:vMerge w:val="continue"/>
          </w:tcPr>
          <w:p>
            <w:pPr>
              <w:spacing w:after="0"/>
              <w:rPr>
                <w:sz w:val="11"/>
                <w:szCs w:val="11"/>
                <w:color w:val="auto"/>
              </w:rPr>
            </w:pPr>
          </w:p>
        </w:tc>
        <w:tc>
          <w:tcPr>
            <w:tcW w:w="8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2505</w:t>
            </w: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0"/>
          <w:szCs w:val="20"/>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3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93" w:lineRule="exact"/>
        <w:rPr>
          <w:sz w:val="20"/>
          <w:szCs w:val="20"/>
          <w:color w:val="auto"/>
        </w:rPr>
      </w:pPr>
    </w:p>
    <w:p>
      <w:pPr>
        <w:sectPr>
          <w:pgSz w:w="11900" w:h="16889" w:orient="portrait"/>
          <w:cols w:equalWidth="0" w:num="3">
            <w:col w:w="4277" w:space="720"/>
            <w:col w:w="3003" w:space="269"/>
            <w:col w:w="2671"/>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1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right"/>
              <w:ind w:right="14"/>
              <w:spacing w:after="0"/>
              <w:rPr>
                <w:sz w:val="20"/>
                <w:szCs w:val="20"/>
                <w:color w:val="auto"/>
              </w:rPr>
            </w:pPr>
            <w:r>
              <w:rPr>
                <w:rFonts w:ascii="Times New Roman" w:cs="Times New Roman" w:eastAsia="Times New Roman" w:hAnsi="Times New Roman"/>
                <w:sz w:val="20"/>
                <w:szCs w:val="20"/>
                <w:color w:val="0000FF"/>
              </w:rPr>
              <w:t>158,245,640</w:t>
            </w: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20"/>
                <w:szCs w:val="20"/>
                <w:color w:val="0000FF"/>
                <w:w w:val="89"/>
              </w:rPr>
              <w:t>I</w:t>
            </w:r>
          </w:p>
        </w:tc>
        <w:tc>
          <w:tcPr>
            <w:tcW w:w="3380" w:type="dxa"/>
            <w:vAlign w:val="bottom"/>
            <w:tcBorders>
              <w:bottom w:val="single" w:sz="8" w:color="2C2C2C"/>
            </w:tcBorders>
            <w:gridSpan w:val="3"/>
          </w:tcPr>
          <w:p>
            <w:pPr>
              <w:jc w:val="center"/>
              <w:ind w:right="563"/>
              <w:spacing w:after="0"/>
              <w:rPr>
                <w:sz w:val="20"/>
                <w:szCs w:val="20"/>
                <w:color w:val="auto"/>
              </w:rPr>
            </w:pPr>
            <w:r>
              <w:rPr>
                <w:rFonts w:ascii="Times New Roman" w:cs="Times New Roman" w:eastAsia="Times New Roman" w:hAnsi="Times New Roman"/>
                <w:sz w:val="20"/>
                <w:szCs w:val="20"/>
                <w:color w:val="0000FF"/>
                <w:w w:val="89"/>
              </w:rPr>
              <w:t>See footnotes</w:t>
            </w:r>
            <w:r>
              <w:rPr>
                <w:rFonts w:ascii="Times New Roman" w:cs="Times New Roman" w:eastAsia="Times New Roman" w:hAnsi="Times New Roman"/>
                <w:sz w:val="25"/>
                <w:szCs w:val="25"/>
                <w:color w:val="008000"/>
                <w:w w:val="89"/>
                <w:vertAlign w:val="superscript"/>
              </w:rPr>
              <w:t>(1)(2)(3)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1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rPr>
              <w:t>77,742,972</w:t>
            </w:r>
            <w:r>
              <w:rPr>
                <w:rFonts w:ascii="Times New Roman" w:cs="Times New Roman" w:eastAsia="Times New Roman" w:hAnsi="Times New Roman"/>
                <w:sz w:val="25"/>
                <w:szCs w:val="25"/>
                <w:color w:val="008000"/>
                <w:vertAlign w:val="superscript"/>
              </w:rPr>
              <w:t>(4)</w:t>
            </w: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20"/>
                <w:szCs w:val="20"/>
                <w:color w:val="0000FF"/>
                <w:w w:val="89"/>
              </w:rPr>
              <w:t>I</w:t>
            </w:r>
          </w:p>
        </w:tc>
        <w:tc>
          <w:tcPr>
            <w:tcW w:w="3400" w:type="dxa"/>
            <w:vAlign w:val="bottom"/>
            <w:tcBorders>
              <w:bottom w:val="single" w:sz="8" w:color="2C2C2C"/>
            </w:tcBorders>
            <w:gridSpan w:val="4"/>
          </w:tcPr>
          <w:p>
            <w:pPr>
              <w:jc w:val="center"/>
              <w:ind w:right="660"/>
              <w:spacing w:after="0"/>
              <w:rPr>
                <w:sz w:val="20"/>
                <w:szCs w:val="20"/>
                <w:color w:val="auto"/>
              </w:rPr>
            </w:pPr>
            <w:r>
              <w:rPr>
                <w:rFonts w:ascii="Times New Roman" w:cs="Times New Roman" w:eastAsia="Times New Roman" w:hAnsi="Times New Roman"/>
                <w:sz w:val="20"/>
                <w:szCs w:val="20"/>
                <w:color w:val="0000FF"/>
                <w:w w:val="89"/>
              </w:rPr>
              <w:t>See footnotes</w:t>
            </w:r>
            <w:r>
              <w:rPr>
                <w:rFonts w:ascii="Times New Roman" w:cs="Times New Roman" w:eastAsia="Times New Roman" w:hAnsi="Times New Roman"/>
                <w:sz w:val="25"/>
                <w:szCs w:val="25"/>
                <w:color w:val="008000"/>
                <w:w w:val="89"/>
                <w:vertAlign w:val="superscript"/>
              </w:rPr>
              <w:t>(1)(2)(3)</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640" w:type="dxa"/>
            <w:vAlign w:val="bottom"/>
            <w:tcBorders>
              <w:top w:val="single" w:sz="8" w:color="2C2C2C"/>
            </w:tcBorders>
            <w:gridSpan w:val="8"/>
          </w:tcPr>
          <w:p>
            <w:pPr>
              <w:ind w:left="3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5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5780" w:type="dxa"/>
            <w:vAlign w:val="bottom"/>
            <w:gridSpan w:val="9"/>
          </w:tcPr>
          <w:p>
            <w:pPr>
              <w:ind w:left="10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4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6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14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2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 or</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 of</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2"/>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Units of Medline</w:t>
            </w:r>
          </w:p>
        </w:tc>
        <w:tc>
          <w:tcPr>
            <w:tcW w:w="112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8000"/>
              </w:rPr>
              <w:t>(5)</w:t>
            </w:r>
          </w:p>
        </w:tc>
        <w:tc>
          <w:tcPr>
            <w:tcW w:w="340" w:type="dxa"/>
            <w:vAlign w:val="bottom"/>
          </w:tcPr>
          <w:p>
            <w:pPr>
              <w:spacing w:after="0"/>
              <w:rPr>
                <w:sz w:val="24"/>
                <w:szCs w:val="24"/>
                <w:color w:val="auto"/>
              </w:rPr>
            </w:pPr>
          </w:p>
        </w:tc>
        <w:tc>
          <w:tcPr>
            <w:tcW w:w="174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Class A Common</w:t>
            </w: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w w:val="97"/>
              </w:rPr>
              <w:t>77,742,972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8000"/>
              </w:rPr>
              <w:t>(5)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540" w:type="dxa"/>
            <w:vAlign w:val="bottom"/>
            <w:gridSpan w:val="2"/>
          </w:tcPr>
          <w:p>
            <w:pPr>
              <w:ind w:left="60"/>
              <w:spacing w:after="0" w:line="284" w:lineRule="exact"/>
              <w:rPr>
                <w:sz w:val="20"/>
                <w:szCs w:val="20"/>
                <w:color w:val="auto"/>
              </w:rPr>
            </w:pPr>
            <w:r>
              <w:rPr>
                <w:rFonts w:ascii="Times New Roman" w:cs="Times New Roman" w:eastAsia="Times New Roman" w:hAnsi="Times New Roman"/>
                <w:sz w:val="20"/>
                <w:szCs w:val="20"/>
                <w:color w:val="0000FF"/>
                <w:w w:val="99"/>
              </w:rPr>
              <w:t>See footnotes</w:t>
            </w:r>
            <w:r>
              <w:rPr>
                <w:rFonts w:ascii="Times New Roman" w:cs="Times New Roman" w:eastAsia="Times New Roman" w:hAnsi="Times New Roman"/>
                <w:sz w:val="25"/>
                <w:szCs w:val="25"/>
                <w:color w:val="008000"/>
                <w:w w:val="99"/>
                <w:vertAlign w:val="superscript"/>
              </w:rPr>
              <w:t>(1)(2)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12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vMerge w:val="restart"/>
          </w:tcPr>
          <w:p>
            <w:pPr>
              <w:ind w:left="640"/>
              <w:spacing w:after="0"/>
              <w:rPr>
                <w:sz w:val="20"/>
                <w:szCs w:val="20"/>
                <w:color w:val="auto"/>
              </w:rPr>
            </w:pPr>
            <w:r>
              <w:rPr>
                <w:rFonts w:ascii="Times New Roman" w:cs="Times New Roman" w:eastAsia="Times New Roman" w:hAnsi="Times New Roman"/>
                <w:sz w:val="20"/>
                <w:szCs w:val="20"/>
                <w:color w:val="0000FF"/>
              </w:rPr>
              <w:t>Stock</w:t>
            </w:r>
          </w:p>
        </w:tc>
        <w:tc>
          <w:tcPr>
            <w:tcW w:w="9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5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8000"/>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60" w:type="dxa"/>
            <w:vAlign w:val="bottom"/>
            <w:tcBorders>
              <w:top w:val="single" w:sz="8" w:color="808080"/>
            </w:tcBorders>
            <w:shd w:val="clear" w:color="auto" w:fill="2C2C2C"/>
          </w:tcPr>
          <w:p>
            <w:pPr>
              <w:spacing w:after="0" w:line="20" w:lineRule="exact"/>
              <w:rPr>
                <w:sz w:val="1"/>
                <w:szCs w:val="1"/>
                <w:color w:val="auto"/>
              </w:rPr>
            </w:pPr>
          </w:p>
        </w:tc>
        <w:tc>
          <w:tcPr>
            <w:tcW w:w="1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Carlyle Mozart Coinvestment Holdings,</w:t>
        </w:r>
      </w:hyperlink>
    </w:p>
    <w:p>
      <w:pPr>
        <w:spacing w:after="0" w:line="1" w:lineRule="exact"/>
        <w:rPr>
          <w:sz w:val="20"/>
          <w:szCs w:val="20"/>
          <w:color w:val="auto"/>
        </w:rPr>
      </w:pP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L.P.</w:t>
        </w:r>
      </w:hyperlink>
    </w:p>
    <w:p>
      <w:pPr>
        <w:spacing w:after="0" w:line="343"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THE CARLYLE GROUP INC.</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1001 PENNSYLVANIA AVE. NW SUITE 220 S</w:t>
      </w:r>
    </w:p>
    <w:p>
      <w:pPr>
        <w:spacing w:after="0" w:line="326"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WASHINGTON DC</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20004-2505</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3">
        <w:r>
          <w:rPr>
            <w:rFonts w:ascii="Times New Roman" w:cs="Times New Roman" w:eastAsia="Times New Roman" w:hAnsi="Times New Roman"/>
            <w:sz w:val="24"/>
            <w:szCs w:val="24"/>
            <w:u w:val="single" w:color="auto"/>
            <w:color w:val="0000EE"/>
          </w:rPr>
          <w:t>CP VII Circle AIF Holdings, S.C.Sp.</w:t>
        </w:r>
      </w:hyperlink>
    </w:p>
    <w:p>
      <w:pPr>
        <w:spacing w:after="0" w:line="343"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9, RUE DE BITBOURG</w:t>
      </w:r>
    </w:p>
    <w:p>
      <w:pPr>
        <w:sectPr>
          <w:pgSz w:w="11900" w:h="16889" w:orient="portrait"/>
          <w:cols w:equalWidth="0" w:num="1">
            <w:col w:w="10940"/>
          </w:cols>
          <w:pgMar w:left="480" w:top="230" w:right="479" w:bottom="0" w:gutter="0" w:footer="0" w:header="0"/>
          <w:type w:val="continuous"/>
        </w:sectPr>
      </w:pPr>
    </w:p>
    <w:p>
      <w:pPr>
        <w:spacing w:after="0" w:line="38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(Street)</w:t>
      </w:r>
    </w:p>
    <w:p>
      <w:pPr>
        <w:sectPr>
          <w:pgSz w:w="11900" w:h="16889" w:orient="portrait"/>
          <w:cols w:equalWidth="0" w:num="1">
            <w:col w:w="10940"/>
          </w:cols>
          <w:pgMar w:left="480" w:top="230" w:right="479" w:bottom="0" w:gutter="0" w:footer="0" w:header="0"/>
          <w:type w:val="continuous"/>
        </w:sectPr>
      </w:pPr>
    </w:p>
    <w:bookmarkStart w:id="1" w:name="page2"/>
    <w:bookmarkEnd w:id="1"/>
    <w:tbl>
      <w:tblPr>
        <w:tblLayout w:type="fixed"/>
        <w:tblInd w:w="100" w:type="dxa"/>
        <w:tblCellMar>
          <w:top w:w="0" w:type="dxa"/>
          <w:left w:w="0" w:type="dxa"/>
          <w:bottom w:w="0" w:type="dxa"/>
          <w:right w:w="0" w:type="dxa"/>
        </w:tblCellMar>
      </w:tblPr>
      <w:tr>
        <w:trPr>
          <w:trHeight w:val="254"/>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LUXEMBOURG N4</w:t>
            </w:r>
          </w:p>
        </w:tc>
        <w:tc>
          <w:tcPr>
            <w:tcW w:w="1800" w:type="dxa"/>
            <w:vAlign w:val="bottom"/>
          </w:tcPr>
          <w:p>
            <w:pPr>
              <w:ind w:left="480"/>
              <w:spacing w:after="0"/>
              <w:rPr>
                <w:sz w:val="20"/>
                <w:szCs w:val="20"/>
                <w:color w:val="auto"/>
              </w:rPr>
            </w:pPr>
            <w:r>
              <w:rPr>
                <w:rFonts w:ascii="Times New Roman" w:cs="Times New Roman" w:eastAsia="Times New Roman" w:hAnsi="Times New Roman"/>
                <w:sz w:val="20"/>
                <w:szCs w:val="20"/>
                <w:color w:val="0000FF"/>
              </w:rPr>
              <w:t>L-1273</w:t>
            </w:r>
          </w:p>
        </w:tc>
      </w:tr>
      <w:tr>
        <w:trPr>
          <w:trHeight w:val="177"/>
        </w:trPr>
        <w:tc>
          <w:tcPr>
            <w:tcW w:w="88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88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52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1052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798445" cy="10520045"/>
                    </a:xfrm>
                    <a:prstGeom prst="rect">
                      <a:avLst/>
                    </a:prstGeom>
                    <a:noFill/>
                  </pic:spPr>
                </pic:pic>
              </a:graphicData>
            </a:graphic>
          </wp:anchor>
        </w:drawing>
      </w: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CP VII Circle Holdings, L.P.</w:t>
        </w:r>
      </w:hyperlink>
    </w:p>
    <w:p>
      <w:pPr>
        <w:spacing w:after="0" w:line="343"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THE CARLYLE GROUP INC.</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1001 PENNSYLVANIA AVE. NW SUITE 220 S</w:t>
      </w: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WASHINGTON DC</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20004-2505</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CP VII Circle Holdings-A, L.P.</w:t>
        </w:r>
      </w:hyperlink>
    </w:p>
    <w:p>
      <w:pPr>
        <w:spacing w:after="0" w:line="343"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THE CARLYLE GROUP INC.</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1001 PENNSYLVANIA AVE. NW SUITE 220 S</w:t>
      </w: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WASHINGTON DC</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20004-2505</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7">
        <w:r>
          <w:rPr>
            <w:rFonts w:ascii="Times New Roman" w:cs="Times New Roman" w:eastAsia="Times New Roman" w:hAnsi="Times New Roman"/>
            <w:sz w:val="24"/>
            <w:szCs w:val="24"/>
            <w:u w:val="single" w:color="auto"/>
            <w:color w:val="0000EE"/>
          </w:rPr>
          <w:t>CP VIII Circle AIF Holdings, S.C.Sp.</w:t>
        </w:r>
      </w:hyperlink>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(Last)</w:t>
            </w:r>
          </w:p>
        </w:tc>
        <w:tc>
          <w:tcPr>
            <w:tcW w:w="1420" w:type="dxa"/>
            <w:vAlign w:val="bottom"/>
          </w:tcPr>
          <w:p>
            <w:pPr>
              <w:ind w:left="460"/>
              <w:spacing w:after="0"/>
              <w:rPr>
                <w:sz w:val="20"/>
                <w:szCs w:val="20"/>
                <w:color w:val="auto"/>
              </w:rPr>
            </w:pPr>
            <w:r>
              <w:rPr>
                <w:rFonts w:ascii="Arial" w:cs="Arial" w:eastAsia="Arial" w:hAnsi="Arial"/>
                <w:sz w:val="15"/>
                <w:szCs w:val="15"/>
                <w:color w:val="auto"/>
              </w:rPr>
              <w:t>(First)</w:t>
            </w:r>
          </w:p>
        </w:tc>
        <w:tc>
          <w:tcPr>
            <w:tcW w:w="1760" w:type="dxa"/>
            <w:vAlign w:val="bottom"/>
          </w:tcPr>
          <w:p>
            <w:pPr>
              <w:ind w:left="42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9, RUE DE BITBOURG</w:t>
            </w:r>
          </w:p>
        </w:tc>
        <w:tc>
          <w:tcPr>
            <w:tcW w:w="176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420" w:type="dxa"/>
            <w:vAlign w:val="bottom"/>
            <w:tcBorders>
              <w:bottom w:val="single" w:sz="8" w:color="9A9A9A"/>
            </w:tcBorders>
          </w:tcPr>
          <w:p>
            <w:pPr>
              <w:spacing w:after="0"/>
              <w:rPr>
                <w:sz w:val="20"/>
                <w:szCs w:val="20"/>
                <w:color w:val="auto"/>
              </w:rPr>
            </w:pPr>
          </w:p>
        </w:tc>
        <w:tc>
          <w:tcPr>
            <w:tcW w:w="1760" w:type="dxa"/>
            <w:vAlign w:val="bottom"/>
            <w:tcBorders>
              <w:bottom w:val="single" w:sz="8" w:color="9A9A9A"/>
            </w:tcBorders>
          </w:tcPr>
          <w:p>
            <w:pPr>
              <w:spacing w:after="0"/>
              <w:rPr>
                <w:sz w:val="20"/>
                <w:szCs w:val="20"/>
                <w:color w:val="auto"/>
              </w:rPr>
            </w:pPr>
          </w:p>
        </w:tc>
      </w:tr>
      <w:tr>
        <w:trPr>
          <w:trHeight w:val="303"/>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4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LUXEMBOURG N4</w:t>
            </w:r>
          </w:p>
        </w:tc>
        <w:tc>
          <w:tcPr>
            <w:tcW w:w="1760" w:type="dxa"/>
            <w:vAlign w:val="bottom"/>
          </w:tcPr>
          <w:p>
            <w:pPr>
              <w:ind w:left="440"/>
              <w:spacing w:after="0"/>
              <w:rPr>
                <w:sz w:val="20"/>
                <w:szCs w:val="20"/>
                <w:color w:val="auto"/>
              </w:rPr>
            </w:pPr>
            <w:r>
              <w:rPr>
                <w:rFonts w:ascii="Times New Roman" w:cs="Times New Roman" w:eastAsia="Times New Roman" w:hAnsi="Times New Roman"/>
                <w:sz w:val="20"/>
                <w:szCs w:val="20"/>
                <w:color w:val="0000FF"/>
              </w:rPr>
              <w:t>L-1273</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420" w:type="dxa"/>
            <w:vAlign w:val="bottom"/>
          </w:tcPr>
          <w:p>
            <w:pPr>
              <w:ind w:left="460"/>
              <w:spacing w:after="0"/>
              <w:rPr>
                <w:sz w:val="20"/>
                <w:szCs w:val="20"/>
                <w:color w:val="auto"/>
              </w:rPr>
            </w:pPr>
            <w:r>
              <w:rPr>
                <w:rFonts w:ascii="Arial" w:cs="Arial" w:eastAsia="Arial" w:hAnsi="Arial"/>
                <w:sz w:val="15"/>
                <w:szCs w:val="15"/>
                <w:color w:val="auto"/>
              </w:rPr>
              <w:t>(State)</w:t>
            </w:r>
          </w:p>
        </w:tc>
        <w:tc>
          <w:tcPr>
            <w:tcW w:w="1760" w:type="dxa"/>
            <w:vAlign w:val="bottom"/>
          </w:tcPr>
          <w:p>
            <w:pPr>
              <w:ind w:left="42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8">
        <w:r>
          <w:rPr>
            <w:rFonts w:ascii="Times New Roman" w:cs="Times New Roman" w:eastAsia="Times New Roman" w:hAnsi="Times New Roman"/>
            <w:sz w:val="24"/>
            <w:szCs w:val="24"/>
            <w:u w:val="single" w:color="auto"/>
            <w:color w:val="0000EE"/>
          </w:rPr>
          <w:t>CP VIII Circle Holdings, L.P.</w:t>
        </w:r>
      </w:hyperlink>
    </w:p>
    <w:p>
      <w:pPr>
        <w:spacing w:after="0" w:line="343"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THE CARLYLE GROUP INC.</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1001 PENNSYLVANIA AVE. NW SUITE 220 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6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WASHINGTON DC</w:t>
            </w:r>
          </w:p>
        </w:tc>
        <w:tc>
          <w:tcPr>
            <w:tcW w:w="152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20004-2505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(City)</w:t>
            </w:r>
          </w:p>
        </w:tc>
        <w:tc>
          <w:tcPr>
            <w:tcW w:w="1660" w:type="dxa"/>
            <w:vAlign w:val="bottom"/>
          </w:tcPr>
          <w:p>
            <w:pPr>
              <w:ind w:left="460"/>
              <w:spacing w:after="0"/>
              <w:rPr>
                <w:sz w:val="20"/>
                <w:szCs w:val="20"/>
                <w:color w:val="auto"/>
              </w:rPr>
            </w:pPr>
            <w:r>
              <w:rPr>
                <w:rFonts w:ascii="Arial" w:cs="Arial" w:eastAsia="Arial" w:hAnsi="Arial"/>
                <w:sz w:val="15"/>
                <w:szCs w:val="15"/>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6"/>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tcBorders>
              <w:bottom w:val="single" w:sz="8" w:color="0000EE"/>
            </w:tcBorders>
            <w:gridSpan w:val="2"/>
          </w:tcPr>
          <w:p>
            <w:pPr>
              <w:spacing w:after="0" w:line="255" w:lineRule="exact"/>
              <w:rPr>
                <w:rFonts w:ascii="Times New Roman" w:cs="Times New Roman" w:eastAsia="Times New Roman" w:hAnsi="Times New Roman"/>
                <w:sz w:val="24"/>
                <w:szCs w:val="24"/>
                <w:color w:val="0000EE"/>
                <w:w w:val="97"/>
              </w:rPr>
            </w:pPr>
            <w:hyperlink r:id="rId19">
              <w:r>
                <w:rPr>
                  <w:rFonts w:ascii="Times New Roman" w:cs="Times New Roman" w:eastAsia="Times New Roman" w:hAnsi="Times New Roman"/>
                  <w:sz w:val="24"/>
                  <w:szCs w:val="24"/>
                  <w:color w:val="0000EE"/>
                  <w:w w:val="97"/>
                </w:rPr>
                <w:t>CPEP Circle Holdings L.P.</w:t>
              </w:r>
            </w:hyperlink>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(Last)</w:t>
            </w:r>
          </w:p>
        </w:tc>
        <w:tc>
          <w:tcPr>
            <w:tcW w:w="1660" w:type="dxa"/>
            <w:vAlign w:val="bottom"/>
          </w:tcPr>
          <w:p>
            <w:pPr>
              <w:ind w:left="460"/>
              <w:spacing w:after="0"/>
              <w:rPr>
                <w:sz w:val="20"/>
                <w:szCs w:val="20"/>
                <w:color w:val="auto"/>
              </w:rPr>
            </w:pPr>
            <w:r>
              <w:rPr>
                <w:rFonts w:ascii="Arial" w:cs="Arial" w:eastAsia="Arial" w:hAnsi="Arial"/>
                <w:sz w:val="15"/>
                <w:szCs w:val="15"/>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THE CARLYLE GROUP INC.</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1001 PENNSYLVANIA AVE. NW SUITE 220 S</w:t>
      </w: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240" w:type="dxa"/>
            <w:vAlign w:val="bottom"/>
          </w:tcPr>
          <w:p>
            <w:pPr>
              <w:spacing w:after="0"/>
              <w:rPr>
                <w:sz w:val="20"/>
                <w:szCs w:val="20"/>
                <w:color w:val="auto"/>
              </w:rPr>
            </w:pPr>
            <w:r>
              <w:rPr>
                <w:rFonts w:ascii="Arial" w:cs="Arial" w:eastAsia="Arial" w:hAnsi="Arial"/>
                <w:sz w:val="15"/>
                <w:szCs w:val="15"/>
                <w:color w:val="auto"/>
              </w:rPr>
              <w:t>(Street)</w:t>
            </w:r>
          </w:p>
        </w:tc>
        <w:tc>
          <w:tcPr>
            <w:tcW w:w="1500" w:type="dxa"/>
            <w:vAlign w:val="bottom"/>
          </w:tcPr>
          <w:p>
            <w:pPr>
              <w:spacing w:after="0"/>
              <w:rPr>
                <w:sz w:val="17"/>
                <w:szCs w:val="17"/>
                <w:color w:val="auto"/>
              </w:rPr>
            </w:pPr>
          </w:p>
        </w:tc>
      </w:tr>
      <w:tr>
        <w:trPr>
          <w:trHeight w:val="265"/>
        </w:trPr>
        <w:tc>
          <w:tcPr>
            <w:tcW w:w="22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WASHINGTON DC</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20004-2505</w:t>
            </w:r>
          </w:p>
        </w:tc>
      </w:tr>
    </w:tbl>
    <w:p>
      <w:pPr>
        <w:spacing w:after="0" w:line="200" w:lineRule="exact"/>
        <w:rPr>
          <w:sz w:val="20"/>
          <w:szCs w:val="20"/>
          <w:color w:val="auto"/>
        </w:rPr>
      </w:pPr>
    </w:p>
    <w:p>
      <w:pPr>
        <w:sectPr>
          <w:pgSz w:w="11900" w:h="16838" w:orient="portrait"/>
          <w:cols w:equalWidth="0" w:num="1">
            <w:col w:w="9959"/>
          </w:cols>
          <w:pgMar w:left="500" w:top="169" w:right="1440" w:bottom="0" w:gutter="0" w:footer="0" w:header="0"/>
        </w:sectPr>
      </w:pPr>
    </w:p>
    <w:p>
      <w:pPr>
        <w:spacing w:after="0" w:line="147"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ectPr>
          <w:pgSz w:w="11900" w:h="16838" w:orient="portrait"/>
          <w:cols w:equalWidth="0" w:num="1">
            <w:col w:w="9959"/>
          </w:cols>
          <w:pgMar w:left="500" w:top="169" w:right="1440"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2004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2798445" cy="2004060"/>
                    </a:xfrm>
                    <a:prstGeom prst="rect">
                      <a:avLst/>
                    </a:prstGeom>
                    <a:noFill/>
                  </pic:spPr>
                </pic:pic>
              </a:graphicData>
            </a:graphic>
          </wp:anchor>
        </w:drawing>
        <w:t>1. Name and Address of Reporting Person</w:t>
      </w:r>
      <w:r>
        <w:rPr>
          <w:rFonts w:ascii="Arial" w:cs="Arial" w:eastAsia="Arial" w:hAnsi="Arial"/>
          <w:sz w:val="25"/>
          <w:szCs w:val="25"/>
          <w:color w:val="auto"/>
          <w:vertAlign w:val="superscript"/>
        </w:rPr>
        <w:t>*</w:t>
      </w:r>
    </w:p>
    <w:p>
      <w:pPr>
        <w:ind w:left="100"/>
        <w:spacing w:after="0"/>
        <w:rPr>
          <w:rFonts w:ascii="Times New Roman" w:cs="Times New Roman" w:eastAsia="Times New Roman" w:hAnsi="Times New Roman"/>
          <w:sz w:val="24"/>
          <w:szCs w:val="24"/>
          <w:u w:val="single" w:color="auto"/>
          <w:color w:val="0000EE"/>
        </w:rPr>
      </w:pPr>
      <w:hyperlink r:id="rId21">
        <w:r>
          <w:rPr>
            <w:rFonts w:ascii="Times New Roman" w:cs="Times New Roman" w:eastAsia="Times New Roman" w:hAnsi="Times New Roman"/>
            <w:sz w:val="24"/>
            <w:szCs w:val="24"/>
            <w:u w:val="single" w:color="auto"/>
            <w:color w:val="0000EE"/>
          </w:rPr>
          <w:t>CP Circle Holdings, L.P.</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C/O THE CARLYLE GROUP INC.</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1001 PENNSYLVANIA AVE. NW SUITE 220 S</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WASHINGTON DC</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20004-2505</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firstLine="5"/>
        <w:spacing w:after="0" w:line="237"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(i) 53,901,144 shares of Class A Common Stock held by Carlyle Mozart Coinvestment Holdings, L.P., (ii) 2,674,728 shares of Class A Common Stock held by CP VII Circle AIF Holdings, S.C.Sp., (iii) 63,977,403 shares of Class A Common Stock held by CP VII Circle Holdings, L.P., (iv) 294,199 shares of Class A Common Stock held by CP VII Circle Holdings - A, L.P., (v) 7,250,692 shares of Class A Common Stock held by CP VIII Circle AIF Holdings, S.C.Sp., (vi) 29,216,339 shares of Class A Common Stock held by CP VIII Circle Holdings, L.P., (vii) 919,066 shares of Class A Common Stock held by CPEP Circle Holdings L.P. and (viii) 12,069 shares of Class A Common Stock and 77,742,972 Common Units and shares of Class B Common Stock held by CP Circle Holdings, L.P.</w:t>
      </w:r>
    </w:p>
    <w:p>
      <w:pPr>
        <w:spacing w:after="0" w:line="33" w:lineRule="exact"/>
        <w:rPr>
          <w:rFonts w:ascii="Times New Roman" w:cs="Times New Roman" w:eastAsia="Times New Roman" w:hAnsi="Times New Roman"/>
          <w:sz w:val="15"/>
          <w:szCs w:val="15"/>
          <w:color w:val="008000"/>
        </w:rPr>
      </w:pPr>
    </w:p>
    <w:p>
      <w:pPr>
        <w:ind w:right="220" w:firstLine="5"/>
        <w:spacing w:after="0" w:line="237"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Carlyle Group Inc., a publicly traded company listed on Nasdaq, is the sole shareholder of Carlyle Holdings I GP Inc., which is the sole member of Carlyle Holdings I GP Sub L.L.C., which is the general partner of Carlyle Holdings I L.P., which, with respect to the securities reported herein, is the managing member of CG Subsidiary Holdings L.L.C., which is the managing member of TC Group, L.L.C., which is the general partner of TC Group Sub L.P., which is the managing member of TC Group VII S1, L.L.C., which is the general partner of TC Group VII S1, L.P., which is the general partner of each of Carlyle Mozart Coinvestment Holdings, L.P., CP VII Circle Holdings, L.P., CP VII Circle Holdings - A, L.P. and CP Circle Holdings, L.P. and the Delaware general partner of CP VII Circle AIF Holdings, S.C.Sp.</w:t>
      </w:r>
    </w:p>
    <w:p>
      <w:pPr>
        <w:spacing w:after="0" w:line="33" w:lineRule="exact"/>
        <w:rPr>
          <w:rFonts w:ascii="Times New Roman" w:cs="Times New Roman" w:eastAsia="Times New Roman" w:hAnsi="Times New Roman"/>
          <w:sz w:val="15"/>
          <w:szCs w:val="15"/>
          <w:color w:val="008000"/>
        </w:rPr>
      </w:pPr>
    </w:p>
    <w:p>
      <w:pPr>
        <w:ind w:right="100" w:firstLine="5"/>
        <w:spacing w:after="0" w:line="237"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CG Subsidiary Holdings L.L.C. is also the sole member of TC Group VIII, L.L.C., which is the general partner of TC Group VIII, L.P., which is the Delaware general partner of CP VIII Circle AIF Holdings, S.C.Sp. and the general partner of CP VIII Circle Holdings, L.P. TC Group Sub L.P. is also the general partner of TC Group VII Lux GP, S.a r.l., which is the Luxembourg general partner of CP VII Circle AIF Holdings, S.C.Sp. CG Subsidiary Holdings L.L.C. is also the sole shareholder of TC Group VIII Lux GP, S.a r.l., which is the Luxembourg general partner of CP VIII Circle AIF Holdings, S.C.Sp., and the managing member of CPEP GP, LLC, which is the general partner of CPEP Circle Holdings L.P.</w:t>
      </w:r>
    </w:p>
    <w:p>
      <w:pPr>
        <w:spacing w:after="0" w:line="33" w:lineRule="exact"/>
        <w:rPr>
          <w:rFonts w:ascii="Times New Roman" w:cs="Times New Roman" w:eastAsia="Times New Roman" w:hAnsi="Times New Roman"/>
          <w:sz w:val="15"/>
          <w:szCs w:val="15"/>
          <w:color w:val="008000"/>
        </w:rPr>
      </w:pPr>
    </w:p>
    <w:p>
      <w:pPr>
        <w:ind w:right="4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of the Issuer's Class B common stock ("Class B Common Stock") have no economic value and have one vote per share. One share of Class B Common Stock is issued for each common unit of Medline Holdings, LP ("Common Units") held. Upon an exchange of Common Units for shares of the Issuer's Class A common stock ("Class A Common Stock"), an equivalent number of shares of Class B Common Stock held by such holder will be automatically cancelled.</w:t>
      </w:r>
    </w:p>
    <w:p>
      <w:pPr>
        <w:spacing w:after="0" w:line="29" w:lineRule="exact"/>
        <w:rPr>
          <w:rFonts w:ascii="Times New Roman" w:cs="Times New Roman" w:eastAsia="Times New Roman" w:hAnsi="Times New Roman"/>
          <w:sz w:val="15"/>
          <w:szCs w:val="15"/>
          <w:color w:val="008000"/>
        </w:rPr>
      </w:pPr>
    </w:p>
    <w:p>
      <w:pPr>
        <w:ind w:right="20" w:firstLine="5"/>
        <w:spacing w:after="0" w:line="25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the terms of an exchange agreement, dated as of December 16, 2025, holders have the right to exchange their Common Units for shares of Class A Common Stock on a one-for-one basis, subject to customary conversion rate adjustments for stock splits, stock dividends and reclassifications. These exchange rights do not expire.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5"/>
          <w:szCs w:val="15"/>
          <w:color w:val="008000"/>
        </w:rPr>
        <w:t>Due to the limitations of the electronic filing system, The Carlyle Group Inc., Carlyle Holdings I GP Inc., Carlyle Holdings I GP Sub L.L.C., Carlyle Holdings I L.P., CG Subsidiary Holdings L.L.C., TC Group, L.L.C., TC Group Sub L.P., TC Group VII S1, L.L.C., TC Group VII S1, L.P., TC Group VIII, L.L.C., TC Group VIII, L.P., TC Group VII Lux GP, S.a r.l., TC Group VIII Lux GP, S.a r.l., and CPEP GP, LLC are filing a separate Form 3.</w:t>
      </w:r>
    </w:p>
    <w:p>
      <w:pPr>
        <w:sectPr>
          <w:pgSz w:w="11900" w:h="16838" w:orient="portrait"/>
          <w:cols w:equalWidth="0" w:num="1">
            <w:col w:w="10860"/>
          </w:cols>
          <w:pgMar w:left="520" w:top="133" w:right="519" w:bottom="0" w:gutter="0" w:footer="0" w:header="0"/>
        </w:sectPr>
      </w:pPr>
    </w:p>
    <w:p>
      <w:pPr>
        <w:spacing w:after="0" w:line="5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Carlyle Mozart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75311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75311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Coinvestment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0396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2039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L.P., By: TC Group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348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17348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S1,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6012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9601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partner, TC Group VII 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937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3093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937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3093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TC Group Sub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220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1322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member,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4046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404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Group,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952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2795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partner,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2423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8242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886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CP VII Circle AIF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91884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91884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Holdings, S.C.Sp., By: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143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2143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Group VII Lux GP, S.a 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477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3347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its manager,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728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13728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Sub L.P.,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1506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1150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member,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949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99949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937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3093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Anne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313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CP VII Circle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0396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20396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L.P., By: TC Group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348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17348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S1,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60120"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9601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partner, TC Group VII 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9370"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3093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937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3093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TC Group Sub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220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1322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member,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40460"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1404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Group,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952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2795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partner,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2423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8242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886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CP VII Circle Holdings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4523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24523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A, L.P., By: TC Group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4610"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S1,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60120"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96012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38" w:orient="portrait"/>
          <w:cols w:equalWidth="0" w:num="2">
            <w:col w:w="8640" w:space="80"/>
            <w:col w:w="2140"/>
          </w:cols>
          <w:pgMar w:left="520" w:top="133" w:right="51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8"/>
          <w:szCs w:val="18"/>
          <w:color w:val="0000FF"/>
        </w:rPr>
        <w:t>partner, TC Group VII 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09370"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130937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9370"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13093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TC Group Sub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2205"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11322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member,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40460"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11404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Group,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9525"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12795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partner,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24230"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8242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8860"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CP VIII Circle AIF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960120"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96012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Holdings, S.C.Sp., By: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1435"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132143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Group VIII Lux GP,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83640"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118364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r.l., its manager, 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6315"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9963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Subsidiary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5365"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10153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L.L.C., its manager,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7285"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113728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Anne 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7945" cy="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133794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CP VIII Circle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45235" cy="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124523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L.P., By: TC Group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45235" cy="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12452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4750" cy="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11747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TC Group VIII,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7625" cy="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general partner, 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5360" cy="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9753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Subsidiary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5365" cy="9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10153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L.L.C., its sole member,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7470" cy="9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13474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Anne 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7945" cy="9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133794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CPEP Circle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15060" cy="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111506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L.P., By: CPEP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63015" cy="9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12630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its general partner, 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23315" cy="9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11233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Subsidiary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5365" cy="95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10153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L.L.C., its manager,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7285" cy="9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113728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Anne 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7945" cy="9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133794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CP Circle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56030" cy="9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125603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TC Group VII 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11250" cy="9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11112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4750" cy="95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11747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TC Group VII S1,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90320" cy="95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12903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its general partner,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9345" cy="95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110934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Group Sub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2975" cy="95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94297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member,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40460" cy="95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11404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Group,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9525" cy="95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12795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partner,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24230" cy="95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8242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8860" cy="95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1287" w:lineRule="exact"/>
        <w:rPr>
          <w:sz w:val="20"/>
          <w:szCs w:val="20"/>
          <w:color w:val="auto"/>
        </w:rPr>
      </w:pPr>
    </w:p>
    <w:p>
      <w:pPr>
        <w:sectPr>
          <w:pgSz w:w="11900" w:h="16838" w:orient="portrait"/>
          <w:cols w:equalWidth="0" w:num="2">
            <w:col w:w="8660" w:space="60"/>
            <w:col w:w="2100"/>
          </w:cols>
          <w:pgMar w:left="520" w:top="124" w:right="559" w:bottom="1440" w:gutter="0" w:footer="0" w:header="0"/>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4"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4" Type="http://schemas.openxmlformats.org/officeDocument/2006/relationships/image" Target="media/image4.png"/><Relationship Id="rId20"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 Type="http://schemas.openxmlformats.org/officeDocument/2006/relationships/hyperlink" Target="http://www.sec.gov/cgi-bin/browse-edgar?action=getcompany&amp;CIK=0001878065" TargetMode="External"/><Relationship Id="rId11" Type="http://schemas.openxmlformats.org/officeDocument/2006/relationships/hyperlink" Target="http://www.sec.gov/cgi-bin/browse-edgar?action=getcompany&amp;CIK=0002046386" TargetMode="External"/><Relationship Id="rId13" Type="http://schemas.openxmlformats.org/officeDocument/2006/relationships/hyperlink" Target="http://www.sec.gov/cgi-bin/browse-edgar?action=getcompany&amp;CIK=0002091329" TargetMode="External"/><Relationship Id="rId15" Type="http://schemas.openxmlformats.org/officeDocument/2006/relationships/hyperlink" Target="http://www.sec.gov/cgi-bin/browse-edgar?action=getcompany&amp;CIK=0002091293" TargetMode="External"/><Relationship Id="rId16" Type="http://schemas.openxmlformats.org/officeDocument/2006/relationships/hyperlink" Target="http://www.sec.gov/cgi-bin/browse-edgar?action=getcompany&amp;CIK=0002091292" TargetMode="External"/><Relationship Id="rId17" Type="http://schemas.openxmlformats.org/officeDocument/2006/relationships/hyperlink" Target="http://www.sec.gov/cgi-bin/browse-edgar?action=getcompany&amp;CIK=0002091266" TargetMode="External"/><Relationship Id="rId18" Type="http://schemas.openxmlformats.org/officeDocument/2006/relationships/hyperlink" Target="http://www.sec.gov/cgi-bin/browse-edgar?action=getcompany&amp;CIK=0002092253" TargetMode="External"/><Relationship Id="rId19" Type="http://schemas.openxmlformats.org/officeDocument/2006/relationships/hyperlink" Target="http://www.sec.gov/cgi-bin/browse-edgar?action=getcompany&amp;CIK=0002100738" TargetMode="External"/><Relationship Id="rId21" Type="http://schemas.openxmlformats.org/officeDocument/2006/relationships/hyperlink" Target="http://www.sec.gov/cgi-bin/browse-edgar?action=getcompany&amp;CIK=00020912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2025-12-17T18:20:04Z</dcterms:created>
  <dcterms:modified xsi:type="dcterms:W3CDTF">2025-12-17T18:20:04Z</dcterms:modified>
</cp:coreProperties>
</file>