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-217170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5170805</wp:posOffset>
            </wp:positionH>
            <wp:positionV relativeFrom="paragraph">
              <wp:posOffset>-596900</wp:posOffset>
            </wp:positionV>
            <wp:extent cx="56515" cy="610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23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-596900</wp:posOffset>
            </wp:positionV>
            <wp:extent cx="56515" cy="610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023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633095</wp:posOffset>
            </wp:positionV>
            <wp:extent cx="7049770" cy="884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8843645"/>
                    </a:xfrm>
                    <a:prstGeom prst="rect">
                      <a:avLst/>
                    </a:prstGeom>
                    <a:noFill/>
                  </pic:spPr>
                </pic:pic>
              </a:graphicData>
            </a:graphic>
          </wp:anchor>
        </w:drawing>
      </w:r>
    </w:p>
    <w:p>
      <w:pPr>
        <w:spacing w:after="0" w:line="1062" w:lineRule="exact"/>
        <w:rPr>
          <w:sz w:val="24"/>
          <w:szCs w:val="24"/>
          <w:color w:val="auto"/>
        </w:rPr>
      </w:pPr>
    </w:p>
    <w:p>
      <w:pPr>
        <w:sectPr>
          <w:pgSz w:w="11900" w:h="16913" w:orient="portrait"/>
          <w:cols w:equalWidth="0" w:num="2">
            <w:col w:w="2280" w:space="440"/>
            <w:col w:w="8360"/>
          </w:cols>
          <w:pgMar w:left="460" w:top="213"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8"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Hellman &amp; Friedman Capital Partners X</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(Parallel), L.P.</w:t>
        </w:r>
      </w:hyperlink>
    </w:p>
    <w:p>
      <w:pPr>
        <w:spacing w:after="0" w:line="272" w:lineRule="exact"/>
        <w:rPr>
          <w:sz w:val="20"/>
          <w:szCs w:val="20"/>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00" w:right="720"/>
        <w:spacing w:after="0" w:line="352" w:lineRule="auto"/>
        <w:rPr>
          <w:sz w:val="20"/>
          <w:szCs w:val="20"/>
          <w:color w:val="auto"/>
        </w:rPr>
      </w:pPr>
      <w:r>
        <w:rPr>
          <w:rFonts w:ascii="Times New Roman" w:cs="Times New Roman" w:eastAsia="Times New Roman" w:hAnsi="Times New Roman"/>
          <w:sz w:val="16"/>
          <w:szCs w:val="16"/>
          <w:color w:val="0000FF"/>
        </w:rPr>
        <w:t>C/O HELLMAN &amp; FRIEDMAN LLC 415 MISSION STREET, SUITE 5700</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4" w:lineRule="exact"/>
        <w:rPr>
          <w:sz w:val="20"/>
          <w:szCs w:val="20"/>
          <w:color w:val="auto"/>
        </w:rPr>
      </w:pPr>
    </w:p>
    <w:p>
      <w:pPr>
        <w:ind w:left="100" w:right="340"/>
        <w:spacing w:after="0"/>
        <w:rPr>
          <w:sz w:val="20"/>
          <w:szCs w:val="20"/>
          <w:color w:val="auto"/>
        </w:rPr>
      </w:pPr>
      <w:r>
        <w:rPr>
          <w:rFonts w:ascii="Times New Roman" w:cs="Times New Roman" w:eastAsia="Times New Roman" w:hAnsi="Times New Roman"/>
          <w:sz w:val="31"/>
          <w:szCs w:val="31"/>
          <w:color w:val="0000FF"/>
          <w:vertAlign w:val="superscript"/>
        </w:rPr>
        <w:t>SAN</w:t>
      </w:r>
      <w:r>
        <w:rPr>
          <w:rFonts w:ascii="Times New Roman" w:cs="Times New Roman" w:eastAsia="Times New Roman" w:hAnsi="Times New Roman"/>
          <w:sz w:val="16"/>
          <w:szCs w:val="16"/>
          <w:color w:val="0000FF"/>
        </w:rPr>
        <w:t xml:space="preserve"> CA 94105 FRANCISCO</w:t>
      </w:r>
    </w:p>
    <w:p>
      <w:pPr>
        <w:spacing w:after="0" w:line="332" w:lineRule="exact"/>
        <w:rPr>
          <w:sz w:val="20"/>
          <w:szCs w:val="20"/>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Medline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MDLN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65"/>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780" w:type="dxa"/>
            <w:vAlign w:val="bottom"/>
            <w:tcBorders>
              <w:bottom w:val="single" w:sz="8" w:color="2C2C2C"/>
            </w:tcBorders>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03/04/2026</w:t>
            </w:r>
          </w:p>
        </w:tc>
        <w:tc>
          <w:tcPr>
            <w:tcW w:w="2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710" w:lineRule="exact"/>
        <w:rPr>
          <w:sz w:val="20"/>
          <w:szCs w:val="20"/>
          <w:color w:val="auto"/>
        </w:rPr>
      </w:pPr>
    </w:p>
    <w:p>
      <w:pPr>
        <w:sectPr>
          <w:pgSz w:w="11900" w:h="16913" w:orient="portrait"/>
          <w:cols w:equalWidth="0" w:num="2">
            <w:col w:w="3300" w:space="540"/>
            <w:col w:w="7240"/>
          </w:cols>
          <w:pgMar w:left="460" w:top="213"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jc w:val="center"/>
              <w:ind w:left="671"/>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5"/>
                <w:szCs w:val="5"/>
                <w:color w:val="auto"/>
              </w:rPr>
            </w:pPr>
          </w:p>
        </w:tc>
        <w:tc>
          <w:tcPr>
            <w:tcW w:w="860" w:type="dxa"/>
            <w:vAlign w:val="bottom"/>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08"/>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691"/>
              <w:spacing w:after="0"/>
              <w:rPr>
                <w:sz w:val="20"/>
                <w:szCs w:val="20"/>
                <w:color w:val="auto"/>
              </w:rPr>
            </w:pPr>
            <w:r>
              <w:rPr>
                <w:rFonts w:ascii="Times New Roman" w:cs="Times New Roman" w:eastAsia="Times New Roman" w:hAnsi="Times New Roman"/>
                <w:sz w:val="16"/>
                <w:szCs w:val="16"/>
                <w:color w:val="0000FF"/>
                <w:w w:val="98"/>
              </w:rPr>
              <w:t>03/04/2026</w:t>
            </w:r>
          </w:p>
        </w:tc>
        <w:tc>
          <w:tcPr>
            <w:tcW w:w="102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13,198,914</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13,218,224</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Investment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Holdings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vMerge w:val="restart"/>
          </w:tcPr>
          <w:p>
            <w:pPr>
              <w:jc w:val="center"/>
              <w:ind w:left="691"/>
              <w:spacing w:after="0"/>
              <w:rPr>
                <w:sz w:val="20"/>
                <w:szCs w:val="20"/>
                <w:color w:val="auto"/>
              </w:rPr>
            </w:pPr>
            <w:r>
              <w:rPr>
                <w:rFonts w:ascii="Times New Roman" w:cs="Times New Roman" w:eastAsia="Times New Roman" w:hAnsi="Times New Roman"/>
                <w:sz w:val="16"/>
                <w:szCs w:val="16"/>
                <w:color w:val="0000FF"/>
                <w:w w:val="98"/>
              </w:rPr>
              <w:t>03/04/2026</w:t>
            </w:r>
          </w:p>
        </w:tc>
        <w:tc>
          <w:tcPr>
            <w:tcW w:w="102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13,198,914</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(5)</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102,590,053</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Investment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Holdings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I, L.P.</w:t>
            </w:r>
            <w:r>
              <w:rPr>
                <w:rFonts w:ascii="Times New Roman" w:cs="Times New Roman" w:eastAsia="Times New Roman" w:hAnsi="Times New Roman"/>
                <w:sz w:val="20"/>
                <w:szCs w:val="20"/>
                <w:color w:val="008000"/>
                <w:vertAlign w:val="superscript"/>
              </w:rPr>
              <w:t>(3)(4)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vMerge w:val="restart"/>
          </w:tcPr>
          <w:p>
            <w:pPr>
              <w:jc w:val="center"/>
              <w:ind w:left="691"/>
              <w:spacing w:after="0"/>
              <w:rPr>
                <w:sz w:val="20"/>
                <w:szCs w:val="20"/>
                <w:color w:val="auto"/>
              </w:rPr>
            </w:pPr>
            <w:r>
              <w:rPr>
                <w:rFonts w:ascii="Times New Roman" w:cs="Times New Roman" w:eastAsia="Times New Roman" w:hAnsi="Times New Roman"/>
                <w:sz w:val="16"/>
                <w:szCs w:val="16"/>
                <w:color w:val="0000FF"/>
                <w:w w:val="98"/>
              </w:rPr>
              <w:t>03/05/2026</w:t>
            </w:r>
          </w:p>
        </w:tc>
        <w:tc>
          <w:tcPr>
            <w:tcW w:w="102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1,979,837</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(5)</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15,198,061</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Investment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Holdings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line="259" w:lineRule="exact"/>
              <w:rPr>
                <w:sz w:val="20"/>
                <w:szCs w:val="20"/>
                <w:color w:val="auto"/>
              </w:rPr>
            </w:pPr>
            <w:r>
              <w:rPr>
                <w:rFonts w:ascii="Times New Roman" w:cs="Times New Roman" w:eastAsia="Times New Roman" w:hAnsi="Times New Roman"/>
                <w:sz w:val="29"/>
                <w:szCs w:val="29"/>
                <w:color w:val="0000FF"/>
                <w:vertAlign w:val="subscript"/>
              </w:rPr>
              <w:t>I, 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vMerge w:val="restart"/>
          </w:tcPr>
          <w:p>
            <w:pPr>
              <w:jc w:val="center"/>
              <w:ind w:left="691"/>
              <w:spacing w:after="0"/>
              <w:rPr>
                <w:sz w:val="20"/>
                <w:szCs w:val="20"/>
                <w:color w:val="auto"/>
              </w:rPr>
            </w:pPr>
            <w:r>
              <w:rPr>
                <w:rFonts w:ascii="Times New Roman" w:cs="Times New Roman" w:eastAsia="Times New Roman" w:hAnsi="Times New Roman"/>
                <w:sz w:val="16"/>
                <w:szCs w:val="16"/>
                <w:color w:val="0000FF"/>
                <w:w w:val="98"/>
              </w:rPr>
              <w:t>03/05/2026</w:t>
            </w:r>
          </w:p>
        </w:tc>
        <w:tc>
          <w:tcPr>
            <w:tcW w:w="102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(5)(6)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1,979,837</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(5)</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100,610,216</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Investment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Holdings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line="259" w:lineRule="exact"/>
              <w:rPr>
                <w:sz w:val="20"/>
                <w:szCs w:val="20"/>
                <w:color w:val="auto"/>
              </w:rPr>
            </w:pPr>
            <w:r>
              <w:rPr>
                <w:rFonts w:ascii="Times New Roman" w:cs="Times New Roman" w:eastAsia="Times New Roman" w:hAnsi="Times New Roman"/>
                <w:sz w:val="29"/>
                <w:szCs w:val="29"/>
                <w:color w:val="0000FF"/>
                <w:vertAlign w:val="subscript"/>
              </w:rPr>
              <w:t>I, 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Hellman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&amp;</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85,733,022</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Friedman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Capital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X</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(Parallel),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Borders>
              <w:bottom w:val="single" w:sz="8" w:color="2C2C2C"/>
            </w:tcBorders>
          </w:tcPr>
          <w:p>
            <w:pPr>
              <w:spacing w:after="0"/>
              <w:rPr>
                <w:sz w:val="22"/>
                <w:szCs w:val="22"/>
                <w:color w:val="auto"/>
              </w:rPr>
            </w:pPr>
          </w:p>
        </w:tc>
        <w:tc>
          <w:tcPr>
            <w:tcW w:w="1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ind w:left="100"/>
              <w:spacing w:after="0" w:line="259"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HFCP</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8,955,577</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X (Parallel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vMerge w:val="restart"/>
          </w:tcPr>
          <w:p>
            <w:pPr>
              <w:ind w:left="100"/>
              <w:spacing w:after="0" w:line="194" w:lineRule="exact"/>
              <w:rPr>
                <w:sz w:val="20"/>
                <w:szCs w:val="20"/>
                <w:color w:val="auto"/>
              </w:rPr>
            </w:pPr>
            <w:r>
              <w:rPr>
                <w:rFonts w:ascii="Times New Roman" w:cs="Times New Roman" w:eastAsia="Times New Roman" w:hAnsi="Times New Roman"/>
                <w:sz w:val="16"/>
                <w:szCs w:val="16"/>
                <w:color w:val="0000FF"/>
                <w:w w:val="96"/>
              </w:rPr>
              <w:t>- A), L.P.</w:t>
            </w:r>
            <w:r>
              <w:rPr>
                <w:rFonts w:ascii="Times New Roman" w:cs="Times New Roman" w:eastAsia="Times New Roman" w:hAnsi="Times New Roman"/>
                <w:sz w:val="20"/>
                <w:szCs w:val="20"/>
                <w:color w:val="008000"/>
                <w:w w:val="96"/>
                <w:vertAlign w:val="superscript"/>
              </w:rPr>
              <w:t>(3)</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By Mend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4,806,160</w:t>
            </w:r>
          </w:p>
        </w:tc>
        <w:tc>
          <w:tcPr>
            <w:tcW w:w="90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II,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00"/>
              <w:spacing w:after="0" w:line="259"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Mend</w:t>
            </w: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restart"/>
          </w:tcPr>
          <w:p>
            <w:pPr>
              <w:ind w:left="60"/>
              <w:spacing w:after="0" w:line="210" w:lineRule="exact"/>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(1)(2)</w:t>
            </w:r>
          </w:p>
        </w:tc>
        <w:tc>
          <w:tcPr>
            <w:tcW w:w="100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13,198,914</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62"/>
        </w:trPr>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right"/>
              <w:ind w:right="183"/>
              <w:spacing w:after="0" w:line="136" w:lineRule="exact"/>
              <w:rPr>
                <w:sz w:val="20"/>
                <w:szCs w:val="20"/>
                <w:color w:val="auto"/>
              </w:rPr>
            </w:pPr>
            <w:r>
              <w:rPr>
                <w:rFonts w:ascii="Times New Roman" w:cs="Times New Roman" w:eastAsia="Times New Roman" w:hAnsi="Times New Roman"/>
                <w:sz w:val="12"/>
                <w:szCs w:val="12"/>
                <w:color w:val="0000FF"/>
              </w:rPr>
              <w:t>03/04/2026</w:t>
            </w:r>
          </w:p>
        </w:tc>
        <w:tc>
          <w:tcPr>
            <w:tcW w:w="10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0" w:type="dxa"/>
            <w:vAlign w:val="bottom"/>
            <w:vMerge w:val="restart"/>
          </w:tcPr>
          <w:p>
            <w:pPr>
              <w:ind w:left="380"/>
              <w:spacing w:after="0" w:line="136" w:lineRule="exact"/>
              <w:rPr>
                <w:sz w:val="20"/>
                <w:szCs w:val="20"/>
                <w:color w:val="auto"/>
              </w:rPr>
            </w:pPr>
            <w:r>
              <w:rPr>
                <w:rFonts w:ascii="Times New Roman" w:cs="Times New Roman" w:eastAsia="Times New Roman" w:hAnsi="Times New Roman"/>
                <w:sz w:val="12"/>
                <w:szCs w:val="12"/>
                <w:color w:val="0000FF"/>
              </w:rPr>
              <w:t>13,198,914</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102,590,053</w:t>
            </w:r>
          </w:p>
        </w:tc>
        <w:tc>
          <w:tcPr>
            <w:tcW w:w="700" w:type="dxa"/>
            <w:vAlign w:val="bottom"/>
            <w:vMerge w:val="restart"/>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Units</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Holdings I,</w:t>
            </w:r>
          </w:p>
        </w:tc>
        <w:tc>
          <w:tcPr>
            <w:tcW w:w="0" w:type="dxa"/>
            <w:vAlign w:val="bottom"/>
          </w:tcPr>
          <w:p>
            <w:pPr>
              <w:spacing w:after="0"/>
              <w:rPr>
                <w:sz w:val="1"/>
                <w:szCs w:val="1"/>
                <w:color w:val="auto"/>
              </w:rPr>
            </w:pPr>
          </w:p>
        </w:tc>
      </w:tr>
      <w:tr>
        <w:trPr>
          <w:trHeight w:val="61"/>
        </w:trPr>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vMerge w:val="restart"/>
          </w:tcPr>
          <w:p>
            <w:pPr>
              <w:ind w:left="60"/>
              <w:spacing w:after="0" w:line="221"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23"/>
        </w:trPr>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913"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49770" cy="10523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770" cy="1052385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Mend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2"/>
            <w:vMerge w:val="restart"/>
          </w:tcPr>
          <w:p>
            <w:pPr>
              <w:ind w:left="60"/>
              <w:spacing w:after="0" w:line="210" w:lineRule="exact"/>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(1)(6)</w:t>
            </w: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0000FF"/>
              </w:rPr>
              <w:t>1,979,837</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gridSpan w:val="3"/>
            <w:vMerge w:val="restart"/>
          </w:tcPr>
          <w:p>
            <w:pPr>
              <w:ind w:left="220"/>
              <w:spacing w:after="0" w:line="136" w:lineRule="exact"/>
              <w:rPr>
                <w:sz w:val="20"/>
                <w:szCs w:val="20"/>
                <w:color w:val="auto"/>
              </w:rPr>
            </w:pPr>
            <w:r>
              <w:rPr>
                <w:rFonts w:ascii="Times New Roman" w:cs="Times New Roman" w:eastAsia="Times New Roman" w:hAnsi="Times New Roman"/>
                <w:sz w:val="12"/>
                <w:szCs w:val="12"/>
                <w:color w:val="0000FF"/>
              </w:rPr>
              <w:t>03/05/2026</w:t>
            </w: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60" w:type="dxa"/>
            <w:vAlign w:val="bottom"/>
            <w:gridSpan w:val="2"/>
            <w:vMerge w:val="restart"/>
          </w:tcPr>
          <w:p>
            <w:pPr>
              <w:ind w:left="400"/>
              <w:spacing w:after="0" w:line="136" w:lineRule="exact"/>
              <w:rPr>
                <w:sz w:val="20"/>
                <w:szCs w:val="20"/>
                <w:color w:val="auto"/>
              </w:rPr>
            </w:pPr>
            <w:r>
              <w:rPr>
                <w:rFonts w:ascii="Times New Roman" w:cs="Times New Roman" w:eastAsia="Times New Roman" w:hAnsi="Times New Roman"/>
                <w:sz w:val="12"/>
                <w:szCs w:val="12"/>
                <w:color w:val="0000FF"/>
              </w:rPr>
              <w:t>1,979,837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100,610,216</w:t>
            </w:r>
          </w:p>
        </w:tc>
        <w:tc>
          <w:tcPr>
            <w:tcW w:w="700" w:type="dxa"/>
            <w:vAlign w:val="bottom"/>
            <w:vMerge w:val="restart"/>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Units</w:t>
            </w:r>
          </w:p>
        </w:tc>
        <w:tc>
          <w:tcPr>
            <w:tcW w:w="76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Holdings I,</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gridSpan w:val="2"/>
            <w:vMerge w:val="restart"/>
          </w:tcPr>
          <w:p>
            <w:pPr>
              <w:ind w:left="60"/>
              <w:spacing w:after="0" w:line="221"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2440" w:type="dxa"/>
            <w:vAlign w:val="bottom"/>
            <w:tcBorders>
              <w:top w:val="single" w:sz="8" w:color="2C2C2C"/>
            </w:tcBorders>
            <w:gridSpan w:val="7"/>
          </w:tcPr>
          <w:p>
            <w:pPr>
              <w:ind w:left="60"/>
              <w:spacing w:after="0" w:line="21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line="20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Hellman &amp; Friedman Capital Partners X (Parallel),</w:t>
              </w:r>
            </w:hyperlink>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L.P.</w:t>
              </w:r>
            </w:hyperlink>
          </w:p>
        </w:tc>
        <w:tc>
          <w:tcPr>
            <w:tcW w:w="7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0000FF"/>
              </w:rPr>
              <w:t>94105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spacing w:after="0" w:line="209"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HFCP X (Parallel-A), L.P.</w:t>
              </w:r>
            </w:hyperlink>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0000FF"/>
              </w:rPr>
              <w:t>94105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6"/>
          </w:tcPr>
          <w:p>
            <w:pPr>
              <w:spacing w:after="0" w:line="209"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Mend Partners II, L.P.</w:t>
              </w:r>
            </w:hyperlink>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0000FF"/>
              </w:rPr>
              <w:t>94105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9"/>
          </w:tcPr>
          <w:p>
            <w:pPr>
              <w:spacing w:after="0" w:line="209"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Mend Investment Holdings I, L.P.</w:t>
              </w:r>
            </w:hyperlink>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0000FF"/>
              </w:rPr>
              <w:t>94105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4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9"/>
          </w:tcPr>
          <w:p>
            <w:pPr>
              <w:spacing w:after="0" w:line="209"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Hellman &amp; Friedman Investors X, L.P.</w:t>
              </w:r>
            </w:hyperlink>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(Middle)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0000FF"/>
              </w:rPr>
              <w:t>94105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8" w:right="359" w:bottom="0" w:gutter="0" w:footer="0" w:header="0"/>
        </w:sectPr>
      </w:pPr>
    </w:p>
    <w:p>
      <w:pPr>
        <w:ind w:left="100"/>
        <w:spacing w:after="0"/>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Mend Partners GP, LLC</w:t>
        </w:r>
      </w:hyperlink>
    </w:p>
    <w:p>
      <w:pPr>
        <w:sectPr>
          <w:pgSz w:w="11900" w:h="16838" w:orient="portrait"/>
          <w:cols w:equalWidth="0" w:num="1">
            <w:col w:w="11080"/>
          </w:cols>
          <w:pgMar w:left="460" w:top="188" w:right="359" w:bottom="0" w:gutter="0" w:footer="0" w:header="0"/>
          <w:type w:val="continuous"/>
        </w:sectPr>
      </w:pPr>
    </w:p>
    <w:bookmarkStart w:id="2" w:name="page3"/>
    <w:bookmarkEnd w:id="2"/>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2810510" cy="6129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0510" cy="612902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tcPr>
          <w:p>
            <w:pPr>
              <w:ind w:left="18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54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54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47"/>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tcPr>
          <w:p>
            <w:pPr>
              <w:ind w:left="18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Mend Investment Holdings GP, LLC</w:t>
        </w:r>
      </w:hyperlink>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tcPr>
          <w:p>
            <w:pPr>
              <w:ind w:left="180"/>
              <w:spacing w:after="0"/>
              <w:rPr>
                <w:sz w:val="20"/>
                <w:szCs w:val="20"/>
                <w:color w:val="auto"/>
              </w:rPr>
            </w:pPr>
            <w:r>
              <w:rPr>
                <w:rFonts w:ascii="Arial" w:cs="Arial" w:eastAsia="Arial" w:hAnsi="Arial"/>
                <w:sz w:val="12"/>
                <w:szCs w:val="12"/>
                <w:color w:val="auto"/>
              </w:rPr>
              <w:t>(Middle)</w:t>
            </w:r>
          </w:p>
        </w:tc>
      </w:tr>
      <w:tr>
        <w:trPr>
          <w:trHeight w:val="256"/>
        </w:trPr>
        <w:tc>
          <w:tcPr>
            <w:tcW w:w="20" w:type="dxa"/>
            <w:vAlign w:val="bottom"/>
          </w:tcPr>
          <w:p>
            <w:pPr>
              <w:spacing w:after="0"/>
              <w:rPr>
                <w:sz w:val="22"/>
                <w:szCs w:val="22"/>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540" w:type="dxa"/>
            <w:vAlign w:val="bottom"/>
          </w:tcPr>
          <w:p>
            <w:pPr>
              <w:spacing w:after="0"/>
              <w:rPr>
                <w:sz w:val="22"/>
                <w:szCs w:val="22"/>
                <w:color w:val="auto"/>
              </w:rPr>
            </w:pPr>
          </w:p>
        </w:tc>
      </w:tr>
      <w:tr>
        <w:trPr>
          <w:trHeight w:val="246"/>
        </w:trPr>
        <w:tc>
          <w:tcPr>
            <w:tcW w:w="2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54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47"/>
        </w:trPr>
        <w:tc>
          <w:tcPr>
            <w:tcW w:w="13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94105</w:t>
            </w:r>
          </w:p>
        </w:tc>
      </w:tr>
      <w:tr>
        <w:trPr>
          <w:trHeight w:val="141"/>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tcPr>
          <w:p>
            <w:pPr>
              <w:ind w:left="18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Hellman &amp; Friedman Capital Partners X, L.P.</w:t>
        </w:r>
      </w:hyperlink>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3"/>
        </w:trPr>
        <w:tc>
          <w:tcPr>
            <w:tcW w:w="28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720" w:type="dxa"/>
            <w:vAlign w:val="bottom"/>
            <w:gridSpan w:val="3"/>
          </w:tcPr>
          <w:p>
            <w:pPr>
              <w:spacing w:after="0" w:line="209"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H&amp;F Corporate Investors X, Ltd.</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HELLMAN &amp; FRIEDMAN LLC</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6"/>
        </w:trPr>
        <w:tc>
          <w:tcPr>
            <w:tcW w:w="8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415 MISSION STREET, SUITE 5700</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7"/>
        </w:trPr>
        <w:tc>
          <w:tcPr>
            <w:tcW w:w="14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94105</w:t>
            </w:r>
          </w:p>
        </w:tc>
        <w:tc>
          <w:tcPr>
            <w:tcW w:w="10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20" w:right="120" w:hanging="5"/>
        <w:spacing w:after="0" w:line="258"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 common units of Medline Holdings, LP ("Common Units") for shares of Class A common stock ("Class A Common Stock") of Medline Inc. (the "Issuer"), on a one-for-one basis, subject to customary conversion rate adjustments for stock splits, stock dividends and reclassifications. These exchange rights do not expire</w:t>
      </w:r>
    </w:p>
    <w:p>
      <w:pPr>
        <w:spacing w:after="0" w:line="157" w:lineRule="exact"/>
        <w:rPr>
          <w:rFonts w:ascii="Times New Roman" w:cs="Times New Roman" w:eastAsia="Times New Roman" w:hAnsi="Times New Roman"/>
          <w:sz w:val="12"/>
          <w:szCs w:val="12"/>
          <w:color w:val="008000"/>
        </w:rPr>
      </w:pPr>
    </w:p>
    <w:p>
      <w:pPr>
        <w:ind w:left="20" w:right="220" w:hanging="5"/>
        <w:spacing w:after="0" w:line="272"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4, 2026, Mend Investment Holdings I, L.P. exchanged 13,198,914 Common Units for an equal number of shares of Class A Common Stock and the Issuer automatically cancelled an equivalent number of shares of the Class B common stock ("Class B Common Stock") of the Issuer held by Mend Investment Holdings I, L.P.</w:t>
      </w:r>
    </w:p>
    <w:p>
      <w:pPr>
        <w:spacing w:after="0" w:line="6" w:lineRule="exact"/>
        <w:rPr>
          <w:rFonts w:ascii="Times New Roman" w:cs="Times New Roman" w:eastAsia="Times New Roman" w:hAnsi="Times New Roman"/>
          <w:sz w:val="12"/>
          <w:szCs w:val="12"/>
          <w:color w:val="008000"/>
        </w:rPr>
      </w:pPr>
    </w:p>
    <w:p>
      <w:pPr>
        <w:ind w:left="20" w:right="80" w:hanging="5"/>
        <w:spacing w:after="0" w:line="247"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Hellman &amp; Friedman Investors X, L.P. ("Investors X GP") is the general partner of Hellman &amp; Friedman Capital Partners X (Parallel), L.P. and HFCP X (Parallel - A), L.P. Mend Partners GP, LLC ("Mend GP") is the general partner of Mend Partners II, L.P. Investors X GP is the managing member of Mend GP. Mend Investment Holdings GP, LLC ("Mend Investment GP") is the general partner of Mend Investment Holdings I, L.P. Hellman &amp; Friedman Capital Partners X, L.P. ("HFCP X") is the managing member of Mend Investment GP. Investors X GP is the general partner of HFCP X. H&amp;F Corporate Investors X, Ltd. ("Investors X Ltd.") is the general partner of Investors X GP.</w:t>
      </w:r>
    </w:p>
    <w:p>
      <w:pPr>
        <w:spacing w:after="0" w:line="21" w:lineRule="exact"/>
        <w:rPr>
          <w:rFonts w:ascii="Times New Roman" w:cs="Times New Roman" w:eastAsia="Times New Roman" w:hAnsi="Times New Roman"/>
          <w:sz w:val="12"/>
          <w:szCs w:val="12"/>
          <w:color w:val="008000"/>
        </w:rPr>
      </w:pPr>
    </w:p>
    <w:p>
      <w:pPr>
        <w:ind w:left="20" w:right="260" w:hanging="5"/>
        <w:spacing w:after="0" w:line="272"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 three-member board of directors of Investors X Ltd. has voting and investment discretion over the securities held by Hellman &amp; Friedman Capital Partners X (Parallel), L.P., HFCP X (Parallel - A), Mend Partners II, L.P., and Mend Investment Holdings I, L.P. Each of the members of the board of directors of Investors X Ltd. disclaims beneficial ownership of such shares.</w:t>
      </w:r>
    </w:p>
    <w:p>
      <w:pPr>
        <w:spacing w:after="0" w:line="6" w:lineRule="exact"/>
        <w:rPr>
          <w:rFonts w:ascii="Times New Roman" w:cs="Times New Roman" w:eastAsia="Times New Roman" w:hAnsi="Times New Roman"/>
          <w:sz w:val="12"/>
          <w:szCs w:val="12"/>
          <w:color w:val="008000"/>
        </w:rPr>
      </w:pPr>
    </w:p>
    <w:p>
      <w:pPr>
        <w:ind w:left="20" w:hanging="5"/>
        <w:spacing w:after="0" w:line="272"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Class B Common Stock have no economic value and have one vote per share. One share of Class B Common Stock is issued for each Common Unit held. Upon an exchange of Common Units for shares of the Class A common stock, an equivalent number of shares of Class B Common Stock held by such holder will be automatically cancelled.</w:t>
      </w:r>
    </w:p>
    <w:p>
      <w:pPr>
        <w:spacing w:after="0" w:line="6" w:lineRule="exact"/>
        <w:rPr>
          <w:rFonts w:ascii="Times New Roman" w:cs="Times New Roman" w:eastAsia="Times New Roman" w:hAnsi="Times New Roman"/>
          <w:sz w:val="12"/>
          <w:szCs w:val="12"/>
          <w:color w:val="008000"/>
        </w:rPr>
      </w:pPr>
    </w:p>
    <w:p>
      <w:pPr>
        <w:ind w:left="20" w:right="280" w:hanging="5"/>
        <w:spacing w:after="0" w:line="272"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5, 2026, Mend Investment Holdings I, L.P. exchanged 1,979,837 Common Units for an equal number of shares of Class A Common Stock and the Issuer automatically cancelled an equivalent number of shares of the Class B Common Stoc held by Mend Investment Holdings I, L.P.</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0" w:lineRule="exact"/>
        <w:rPr>
          <w:sz w:val="20"/>
          <w:szCs w:val="20"/>
          <w:color w:val="auto"/>
        </w:rPr>
      </w:pPr>
    </w:p>
    <w:p>
      <w:pPr>
        <w:ind w:left="20" w:right="8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for purposes of Section 16 of the Exchange Act, or otherwise, that the Reporting Persons are subject to Section 16 of the Exchange Act or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p>
      <w:pPr>
        <w:sectPr>
          <w:pgSz w:w="11900" w:h="16851" w:orient="portrait"/>
          <w:cols w:equalWidth="0" w:num="1">
            <w:col w:w="10900"/>
          </w:cols>
          <w:pgMar w:left="480" w:top="164" w:right="519" w:bottom="0" w:gutter="0" w:footer="0" w:header="0"/>
        </w:sectPr>
      </w:pP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Investors 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77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Capital Partners X (Parallel),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01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Investors 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77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of HFCP X (Parallel -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01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57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57480"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-6350</wp:posOffset>
            </wp:positionV>
            <wp:extent cx="12452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-6985</wp:posOffset>
            </wp:positionV>
            <wp:extent cx="13627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1855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-13970</wp:posOffset>
            </wp:positionV>
            <wp:extent cx="12896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ectPr>
          <w:pgSz w:w="11900" w:h="16851" w:orient="portrait"/>
          <w:cols w:equalWidth="0" w:num="2">
            <w:col w:w="8720" w:space="60"/>
            <w:col w:w="2120"/>
          </w:cols>
          <w:pgMar w:left="480" w:top="164" w:right="519" w:bottom="0" w:gutter="0" w:footer="0" w:header="0"/>
          <w:type w:val="continuous"/>
        </w:sectPr>
      </w:pPr>
    </w:p>
    <w:bookmarkStart w:id="3" w:name="page4"/>
    <w:bookmarkEnd w:id="3"/>
    <w:p>
      <w:pPr>
        <w:ind w:left="6565"/>
        <w:spacing w:after="0"/>
        <w:rPr>
          <w:sz w:val="20"/>
          <w:szCs w:val="20"/>
          <w:color w:val="auto"/>
        </w:rPr>
      </w:pPr>
      <w:r>
        <w:rPr>
          <w:rFonts w:ascii="Times New Roman" w:cs="Times New Roman" w:eastAsia="Times New Roman" w:hAnsi="Times New Roman"/>
          <w:sz w:val="16"/>
          <w:szCs w:val="16"/>
          <w:color w:val="0000FF"/>
        </w:rPr>
        <w:t>Investors X,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788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member of Mend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306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118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118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Mend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8959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89598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VP of H&amp;F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5666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Corporate Investors X, Ltd.,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92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GP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322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322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L.P.,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182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1823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Hellman &amp; Friedman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8554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Partners X, L.P., the MM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296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Mend Investment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788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LLC, the GP of 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8928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89281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Investment 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156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13627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8554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67881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13627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8554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788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 of Mend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306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917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91770"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13627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8554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L.P.,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576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1576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Hellman &amp; Friedman X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46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8460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Partners,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404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4046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 of Mend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798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Holding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70421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0421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Vice President of H&amp;F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13627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36271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Investors X,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8554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855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Investors X,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1772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772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partner 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12896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Capital Partners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9575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9575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46228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62280" cy="7620"/>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8705" w:space="60"/>
            <w:col w:w="1199"/>
          </w:cols>
          <w:pgMar w:left="495" w:top="127" w:right="1440" w:bottom="1440" w:gutter="0" w:footer="0" w:header="0"/>
        </w:sectPr>
      </w:pPr>
    </w:p>
    <w:p>
      <w:pPr>
        <w:ind w:left="6565"/>
        <w:spacing w:after="0"/>
        <w:rPr>
          <w:sz w:val="20"/>
          <w:szCs w:val="20"/>
          <w:color w:val="auto"/>
        </w:rPr>
      </w:pPr>
      <w:r>
        <w:rPr>
          <w:rFonts w:ascii="Times New Roman" w:cs="Times New Roman" w:eastAsia="Times New Roman" w:hAnsi="Times New Roman"/>
          <w:sz w:val="16"/>
          <w:szCs w:val="16"/>
          <w:color w:val="0000FF"/>
        </w:rPr>
        <w:t>By: /s/ Jacob Best; Jacob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-6350</wp:posOffset>
            </wp:positionV>
            <wp:extent cx="124523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Vice President of H&amp;F Corporate 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-6985</wp:posOffset>
            </wp:positionV>
            <wp:extent cx="185864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85864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Investors 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-13970</wp:posOffset>
            </wp:positionV>
            <wp:extent cx="6870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87070" cy="7620"/>
                    </a:xfrm>
                    <a:prstGeom prst="rect">
                      <a:avLst/>
                    </a:prstGeom>
                    <a:noFill/>
                  </pic:spPr>
                </pic:pic>
              </a:graphicData>
            </a:graphic>
          </wp:anchor>
        </w:drawing>
      </w:r>
    </w:p>
    <w:p>
      <w:pPr>
        <w:spacing w:after="0" w:line="30" w:lineRule="exact"/>
        <w:rPr>
          <w:sz w:val="20"/>
          <w:szCs w:val="20"/>
          <w:color w:val="auto"/>
        </w:rPr>
      </w:pPr>
    </w:p>
    <w:p>
      <w:pPr>
        <w:ind w:left="6565"/>
        <w:spacing w:after="0"/>
        <w:tabs>
          <w:tab w:leader="none" w:pos="8744"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2879" w:hanging="5"/>
        <w:spacing w:after="0" w:line="320"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13" Type="http://schemas.openxmlformats.org/officeDocument/2006/relationships/hyperlink" Target="http://www.sec.gov/cgi-bin/browse-edgar?action=getcompany&amp;CIK=0001841430" TargetMode="External"/><Relationship Id="rId14" Type="http://schemas.openxmlformats.org/officeDocument/2006/relationships/hyperlink" Target="http://www.sec.gov/cgi-bin/browse-edgar?action=getcompany&amp;CIK=0002046386" TargetMode="External"/><Relationship Id="rId16" Type="http://schemas.openxmlformats.org/officeDocument/2006/relationships/hyperlink" Target="http://www.sec.gov/cgi-bin/browse-edgar?action=getcompany&amp;CIK=0001841189" TargetMode="External"/><Relationship Id="rId17" Type="http://schemas.openxmlformats.org/officeDocument/2006/relationships/hyperlink" Target="http://www.sec.gov/cgi-bin/browse-edgar?action=getcompany&amp;CIK=0001877047" TargetMode="External"/><Relationship Id="rId18" Type="http://schemas.openxmlformats.org/officeDocument/2006/relationships/hyperlink" Target="http://www.sec.gov/cgi-bin/browse-edgar?action=getcompany&amp;CIK=0002074968" TargetMode="External"/><Relationship Id="rId19" Type="http://schemas.openxmlformats.org/officeDocument/2006/relationships/hyperlink" Target="http://www.sec.gov/cgi-bin/browse-edgar?action=getcompany&amp;CIK=0001868392" TargetMode="External"/><Relationship Id="rId20" Type="http://schemas.openxmlformats.org/officeDocument/2006/relationships/hyperlink" Target="http://www.sec.gov/cgi-bin/browse-edgar?action=getcompany&amp;CIK=0002074972" TargetMode="External"/><Relationship Id="rId22" Type="http://schemas.openxmlformats.org/officeDocument/2006/relationships/hyperlink" Target="http://www.sec.gov/cgi-bin/browse-edgar?action=getcompany&amp;CIK=0002074980" TargetMode="External"/><Relationship Id="rId23" Type="http://schemas.openxmlformats.org/officeDocument/2006/relationships/hyperlink" Target="http://www.sec.gov/cgi-bin/browse-edgar?action=getcompany&amp;CIK=0001841434" TargetMode="External"/><Relationship Id="rId24" Type="http://schemas.openxmlformats.org/officeDocument/2006/relationships/hyperlink" Target="http://www.sec.gov/cgi-bin/browse-edgar?action=getcompany&amp;CIK=0001901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2026-03-06T16:31:46Z</dcterms:created>
  <dcterms:modified xsi:type="dcterms:W3CDTF">2026-03-06T16:31:46Z</dcterms:modified>
</cp:coreProperties>
</file>