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BCP 8 Holdings Mozart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41"/>
        <w:gridCol w:w="903"/>
        <w:gridCol w:w="778"/>
        <w:gridCol w:w="600"/>
        <w:gridCol w:w="324"/>
        <w:gridCol w:w="1234"/>
        <w:gridCol w:w="383"/>
        <w:gridCol w:w="982"/>
        <w:gridCol w:w="1295"/>
        <w:gridCol w:w="912"/>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19,712,326</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89,537,913</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9,858,774</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10,185</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2,256,800</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10,250,904</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1,489,924</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(5)(7)(8)</w:t>
            </w:r>
            <w:r>
              <w:rPr/>
              <w:t xml:space="preserve"> </w:t>
            </w:r>
          </w:p>
        </w:tc>
      </w:tr>
      <w:tr>
        <w:trPr/>
        <w:tc>
          <w:tcPr>
            <w:tcW w:w="16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(9)</w:t>
            </w:r>
            <w:r>
              <w:rPr/>
              <w:t xml:space="preserve"> </w:t>
            </w:r>
          </w:p>
        </w:tc>
        <w:tc>
          <w:tcPr>
            <w:tcW w:w="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438,214</w:t>
            </w:r>
          </w:p>
        </w:tc>
        <w:tc>
          <w:tcPr>
            <w:tcW w:w="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2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1,990,467</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(6)(7)(8)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BCP 8 Holdings Mozart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BMA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Blackstone Holdings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Blackstone Holdings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Blackstone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Blackstone Group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SCHWARZMAN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closing of the secondary offering of Class A common stock ("Class A Common Stock") of Medline Inc. (the "Issuer"), certain of the Reporting Persons sold shares of Class A Common Stock to the underwriters at a price per shares equal to the public offering price of $37.00 per shares of Class A Common Stock, less the underwriting discounts and commissions of $0.4625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of the Issuer held directly by Mozart Aggregator II UNLV Holdco L.P. Blackstone Management Associates VIII L.P. is the general partner of Mozart Aggregator II UNLV Holdco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securities of the Issuer held directly by Mozart Aggregator UNLV Holdco L.P. BCP 8 Holdings Mozart Manager L.L.C. is the general partner of Mozart Aggregator UNLV Holdco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shares of Class A Common Stock of the Issuer held directly by Mozart Aggregator II LP.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 May 28, 2026, Mozart Aggregator II LP initiated in-kind distributions of shares of Class A Common Stock to one of its investors and certain affiliated entities of that investor. Such distributees have agreed to be bound in writing by the restrictions set forth in the Lock Up Agreement entered into by and among the Reporting Persons and the underwriters.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8 HOLDINGS MOZART MANAGER L.L.C., By: BMA VIII L.L.C., its managing member,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BMA VIII L.L.C.,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 L.P., By: Blackstone Holdings I/II GP L.L.C., its general partner,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I/II GP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INC.,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GROUP MANAGEMENT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A. Schwarzman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4484"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94484" TargetMode="External"/><Relationship Id="rId9" Type="http://schemas.openxmlformats.org/officeDocument/2006/relationships/hyperlink" Target="http://www.sec.gov/cgi-bin/browse-edgar?action=getcompany&amp;CIK=0002084966" TargetMode="External"/><Relationship Id="rId10" Type="http://schemas.openxmlformats.org/officeDocument/2006/relationships/hyperlink" Target="http://www.sec.gov/cgi-bin/browse-edgar?action=getcompany&amp;CIK=0001484870" TargetMode="External"/><Relationship Id="rId11" Type="http://schemas.openxmlformats.org/officeDocument/2006/relationships/hyperlink" Target="http://www.sec.gov/cgi-bin/browse-edgar?action=getcompany&amp;CIK=0001464695" TargetMode="External"/><Relationship Id="rId12" Type="http://schemas.openxmlformats.org/officeDocument/2006/relationships/hyperlink" Target="http://www.sec.gov/cgi-bin/browse-edgar?action=getcompany&amp;CIK=0001393818" TargetMode="External"/><Relationship Id="rId13" Type="http://schemas.openxmlformats.org/officeDocument/2006/relationships/hyperlink" Target="http://www.sec.gov/cgi-bin/browse-edgar?action=getcompany&amp;CIK=0001404071" TargetMode="External"/><Relationship Id="rId14" Type="http://schemas.openxmlformats.org/officeDocument/2006/relationships/hyperlink" Target="http://www.sec.gov/cgi-bin/browse-edgar?action=getcompany&amp;CIK=000107084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1599</Words>
  <Characters>8632</Characters>
  <CharactersWithSpaces>10031</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