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r>
        <w:rPr>
          <w:rFonts w:ascii="Times New Roman" w:cs="Times New Roman" w:eastAsia="Times New Roman" w:hAnsi="Times New Roman"/>
          <w:sz w:val="18"/>
          <w:szCs w:val="18"/>
          <w:color w:val="auto"/>
        </w:rPr>
        <w:t>: June 11, 2026</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Medline Inc.</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001-43022</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33-1845288</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 w:lineRule="exact"/>
        <w:rPr>
          <w:sz w:val="24"/>
          <w:szCs w:val="24"/>
          <w:color w:val="auto"/>
        </w:rPr>
      </w:pPr>
    </w:p>
    <w:p>
      <w:pPr>
        <w:sectPr>
          <w:pgSz w:w="11900" w:h="16838" w:orient="portrait"/>
          <w:cols w:equalWidth="0" w:num="3">
            <w:col w:w="3900" w:space="720"/>
            <w:col w:w="2620" w:space="720"/>
            <w:col w:w="3280"/>
          </w:cols>
          <w:pgMar w:left="320" w:top="1245" w:right="339"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8"/>
          <w:szCs w:val="18"/>
          <w:color w:val="auto"/>
        </w:rPr>
        <w:t>incorporation)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Lakes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Northfield, IL 60093</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(847) 949-5500</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ectPr>
          <w:pgSz w:w="11900" w:h="16838" w:orient="portrait"/>
          <w:cols w:equalWidth="0" w:num="1">
            <w:col w:w="11240"/>
          </w:cols>
          <w:pgMar w:left="320" w:top="1245" w:right="339" w:bottom="1440" w:gutter="0" w:footer="0" w:header="0"/>
          <w:type w:val="continuous"/>
        </w:sectPr>
      </w:pP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284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8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rPr>
              <w:t>Class A common stock, par value $0.0001 per</w:t>
            </w:r>
          </w:p>
        </w:tc>
        <w:tc>
          <w:tcPr>
            <w:tcW w:w="520" w:type="dxa"/>
            <w:vAlign w:val="bottom"/>
          </w:tcPr>
          <w:p>
            <w:pPr>
              <w:spacing w:after="0"/>
              <w:rPr>
                <w:sz w:val="23"/>
                <w:szCs w:val="23"/>
                <w:color w:val="auto"/>
              </w:rPr>
            </w:pPr>
          </w:p>
        </w:tc>
        <w:tc>
          <w:tcPr>
            <w:tcW w:w="198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8"/>
                <w:szCs w:val="18"/>
                <w:color w:val="auto"/>
              </w:rPr>
              <w:t>MDLN</w:t>
            </w:r>
          </w:p>
        </w:tc>
        <w:tc>
          <w:tcPr>
            <w:tcW w:w="720" w:type="dxa"/>
            <w:vAlign w:val="bottom"/>
          </w:tcPr>
          <w:p>
            <w:pPr>
              <w:spacing w:after="0"/>
              <w:rPr>
                <w:sz w:val="23"/>
                <w:szCs w:val="23"/>
                <w:color w:val="auto"/>
              </w:rPr>
            </w:pPr>
          </w:p>
        </w:tc>
        <w:tc>
          <w:tcPr>
            <w:tcW w:w="3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c>
          <w:tcPr>
            <w:tcW w:w="0" w:type="dxa"/>
            <w:vAlign w:val="bottom"/>
          </w:tcPr>
          <w:p>
            <w:pPr>
              <w:spacing w:after="0"/>
              <w:rPr>
                <w:sz w:val="1"/>
                <w:szCs w:val="1"/>
                <w:color w:val="auto"/>
              </w:rPr>
            </w:pPr>
          </w:p>
        </w:tc>
      </w:tr>
      <w:tr>
        <w:trPr>
          <w:trHeight w:val="126"/>
        </w:trPr>
        <w:tc>
          <w:tcPr>
            <w:tcW w:w="1000" w:type="dxa"/>
            <w:vAlign w:val="bottom"/>
          </w:tcPr>
          <w:p>
            <w:pPr>
              <w:spacing w:after="0"/>
              <w:rPr>
                <w:sz w:val="10"/>
                <w:szCs w:val="10"/>
                <w:color w:val="auto"/>
              </w:rPr>
            </w:pPr>
          </w:p>
        </w:tc>
        <w:tc>
          <w:tcPr>
            <w:tcW w:w="2840" w:type="dxa"/>
            <w:vAlign w:val="bottom"/>
            <w:gridSpan w:val="2"/>
            <w:vMerge w:val="restart"/>
          </w:tcPr>
          <w:p>
            <w:pPr>
              <w:jc w:val="center"/>
              <w:ind w:right="1500"/>
              <w:spacing w:after="0"/>
              <w:rPr>
                <w:sz w:val="20"/>
                <w:szCs w:val="20"/>
                <w:color w:val="auto"/>
              </w:rPr>
            </w:pPr>
            <w:r>
              <w:rPr>
                <w:rFonts w:ascii="Times New Roman" w:cs="Times New Roman" w:eastAsia="Times New Roman" w:hAnsi="Times New Roman"/>
                <w:sz w:val="18"/>
                <w:szCs w:val="18"/>
                <w:color w:val="auto"/>
                <w:w w:val="99"/>
              </w:rPr>
              <w:t>share</w:t>
            </w:r>
          </w:p>
        </w:tc>
        <w:tc>
          <w:tcPr>
            <w:tcW w:w="520" w:type="dxa"/>
            <w:vAlign w:val="bottom"/>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3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284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1"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480"/>
        <w:spacing w:after="0" w:line="207" w:lineRule="exact"/>
        <w:tabs>
          <w:tab w:leader="none" w:pos="86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June 11, 2026, Medline Inc. (the “Company”) held its 2026 Annual Meeting of Stockholders (the “Annual Meeting”) for the purposes of (i) electing the 12 director nominees named in the proxy statement for the Annual Meeting filed with the Securities and Exchange Commission on April 23, 2026; (ii) approving, on an advisory basis, the Company’s executive compensation; (iii) approving the frequency of holding advisory votes to approve the Company’s executive compensation; and (iv) ratifying the selection of Ernst &amp; Young LLP as the Company’s independent auditor for the fiscal year ending December 31, 2026.</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Stockholders were entitled to one vote per share of the Company’s Class A common stock, par value $0.0001 per share (“Class A Common Stock”) held and one vote per share of the Company’s Class B common stock, par value $0.0001 per share (“Class B Common Stock”) held on the matters presented at the Annual Meeting. The Class A Common Stock and Class B Common Stock voted as a single class on all matters presented at the Annual Meeting. The final results of the stockholder vote are set forth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 Election of Directors.</w:t>
      </w:r>
      <w:r>
        <w:rPr>
          <w:rFonts w:ascii="Times New Roman" w:cs="Times New Roman" w:eastAsia="Times New Roman" w:hAnsi="Times New Roman"/>
          <w:sz w:val="18"/>
          <w:szCs w:val="18"/>
          <w:color w:val="auto"/>
        </w:rPr>
        <w:t xml:space="preserve"> Stockholders elected each of the 12 nominees to serve as a director of the Company for a one-year term expiring at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2027 Annual Meeting of Stockholders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8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 For</w:t>
            </w:r>
          </w:p>
        </w:tc>
        <w:tc>
          <w:tcPr>
            <w:tcW w:w="30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Shares Withheld</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3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r>
        <w:trPr>
          <w:trHeight w:val="230"/>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 N. Mills</w:t>
            </w:r>
          </w:p>
        </w:tc>
        <w:tc>
          <w:tcPr>
            <w:tcW w:w="28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1,190,578,539</w:t>
            </w:r>
          </w:p>
        </w:tc>
        <w:tc>
          <w:tcPr>
            <w:tcW w:w="3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4,959,993</w:t>
            </w:r>
          </w:p>
        </w:tc>
        <w:tc>
          <w:tcPr>
            <w:tcW w:w="3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15,907,427</w:t>
            </w:r>
          </w:p>
        </w:tc>
      </w:tr>
      <w:tr>
        <w:trPr>
          <w:trHeight w:val="234"/>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P. Baratta</w:t>
            </w:r>
          </w:p>
        </w:tc>
        <w:tc>
          <w:tcPr>
            <w:tcW w:w="2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1,187,349,612</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8,188,920</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15,907,427</w:t>
            </w:r>
          </w:p>
        </w:tc>
      </w:tr>
      <w:tr>
        <w:trPr>
          <w:trHeight w:val="22"/>
        </w:trPr>
        <w:tc>
          <w:tcPr>
            <w:tcW w:w="2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36"/>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Jacob D. Best</w:t>
            </w:r>
          </w:p>
        </w:tc>
        <w:tc>
          <w:tcPr>
            <w:tcW w:w="28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1,184,283,692</w:t>
            </w:r>
          </w:p>
        </w:tc>
        <w:tc>
          <w:tcPr>
            <w:tcW w:w="3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11,254,840</w:t>
            </w:r>
          </w:p>
        </w:tc>
        <w:tc>
          <w:tcPr>
            <w:tcW w:w="3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15,907,427</w:t>
            </w:r>
          </w:p>
        </w:tc>
      </w:tr>
      <w:tr>
        <w:trPr>
          <w:trHeight w:val="234"/>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Todd M. Bluedorn</w:t>
            </w:r>
          </w:p>
        </w:tc>
        <w:tc>
          <w:tcPr>
            <w:tcW w:w="2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1,191,284,106</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4,254,426</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15,907,427</w:t>
            </w:r>
          </w:p>
        </w:tc>
      </w:tr>
      <w:tr>
        <w:trPr>
          <w:trHeight w:val="22"/>
        </w:trPr>
        <w:tc>
          <w:tcPr>
            <w:tcW w:w="2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37"/>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M. Boyle</w:t>
            </w:r>
          </w:p>
        </w:tc>
        <w:tc>
          <w:tcPr>
            <w:tcW w:w="28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1,191,290,295</w:t>
            </w:r>
          </w:p>
        </w:tc>
        <w:tc>
          <w:tcPr>
            <w:tcW w:w="3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4,248,237</w:t>
            </w:r>
          </w:p>
        </w:tc>
        <w:tc>
          <w:tcPr>
            <w:tcW w:w="3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15,907,427</w:t>
            </w:r>
          </w:p>
        </w:tc>
      </w:tr>
      <w:tr>
        <w:trPr>
          <w:trHeight w:val="234"/>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A. Galanti</w:t>
            </w:r>
          </w:p>
        </w:tc>
        <w:tc>
          <w:tcPr>
            <w:tcW w:w="2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1,187,400,373</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8,138,159</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15,907,427</w:t>
            </w:r>
          </w:p>
        </w:tc>
      </w:tr>
      <w:tr>
        <w:trPr>
          <w:trHeight w:val="22"/>
        </w:trPr>
        <w:tc>
          <w:tcPr>
            <w:tcW w:w="2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36"/>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J. Healy</w:t>
            </w:r>
          </w:p>
        </w:tc>
        <w:tc>
          <w:tcPr>
            <w:tcW w:w="28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1,191,257,516</w:t>
            </w:r>
          </w:p>
        </w:tc>
        <w:tc>
          <w:tcPr>
            <w:tcW w:w="3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4,281,016</w:t>
            </w:r>
          </w:p>
        </w:tc>
        <w:tc>
          <w:tcPr>
            <w:tcW w:w="3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15,907,427</w:t>
            </w:r>
          </w:p>
        </w:tc>
      </w:tr>
      <w:tr>
        <w:trPr>
          <w:trHeight w:val="234"/>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J. Mills</w:t>
            </w:r>
          </w:p>
        </w:tc>
        <w:tc>
          <w:tcPr>
            <w:tcW w:w="2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1,190,955,225</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4,583,307</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15,907,427</w:t>
            </w:r>
          </w:p>
        </w:tc>
      </w:tr>
      <w:tr>
        <w:trPr>
          <w:trHeight w:val="22"/>
        </w:trPr>
        <w:tc>
          <w:tcPr>
            <w:tcW w:w="2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37"/>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R. Schmidt</w:t>
            </w:r>
          </w:p>
        </w:tc>
        <w:tc>
          <w:tcPr>
            <w:tcW w:w="28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1,151,561,782</w:t>
            </w:r>
          </w:p>
        </w:tc>
        <w:tc>
          <w:tcPr>
            <w:tcW w:w="3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43,976,750</w:t>
            </w:r>
          </w:p>
        </w:tc>
        <w:tc>
          <w:tcPr>
            <w:tcW w:w="3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15,907,427</w:t>
            </w:r>
          </w:p>
        </w:tc>
      </w:tr>
      <w:tr>
        <w:trPr>
          <w:trHeight w:val="234"/>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Anushka M. Sunder</w:t>
            </w:r>
          </w:p>
        </w:tc>
        <w:tc>
          <w:tcPr>
            <w:tcW w:w="2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1,188,360,787</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7,177,745</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15,907,427</w:t>
            </w:r>
          </w:p>
        </w:tc>
      </w:tr>
      <w:tr>
        <w:trPr>
          <w:trHeight w:val="22"/>
        </w:trPr>
        <w:tc>
          <w:tcPr>
            <w:tcW w:w="2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37"/>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W. Sweet</w:t>
            </w:r>
          </w:p>
        </w:tc>
        <w:tc>
          <w:tcPr>
            <w:tcW w:w="28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1,187,354,719</w:t>
            </w:r>
          </w:p>
        </w:tc>
        <w:tc>
          <w:tcPr>
            <w:tcW w:w="3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8,183,813</w:t>
            </w:r>
          </w:p>
        </w:tc>
        <w:tc>
          <w:tcPr>
            <w:tcW w:w="3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15,907,427</w:t>
            </w:r>
          </w:p>
        </w:tc>
      </w:tr>
      <w:tr>
        <w:trPr>
          <w:trHeight w:val="234"/>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H. Wise</w:t>
            </w:r>
          </w:p>
        </w:tc>
        <w:tc>
          <w:tcPr>
            <w:tcW w:w="2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1,187,346,890</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8,191,642</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15,907,427</w:t>
            </w:r>
          </w:p>
        </w:tc>
      </w:tr>
    </w:tbl>
    <w:p>
      <w:pPr>
        <w:spacing w:after="0" w:line="3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Item 2. Advisory Vote to Approve Executive Compensation.</w:t>
      </w:r>
      <w:r>
        <w:rPr>
          <w:rFonts w:ascii="Times New Roman" w:cs="Times New Roman" w:eastAsia="Times New Roman" w:hAnsi="Times New Roman"/>
          <w:sz w:val="18"/>
          <w:szCs w:val="18"/>
          <w:color w:val="auto"/>
        </w:rPr>
        <w:t xml:space="preserve"> Stockholders approved, on an advisory basis, the Company’s executive compensation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For</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Against</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9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28"/>
        </w:trPr>
        <w:tc>
          <w:tcPr>
            <w:tcW w:w="27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1,189,280,399</w:t>
            </w:r>
          </w:p>
        </w:tc>
        <w:tc>
          <w:tcPr>
            <w:tcW w:w="288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6,203,145</w:t>
            </w:r>
          </w:p>
        </w:tc>
        <w:tc>
          <w:tcPr>
            <w:tcW w:w="26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54,988</w:t>
            </w:r>
          </w:p>
        </w:tc>
        <w:tc>
          <w:tcPr>
            <w:tcW w:w="29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15,907,427</w:t>
            </w:r>
          </w:p>
        </w:tc>
      </w:tr>
      <w:tr>
        <w:trPr>
          <w:trHeight w:val="22"/>
        </w:trPr>
        <w:tc>
          <w:tcPr>
            <w:tcW w:w="276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Item 3. Advisory Vote on the Frequency of Votes on Executive Compensation.</w:t>
      </w:r>
      <w:r>
        <w:rPr>
          <w:rFonts w:ascii="Times New Roman" w:cs="Times New Roman" w:eastAsia="Times New Roman" w:hAnsi="Times New Roman"/>
          <w:sz w:val="18"/>
          <w:szCs w:val="18"/>
          <w:color w:val="auto"/>
        </w:rPr>
        <w:t xml:space="preserve"> Stockholders approved, on an advisory basis, a frequency of one year for future advisory votes on the Company’s executive compensation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Two Years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Three Years</w:t>
            </w:r>
          </w:p>
        </w:tc>
        <w:tc>
          <w:tcPr>
            <w:tcW w:w="21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3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28"/>
        </w:trPr>
        <w:tc>
          <w:tcPr>
            <w:tcW w:w="22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1,195,424,539</w:t>
            </w:r>
          </w:p>
        </w:tc>
        <w:tc>
          <w:tcPr>
            <w:tcW w:w="21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19,303</w:t>
            </w:r>
          </w:p>
        </w:tc>
        <w:tc>
          <w:tcPr>
            <w:tcW w:w="226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61,335</w:t>
            </w:r>
          </w:p>
        </w:tc>
        <w:tc>
          <w:tcPr>
            <w:tcW w:w="21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33,355</w:t>
            </w:r>
          </w:p>
        </w:tc>
        <w:tc>
          <w:tcPr>
            <w:tcW w:w="23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15,907,427</w:t>
            </w:r>
          </w:p>
        </w:tc>
      </w:tr>
      <w:tr>
        <w:trPr>
          <w:trHeight w:val="22"/>
        </w:trPr>
        <w:tc>
          <w:tcPr>
            <w:tcW w:w="224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Ratification of the Selection of Ernst &amp; Young LLP as Independent Auditor for Fiscal Year 2026.</w:t>
      </w:r>
      <w:r>
        <w:rPr>
          <w:rFonts w:ascii="Times New Roman" w:cs="Times New Roman" w:eastAsia="Times New Roman" w:hAnsi="Times New Roman"/>
          <w:sz w:val="18"/>
          <w:szCs w:val="18"/>
          <w:color w:val="auto"/>
        </w:rPr>
        <w:t xml:space="preserve"> Stockholders ratified the selection of Ernst &amp;</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Young LLP as the Company’s independent auditor for fiscal year 2026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Shares For</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Against</w:t>
            </w:r>
          </w:p>
        </w:tc>
        <w:tc>
          <w:tcPr>
            <w:tcW w:w="36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r>
      <w:tr>
        <w:trPr>
          <w:trHeight w:val="27"/>
        </w:trPr>
        <w:tc>
          <w:tcPr>
            <w:tcW w:w="36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28"/>
        </w:trPr>
        <w:tc>
          <w:tcPr>
            <w:tcW w:w="362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1,211,242,117</w:t>
            </w:r>
          </w:p>
        </w:tc>
        <w:tc>
          <w:tcPr>
            <w:tcW w:w="396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rPr>
              <w:t>156,205</w:t>
            </w:r>
          </w:p>
        </w:tc>
        <w:tc>
          <w:tcPr>
            <w:tcW w:w="36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47,637</w:t>
            </w:r>
          </w:p>
        </w:tc>
      </w:tr>
      <w:tr>
        <w:trPr>
          <w:trHeight w:val="22"/>
        </w:trPr>
        <w:tc>
          <w:tcPr>
            <w:tcW w:w="362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decided, going forward, to hold an advisory stockholder vote on the Company’s executive compensation every year, consistent with the recommendation of the Board of Directors of the Company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by the undersigned hereunto duly authorized.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3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Alex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51435</wp:posOffset>
            </wp:positionV>
            <wp:extent cx="1157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7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Alex M.</w:t>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Liberman</w:t>
      </w:r>
    </w:p>
    <w:p>
      <w:pPr>
        <w:spacing w:after="0" w:line="3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Legal</w:t>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Officer</w:t>
      </w:r>
    </w:p>
    <w:sectPr>
      <w:pgSz w:w="11900" w:h="16838" w:orient="portrait"/>
      <w:cols w:equalWidth="0" w:num="1">
        <w:col w:w="11220"/>
      </w:cols>
      <w:pgMar w:left="320" w:top="133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2026-06-12T15:26:40Z</dcterms:created>
  <dcterms:modified xsi:type="dcterms:W3CDTF">2026-06-12T15:26:40Z</dcterms:modified>
</cp:coreProperties>
</file>