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3"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-603885</wp:posOffset>
            </wp:positionV>
            <wp:extent cx="57150"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22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-603885</wp:posOffset>
            </wp:positionV>
            <wp:extent cx="5715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22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641350</wp:posOffset>
            </wp:positionV>
            <wp:extent cx="7049135" cy="7392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7392670"/>
                    </a:xfrm>
                    <a:prstGeom prst="rect">
                      <a:avLst/>
                    </a:prstGeom>
                    <a:noFill/>
                  </pic:spPr>
                </pic:pic>
              </a:graphicData>
            </a:graphic>
          </wp:anchor>
        </w:drawing>
      </w:r>
    </w:p>
    <w:p>
      <w:pPr>
        <w:spacing w:after="0" w:line="1023" w:lineRule="exact"/>
        <w:rPr>
          <w:sz w:val="24"/>
          <w:szCs w:val="24"/>
          <w:color w:val="auto"/>
        </w:rPr>
      </w:pPr>
    </w:p>
    <w:p>
      <w:pPr>
        <w:sectPr>
          <w:pgSz w:w="11900" w:h="16855" w:orient="portrait"/>
          <w:cols w:equalWidth="0" w:num="2">
            <w:col w:w="2300" w:space="380"/>
            <w:col w:w="840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00" w:type="dxa"/>
            <w:vAlign w:val="bottom"/>
            <w:gridSpan w:val="9"/>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60" w:type="dxa"/>
            <w:vAlign w:val="bottom"/>
            <w:gridSpan w:val="8"/>
          </w:tcPr>
          <w:p>
            <w:pPr>
              <w:spacing w:after="0"/>
              <w:rPr>
                <w:sz w:val="20"/>
                <w:szCs w:val="20"/>
                <w:color w:val="auto"/>
              </w:rPr>
            </w:pPr>
            <w:r>
              <w:rPr>
                <w:rFonts w:ascii="Arial" w:cs="Arial" w:eastAsia="Arial" w:hAnsi="Arial"/>
                <w:sz w:val="12"/>
                <w:szCs w:val="12"/>
                <w:color w:val="auto"/>
              </w:rPr>
              <w:t>5. Relationship of Reporting Person(s) to Issuer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3"/>
            <w:vMerge w:val="restart"/>
          </w:tcPr>
          <w:p>
            <w:pPr>
              <w:spacing w:after="0" w:line="229" w:lineRule="exact"/>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Golwas Douglas P</w:t>
              </w:r>
            </w:hyperlink>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7"/>
          </w:tcPr>
          <w:p>
            <w:pPr>
              <w:spacing w:after="0" w:line="162"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Medline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MDLN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5"/>
          </w:tcPr>
          <w:p>
            <w:pPr>
              <w:spacing w:after="0"/>
              <w:rPr>
                <w:sz w:val="20"/>
                <w:szCs w:val="20"/>
                <w:color w:val="auto"/>
              </w:rPr>
            </w:pPr>
            <w:r>
              <w:rPr>
                <w:rFonts w:ascii="Arial" w:cs="Arial" w:eastAsia="Arial" w:hAnsi="Arial"/>
                <w:sz w:val="12"/>
                <w:szCs w:val="12"/>
                <w:color w:val="auto"/>
              </w:rPr>
              <w:t>(Check all applicable)</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tcBorders>
              <w:bottom w:val="single" w:sz="8" w:color="0000EE"/>
            </w:tcBorders>
            <w:gridSpan w:val="3"/>
            <w:vMerge w:val="continue"/>
          </w:tcPr>
          <w:p>
            <w:pPr>
              <w:spacing w:after="0"/>
              <w:rPr>
                <w:sz w:val="5"/>
                <w:szCs w:val="5"/>
                <w:color w:val="auto"/>
              </w:rPr>
            </w:pPr>
          </w:p>
        </w:tc>
        <w:tc>
          <w:tcPr>
            <w:tcW w:w="900" w:type="dxa"/>
            <w:vAlign w:val="bottom"/>
            <w:vMerge w:val="restart"/>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2"/>
                <w:szCs w:val="12"/>
                <w:color w:val="auto"/>
              </w:rPr>
              <w:t>Director</w:t>
            </w:r>
          </w:p>
        </w:tc>
        <w:tc>
          <w:tcPr>
            <w:tcW w:w="1660" w:type="dxa"/>
            <w:vAlign w:val="bottom"/>
            <w:gridSpan w:val="3"/>
            <w:vMerge w:val="restart"/>
          </w:tcPr>
          <w:p>
            <w:pPr>
              <w:ind w:left="500"/>
              <w:spacing w:after="0"/>
              <w:rPr>
                <w:sz w:val="20"/>
                <w:szCs w:val="20"/>
                <w:color w:val="auto"/>
              </w:rPr>
            </w:pPr>
            <w:r>
              <w:rPr>
                <w:rFonts w:ascii="Arial" w:cs="Arial" w:eastAsia="Arial" w:hAnsi="Arial"/>
                <w:sz w:val="12"/>
                <w:szCs w:val="12"/>
                <w:color w:val="auto"/>
              </w:rPr>
              <w:t>10% Owner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80" w:type="dxa"/>
            <w:vAlign w:val="bottom"/>
            <w:gridSpan w:val="3"/>
          </w:tcPr>
          <w:p>
            <w:pPr>
              <w:spacing w:after="0"/>
              <w:rPr>
                <w:sz w:val="4"/>
                <w:szCs w:val="4"/>
                <w:color w:val="auto"/>
              </w:rPr>
            </w:pPr>
          </w:p>
        </w:tc>
        <w:tc>
          <w:tcPr>
            <w:tcW w:w="90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tcPr>
          <w:p>
            <w:pPr>
              <w:ind w:left="120"/>
              <w:spacing w:after="0" w:line="117" w:lineRule="exact"/>
              <w:rPr>
                <w:sz w:val="20"/>
                <w:szCs w:val="20"/>
                <w:color w:val="auto"/>
              </w:rPr>
            </w:pPr>
            <w:r>
              <w:rPr>
                <w:rFonts w:ascii="Arial" w:cs="Arial" w:eastAsia="Arial" w:hAnsi="Arial"/>
                <w:sz w:val="12"/>
                <w:szCs w:val="12"/>
                <w:color w:val="auto"/>
              </w:rPr>
              <w:t>Officer (give title</w:t>
            </w:r>
          </w:p>
        </w:tc>
        <w:tc>
          <w:tcPr>
            <w:tcW w:w="1660" w:type="dxa"/>
            <w:vAlign w:val="bottom"/>
            <w:gridSpan w:val="3"/>
          </w:tcPr>
          <w:p>
            <w:pPr>
              <w:ind w:left="500"/>
              <w:spacing w:after="0" w:line="117" w:lineRule="exact"/>
              <w:rPr>
                <w:sz w:val="20"/>
                <w:szCs w:val="20"/>
                <w:color w:val="auto"/>
              </w:rPr>
            </w:pPr>
            <w:r>
              <w:rPr>
                <w:rFonts w:ascii="Arial" w:cs="Arial" w:eastAsia="Arial" w:hAnsi="Arial"/>
                <w:sz w:val="12"/>
                <w:szCs w:val="12"/>
                <w:color w:val="auto"/>
              </w:rPr>
              <w:t>Other (specify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56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1820" w:type="dxa"/>
            <w:vAlign w:val="bottom"/>
            <w:tcBorders>
              <w:top w:val="single" w:sz="8" w:color="EEEEEE"/>
              <w:bottom w:val="single" w:sz="8" w:color="EEEEEE"/>
            </w:tcBorders>
            <w:gridSpan w:val="3"/>
            <w:vMerge w:val="restart"/>
          </w:tcPr>
          <w:p>
            <w:pPr>
              <w:ind w:left="640"/>
              <w:spacing w:after="0"/>
              <w:rPr>
                <w:sz w:val="20"/>
                <w:szCs w:val="20"/>
                <w:color w:val="auto"/>
              </w:rPr>
            </w:pPr>
            <w:r>
              <w:rPr>
                <w:rFonts w:ascii="Arial" w:cs="Arial" w:eastAsia="Arial" w:hAnsi="Arial"/>
                <w:sz w:val="12"/>
                <w:szCs w:val="12"/>
                <w:color w:val="auto"/>
              </w:rPr>
              <w:t>(First)</w:t>
            </w:r>
          </w:p>
        </w:tc>
        <w:tc>
          <w:tcPr>
            <w:tcW w:w="960" w:type="dxa"/>
            <w:vAlign w:val="bottom"/>
            <w:tcBorders>
              <w:top w:val="single" w:sz="8" w:color="EEEEEE"/>
              <w:bottom w:val="single" w:sz="8" w:color="EEEEEE"/>
            </w:tcBorders>
            <w:vMerge w:val="restart"/>
          </w:tcPr>
          <w:p>
            <w:pPr>
              <w:ind w:left="60"/>
              <w:spacing w:after="0"/>
              <w:rPr>
                <w:sz w:val="20"/>
                <w:szCs w:val="20"/>
                <w:color w:val="auto"/>
              </w:rPr>
            </w:pPr>
            <w:r>
              <w:rPr>
                <w:rFonts w:ascii="Arial" w:cs="Arial" w:eastAsia="Arial" w:hAnsi="Arial"/>
                <w:sz w:val="12"/>
                <w:szCs w:val="12"/>
                <w:color w:val="auto"/>
              </w:rPr>
              <w:t>(Middle)</w:t>
            </w:r>
          </w:p>
        </w:tc>
        <w:tc>
          <w:tcPr>
            <w:tcW w:w="60" w:type="dxa"/>
            <w:vAlign w:val="bottom"/>
            <w:tcBorders>
              <w:top w:val="single" w:sz="8" w:color="EEEEEE"/>
            </w:tcBorders>
          </w:tcPr>
          <w:p>
            <w:pPr>
              <w:spacing w:after="0"/>
              <w:rPr>
                <w:sz w:val="12"/>
                <w:szCs w:val="12"/>
                <w:color w:val="auto"/>
              </w:rPr>
            </w:pPr>
          </w:p>
        </w:tc>
        <w:tc>
          <w:tcPr>
            <w:tcW w:w="24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ind w:left="120"/>
              <w:spacing w:after="0" w:line="114" w:lineRule="exact"/>
              <w:rPr>
                <w:sz w:val="20"/>
                <w:szCs w:val="20"/>
                <w:color w:val="auto"/>
              </w:rPr>
            </w:pPr>
            <w:r>
              <w:rPr>
                <w:rFonts w:ascii="Arial" w:cs="Arial" w:eastAsia="Arial" w:hAnsi="Arial"/>
                <w:sz w:val="12"/>
                <w:szCs w:val="12"/>
                <w:color w:val="auto"/>
              </w:rPr>
              <w:t>below)</w:t>
            </w:r>
          </w:p>
        </w:tc>
        <w:tc>
          <w:tcPr>
            <w:tcW w:w="1660" w:type="dxa"/>
            <w:vAlign w:val="bottom"/>
            <w:gridSpan w:val="3"/>
          </w:tcPr>
          <w:p>
            <w:pPr>
              <w:ind w:left="500"/>
              <w:spacing w:after="0" w:line="114" w:lineRule="exact"/>
              <w:rPr>
                <w:sz w:val="20"/>
                <w:szCs w:val="20"/>
                <w:color w:val="auto"/>
              </w:rPr>
            </w:pPr>
            <w:r>
              <w:rPr>
                <w:rFonts w:ascii="Arial" w:cs="Arial" w:eastAsia="Arial" w:hAnsi="Arial"/>
                <w:sz w:val="12"/>
                <w:szCs w:val="12"/>
                <w:color w:val="auto"/>
              </w:rPr>
              <w:t>below)</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700" w:type="dxa"/>
            <w:vAlign w:val="bottom"/>
            <w:gridSpan w:val="9"/>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56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color w:val="0000FF"/>
              </w:rPr>
              <w:t>Chief Commercial Officer</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3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C/O MEDLINE INC.</w:t>
            </w: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700" w:type="dxa"/>
            <w:vAlign w:val="bottom"/>
            <w:gridSpan w:val="9"/>
            <w:vMerge w:val="continue"/>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5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4"/>
            <w:vMerge w:val="continue"/>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gridSpan w:val="6"/>
          </w:tcPr>
          <w:p>
            <w:pPr>
              <w:ind w:left="440"/>
              <w:spacing w:after="0"/>
              <w:rPr>
                <w:sz w:val="20"/>
                <w:szCs w:val="20"/>
                <w:color w:val="auto"/>
              </w:rPr>
            </w:pPr>
            <w:r>
              <w:rPr>
                <w:rFonts w:ascii="Times New Roman" w:cs="Times New Roman" w:eastAsia="Times New Roman" w:hAnsi="Times New Roman"/>
                <w:sz w:val="16"/>
                <w:szCs w:val="16"/>
                <w:color w:val="0000FF"/>
              </w:rPr>
              <w:t>12/16/2025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3 LAKES DRIVE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020" w:type="dxa"/>
            <w:vAlign w:val="bottom"/>
            <w:tcBorders>
              <w:bottom w:val="single" w:sz="8" w:color="808080"/>
            </w:tcBorders>
            <w:gridSpan w:val="3"/>
          </w:tcPr>
          <w:p>
            <w:pPr>
              <w:spacing w:after="0"/>
              <w:rPr>
                <w:sz w:val="17"/>
                <w:szCs w:val="17"/>
                <w:color w:val="auto"/>
              </w:rPr>
            </w:pPr>
          </w:p>
        </w:tc>
        <w:tc>
          <w:tcPr>
            <w:tcW w:w="480" w:type="dxa"/>
            <w:vAlign w:val="bottom"/>
            <w:tcBorders>
              <w:bottom w:val="single" w:sz="8" w:color="808080"/>
            </w:tcBorders>
            <w:gridSpan w:val="2"/>
          </w:tcPr>
          <w:p>
            <w:pPr>
              <w:spacing w:after="0"/>
              <w:rPr>
                <w:sz w:val="17"/>
                <w:szCs w:val="17"/>
                <w:color w:val="auto"/>
              </w:rPr>
            </w:pPr>
          </w:p>
        </w:tc>
        <w:tc>
          <w:tcPr>
            <w:tcW w:w="1660" w:type="dxa"/>
            <w:vAlign w:val="bottom"/>
            <w:tcBorders>
              <w:bottom w:val="single" w:sz="8" w:color="808080"/>
            </w:tcBorders>
            <w:gridSpan w:val="5"/>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gridSpan w:val="2"/>
          </w:tcPr>
          <w:p>
            <w:pPr>
              <w:spacing w:after="0"/>
              <w:rPr>
                <w:sz w:val="17"/>
                <w:szCs w:val="17"/>
                <w:color w:val="auto"/>
              </w:rPr>
            </w:pPr>
          </w:p>
        </w:tc>
        <w:tc>
          <w:tcPr>
            <w:tcW w:w="2840" w:type="dxa"/>
            <w:vAlign w:val="bottom"/>
            <w:tcBorders>
              <w:bottom w:val="single" w:sz="8" w:color="808080"/>
            </w:tcBorders>
            <w:gridSpan w:val="4"/>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3160" w:type="dxa"/>
            <w:vAlign w:val="bottom"/>
            <w:tcBorders>
              <w:top w:val="single" w:sz="8" w:color="2C2C2C"/>
            </w:tcBorders>
            <w:gridSpan w:val="10"/>
          </w:tcPr>
          <w:p>
            <w:pPr>
              <w:spacing w:after="0"/>
              <w:rPr>
                <w:sz w:val="20"/>
                <w:szCs w:val="20"/>
                <w:color w:val="auto"/>
              </w:rPr>
            </w:pPr>
            <w:r>
              <w:rPr>
                <w:rFonts w:ascii="Arial" w:cs="Arial" w:eastAsia="Arial" w:hAnsi="Arial"/>
                <w:sz w:val="12"/>
                <w:szCs w:val="12"/>
                <w:color w:val="auto"/>
              </w:rPr>
              <w:t>4. If Amendment, Date of Original Filed (Month/Day/Year)</w:t>
            </w:r>
          </w:p>
        </w:tc>
        <w:tc>
          <w:tcPr>
            <w:tcW w:w="8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3240" w:type="dxa"/>
            <w:vAlign w:val="bottom"/>
            <w:tcBorders>
              <w:top w:val="single" w:sz="8" w:color="2C2C2C"/>
            </w:tcBorders>
            <w:gridSpan w:val="7"/>
          </w:tcPr>
          <w:p>
            <w:pPr>
              <w:spacing w:after="0"/>
              <w:rPr>
                <w:sz w:val="20"/>
                <w:szCs w:val="20"/>
                <w:color w:val="auto"/>
              </w:rPr>
            </w:pPr>
            <w:r>
              <w:rPr>
                <w:rFonts w:ascii="Arial" w:cs="Arial" w:eastAsia="Arial" w:hAnsi="Arial"/>
                <w:sz w:val="12"/>
                <w:szCs w:val="12"/>
                <w:color w:val="auto"/>
              </w:rPr>
              <w:t>6. Individual or Joint/Group Filing (Check Applicable Line)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NORTHFIELD   IL</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60093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5"/>
          </w:tcPr>
          <w:p>
            <w:pPr>
              <w:ind w:left="14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60" w:type="dxa"/>
            <w:vAlign w:val="bottom"/>
            <w:gridSpan w:val="5"/>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1820" w:type="dxa"/>
            <w:vAlign w:val="bottom"/>
            <w:gridSpan w:val="3"/>
          </w:tcPr>
          <w:p>
            <w:pPr>
              <w:ind w:left="640"/>
              <w:spacing w:after="0"/>
              <w:rPr>
                <w:sz w:val="20"/>
                <w:szCs w:val="20"/>
                <w:color w:val="auto"/>
              </w:rPr>
            </w:pPr>
            <w:r>
              <w:rPr>
                <w:rFonts w:ascii="Arial" w:cs="Arial" w:eastAsia="Arial" w:hAnsi="Arial"/>
                <w:sz w:val="12"/>
                <w:szCs w:val="12"/>
                <w:color w:val="auto"/>
              </w:rPr>
              <w:t>(State)</w:t>
            </w:r>
          </w:p>
        </w:tc>
        <w:tc>
          <w:tcPr>
            <w:tcW w:w="960" w:type="dxa"/>
            <w:vAlign w:val="bottom"/>
          </w:tcPr>
          <w:p>
            <w:pPr>
              <w:ind w:left="6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8"/>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5"/>
          </w:tcPr>
          <w:p>
            <w:pPr>
              <w:ind w:left="8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38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6"/>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6"/>
          </w:tcPr>
          <w:p>
            <w:pPr>
              <w:ind w:left="86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jc w:val="center"/>
              <w:ind w:right="206"/>
              <w:spacing w:after="0"/>
              <w:rPr>
                <w:sz w:val="20"/>
                <w:szCs w:val="20"/>
                <w:color w:val="auto"/>
              </w:rPr>
            </w:pPr>
            <w:r>
              <w:rPr>
                <w:rFonts w:ascii="Arial" w:cs="Arial" w:eastAsia="Arial" w:hAnsi="Arial"/>
                <w:sz w:val="11"/>
                <w:szCs w:val="11"/>
                <w:b w:val="1"/>
                <w:bCs w:val="1"/>
                <w:color w:val="auto"/>
                <w:w w:val="86"/>
              </w:rPr>
              <w:t>3.</w:t>
            </w:r>
          </w:p>
        </w:tc>
        <w:tc>
          <w:tcPr>
            <w:tcW w:w="280" w:type="dxa"/>
            <w:vAlign w:val="bottom"/>
          </w:tcPr>
          <w:p>
            <w:pPr>
              <w:spacing w:after="0"/>
              <w:rPr>
                <w:sz w:val="14"/>
                <w:szCs w:val="14"/>
                <w:color w:val="auto"/>
              </w:rPr>
            </w:pPr>
          </w:p>
        </w:tc>
        <w:tc>
          <w:tcPr>
            <w:tcW w:w="160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2"/>
          </w:tcPr>
          <w:p>
            <w:pPr>
              <w:ind w:left="16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20" w:type="dxa"/>
            <w:vAlign w:val="bottom"/>
            <w:gridSpan w:val="6"/>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w:t>
            </w:r>
          </w:p>
        </w:tc>
        <w:tc>
          <w:tcPr>
            <w:tcW w:w="3200" w:type="dxa"/>
            <w:vAlign w:val="bottom"/>
            <w:gridSpan w:val="11"/>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   Securities</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2"/>
          </w:tcPr>
          <w:p>
            <w:pPr>
              <w:ind w:left="160"/>
              <w:spacing w:after="0" w:line="124"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20" w:type="dxa"/>
            <w:vAlign w:val="bottom"/>
            <w:gridSpan w:val="6"/>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80" w:type="dxa"/>
            <w:vAlign w:val="bottom"/>
            <w:gridSpan w:val="2"/>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jc w:val="center"/>
              <w:ind w:right="186"/>
              <w:spacing w:after="0" w:line="124"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80" w:type="dxa"/>
            <w:vAlign w:val="bottom"/>
            <w:gridSpan w:val="2"/>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5"/>
                <w:szCs w:val="5"/>
                <w:color w:val="auto"/>
              </w:rPr>
            </w:pPr>
          </w:p>
        </w:tc>
        <w:tc>
          <w:tcPr>
            <w:tcW w:w="880" w:type="dxa"/>
            <w:vAlign w:val="bottom"/>
            <w:gridSpan w:val="2"/>
            <w:vMerge w:val="restart"/>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9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 or</w:t>
            </w:r>
          </w:p>
        </w:tc>
        <w:tc>
          <w:tcPr>
            <w:tcW w:w="40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2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4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w:t>
            </w:r>
          </w:p>
        </w:tc>
        <w:tc>
          <w:tcPr>
            <w:tcW w:w="40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4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ind w:right="51"/>
              <w:spacing w:after="0"/>
              <w:rPr>
                <w:sz w:val="20"/>
                <w:szCs w:val="20"/>
                <w:color w:val="auto"/>
              </w:rPr>
            </w:pPr>
            <w:r>
              <w:rPr>
                <w:rFonts w:ascii="Times New Roman" w:cs="Times New Roman" w:eastAsia="Times New Roman" w:hAnsi="Times New Roman"/>
                <w:sz w:val="16"/>
                <w:szCs w:val="16"/>
                <w:color w:val="0000FF"/>
                <w:w w:val="98"/>
              </w:rPr>
              <w:t>12/16/2025</w:t>
            </w: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ind w:right="82"/>
              <w:spacing w:after="0"/>
              <w:rPr>
                <w:sz w:val="20"/>
                <w:szCs w:val="20"/>
                <w:color w:val="auto"/>
              </w:rPr>
            </w:pPr>
            <w:r>
              <w:rPr>
                <w:rFonts w:ascii="Times New Roman" w:cs="Times New Roman" w:eastAsia="Times New Roman" w:hAnsi="Times New Roman"/>
                <w:sz w:val="16"/>
                <w:szCs w:val="16"/>
                <w:color w:val="0000FF"/>
              </w:rPr>
              <w:t>465,864</w:t>
            </w:r>
            <w:r>
              <w:rPr>
                <w:rFonts w:ascii="Times New Roman" w:cs="Times New Roman" w:eastAsia="Times New Roman" w:hAnsi="Times New Roman"/>
                <w:sz w:val="20"/>
                <w:szCs w:val="20"/>
                <w:color w:val="008000"/>
                <w:vertAlign w:val="superscript"/>
              </w:rPr>
              <w:t>(2)</w:t>
            </w: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A</w:t>
            </w:r>
          </w:p>
        </w:tc>
        <w:tc>
          <w:tcPr>
            <w:tcW w:w="1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008000"/>
              </w:rPr>
              <w:t>(1)</w:t>
            </w: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298"/>
              <w:spacing w:after="0"/>
              <w:rPr>
                <w:sz w:val="20"/>
                <w:szCs w:val="20"/>
                <w:color w:val="auto"/>
              </w:rPr>
            </w:pPr>
            <w:r>
              <w:rPr>
                <w:rFonts w:ascii="Times New Roman" w:cs="Times New Roman" w:eastAsia="Times New Roman" w:hAnsi="Times New Roman"/>
                <w:sz w:val="16"/>
                <w:szCs w:val="16"/>
                <w:color w:val="0000FF"/>
                <w:w w:val="99"/>
              </w:rPr>
              <w:t>465,864</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ind w:right="51"/>
              <w:spacing w:after="0"/>
              <w:rPr>
                <w:sz w:val="20"/>
                <w:szCs w:val="20"/>
                <w:color w:val="auto"/>
              </w:rPr>
            </w:pPr>
            <w:r>
              <w:rPr>
                <w:rFonts w:ascii="Times New Roman" w:cs="Times New Roman" w:eastAsia="Times New Roman" w:hAnsi="Times New Roman"/>
                <w:sz w:val="16"/>
                <w:szCs w:val="16"/>
                <w:color w:val="0000FF"/>
                <w:w w:val="98"/>
              </w:rPr>
              <w:t>03/05/2026</w:t>
            </w: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(3)</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02"/>
              <w:spacing w:after="0"/>
              <w:rPr>
                <w:sz w:val="20"/>
                <w:szCs w:val="20"/>
                <w:color w:val="auto"/>
              </w:rPr>
            </w:pPr>
            <w:r>
              <w:rPr>
                <w:rFonts w:ascii="Times New Roman" w:cs="Times New Roman" w:eastAsia="Times New Roman" w:hAnsi="Times New Roman"/>
                <w:sz w:val="16"/>
                <w:szCs w:val="16"/>
                <w:color w:val="0000FF"/>
              </w:rPr>
              <w:t>25,788</w:t>
            </w:r>
          </w:p>
        </w:tc>
        <w:tc>
          <w:tcPr>
            <w:tcW w:w="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A</w:t>
            </w:r>
          </w:p>
        </w:tc>
        <w:tc>
          <w:tcPr>
            <w:tcW w:w="1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3"/>
          </w:tcPr>
          <w:p>
            <w:pPr>
              <w:jc w:val="center"/>
              <w:ind w:right="147"/>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38"/>
              <w:spacing w:after="0"/>
              <w:rPr>
                <w:sz w:val="20"/>
                <w:szCs w:val="20"/>
                <w:color w:val="auto"/>
              </w:rPr>
            </w:pPr>
            <w:r>
              <w:rPr>
                <w:rFonts w:ascii="Times New Roman" w:cs="Times New Roman" w:eastAsia="Times New Roman" w:hAnsi="Times New Roman"/>
                <w:sz w:val="16"/>
                <w:szCs w:val="16"/>
                <w:color w:val="0000FF"/>
              </w:rPr>
              <w:t>25,788</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820" w:type="dxa"/>
            <w:vAlign w:val="bottom"/>
            <w:tcBorders>
              <w:top w:val="single" w:sz="8" w:color="2C2C2C"/>
            </w:tcBorders>
            <w:gridSpan w:val="24"/>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380" w:type="dxa"/>
            <w:vAlign w:val="bottom"/>
            <w:gridSpan w:val="2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5"/>
          </w:tcPr>
          <w:p>
            <w:pPr>
              <w:spacing w:after="0"/>
              <w:rPr>
                <w:sz w:val="2"/>
                <w:szCs w:val="2"/>
                <w:color w:val="auto"/>
              </w:rPr>
            </w:pPr>
          </w:p>
        </w:tc>
        <w:tc>
          <w:tcPr>
            <w:tcW w:w="112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2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900" w:type="dxa"/>
            <w:vAlign w:val="bottom"/>
          </w:tcPr>
          <w:p>
            <w:pPr>
              <w:ind w:left="120"/>
              <w:spacing w:after="0"/>
              <w:rPr>
                <w:sz w:val="20"/>
                <w:szCs w:val="20"/>
                <w:color w:val="auto"/>
              </w:rPr>
            </w:pPr>
            <w:r>
              <w:rPr>
                <w:rFonts w:ascii="Arial" w:cs="Arial" w:eastAsia="Arial" w:hAnsi="Arial"/>
                <w:sz w:val="11"/>
                <w:szCs w:val="11"/>
                <w:b w:val="1"/>
                <w:bCs w:val="1"/>
                <w:color w:val="auto"/>
              </w:rPr>
              <w:t>9. Number of</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8"/>
              </w:rPr>
              <w:t>Derivative</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8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of Securities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w w:val="98"/>
              </w:rPr>
              <w:t>Derivative</w:t>
            </w:r>
          </w:p>
        </w:tc>
        <w:tc>
          <w:tcPr>
            <w:tcW w:w="9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Ownership</w:t>
            </w:r>
          </w:p>
        </w:tc>
        <w:tc>
          <w:tcPr>
            <w:tcW w:w="8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8"/>
              </w:rPr>
              <w:t>Securities</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8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Underlying</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Securities</w:t>
            </w:r>
          </w:p>
        </w:tc>
        <w:tc>
          <w:tcPr>
            <w:tcW w:w="7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w:t>
            </w:r>
          </w:p>
        </w:tc>
        <w:tc>
          <w:tcPr>
            <w:tcW w:w="8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3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Acquired (A)</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Beneficially</w:t>
            </w:r>
          </w:p>
        </w:tc>
        <w:tc>
          <w:tcPr>
            <w:tcW w:w="7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Direct (D)</w:t>
            </w:r>
          </w:p>
        </w:tc>
        <w:tc>
          <w:tcPr>
            <w:tcW w:w="8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or Disposed</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Owned</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or Indirect</w:t>
            </w:r>
          </w:p>
        </w:tc>
        <w:tc>
          <w:tcPr>
            <w:tcW w:w="88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of (D) (Instr.</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Following</w:t>
            </w:r>
          </w:p>
        </w:tc>
        <w:tc>
          <w:tcPr>
            <w:tcW w:w="7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(I) (Instr. 4)</w:t>
            </w: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3, 4 and 5)</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vMerge w:val="restart"/>
          </w:tcPr>
          <w:p>
            <w:pPr>
              <w:ind w:left="120"/>
              <w:spacing w:after="0" w:line="124" w:lineRule="exact"/>
              <w:rPr>
                <w:sz w:val="20"/>
                <w:szCs w:val="20"/>
                <w:color w:val="auto"/>
              </w:rPr>
            </w:pPr>
            <w:r>
              <w:rPr>
                <w:rFonts w:ascii="Arial" w:cs="Arial" w:eastAsia="Arial" w:hAnsi="Arial"/>
                <w:sz w:val="11"/>
                <w:szCs w:val="11"/>
                <w:b w:val="1"/>
                <w:bCs w:val="1"/>
                <w:color w:val="auto"/>
              </w:rPr>
              <w:t>Transaction(s)</w:t>
            </w: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(Instr. 4)</w:t>
            </w: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w w:val="92"/>
              </w:rPr>
              <w:t>Date</w:t>
            </w:r>
          </w:p>
        </w:tc>
        <w:tc>
          <w:tcPr>
            <w:tcW w:w="420" w:type="dxa"/>
            <w:vAlign w:val="bottom"/>
          </w:tcPr>
          <w:p>
            <w:pPr>
              <w:spacing w:after="0"/>
              <w:rPr>
                <w:sz w:val="10"/>
                <w:szCs w:val="10"/>
                <w:color w:val="auto"/>
              </w:rPr>
            </w:pP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2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3"/>
                <w:szCs w:val="13"/>
                <w:color w:val="auto"/>
              </w:rPr>
            </w:pPr>
          </w:p>
        </w:tc>
        <w:tc>
          <w:tcPr>
            <w:tcW w:w="740" w:type="dxa"/>
            <w:vAlign w:val="bottom"/>
            <w:gridSpan w:val="5"/>
          </w:tcPr>
          <w:p>
            <w:pPr>
              <w:ind w:left="80"/>
              <w:spacing w:after="0"/>
              <w:rPr>
                <w:sz w:val="20"/>
                <w:szCs w:val="20"/>
                <w:color w:val="auto"/>
              </w:rPr>
            </w:pPr>
            <w:r>
              <w:rPr>
                <w:rFonts w:ascii="Arial" w:cs="Arial" w:eastAsia="Arial" w:hAnsi="Arial"/>
                <w:sz w:val="11"/>
                <w:szCs w:val="11"/>
                <w:b w:val="1"/>
                <w:bCs w:val="1"/>
                <w:color w:val="auto"/>
              </w:rPr>
              <w:t>of Shares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vMerge w:val="restart"/>
          </w:tcPr>
          <w:p>
            <w:pPr>
              <w:ind w:left="100"/>
              <w:spacing w:after="0" w:line="274"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vMerge w:val="restart"/>
          </w:tcPr>
          <w:p>
            <w:pPr>
              <w:jc w:val="center"/>
              <w:ind w:right="206"/>
              <w:spacing w:after="0"/>
              <w:rPr>
                <w:sz w:val="20"/>
                <w:szCs w:val="20"/>
                <w:color w:val="auto"/>
              </w:rPr>
            </w:pPr>
            <w:r>
              <w:rPr>
                <w:rFonts w:ascii="Times New Roman" w:cs="Times New Roman" w:eastAsia="Times New Roman" w:hAnsi="Times New Roman"/>
                <w:sz w:val="10"/>
                <w:szCs w:val="10"/>
                <w:color w:val="008000"/>
              </w:rPr>
              <w:t>(4)</w:t>
            </w:r>
          </w:p>
        </w:tc>
        <w:tc>
          <w:tcPr>
            <w:tcW w:w="280" w:type="dxa"/>
            <w:vAlign w:val="bottom"/>
          </w:tcPr>
          <w:p>
            <w:pPr>
              <w:spacing w:after="0"/>
              <w:rPr>
                <w:sz w:val="11"/>
                <w:szCs w:val="11"/>
                <w:color w:val="auto"/>
              </w:rPr>
            </w:pPr>
          </w:p>
        </w:tc>
        <w:tc>
          <w:tcPr>
            <w:tcW w:w="480" w:type="dxa"/>
            <w:vAlign w:val="bottom"/>
            <w:vMerge w:val="restart"/>
          </w:tcPr>
          <w:p>
            <w:pPr>
              <w:jc w:val="center"/>
              <w:ind w:right="217"/>
              <w:spacing w:after="0"/>
              <w:rPr>
                <w:sz w:val="20"/>
                <w:szCs w:val="20"/>
                <w:color w:val="auto"/>
              </w:rPr>
            </w:pPr>
            <w:r>
              <w:rPr>
                <w:rFonts w:ascii="Times New Roman" w:cs="Times New Roman" w:eastAsia="Times New Roman" w:hAnsi="Times New Roman"/>
                <w:sz w:val="10"/>
                <w:szCs w:val="10"/>
                <w:color w:val="008000"/>
              </w:rPr>
              <w:t>(4)</w:t>
            </w:r>
          </w:p>
        </w:tc>
        <w:tc>
          <w:tcPr>
            <w:tcW w:w="460" w:type="dxa"/>
            <w:vAlign w:val="bottom"/>
          </w:tcPr>
          <w:p>
            <w:pPr>
              <w:jc w:val="center"/>
              <w:ind w:left="2"/>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1"/>
                <w:szCs w:val="11"/>
                <w:color w:val="auto"/>
              </w:rPr>
            </w:pPr>
          </w:p>
        </w:tc>
        <w:tc>
          <w:tcPr>
            <w:tcW w:w="68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465,864</w:t>
            </w:r>
          </w:p>
        </w:tc>
        <w:tc>
          <w:tcPr>
            <w:tcW w:w="60" w:type="dxa"/>
            <w:vAlign w:val="bottom"/>
          </w:tcPr>
          <w:p>
            <w:pPr>
              <w:spacing w:after="0"/>
              <w:rPr>
                <w:sz w:val="11"/>
                <w:szCs w:val="11"/>
                <w:color w:val="auto"/>
              </w:rPr>
            </w:pP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0000FF"/>
              </w:rPr>
              <w:t>See Footnote</w:t>
            </w:r>
            <w:r>
              <w:rPr>
                <w:rFonts w:ascii="Times New Roman" w:cs="Times New Roman" w:eastAsia="Times New Roman" w:hAnsi="Times New Roman"/>
                <w:sz w:val="20"/>
                <w:szCs w:val="20"/>
                <w:color w:val="008000"/>
                <w:vertAlign w:val="superscript"/>
              </w:rPr>
              <w:t>(4)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Medline</w:t>
            </w:r>
          </w:p>
        </w:tc>
        <w:tc>
          <w:tcPr>
            <w:tcW w:w="800" w:type="dxa"/>
            <w:vAlign w:val="bottom"/>
            <w:vMerge w:val="continue"/>
          </w:tcPr>
          <w:p>
            <w:pPr>
              <w:spacing w:after="0"/>
              <w:rPr>
                <w:sz w:val="11"/>
                <w:szCs w:val="11"/>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465,864</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2"/>
                <w:szCs w:val="12"/>
                <w:color w:val="0000FF"/>
              </w:rPr>
              <w:t>465,864</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Holdings,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jc w:val="center"/>
              <w:ind w:left="2"/>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800" w:type="dxa"/>
            <w:vAlign w:val="bottom"/>
            <w:vMerge w:val="restart"/>
          </w:tcPr>
          <w:p>
            <w:pPr>
              <w:jc w:val="center"/>
              <w:ind w:right="4"/>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2"/>
                <w:szCs w:val="12"/>
                <w:color w:val="0000FF"/>
                <w:w w:val="90"/>
              </w:rPr>
              <w:t>15.42</w:t>
            </w:r>
            <w:r>
              <w:rPr>
                <w:rFonts w:ascii="Times New Roman" w:cs="Times New Roman" w:eastAsia="Times New Roman" w:hAnsi="Times New Roman"/>
                <w:sz w:val="20"/>
                <w:szCs w:val="20"/>
                <w:color w:val="008000"/>
                <w:w w:val="90"/>
                <w:vertAlign w:val="superscript"/>
              </w:rPr>
              <w:t>(5)(6)</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948,597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color w:val="008000"/>
              </w:rPr>
              <w:t>(5)(6)(7)</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(5)(6)(7)</w:t>
            </w:r>
          </w:p>
        </w:tc>
        <w:tc>
          <w:tcPr>
            <w:tcW w:w="460" w:type="dxa"/>
            <w:vAlign w:val="bottom"/>
          </w:tcPr>
          <w:p>
            <w:pPr>
              <w:jc w:val="center"/>
              <w:ind w:left="2"/>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7"/>
                <w:szCs w:val="17"/>
                <w:color w:val="auto"/>
              </w:rPr>
            </w:pPr>
          </w:p>
        </w:tc>
        <w:tc>
          <w:tcPr>
            <w:tcW w:w="68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948,597</w:t>
            </w:r>
          </w:p>
        </w:tc>
        <w:tc>
          <w:tcPr>
            <w:tcW w:w="60" w:type="dxa"/>
            <w:vAlign w:val="bottom"/>
          </w:tcPr>
          <w:p>
            <w:pPr>
              <w:spacing w:after="0"/>
              <w:rPr>
                <w:sz w:val="17"/>
                <w:szCs w:val="17"/>
                <w:color w:val="auto"/>
              </w:rPr>
            </w:pP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948,597</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tcPr>
          <w:p>
            <w:pPr>
              <w:ind w:left="40"/>
              <w:spacing w:after="0" w:line="199" w:lineRule="exact"/>
              <w:rPr>
                <w:sz w:val="20"/>
                <w:szCs w:val="20"/>
                <w:color w:val="auto"/>
              </w:rPr>
            </w:pPr>
            <w:r>
              <w:rPr>
                <w:rFonts w:ascii="Times New Roman" w:cs="Times New Roman" w:eastAsia="Times New Roman" w:hAnsi="Times New Roman"/>
                <w:sz w:val="12"/>
                <w:szCs w:val="12"/>
                <w:color w:val="0000FF"/>
              </w:rPr>
              <w:t>See Footnote</w:t>
            </w:r>
            <w:r>
              <w:rPr>
                <w:rFonts w:ascii="Times New Roman" w:cs="Times New Roman" w:eastAsia="Times New Roman" w:hAnsi="Times New Roman"/>
                <w:sz w:val="20"/>
                <w:szCs w:val="20"/>
                <w:color w:val="008000"/>
                <w:vertAlign w:val="superscript"/>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tcPr>
          <w:p>
            <w:pPr>
              <w:ind w:left="60"/>
              <w:spacing w:after="0" w:line="88" w:lineRule="exact"/>
              <w:rPr>
                <w:sz w:val="20"/>
                <w:szCs w:val="20"/>
                <w:color w:val="auto"/>
              </w:rPr>
            </w:pPr>
            <w:r>
              <w:rPr>
                <w:rFonts w:ascii="Times New Roman" w:cs="Times New Roman" w:eastAsia="Times New Roman" w:hAnsi="Times New Roman"/>
                <w:sz w:val="10"/>
                <w:szCs w:val="10"/>
                <w:color w:val="0000FF"/>
              </w:rPr>
              <w:t>Medline</w:t>
            </w:r>
          </w:p>
        </w:tc>
        <w:tc>
          <w:tcPr>
            <w:tcW w:w="8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4"/>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40" w:type="dxa"/>
            <w:vAlign w:val="bottom"/>
            <w:gridSpan w:val="2"/>
          </w:tcPr>
          <w:p>
            <w:pPr>
              <w:jc w:val="center"/>
              <w:spacing w:after="0" w:line="88" w:lineRule="exact"/>
              <w:rPr>
                <w:sz w:val="20"/>
                <w:szCs w:val="20"/>
                <w:color w:val="auto"/>
              </w:rPr>
            </w:pPr>
            <w:r>
              <w:rPr>
                <w:rFonts w:ascii="Times New Roman" w:cs="Times New Roman" w:eastAsia="Times New Roman" w:hAnsi="Times New Roman"/>
                <w:sz w:val="10"/>
                <w:szCs w:val="10"/>
                <w:color w:val="0000FF"/>
              </w:rPr>
              <w:t>Common</w:t>
            </w:r>
          </w:p>
        </w:tc>
        <w:tc>
          <w:tcPr>
            <w:tcW w:w="68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60" w:type="dxa"/>
            <w:vAlign w:val="bottom"/>
          </w:tcPr>
          <w:p>
            <w:pPr>
              <w:ind w:left="40"/>
              <w:spacing w:after="0" w:line="88" w:lineRule="exact"/>
              <w:rPr>
                <w:sz w:val="20"/>
                <w:szCs w:val="20"/>
                <w:color w:val="auto"/>
              </w:rPr>
            </w:pPr>
            <w:r>
              <w:rPr>
                <w:rFonts w:ascii="Times New Roman" w:cs="Times New Roman" w:eastAsia="Times New Roman" w:hAnsi="Times New Roman"/>
                <w:sz w:val="10"/>
                <w:szCs w:val="10"/>
                <w:color w:val="008000"/>
              </w:rPr>
              <w:t>(6)</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3"/>
          </w:tcPr>
          <w:p>
            <w:pPr>
              <w:ind w:left="60"/>
              <w:spacing w:after="0" w:line="123" w:lineRule="exact"/>
              <w:rPr>
                <w:sz w:val="20"/>
                <w:szCs w:val="20"/>
                <w:color w:val="auto"/>
              </w:rPr>
            </w:pPr>
            <w:r>
              <w:rPr>
                <w:rFonts w:ascii="Times New Roman" w:cs="Times New Roman" w:eastAsia="Times New Roman" w:hAnsi="Times New Roman"/>
                <w:sz w:val="12"/>
                <w:szCs w:val="12"/>
                <w:color w:val="0000FF"/>
              </w:rPr>
              <w:t>Holdings,</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jc w:val="center"/>
              <w:ind w:left="2"/>
              <w:spacing w:after="0" w:line="123" w:lineRule="exact"/>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800" w:type="dxa"/>
            <w:vAlign w:val="bottom"/>
            <w:vMerge w:val="restart"/>
          </w:tcPr>
          <w:p>
            <w:pPr>
              <w:jc w:val="center"/>
              <w:ind w:right="4"/>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2"/>
                <w:szCs w:val="12"/>
                <w:color w:val="0000FF"/>
                <w:w w:val="90"/>
              </w:rPr>
              <w:t>15.42</w:t>
            </w:r>
            <w:r>
              <w:rPr>
                <w:rFonts w:ascii="Times New Roman" w:cs="Times New Roman" w:eastAsia="Times New Roman" w:hAnsi="Times New Roman"/>
                <w:sz w:val="20"/>
                <w:szCs w:val="20"/>
                <w:color w:val="008000"/>
                <w:w w:val="90"/>
                <w:vertAlign w:val="superscript"/>
              </w:rPr>
              <w:t>(5)(6)</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463,211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color w:val="008000"/>
              </w:rPr>
              <w:t>(5)(6)(8)</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(5)(6)(8)</w:t>
            </w:r>
          </w:p>
        </w:tc>
        <w:tc>
          <w:tcPr>
            <w:tcW w:w="460" w:type="dxa"/>
            <w:vAlign w:val="bottom"/>
          </w:tcPr>
          <w:p>
            <w:pPr>
              <w:jc w:val="center"/>
              <w:ind w:left="2"/>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7"/>
                <w:szCs w:val="17"/>
                <w:color w:val="auto"/>
              </w:rPr>
            </w:pPr>
          </w:p>
        </w:tc>
        <w:tc>
          <w:tcPr>
            <w:tcW w:w="68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463,211</w:t>
            </w:r>
          </w:p>
        </w:tc>
        <w:tc>
          <w:tcPr>
            <w:tcW w:w="60" w:type="dxa"/>
            <w:vAlign w:val="bottom"/>
          </w:tcPr>
          <w:p>
            <w:pPr>
              <w:spacing w:after="0"/>
              <w:rPr>
                <w:sz w:val="17"/>
                <w:szCs w:val="17"/>
                <w:color w:val="auto"/>
              </w:rPr>
            </w:pP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463,211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tcPr>
          <w:p>
            <w:pPr>
              <w:ind w:left="40"/>
              <w:spacing w:after="0" w:line="199" w:lineRule="exact"/>
              <w:rPr>
                <w:sz w:val="20"/>
                <w:szCs w:val="20"/>
                <w:color w:val="auto"/>
              </w:rPr>
            </w:pPr>
            <w:r>
              <w:rPr>
                <w:rFonts w:ascii="Times New Roman" w:cs="Times New Roman" w:eastAsia="Times New Roman" w:hAnsi="Times New Roman"/>
                <w:sz w:val="12"/>
                <w:szCs w:val="12"/>
                <w:color w:val="0000FF"/>
              </w:rPr>
              <w:t>See Footnote</w:t>
            </w:r>
            <w:r>
              <w:rPr>
                <w:rFonts w:ascii="Times New Roman" w:cs="Times New Roman" w:eastAsia="Times New Roman" w:hAnsi="Times New Roman"/>
                <w:sz w:val="20"/>
                <w:szCs w:val="20"/>
                <w:color w:val="008000"/>
                <w:vertAlign w:val="superscript"/>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tcPr>
          <w:p>
            <w:pPr>
              <w:ind w:left="60"/>
              <w:spacing w:after="0" w:line="88" w:lineRule="exact"/>
              <w:rPr>
                <w:sz w:val="20"/>
                <w:szCs w:val="20"/>
                <w:color w:val="auto"/>
              </w:rPr>
            </w:pPr>
            <w:r>
              <w:rPr>
                <w:rFonts w:ascii="Times New Roman" w:cs="Times New Roman" w:eastAsia="Times New Roman" w:hAnsi="Times New Roman"/>
                <w:sz w:val="10"/>
                <w:szCs w:val="10"/>
                <w:color w:val="0000FF"/>
              </w:rPr>
              <w:t>Medline</w:t>
            </w:r>
          </w:p>
        </w:tc>
        <w:tc>
          <w:tcPr>
            <w:tcW w:w="8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4"/>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40" w:type="dxa"/>
            <w:vAlign w:val="bottom"/>
            <w:gridSpan w:val="2"/>
          </w:tcPr>
          <w:p>
            <w:pPr>
              <w:jc w:val="center"/>
              <w:spacing w:after="0" w:line="88" w:lineRule="exact"/>
              <w:rPr>
                <w:sz w:val="20"/>
                <w:szCs w:val="20"/>
                <w:color w:val="auto"/>
              </w:rPr>
            </w:pPr>
            <w:r>
              <w:rPr>
                <w:rFonts w:ascii="Times New Roman" w:cs="Times New Roman" w:eastAsia="Times New Roman" w:hAnsi="Times New Roman"/>
                <w:sz w:val="10"/>
                <w:szCs w:val="10"/>
                <w:color w:val="0000FF"/>
              </w:rPr>
              <w:t>Common</w:t>
            </w:r>
          </w:p>
        </w:tc>
        <w:tc>
          <w:tcPr>
            <w:tcW w:w="68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60" w:type="dxa"/>
            <w:vAlign w:val="bottom"/>
          </w:tcPr>
          <w:p>
            <w:pPr>
              <w:ind w:left="40"/>
              <w:spacing w:after="0" w:line="88" w:lineRule="exact"/>
              <w:rPr>
                <w:sz w:val="20"/>
                <w:szCs w:val="20"/>
                <w:color w:val="auto"/>
              </w:rPr>
            </w:pPr>
            <w:r>
              <w:rPr>
                <w:rFonts w:ascii="Times New Roman" w:cs="Times New Roman" w:eastAsia="Times New Roman" w:hAnsi="Times New Roman"/>
                <w:sz w:val="10"/>
                <w:szCs w:val="10"/>
                <w:color w:val="008000"/>
              </w:rPr>
              <w:t>(6)(12)</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3"/>
          </w:tcPr>
          <w:p>
            <w:pPr>
              <w:ind w:left="60"/>
              <w:spacing w:after="0" w:line="123" w:lineRule="exact"/>
              <w:rPr>
                <w:sz w:val="20"/>
                <w:szCs w:val="20"/>
                <w:color w:val="auto"/>
              </w:rPr>
            </w:pPr>
            <w:r>
              <w:rPr>
                <w:rFonts w:ascii="Times New Roman" w:cs="Times New Roman" w:eastAsia="Times New Roman" w:hAnsi="Times New Roman"/>
                <w:sz w:val="12"/>
                <w:szCs w:val="12"/>
                <w:color w:val="0000FF"/>
              </w:rPr>
              <w:t>Holdings,</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jc w:val="center"/>
              <w:ind w:left="2"/>
              <w:spacing w:after="0" w:line="123" w:lineRule="exact"/>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800" w:type="dxa"/>
            <w:vAlign w:val="bottom"/>
            <w:vMerge w:val="restart"/>
          </w:tcPr>
          <w:p>
            <w:pPr>
              <w:jc w:val="center"/>
              <w:ind w:right="4"/>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2"/>
                <w:szCs w:val="12"/>
                <w:color w:val="0000FF"/>
                <w:w w:val="90"/>
              </w:rPr>
              <w:t>15.23</w:t>
            </w:r>
            <w:r>
              <w:rPr>
                <w:rFonts w:ascii="Times New Roman" w:cs="Times New Roman" w:eastAsia="Times New Roman" w:hAnsi="Times New Roman"/>
                <w:sz w:val="20"/>
                <w:szCs w:val="20"/>
                <w:color w:val="008000"/>
                <w:w w:val="90"/>
                <w:vertAlign w:val="superscript"/>
              </w:rPr>
              <w:t>(5)(6)</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212,755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color w:val="008000"/>
              </w:rPr>
              <w:t>(5)(6)(9)</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(5)(6)(9)</w:t>
            </w:r>
          </w:p>
        </w:tc>
        <w:tc>
          <w:tcPr>
            <w:tcW w:w="460" w:type="dxa"/>
            <w:vAlign w:val="bottom"/>
          </w:tcPr>
          <w:p>
            <w:pPr>
              <w:jc w:val="center"/>
              <w:ind w:left="2"/>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7"/>
                <w:szCs w:val="17"/>
                <w:color w:val="auto"/>
              </w:rPr>
            </w:pPr>
          </w:p>
        </w:tc>
        <w:tc>
          <w:tcPr>
            <w:tcW w:w="68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212,755</w:t>
            </w:r>
          </w:p>
        </w:tc>
        <w:tc>
          <w:tcPr>
            <w:tcW w:w="60" w:type="dxa"/>
            <w:vAlign w:val="bottom"/>
          </w:tcPr>
          <w:p>
            <w:pPr>
              <w:spacing w:after="0"/>
              <w:rPr>
                <w:sz w:val="17"/>
                <w:szCs w:val="17"/>
                <w:color w:val="auto"/>
              </w:rPr>
            </w:pP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212,755</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tcPr>
          <w:p>
            <w:pPr>
              <w:ind w:left="40"/>
              <w:spacing w:after="0" w:line="199" w:lineRule="exact"/>
              <w:rPr>
                <w:sz w:val="20"/>
                <w:szCs w:val="20"/>
                <w:color w:val="auto"/>
              </w:rPr>
            </w:pPr>
            <w:r>
              <w:rPr>
                <w:rFonts w:ascii="Times New Roman" w:cs="Times New Roman" w:eastAsia="Times New Roman" w:hAnsi="Times New Roman"/>
                <w:sz w:val="12"/>
                <w:szCs w:val="12"/>
                <w:color w:val="0000FF"/>
              </w:rPr>
              <w:t>See Footnote</w:t>
            </w:r>
            <w:r>
              <w:rPr>
                <w:rFonts w:ascii="Times New Roman" w:cs="Times New Roman" w:eastAsia="Times New Roman" w:hAnsi="Times New Roman"/>
                <w:sz w:val="20"/>
                <w:szCs w:val="20"/>
                <w:color w:val="008000"/>
                <w:vertAlign w:val="superscript"/>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tcPr>
          <w:p>
            <w:pPr>
              <w:ind w:left="60"/>
              <w:spacing w:after="0" w:line="88" w:lineRule="exact"/>
              <w:rPr>
                <w:sz w:val="20"/>
                <w:szCs w:val="20"/>
                <w:color w:val="auto"/>
              </w:rPr>
            </w:pPr>
            <w:r>
              <w:rPr>
                <w:rFonts w:ascii="Times New Roman" w:cs="Times New Roman" w:eastAsia="Times New Roman" w:hAnsi="Times New Roman"/>
                <w:sz w:val="10"/>
                <w:szCs w:val="10"/>
                <w:color w:val="0000FF"/>
              </w:rPr>
              <w:t>Medline</w:t>
            </w:r>
          </w:p>
        </w:tc>
        <w:tc>
          <w:tcPr>
            <w:tcW w:w="8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4"/>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40" w:type="dxa"/>
            <w:vAlign w:val="bottom"/>
            <w:gridSpan w:val="2"/>
          </w:tcPr>
          <w:p>
            <w:pPr>
              <w:jc w:val="center"/>
              <w:spacing w:after="0" w:line="88" w:lineRule="exact"/>
              <w:rPr>
                <w:sz w:val="20"/>
                <w:szCs w:val="20"/>
                <w:color w:val="auto"/>
              </w:rPr>
            </w:pPr>
            <w:r>
              <w:rPr>
                <w:rFonts w:ascii="Times New Roman" w:cs="Times New Roman" w:eastAsia="Times New Roman" w:hAnsi="Times New Roman"/>
                <w:sz w:val="10"/>
                <w:szCs w:val="10"/>
                <w:color w:val="0000FF"/>
              </w:rPr>
              <w:t>Common</w:t>
            </w:r>
          </w:p>
        </w:tc>
        <w:tc>
          <w:tcPr>
            <w:tcW w:w="68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60" w:type="dxa"/>
            <w:vAlign w:val="bottom"/>
          </w:tcPr>
          <w:p>
            <w:pPr>
              <w:ind w:left="40"/>
              <w:spacing w:after="0" w:line="88" w:lineRule="exact"/>
              <w:rPr>
                <w:sz w:val="20"/>
                <w:szCs w:val="20"/>
                <w:color w:val="auto"/>
              </w:rPr>
            </w:pPr>
            <w:r>
              <w:rPr>
                <w:rFonts w:ascii="Times New Roman" w:cs="Times New Roman" w:eastAsia="Times New Roman" w:hAnsi="Times New Roman"/>
                <w:sz w:val="10"/>
                <w:szCs w:val="10"/>
                <w:color w:val="008000"/>
              </w:rPr>
              <w:t>(6)</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3"/>
          </w:tcPr>
          <w:p>
            <w:pPr>
              <w:ind w:left="60"/>
              <w:spacing w:after="0" w:line="123" w:lineRule="exact"/>
              <w:rPr>
                <w:sz w:val="20"/>
                <w:szCs w:val="20"/>
                <w:color w:val="auto"/>
              </w:rPr>
            </w:pPr>
            <w:r>
              <w:rPr>
                <w:rFonts w:ascii="Times New Roman" w:cs="Times New Roman" w:eastAsia="Times New Roman" w:hAnsi="Times New Roman"/>
                <w:sz w:val="12"/>
                <w:szCs w:val="12"/>
                <w:color w:val="0000FF"/>
              </w:rPr>
              <w:t>Holdings,</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jc w:val="center"/>
              <w:ind w:left="2"/>
              <w:spacing w:after="0" w:line="123" w:lineRule="exact"/>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800" w:type="dxa"/>
            <w:vAlign w:val="bottom"/>
            <w:vMerge w:val="restart"/>
          </w:tcPr>
          <w:p>
            <w:pPr>
              <w:jc w:val="center"/>
              <w:ind w:right="4"/>
              <w:spacing w:after="0"/>
              <w:rPr>
                <w:sz w:val="20"/>
                <w:szCs w:val="20"/>
                <w:color w:val="auto"/>
              </w:rPr>
            </w:pPr>
            <w:r>
              <w:rPr>
                <w:rFonts w:ascii="Arial" w:cs="Arial" w:eastAsia="Arial" w:hAnsi="Arial"/>
                <w:sz w:val="22"/>
                <w:szCs w:val="22"/>
                <w:color w:val="000000"/>
                <w:w w:val="85"/>
                <w:vertAlign w:val="subscript"/>
              </w:rPr>
              <w:t>$</w:t>
            </w:r>
            <w:r>
              <w:rPr>
                <w:rFonts w:ascii="Times New Roman" w:cs="Times New Roman" w:eastAsia="Times New Roman" w:hAnsi="Times New Roman"/>
                <w:sz w:val="24"/>
                <w:szCs w:val="24"/>
                <w:color w:val="0000FF"/>
                <w:w w:val="85"/>
                <w:vertAlign w:val="subscript"/>
              </w:rPr>
              <w:t>19.01</w:t>
            </w:r>
            <w:r>
              <w:rPr>
                <w:rFonts w:ascii="Times New Roman" w:cs="Times New Roman" w:eastAsia="Times New Roman" w:hAnsi="Times New Roman"/>
                <w:sz w:val="10"/>
                <w:szCs w:val="10"/>
                <w:color w:val="008000"/>
                <w:w w:val="85"/>
              </w:rPr>
              <w:t>(5)(6)</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157,800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color w:val="008000"/>
              </w:rPr>
              <w:t>(5)(6)(10)</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99"/>
              </w:rPr>
              <w:t>(5)(6)(10)</w:t>
            </w:r>
          </w:p>
        </w:tc>
        <w:tc>
          <w:tcPr>
            <w:tcW w:w="460" w:type="dxa"/>
            <w:vAlign w:val="bottom"/>
          </w:tcPr>
          <w:p>
            <w:pPr>
              <w:jc w:val="center"/>
              <w:ind w:left="2"/>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7"/>
                <w:szCs w:val="17"/>
                <w:color w:val="auto"/>
              </w:rPr>
            </w:pPr>
          </w:p>
        </w:tc>
        <w:tc>
          <w:tcPr>
            <w:tcW w:w="68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157,800</w:t>
            </w:r>
          </w:p>
        </w:tc>
        <w:tc>
          <w:tcPr>
            <w:tcW w:w="60" w:type="dxa"/>
            <w:vAlign w:val="bottom"/>
          </w:tcPr>
          <w:p>
            <w:pPr>
              <w:spacing w:after="0"/>
              <w:rPr>
                <w:sz w:val="17"/>
                <w:szCs w:val="17"/>
                <w:color w:val="auto"/>
              </w:rPr>
            </w:pP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157,800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tcPr>
          <w:p>
            <w:pPr>
              <w:ind w:left="40"/>
              <w:spacing w:after="0" w:line="199" w:lineRule="exact"/>
              <w:rPr>
                <w:sz w:val="20"/>
                <w:szCs w:val="20"/>
                <w:color w:val="auto"/>
              </w:rPr>
            </w:pPr>
            <w:r>
              <w:rPr>
                <w:rFonts w:ascii="Times New Roman" w:cs="Times New Roman" w:eastAsia="Times New Roman" w:hAnsi="Times New Roman"/>
                <w:sz w:val="12"/>
                <w:szCs w:val="12"/>
                <w:color w:val="0000FF"/>
              </w:rPr>
              <w:t>See Footnote</w:t>
            </w:r>
            <w:r>
              <w:rPr>
                <w:rFonts w:ascii="Times New Roman" w:cs="Times New Roman" w:eastAsia="Times New Roman" w:hAnsi="Times New Roman"/>
                <w:sz w:val="20"/>
                <w:szCs w:val="20"/>
                <w:color w:val="008000"/>
                <w:vertAlign w:val="superscript"/>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tcPr>
          <w:p>
            <w:pPr>
              <w:ind w:left="60"/>
              <w:spacing w:after="0" w:line="88" w:lineRule="exact"/>
              <w:rPr>
                <w:sz w:val="20"/>
                <w:szCs w:val="20"/>
                <w:color w:val="auto"/>
              </w:rPr>
            </w:pPr>
            <w:r>
              <w:rPr>
                <w:rFonts w:ascii="Times New Roman" w:cs="Times New Roman" w:eastAsia="Times New Roman" w:hAnsi="Times New Roman"/>
                <w:sz w:val="10"/>
                <w:szCs w:val="10"/>
                <w:color w:val="0000FF"/>
              </w:rPr>
              <w:t>Medline</w:t>
            </w:r>
          </w:p>
        </w:tc>
        <w:tc>
          <w:tcPr>
            <w:tcW w:w="8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4"/>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40" w:type="dxa"/>
            <w:vAlign w:val="bottom"/>
            <w:gridSpan w:val="2"/>
          </w:tcPr>
          <w:p>
            <w:pPr>
              <w:jc w:val="center"/>
              <w:spacing w:after="0" w:line="88" w:lineRule="exact"/>
              <w:rPr>
                <w:sz w:val="20"/>
                <w:szCs w:val="20"/>
                <w:color w:val="auto"/>
              </w:rPr>
            </w:pPr>
            <w:r>
              <w:rPr>
                <w:rFonts w:ascii="Times New Roman" w:cs="Times New Roman" w:eastAsia="Times New Roman" w:hAnsi="Times New Roman"/>
                <w:sz w:val="10"/>
                <w:szCs w:val="10"/>
                <w:color w:val="0000FF"/>
              </w:rPr>
              <w:t>Common</w:t>
            </w:r>
          </w:p>
        </w:tc>
        <w:tc>
          <w:tcPr>
            <w:tcW w:w="68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60" w:type="dxa"/>
            <w:vAlign w:val="bottom"/>
          </w:tcPr>
          <w:p>
            <w:pPr>
              <w:ind w:left="40"/>
              <w:spacing w:after="0" w:line="88" w:lineRule="exact"/>
              <w:rPr>
                <w:sz w:val="20"/>
                <w:szCs w:val="20"/>
                <w:color w:val="auto"/>
              </w:rPr>
            </w:pPr>
            <w:r>
              <w:rPr>
                <w:rFonts w:ascii="Times New Roman" w:cs="Times New Roman" w:eastAsia="Times New Roman" w:hAnsi="Times New Roman"/>
                <w:sz w:val="10"/>
                <w:szCs w:val="10"/>
                <w:color w:val="008000"/>
              </w:rPr>
              <w:t>(6)</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3"/>
          </w:tcPr>
          <w:p>
            <w:pPr>
              <w:ind w:left="60"/>
              <w:spacing w:after="0" w:line="123" w:lineRule="exact"/>
              <w:rPr>
                <w:sz w:val="20"/>
                <w:szCs w:val="20"/>
                <w:color w:val="auto"/>
              </w:rPr>
            </w:pPr>
            <w:r>
              <w:rPr>
                <w:rFonts w:ascii="Times New Roman" w:cs="Times New Roman" w:eastAsia="Times New Roman" w:hAnsi="Times New Roman"/>
                <w:sz w:val="12"/>
                <w:szCs w:val="12"/>
                <w:color w:val="0000FF"/>
              </w:rPr>
              <w:t>Holdings,</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jc w:val="center"/>
              <w:ind w:left="2"/>
              <w:spacing w:after="0" w:line="123" w:lineRule="exact"/>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800" w:type="dxa"/>
            <w:vAlign w:val="bottom"/>
            <w:vMerge w:val="restart"/>
          </w:tcPr>
          <w:p>
            <w:pPr>
              <w:jc w:val="center"/>
              <w:ind w:right="4"/>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2"/>
                <w:szCs w:val="12"/>
                <w:color w:val="0000FF"/>
                <w:w w:val="90"/>
              </w:rPr>
              <w:t>27.68</w:t>
            </w:r>
            <w:r>
              <w:rPr>
                <w:rFonts w:ascii="Times New Roman" w:cs="Times New Roman" w:eastAsia="Times New Roman" w:hAnsi="Times New Roman"/>
                <w:sz w:val="20"/>
                <w:szCs w:val="20"/>
                <w:color w:val="008000"/>
                <w:w w:val="90"/>
                <w:vertAlign w:val="superscript"/>
              </w:rPr>
              <w:t>(5)(6)</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149,005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color w:val="008000"/>
                <w:w w:val="99"/>
              </w:rPr>
              <w:t>(5)(6)(11)</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w w:val="99"/>
              </w:rPr>
              <w:t>(5)(6)(11)</w:t>
            </w:r>
          </w:p>
        </w:tc>
        <w:tc>
          <w:tcPr>
            <w:tcW w:w="460" w:type="dxa"/>
            <w:vAlign w:val="bottom"/>
          </w:tcPr>
          <w:p>
            <w:pPr>
              <w:jc w:val="center"/>
              <w:ind w:left="2"/>
              <w:spacing w:after="0"/>
              <w:rPr>
                <w:sz w:val="20"/>
                <w:szCs w:val="20"/>
                <w:color w:val="auto"/>
              </w:rPr>
            </w:pPr>
            <w:r>
              <w:rPr>
                <w:rFonts w:ascii="Times New Roman" w:cs="Times New Roman" w:eastAsia="Times New Roman" w:hAnsi="Times New Roman"/>
                <w:sz w:val="12"/>
                <w:szCs w:val="12"/>
                <w:color w:val="0000FF"/>
              </w:rPr>
              <w:t>Class A</w:t>
            </w:r>
          </w:p>
        </w:tc>
        <w:tc>
          <w:tcPr>
            <w:tcW w:w="80" w:type="dxa"/>
            <w:vAlign w:val="bottom"/>
          </w:tcPr>
          <w:p>
            <w:pPr>
              <w:spacing w:after="0"/>
              <w:rPr>
                <w:sz w:val="17"/>
                <w:szCs w:val="17"/>
                <w:color w:val="auto"/>
              </w:rPr>
            </w:pPr>
          </w:p>
        </w:tc>
        <w:tc>
          <w:tcPr>
            <w:tcW w:w="68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149,005</w:t>
            </w:r>
          </w:p>
        </w:tc>
        <w:tc>
          <w:tcPr>
            <w:tcW w:w="60" w:type="dxa"/>
            <w:vAlign w:val="bottom"/>
          </w:tcPr>
          <w:p>
            <w:pPr>
              <w:spacing w:after="0"/>
              <w:rPr>
                <w:sz w:val="17"/>
                <w:szCs w:val="17"/>
                <w:color w:val="auto"/>
              </w:rPr>
            </w:pP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149,005</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I</w:t>
            </w:r>
          </w:p>
        </w:tc>
        <w:tc>
          <w:tcPr>
            <w:tcW w:w="880" w:type="dxa"/>
            <w:vAlign w:val="bottom"/>
            <w:gridSpan w:val="2"/>
          </w:tcPr>
          <w:p>
            <w:pPr>
              <w:ind w:left="40"/>
              <w:spacing w:after="0" w:line="199" w:lineRule="exact"/>
              <w:rPr>
                <w:sz w:val="20"/>
                <w:szCs w:val="20"/>
                <w:color w:val="auto"/>
              </w:rPr>
            </w:pPr>
            <w:r>
              <w:rPr>
                <w:rFonts w:ascii="Times New Roman" w:cs="Times New Roman" w:eastAsia="Times New Roman" w:hAnsi="Times New Roman"/>
                <w:sz w:val="12"/>
                <w:szCs w:val="12"/>
                <w:color w:val="0000FF"/>
              </w:rPr>
              <w:t>See Footnote</w:t>
            </w:r>
            <w:r>
              <w:rPr>
                <w:rFonts w:ascii="Times New Roman" w:cs="Times New Roman" w:eastAsia="Times New Roman" w:hAnsi="Times New Roman"/>
                <w:sz w:val="20"/>
                <w:szCs w:val="20"/>
                <w:color w:val="008000"/>
                <w:vertAlign w:val="superscript"/>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tcPr>
          <w:p>
            <w:pPr>
              <w:ind w:left="60"/>
              <w:spacing w:after="0" w:line="88" w:lineRule="exact"/>
              <w:rPr>
                <w:sz w:val="20"/>
                <w:szCs w:val="20"/>
                <w:color w:val="auto"/>
              </w:rPr>
            </w:pPr>
            <w:r>
              <w:rPr>
                <w:rFonts w:ascii="Times New Roman" w:cs="Times New Roman" w:eastAsia="Times New Roman" w:hAnsi="Times New Roman"/>
                <w:sz w:val="10"/>
                <w:szCs w:val="10"/>
                <w:color w:val="0000FF"/>
              </w:rPr>
              <w:t>Medline</w:t>
            </w:r>
          </w:p>
        </w:tc>
        <w:tc>
          <w:tcPr>
            <w:tcW w:w="8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4"/>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40" w:type="dxa"/>
            <w:vAlign w:val="bottom"/>
            <w:gridSpan w:val="2"/>
          </w:tcPr>
          <w:p>
            <w:pPr>
              <w:jc w:val="center"/>
              <w:spacing w:after="0" w:line="88" w:lineRule="exact"/>
              <w:rPr>
                <w:sz w:val="20"/>
                <w:szCs w:val="20"/>
                <w:color w:val="auto"/>
              </w:rPr>
            </w:pPr>
            <w:r>
              <w:rPr>
                <w:rFonts w:ascii="Times New Roman" w:cs="Times New Roman" w:eastAsia="Times New Roman" w:hAnsi="Times New Roman"/>
                <w:sz w:val="10"/>
                <w:szCs w:val="10"/>
                <w:color w:val="0000FF"/>
              </w:rPr>
              <w:t>Common</w:t>
            </w:r>
          </w:p>
        </w:tc>
        <w:tc>
          <w:tcPr>
            <w:tcW w:w="68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60" w:type="dxa"/>
            <w:vAlign w:val="bottom"/>
          </w:tcPr>
          <w:p>
            <w:pPr>
              <w:ind w:left="40"/>
              <w:spacing w:after="0" w:line="88" w:lineRule="exact"/>
              <w:rPr>
                <w:sz w:val="20"/>
                <w:szCs w:val="20"/>
                <w:color w:val="auto"/>
              </w:rPr>
            </w:pPr>
            <w:r>
              <w:rPr>
                <w:rFonts w:ascii="Times New Roman" w:cs="Times New Roman" w:eastAsia="Times New Roman" w:hAnsi="Times New Roman"/>
                <w:sz w:val="10"/>
                <w:szCs w:val="10"/>
                <w:color w:val="008000"/>
              </w:rPr>
              <w:t>(6)</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Holdings,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jc w:val="center"/>
              <w:ind w:left="2"/>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LP</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40" w:right="200" w:hanging="3"/>
        <w:spacing w:after="0" w:line="280"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were acquired in connection with the reclassification of the interests of Medline Holdings, LP prior to the Issuer's initial public offering (as more fully described in the Registration Statement on Form S-1). These securities were previously reported on the Reporting Person's Form 3 filed on December 17, 2025.</w:t>
      </w:r>
    </w:p>
    <w:p>
      <w:pPr>
        <w:ind w:left="40" w:right="20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12"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grant of restricted stock units ("RSUs"), of which 25% vest on June 15, 2026 and the remaining 75% vest in three equal annual installments beginning on March 1, 2027.</w:t>
      </w:r>
    </w:p>
    <w:p>
      <w:pPr>
        <w:spacing w:after="0" w:line="48" w:lineRule="exact"/>
        <w:rPr>
          <w:rFonts w:ascii="Times New Roman" w:cs="Times New Roman" w:eastAsia="Times New Roman" w:hAnsi="Times New Roman"/>
          <w:sz w:val="12"/>
          <w:szCs w:val="12"/>
          <w:color w:val="008000"/>
        </w:rPr>
      </w:pPr>
    </w:p>
    <w:p>
      <w:pPr>
        <w:ind w:left="40" w:right="26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an exchange agreement, dated as of December 16, 2025 (the "Exchange Agreement"), holders have the right to exchange their Common Units for shares of the Class A Common Stock on a one-for-one basis, subject to customary conversion rate adjustments for stock splits, stock dividends and reclassifications. These exchange rights do not expire. Such Common Units are held indirectly through Medline Management Aggregator LLC.</w:t>
      </w:r>
    </w:p>
    <w:p>
      <w:pPr>
        <w:spacing w:after="0" w:line="12" w:lineRule="exact"/>
        <w:rPr>
          <w:rFonts w:ascii="Times New Roman" w:cs="Times New Roman" w:eastAsia="Times New Roman" w:hAnsi="Times New Roman"/>
          <w:sz w:val="12"/>
          <w:szCs w:val="12"/>
          <w:color w:val="008000"/>
        </w:rPr>
      </w:pPr>
    </w:p>
    <w:p>
      <w:pPr>
        <w:jc w:val="both"/>
        <w:ind w:left="40" w:right="200" w:hanging="3"/>
        <w:spacing w:after="0" w:line="25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 incentive units of Medline Holdings, LP ("Incentive Units"), which are "profit interests" having economic characteristics similar to stock appreciation rights. Vested Incentive Units are convertible, at the holder's election, into a number of Common Units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w:t>
      </w:r>
    </w:p>
    <w:p>
      <w:pPr>
        <w:sectPr>
          <w:pgSz w:w="11900" w:h="16855" w:orient="portrait"/>
          <w:cols w:equalWidth="0" w:num="1">
            <w:col w:w="11080"/>
          </w:cols>
          <w:pgMar w:left="460" w:top="214" w:right="359" w:bottom="0" w:gutter="0" w:footer="0" w:header="0"/>
          <w:type w:val="continuous"/>
        </w:sectPr>
      </w:pPr>
    </w:p>
    <w:bookmarkStart w:id="1" w:name="page2"/>
    <w:bookmarkEnd w:id="1"/>
    <w:p>
      <w:pPr>
        <w:ind w:left="3" w:hanging="3"/>
        <w:spacing w:after="0" w:line="280"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5 above) Common Units are exchangeable on a one-for-one basis for shares of Class A Common Stock pursuant to the terms of the Exchange Agreement. These Incentive Units have no expiration date. Such Incentive Units are held indirectly through Medline Management Aggregator LLC.</w:t>
      </w:r>
    </w:p>
    <w:p>
      <w:pPr>
        <w:spacing w:after="0" w:line="1"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70% of these Incentive Units have vested, and the remaining 30% vest on October 21, 2026.</w:t>
      </w:r>
    </w:p>
    <w:p>
      <w:pPr>
        <w:spacing w:after="0" w:line="48"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Incentive Units are fully vested.</w:t>
      </w:r>
    </w:p>
    <w:p>
      <w:pPr>
        <w:spacing w:after="0" w:line="48"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40% of these Incentive Units have vested, and the remaining 60% vest in three equal annual installments beginning on April 1, 2026.</w:t>
      </w:r>
    </w:p>
    <w:p>
      <w:pPr>
        <w:spacing w:after="0" w:line="48" w:lineRule="exact"/>
        <w:rPr>
          <w:rFonts w:ascii="Times New Roman" w:cs="Times New Roman" w:eastAsia="Times New Roman" w:hAnsi="Times New Roman"/>
          <w:sz w:val="12"/>
          <w:szCs w:val="12"/>
          <w:color w:val="008000"/>
        </w:rPr>
      </w:pPr>
    </w:p>
    <w:p>
      <w:pPr>
        <w:ind w:left="183" w:hanging="183"/>
        <w:spacing w:after="0"/>
        <w:tabs>
          <w:tab w:leader="none" w:pos="18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20% of these Incentive Units have vested, and the remaining 80% vest in four equal annual installments beginning on March 29, 2026.</w:t>
      </w:r>
    </w:p>
    <w:p>
      <w:pPr>
        <w:spacing w:after="0" w:line="48" w:lineRule="exact"/>
        <w:rPr>
          <w:rFonts w:ascii="Times New Roman" w:cs="Times New Roman" w:eastAsia="Times New Roman" w:hAnsi="Times New Roman"/>
          <w:sz w:val="12"/>
          <w:szCs w:val="12"/>
          <w:color w:val="008000"/>
        </w:rPr>
      </w:pPr>
    </w:p>
    <w:p>
      <w:pPr>
        <w:ind w:left="183" w:hanging="183"/>
        <w:spacing w:after="0"/>
        <w:tabs>
          <w:tab w:leader="none" w:pos="18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Incentive Units vest in five equal annual installments beginning on March 28, 2026.</w:t>
      </w:r>
    </w:p>
    <w:p>
      <w:pPr>
        <w:spacing w:after="0" w:line="48" w:lineRule="exact"/>
        <w:rPr>
          <w:rFonts w:ascii="Times New Roman" w:cs="Times New Roman" w:eastAsia="Times New Roman" w:hAnsi="Times New Roman"/>
          <w:sz w:val="12"/>
          <w:szCs w:val="12"/>
          <w:color w:val="008000"/>
        </w:rPr>
      </w:pPr>
    </w:p>
    <w:p>
      <w:pPr>
        <w:ind w:left="183" w:hanging="183"/>
        <w:spacing w:after="0"/>
        <w:tabs>
          <w:tab w:leader="none" w:pos="18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held by a trust, of which the Reporting Person is a trustee.</w:t>
      </w:r>
    </w:p>
    <w:p>
      <w:pPr>
        <w:spacing w:after="0" w:line="73"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/s/ Nicole Fritz, Attorney-in-Fact 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-5715</wp:posOffset>
            </wp:positionV>
            <wp:extent cx="18630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63090" cy="7620"/>
                    </a:xfrm>
                    <a:prstGeom prst="rect">
                      <a:avLst/>
                    </a:prstGeom>
                    <a:noFill/>
                  </pic:spPr>
                </pic:pic>
              </a:graphicData>
            </a:graphic>
          </wp:anchor>
        </w:drawing>
      </w:r>
    </w:p>
    <w:p>
      <w:pPr>
        <w:spacing w:after="0" w:line="45" w:lineRule="exact"/>
        <w:rPr>
          <w:sz w:val="20"/>
          <w:szCs w:val="20"/>
          <w:color w:val="auto"/>
        </w:rPr>
      </w:pPr>
    </w:p>
    <w:p>
      <w:pPr>
        <w:ind w:left="6563"/>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3" w:right="3500" w:hanging="3"/>
        <w:spacing w:after="0" w:line="32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63"/>
      </w:cols>
      <w:pgMar w:left="497" w:top="127"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1504" TargetMode="External"/><Relationship Id="rId14"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2026-03-06T15:58:33Z</dcterms:created>
  <dcterms:modified xsi:type="dcterms:W3CDTF">2026-03-06T15:58:33Z</dcterms:modified>
</cp:coreProperties>
</file>