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67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Shryock Christopher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8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67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Human Resources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67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3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9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4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8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340" w:type="dxa"/>
            <w:vAlign w:val="bottom"/>
          </w:tcPr>
          <w:p>
            <w:pPr>
              <w:ind w:left="6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7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2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(1)(2)(3)</w:t>
            </w:r>
          </w:p>
        </w:tc>
        <w:tc>
          <w:tcPr>
            <w:tcW w:w="9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8000"/>
              </w:rPr>
              <w:t>(1)(2)(3)</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0000FF"/>
              </w:rPr>
              <w:t>496,049</w:t>
            </w:r>
          </w:p>
        </w:tc>
        <w:tc>
          <w:tcPr>
            <w:tcW w:w="1120" w:type="dxa"/>
            <w:vAlign w:val="bottom"/>
            <w:vMerge w:val="restart"/>
          </w:tcPr>
          <w:p>
            <w:pPr>
              <w:jc w:val="right"/>
              <w:ind w:right="217"/>
              <w:spacing w:after="0"/>
              <w:rPr>
                <w:sz w:val="20"/>
                <w:szCs w:val="20"/>
                <w:color w:val="auto"/>
              </w:rPr>
            </w:pPr>
            <w:r>
              <w:rPr>
                <w:rFonts w:ascii="Times New Roman" w:cs="Times New Roman" w:eastAsia="Times New Roman" w:hAnsi="Times New Roman"/>
                <w:sz w:val="39"/>
                <w:szCs w:val="39"/>
                <w:color w:val="0000FF"/>
                <w:w w:val="92"/>
                <w:vertAlign w:val="subscript"/>
              </w:rPr>
              <w:t>24.19</w:t>
            </w:r>
            <w:r>
              <w:rPr>
                <w:rFonts w:ascii="Times New Roman" w:cs="Times New Roman" w:eastAsia="Times New Roman" w:hAnsi="Times New Roman"/>
                <w:sz w:val="13"/>
                <w:szCs w:val="13"/>
                <w:color w:val="008000"/>
                <w:w w:val="92"/>
              </w:rPr>
              <w:t>(1)(2)</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tcPr>
          <w:p>
            <w:pPr>
              <w:ind w:left="240"/>
              <w:spacing w:after="0" w:line="284" w:lineRule="exact"/>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6"/>
        </w:trPr>
        <w:tc>
          <w:tcPr>
            <w:tcW w:w="27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7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8000"/>
              </w:rPr>
              <w:t>(2)</w:t>
            </w:r>
          </w:p>
        </w:tc>
        <w:tc>
          <w:tcPr>
            <w:tcW w:w="0" w:type="dxa"/>
            <w:vAlign w:val="bottom"/>
          </w:tcPr>
          <w:p>
            <w:pPr>
              <w:spacing w:after="0"/>
              <w:rPr>
                <w:sz w:val="1"/>
                <w:szCs w:val="1"/>
                <w:color w:val="auto"/>
              </w:rPr>
            </w:pPr>
          </w:p>
        </w:tc>
      </w:tr>
      <w:tr>
        <w:trPr>
          <w:trHeight w:val="58"/>
        </w:trPr>
        <w:tc>
          <w:tcPr>
            <w:tcW w:w="27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7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7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2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(1)(2)(4)</w:t>
            </w:r>
          </w:p>
        </w:tc>
        <w:tc>
          <w:tcPr>
            <w:tcW w:w="9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8000"/>
              </w:rPr>
              <w:t>(1)(2)(4)</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8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color w:val="0000FF"/>
              </w:rPr>
              <w:t>40,638</w:t>
            </w:r>
          </w:p>
        </w:tc>
        <w:tc>
          <w:tcPr>
            <w:tcW w:w="1120" w:type="dxa"/>
            <w:vAlign w:val="bottom"/>
            <w:vMerge w:val="restart"/>
          </w:tcPr>
          <w:p>
            <w:pPr>
              <w:jc w:val="right"/>
              <w:ind w:right="217"/>
              <w:spacing w:after="0"/>
              <w:rPr>
                <w:sz w:val="20"/>
                <w:szCs w:val="20"/>
                <w:color w:val="auto"/>
              </w:rPr>
            </w:pPr>
            <w:r>
              <w:rPr>
                <w:rFonts w:ascii="Times New Roman" w:cs="Times New Roman" w:eastAsia="Times New Roman" w:hAnsi="Times New Roman"/>
                <w:sz w:val="39"/>
                <w:szCs w:val="39"/>
                <w:color w:val="0000FF"/>
                <w:w w:val="92"/>
                <w:vertAlign w:val="subscript"/>
              </w:rPr>
              <w:t>27.68</w:t>
            </w:r>
            <w:r>
              <w:rPr>
                <w:rFonts w:ascii="Times New Roman" w:cs="Times New Roman" w:eastAsia="Times New Roman" w:hAnsi="Times New Roman"/>
                <w:sz w:val="13"/>
                <w:szCs w:val="13"/>
                <w:color w:val="008000"/>
                <w:w w:val="92"/>
              </w:rPr>
              <w:t>(1)(2)</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tcPr>
          <w:p>
            <w:pPr>
              <w:ind w:left="240"/>
              <w:spacing w:after="0" w:line="284" w:lineRule="exact"/>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6"/>
        </w:trPr>
        <w:tc>
          <w:tcPr>
            <w:tcW w:w="27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7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8000"/>
              </w:rPr>
              <w:t>(2)</w:t>
            </w:r>
          </w:p>
        </w:tc>
        <w:tc>
          <w:tcPr>
            <w:tcW w:w="0" w:type="dxa"/>
            <w:vAlign w:val="bottom"/>
          </w:tcPr>
          <w:p>
            <w:pPr>
              <w:spacing w:after="0"/>
              <w:rPr>
                <w:sz w:val="1"/>
                <w:szCs w:val="1"/>
                <w:color w:val="auto"/>
              </w:rPr>
            </w:pPr>
          </w:p>
        </w:tc>
      </w:tr>
      <w:tr>
        <w:trPr>
          <w:trHeight w:val="58"/>
        </w:trPr>
        <w:tc>
          <w:tcPr>
            <w:tcW w:w="27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 incentive units of Medline Holdings, LP ("Incentive Units"), which are "profit interests" having economic characteristics similar to stock appreciation rights. Vested Incentive Units are convertible, at the holder's election, into a number of common units of Medline Holdings, LP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the Issuer's Class A common stock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3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1 above) Common Units are exchangeable on a one-for-one basis for shares of Class A Common Stock pursuant to the terms of an exchange agreement, dated as of December 16, 2025. These Incentive Units have no expiration date. Such Incentive Units are held indirectly through Medline Management Aggregator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these Incentive Units have vested, and the remaining 80% vest in four equal annual installments beginning on September 27,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vest in five equal annual installments beginning on March 28, 2026.</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670" w:gutter="0" w:footer="0" w:header="0"/>
          <w:type w:val="continuous"/>
        </w:sectPr>
      </w:pPr>
    </w:p>
    <w:bookmarkStart w:id="1" w:name="page2"/>
    <w:bookmarkEnd w:id="1"/>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ind w:left="60"/>
              <w:spacing w:after="0"/>
              <w:rPr>
                <w:sz w:val="20"/>
                <w:szCs w:val="20"/>
                <w:color w:val="auto"/>
              </w:rPr>
            </w:pPr>
            <w:r>
              <w:rPr>
                <w:rFonts w:ascii="Times New Roman" w:cs="Times New Roman" w:eastAsia="Times New Roman" w:hAnsi="Times New Roman"/>
                <w:sz w:val="24"/>
                <w:szCs w:val="24"/>
                <w:color w:val="auto"/>
              </w:rPr>
              <w:t>/s/ Christopher P. Shryock</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Christopher P. Shryock</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1031875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1070"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2025-12-17T18:10:49Z</dcterms:created>
  <dcterms:modified xsi:type="dcterms:W3CDTF">2025-12-17T18:10:49Z</dcterms:modified>
</cp:coreProperties>
</file>