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Mozart Aggregator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72"/>
        <w:gridCol w:w="902"/>
        <w:gridCol w:w="777"/>
        <w:gridCol w:w="598"/>
        <w:gridCol w:w="321"/>
        <w:gridCol w:w="1232"/>
        <w:gridCol w:w="375"/>
        <w:gridCol w:w="982"/>
        <w:gridCol w:w="1392"/>
        <w:gridCol w:w="902"/>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1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13,462,600</w:t>
            </w:r>
          </w:p>
        </w:tc>
        <w:tc>
          <w:tcPr>
            <w:tcW w:w="3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28.3683</w:t>
            </w:r>
            <w:r>
              <w:rPr>
                <w:rFonts w:ascii="Times;serif" w:hAnsi="Times;serif"/>
                <w:color w:val="008000"/>
                <w:position w:val="7"/>
                <w:sz w:val="16"/>
                <w:sz w:val="20"/>
                <w:shd w:fill="FFFFFF" w:val="clear"/>
              </w:rPr>
              <w:t>(1)</w:t>
            </w:r>
            <w:r>
              <w:rPr/>
              <w:t xml:space="preserve"> </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143,187,216</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5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(7)</w:t>
            </w:r>
            <w:r>
              <w:rPr/>
              <w:t xml:space="preserve"> </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6,954,440</w:t>
            </w:r>
          </w:p>
        </w:tc>
        <w:tc>
          <w:tcPr>
            <w:tcW w:w="3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72,372,632</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5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(8)</w:t>
            </w:r>
            <w:r>
              <w:rPr/>
              <w:t xml:space="preserve"> </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268,536</w:t>
            </w:r>
          </w:p>
        </w:tc>
        <w:tc>
          <w:tcPr>
            <w:tcW w:w="3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142,918,680</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5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11,724</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bl>
    <w:tbl>
      <w:tblPr>
        <w:tblW w:w="13109"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966"/>
        <w:gridCol w:w="906"/>
        <w:gridCol w:w="801"/>
        <w:gridCol w:w="891"/>
        <w:gridCol w:w="1101"/>
        <w:gridCol w:w="876"/>
        <w:gridCol w:w="1071"/>
        <w:gridCol w:w="831"/>
        <w:gridCol w:w="1026"/>
      </w:tblGrid>
      <w:tr>
        <w:trPr>
          <w:tblHeader w:val="true"/>
        </w:trPr>
        <w:tc>
          <w:tcPr>
            <w:tcW w:w="131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6,954,440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6,954,440</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28.3683</w:t>
            </w:r>
            <w:r>
              <w:rPr>
                <w:rFonts w:ascii="Times;serif" w:hAnsi="Times;serif"/>
                <w:color w:val="008000"/>
                <w:position w:val="7"/>
                <w:sz w:val="16"/>
                <w:sz w:val="20"/>
                <w:shd w:fill="FFFFFF" w:val="clear"/>
              </w:rPr>
              <w:t>(1)</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72,372,632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(3)(4)(5)(6)</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Mozart Aggregator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BCP Mozart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Blackstone Management Associates VIII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BCP 8 Holdings Mozart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BMA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Blackstone Holdings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Blackstone Holdings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Blackstone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Blackstone Group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SCHWARZMAN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amount represents the $29.00 secondary public offering price per share of Class A common stock ("Class A Common Stock") of Medline Inc. (the "Issuer"), less the underwriting discount of $0.63173 per share sold by the Reporting Persons to the Issuer in connection with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Class A Common Stock of the Issuer held directly by Mozart Aggregator II LP.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BCP Mozart Aggregator L.P. (together with Mozart Aggregator II LP, the "Blackstone Holders"). BCP 8 Holdings Mozart Manager L.L.C. is the general partner of BCP Mozart Aggregator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such Reporting Person may be deemed to beneficially own the securities of the Issuer directly held by the Blackstone Holders directly or indirectly controlled by it or him, but each (other than Mozart Aggregator II LP and BCP Mozart Aggregator L.P. to the extent of their respective direct holdings) disclaims beneficial ownership of the securities reported herein, except to the extent of such Reporting Person's pecuniary interest therein, and this filing shall not be deemed an admission that any of the Reporting Persons (other than Mozart Aggregator II LP and BCP Mozart Aggregator L.P. to the extent each directly holds securities of the Issuer) is the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of the Issuer's Class B common stock ("Class B Common Stock") have no economic value and have one vote per share. One share of Class B Common Stock is issued for each common unit of Medline Holdings, LP ("Common Unit") held. Upon the sale of Common Units, an equivalent number of shares of Class B Common Stock were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December 18, 2025, Mozart Aggregator II LP initiated in-kind distributions of shares of Class A Common Stock to one of its investors and certain affiliated entities of that investor. Such distributees have agreed to be bound in writing by the restrictions set forth in the Lock Up Agreement entered into by and among the Reporting Persons and the underwriters.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Pursuant to the terms of an exchange agreement, dated as of December 16, 2025, holders have the right to exchange their Common Units for shares of the Issuer's Class A Common Stock on a one-for-one basis, subject to customary conversion rate adjustments for stock splits, stock dividends and reclassifications. These exchange rights do not expire.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II LP, By: BLACKSTONE MANAGEMENT ASSOCIATES VIII L.P., its general partner, By: BMA VIII L.L.C., its general partner,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MOZART AGGREGATOR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8 HOLDINGS MOZART MANAGER L.L.C., By: BMA VIII L.L.C., its managing member,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MANAGEMENT ASSOCIATES VIII L.P., By: BMA VIII L.L.C., its general partner,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BMA VIII L.L.C.,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 L.P., By: Blackstone Holdings I/II GP L.L.C., its general partner,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I/II GP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INC.,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GROUP MANAGEMENT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A. Schwarzman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582"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98582" TargetMode="External"/><Relationship Id="rId9" Type="http://schemas.openxmlformats.org/officeDocument/2006/relationships/hyperlink" Target="http://www.sec.gov/cgi-bin/browse-edgar?action=getcompany&amp;CIK=0002094487" TargetMode="External"/><Relationship Id="rId10" Type="http://schemas.openxmlformats.org/officeDocument/2006/relationships/hyperlink" Target="http://www.sec.gov/cgi-bin/browse-edgar?action=getcompany&amp;CIK=0002084378" TargetMode="External"/><Relationship Id="rId11" Type="http://schemas.openxmlformats.org/officeDocument/2006/relationships/hyperlink" Target="http://www.sec.gov/cgi-bin/browse-edgar?action=getcompany&amp;CIK=0002094484" TargetMode="External"/><Relationship Id="rId12" Type="http://schemas.openxmlformats.org/officeDocument/2006/relationships/hyperlink" Target="http://www.sec.gov/cgi-bin/browse-edgar?action=getcompany&amp;CIK=0002084966" TargetMode="External"/><Relationship Id="rId13" Type="http://schemas.openxmlformats.org/officeDocument/2006/relationships/hyperlink" Target="http://www.sec.gov/cgi-bin/browse-edgar?action=getcompany&amp;CIK=0001484870" TargetMode="External"/><Relationship Id="rId14" Type="http://schemas.openxmlformats.org/officeDocument/2006/relationships/hyperlink" Target="http://www.sec.gov/cgi-bin/browse-edgar?action=getcompany&amp;CIK=0001464695" TargetMode="External"/><Relationship Id="rId15" Type="http://schemas.openxmlformats.org/officeDocument/2006/relationships/hyperlink" Target="http://www.sec.gov/cgi-bin/browse-edgar?action=getcompany&amp;CIK=0001393818" TargetMode="External"/><Relationship Id="rId16" Type="http://schemas.openxmlformats.org/officeDocument/2006/relationships/hyperlink" Target="http://www.sec.gov/cgi-bin/browse-edgar?action=getcompany&amp;CIK=0001404071" TargetMode="External"/><Relationship Id="rId17" Type="http://schemas.openxmlformats.org/officeDocument/2006/relationships/hyperlink" Target="http://www.sec.gov/cgi-bin/browse-edgar?action=getcompany&amp;CIK=0001070844"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1682</Words>
  <Characters>9205</Characters>
  <CharactersWithSpaces>10646</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